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ind w:firstLine="880"/>
        <w:jc w:val="center"/>
        <w:rPr>
          <w:rFonts w:ascii="方正小标宋简体" w:eastAsia="方正小标宋简体"/>
          <w:sz w:val="44"/>
          <w:szCs w:val="44"/>
        </w:rPr>
      </w:pPr>
      <w:r>
        <w:rPr>
          <w:rFonts w:hint="eastAsia" w:ascii="方正小标宋简体" w:eastAsia="方正小标宋简体"/>
          <w:sz w:val="44"/>
          <w:szCs w:val="44"/>
        </w:rPr>
        <w:t>广元市昭化区工商业联合会</w:t>
      </w:r>
    </w:p>
    <w:p>
      <w:pPr>
        <w:spacing w:line="550" w:lineRule="exact"/>
        <w:ind w:firstLine="880"/>
        <w:jc w:val="center"/>
        <w:rPr>
          <w:rFonts w:ascii="方正小标宋简体" w:eastAsia="方正小标宋简体"/>
          <w:sz w:val="44"/>
          <w:szCs w:val="44"/>
        </w:rPr>
      </w:pPr>
      <w:r>
        <w:rPr>
          <w:rFonts w:hint="eastAsia" w:ascii="方正小标宋简体" w:eastAsia="方正小标宋简体"/>
          <w:sz w:val="44"/>
          <w:szCs w:val="44"/>
        </w:rPr>
        <w:t>2024年部门预算编制说明</w:t>
      </w:r>
    </w:p>
    <w:p>
      <w:pPr>
        <w:spacing w:line="550" w:lineRule="exact"/>
        <w:ind w:firstLine="880"/>
        <w:jc w:val="center"/>
        <w:rPr>
          <w:rFonts w:ascii="方正小标宋简体" w:eastAsia="方正小标宋简体"/>
          <w:sz w:val="44"/>
          <w:szCs w:val="44"/>
        </w:rPr>
      </w:pPr>
      <w:r>
        <w:rPr>
          <w:rFonts w:hint="eastAsia" w:ascii="方正小标宋简体" w:eastAsia="方正小标宋简体"/>
          <w:sz w:val="44"/>
          <w:szCs w:val="44"/>
        </w:rPr>
        <w:t>目   录</w:t>
      </w:r>
    </w:p>
    <w:p>
      <w:pPr>
        <w:spacing w:line="550" w:lineRule="exact"/>
        <w:rPr>
          <w:rFonts w:ascii="仿宋_GB2312" w:eastAsia="仿宋_GB2312"/>
          <w:sz w:val="32"/>
          <w:szCs w:val="32"/>
        </w:rPr>
      </w:pPr>
    </w:p>
    <w:p>
      <w:pPr>
        <w:spacing w:line="550" w:lineRule="exact"/>
        <w:rPr>
          <w:rFonts w:ascii="仿宋_GB2312" w:eastAsia="仿宋_GB2312"/>
          <w:sz w:val="32"/>
          <w:szCs w:val="32"/>
        </w:rPr>
      </w:pPr>
      <w:r>
        <w:rPr>
          <w:rFonts w:hint="eastAsia" w:ascii="仿宋_GB2312" w:eastAsia="仿宋_GB2312"/>
          <w:sz w:val="32"/>
          <w:szCs w:val="32"/>
        </w:rPr>
        <w:t>一、基本职能及主要工作..............................(1)</w:t>
      </w:r>
    </w:p>
    <w:p>
      <w:pPr>
        <w:spacing w:line="550" w:lineRule="exact"/>
        <w:rPr>
          <w:rFonts w:ascii="仿宋_GB2312" w:eastAsia="仿宋_GB2312"/>
          <w:sz w:val="32"/>
          <w:szCs w:val="32"/>
        </w:rPr>
      </w:pPr>
      <w:r>
        <w:rPr>
          <w:rFonts w:hint="eastAsia" w:ascii="仿宋_GB2312" w:eastAsia="仿宋_GB2312"/>
          <w:sz w:val="32"/>
          <w:szCs w:val="32"/>
        </w:rPr>
        <w:t>（一）单位职能简介..................................(1)</w:t>
      </w:r>
    </w:p>
    <w:p>
      <w:pPr>
        <w:spacing w:line="550" w:lineRule="exact"/>
        <w:rPr>
          <w:rFonts w:ascii="仿宋_GB2312" w:eastAsia="仿宋_GB2312"/>
          <w:sz w:val="32"/>
          <w:szCs w:val="32"/>
        </w:rPr>
      </w:pPr>
      <w:r>
        <w:rPr>
          <w:rFonts w:hint="eastAsia" w:ascii="仿宋_GB2312" w:eastAsia="仿宋_GB2312"/>
          <w:sz w:val="32"/>
          <w:szCs w:val="32"/>
        </w:rPr>
        <w:t>（二）单位2024年重点工作...........................(2)</w:t>
      </w:r>
    </w:p>
    <w:p>
      <w:pPr>
        <w:spacing w:line="550" w:lineRule="exact"/>
        <w:rPr>
          <w:rFonts w:ascii="仿宋_GB2312" w:eastAsia="仿宋_GB2312"/>
          <w:sz w:val="32"/>
          <w:szCs w:val="32"/>
        </w:rPr>
      </w:pPr>
      <w:r>
        <w:rPr>
          <w:rFonts w:hint="eastAsia" w:ascii="仿宋_GB2312" w:eastAsia="仿宋_GB2312"/>
          <w:sz w:val="32"/>
          <w:szCs w:val="32"/>
        </w:rPr>
        <w:t>二、部门预算单位构成................................(4)</w:t>
      </w:r>
    </w:p>
    <w:p>
      <w:pPr>
        <w:spacing w:line="550" w:lineRule="exact"/>
        <w:rPr>
          <w:rFonts w:ascii="仿宋_GB2312" w:eastAsia="仿宋_GB2312"/>
          <w:sz w:val="32"/>
          <w:szCs w:val="32"/>
        </w:rPr>
      </w:pPr>
      <w:r>
        <w:rPr>
          <w:rFonts w:hint="eastAsia" w:ascii="仿宋_GB2312" w:eastAsia="仿宋_GB2312"/>
          <w:sz w:val="32"/>
          <w:szCs w:val="32"/>
        </w:rPr>
        <w:t>三、收支预算情况说明................................(5)</w:t>
      </w:r>
    </w:p>
    <w:p>
      <w:pPr>
        <w:spacing w:line="550" w:lineRule="exact"/>
        <w:rPr>
          <w:rFonts w:ascii="仿宋_GB2312" w:eastAsia="仿宋_GB2312"/>
          <w:sz w:val="32"/>
          <w:szCs w:val="32"/>
        </w:rPr>
      </w:pPr>
      <w:r>
        <w:rPr>
          <w:rFonts w:hint="eastAsia" w:ascii="仿宋_GB2312" w:eastAsia="仿宋_GB2312"/>
          <w:sz w:val="32"/>
          <w:szCs w:val="32"/>
        </w:rPr>
        <w:t>（一）收入预算情况..................................(5)</w:t>
      </w:r>
    </w:p>
    <w:p>
      <w:pPr>
        <w:spacing w:line="550" w:lineRule="exact"/>
        <w:rPr>
          <w:rFonts w:ascii="仿宋_GB2312" w:eastAsia="仿宋_GB2312"/>
          <w:sz w:val="32"/>
          <w:szCs w:val="32"/>
        </w:rPr>
      </w:pPr>
      <w:r>
        <w:rPr>
          <w:rFonts w:hint="eastAsia" w:ascii="仿宋_GB2312" w:eastAsia="仿宋_GB2312"/>
          <w:sz w:val="32"/>
          <w:szCs w:val="32"/>
        </w:rPr>
        <w:t>（二）支出预算情况..................................(5)</w:t>
      </w:r>
    </w:p>
    <w:p>
      <w:pPr>
        <w:spacing w:line="550" w:lineRule="exact"/>
        <w:rPr>
          <w:rFonts w:ascii="仿宋_GB2312" w:eastAsia="仿宋_GB2312"/>
          <w:sz w:val="32"/>
          <w:szCs w:val="32"/>
        </w:rPr>
      </w:pPr>
      <w:r>
        <w:rPr>
          <w:rFonts w:hint="eastAsia" w:ascii="仿宋_GB2312" w:eastAsia="仿宋_GB2312"/>
          <w:sz w:val="32"/>
          <w:szCs w:val="32"/>
        </w:rPr>
        <w:t>四、财政拨款收支预算情况说明........................(5)</w:t>
      </w:r>
    </w:p>
    <w:p>
      <w:pPr>
        <w:spacing w:line="550" w:lineRule="exact"/>
        <w:rPr>
          <w:rFonts w:ascii="仿宋_GB2312" w:eastAsia="仿宋_GB2312"/>
          <w:sz w:val="32"/>
          <w:szCs w:val="32"/>
        </w:rPr>
      </w:pPr>
      <w:r>
        <w:rPr>
          <w:rFonts w:hint="eastAsia" w:ascii="仿宋_GB2312" w:eastAsia="仿宋_GB2312"/>
          <w:sz w:val="32"/>
          <w:szCs w:val="32"/>
        </w:rPr>
        <w:t>五、一般公共预算当年拨款情况说明....................(5)</w:t>
      </w:r>
    </w:p>
    <w:p>
      <w:pPr>
        <w:spacing w:line="550" w:lineRule="exact"/>
        <w:rPr>
          <w:rFonts w:ascii="仿宋_GB2312" w:eastAsia="仿宋_GB2312"/>
          <w:sz w:val="32"/>
          <w:szCs w:val="32"/>
        </w:rPr>
      </w:pPr>
      <w:r>
        <w:rPr>
          <w:rFonts w:hint="eastAsia" w:ascii="仿宋_GB2312" w:eastAsia="仿宋_GB2312"/>
          <w:sz w:val="32"/>
          <w:szCs w:val="32"/>
        </w:rPr>
        <w:t>（一）一般公共预算当年拨款规模变化情况..............(5)</w:t>
      </w:r>
    </w:p>
    <w:p>
      <w:pPr>
        <w:spacing w:line="550" w:lineRule="exact"/>
        <w:rPr>
          <w:rFonts w:ascii="仿宋_GB2312" w:eastAsia="仿宋_GB2312"/>
          <w:sz w:val="32"/>
          <w:szCs w:val="32"/>
        </w:rPr>
      </w:pPr>
      <w:r>
        <w:rPr>
          <w:rFonts w:hint="eastAsia" w:ascii="仿宋_GB2312" w:eastAsia="仿宋_GB2312"/>
          <w:sz w:val="32"/>
          <w:szCs w:val="32"/>
        </w:rPr>
        <w:t>（二）一般公共预算当年拨款结构情况..................(6)</w:t>
      </w:r>
    </w:p>
    <w:p>
      <w:pPr>
        <w:spacing w:line="550" w:lineRule="exact"/>
        <w:rPr>
          <w:rFonts w:ascii="仿宋_GB2312" w:eastAsia="仿宋_GB2312"/>
          <w:sz w:val="32"/>
          <w:szCs w:val="32"/>
        </w:rPr>
      </w:pPr>
      <w:r>
        <w:rPr>
          <w:rFonts w:hint="eastAsia" w:ascii="仿宋_GB2312" w:eastAsia="仿宋_GB2312"/>
          <w:sz w:val="32"/>
          <w:szCs w:val="32"/>
        </w:rPr>
        <w:t>（三）一般公共预算当年拨款具体使用情况..............(6)</w:t>
      </w:r>
    </w:p>
    <w:p>
      <w:pPr>
        <w:spacing w:line="550" w:lineRule="exact"/>
        <w:rPr>
          <w:rFonts w:ascii="仿宋_GB2312" w:eastAsia="仿宋_GB2312"/>
          <w:sz w:val="32"/>
          <w:szCs w:val="32"/>
        </w:rPr>
      </w:pPr>
      <w:r>
        <w:rPr>
          <w:rFonts w:hint="eastAsia" w:ascii="仿宋_GB2312" w:eastAsia="仿宋_GB2312"/>
          <w:sz w:val="32"/>
          <w:szCs w:val="32"/>
        </w:rPr>
        <w:t>六、一般公共预算基本支出情况说明....................(6)</w:t>
      </w:r>
    </w:p>
    <w:p>
      <w:pPr>
        <w:spacing w:line="550" w:lineRule="exact"/>
        <w:rPr>
          <w:rFonts w:ascii="仿宋_GB2312" w:eastAsia="仿宋_GB2312"/>
          <w:sz w:val="32"/>
          <w:szCs w:val="32"/>
        </w:rPr>
      </w:pPr>
      <w:r>
        <w:rPr>
          <w:rFonts w:hint="eastAsia" w:ascii="仿宋_GB2312" w:eastAsia="仿宋_GB2312"/>
          <w:sz w:val="32"/>
          <w:szCs w:val="32"/>
        </w:rPr>
        <w:t>七、“三公”经费财政拨款预算安排情况说明............(7)</w:t>
      </w:r>
    </w:p>
    <w:p>
      <w:pPr>
        <w:spacing w:line="550" w:lineRule="exact"/>
        <w:rPr>
          <w:rFonts w:ascii="仿宋_GB2312" w:eastAsia="仿宋_GB2312"/>
          <w:sz w:val="32"/>
          <w:szCs w:val="32"/>
        </w:rPr>
      </w:pPr>
      <w:r>
        <w:rPr>
          <w:rFonts w:hint="eastAsia" w:ascii="仿宋_GB2312" w:eastAsia="仿宋_GB2312"/>
          <w:sz w:val="32"/>
          <w:szCs w:val="32"/>
        </w:rPr>
        <w:t>八、政府性基金预算支出情况说明......................(7)</w:t>
      </w:r>
    </w:p>
    <w:p>
      <w:pPr>
        <w:spacing w:line="550" w:lineRule="exact"/>
        <w:rPr>
          <w:rFonts w:ascii="仿宋_GB2312" w:eastAsia="仿宋_GB2312"/>
          <w:sz w:val="32"/>
          <w:szCs w:val="32"/>
        </w:rPr>
      </w:pPr>
      <w:r>
        <w:rPr>
          <w:rFonts w:hint="eastAsia" w:ascii="仿宋_GB2312" w:eastAsia="仿宋_GB2312"/>
          <w:sz w:val="32"/>
          <w:szCs w:val="32"/>
        </w:rPr>
        <w:t>九、国有资本经营预算支出情况说明....................(7)</w:t>
      </w:r>
    </w:p>
    <w:p>
      <w:pPr>
        <w:spacing w:line="550" w:lineRule="exact"/>
        <w:rPr>
          <w:rFonts w:ascii="仿宋_GB2312" w:eastAsia="仿宋_GB2312"/>
          <w:sz w:val="32"/>
          <w:szCs w:val="32"/>
        </w:rPr>
      </w:pPr>
      <w:r>
        <w:rPr>
          <w:rFonts w:hint="eastAsia" w:ascii="仿宋_GB2312" w:eastAsia="仿宋_GB2312"/>
          <w:sz w:val="32"/>
          <w:szCs w:val="32"/>
        </w:rPr>
        <w:t>十、其他重要事项的情况说明..........................(8)</w:t>
      </w:r>
    </w:p>
    <w:p>
      <w:pPr>
        <w:spacing w:line="550" w:lineRule="exact"/>
        <w:rPr>
          <w:rFonts w:ascii="仿宋_GB2312" w:eastAsia="仿宋_GB2312"/>
          <w:sz w:val="32"/>
          <w:szCs w:val="32"/>
        </w:rPr>
      </w:pPr>
      <w:r>
        <w:rPr>
          <w:rFonts w:hint="eastAsia" w:ascii="仿宋_GB2312" w:eastAsia="仿宋_GB2312"/>
          <w:sz w:val="32"/>
          <w:szCs w:val="32"/>
        </w:rPr>
        <w:t>十一、名词解释......................................(8)</w:t>
      </w:r>
    </w:p>
    <w:p>
      <w:pPr>
        <w:widowControl/>
        <w:suppressAutoHyphens w:val="0"/>
        <w:jc w:val="left"/>
        <w:rPr>
          <w:rFonts w:ascii="仿宋_GB2312" w:eastAsia="仿宋_GB2312"/>
          <w:sz w:val="32"/>
          <w:szCs w:val="32"/>
        </w:rPr>
      </w:pPr>
    </w:p>
    <w:p>
      <w:pPr>
        <w:widowControl/>
        <w:suppressAutoHyphens w:val="0"/>
        <w:jc w:val="left"/>
        <w:rPr>
          <w:rFonts w:ascii="仿宋_GB2312" w:eastAsia="仿宋_GB2312"/>
          <w:sz w:val="32"/>
          <w:szCs w:val="32"/>
        </w:rPr>
      </w:pPr>
    </w:p>
    <w:p>
      <w:pPr>
        <w:spacing w:line="550" w:lineRule="exact"/>
        <w:rPr>
          <w:rFonts w:ascii="仿宋_GB2312" w:eastAsia="仿宋_GB2312"/>
          <w:sz w:val="32"/>
          <w:szCs w:val="32"/>
        </w:rPr>
        <w:sectPr>
          <w:pgSz w:w="11906" w:h="16838"/>
          <w:pgMar w:top="2098" w:right="1474" w:bottom="1984" w:left="1587" w:header="720" w:footer="1559" w:gutter="0"/>
          <w:cols w:space="720" w:num="1"/>
          <w:docGrid w:type="lines" w:linePitch="312" w:charSpace="0"/>
        </w:sectPr>
      </w:pPr>
    </w:p>
    <w:p>
      <w:pPr>
        <w:spacing w:line="576" w:lineRule="exact"/>
        <w:ind w:firstLine="640" w:firstLineChars="200"/>
        <w:rPr>
          <w:rFonts w:ascii="Times New Roman" w:hAnsi="Times New Roman" w:eastAsia="黑体"/>
          <w:sz w:val="32"/>
          <w:szCs w:val="32"/>
        </w:rPr>
      </w:pPr>
      <w:r>
        <w:rPr>
          <w:rFonts w:ascii="Times New Roman" w:hAnsi="黑体" w:eastAsia="黑体"/>
          <w:sz w:val="32"/>
          <w:szCs w:val="32"/>
        </w:rPr>
        <w:t>一、基本职能及主要工作</w:t>
      </w:r>
    </w:p>
    <w:p>
      <w:pPr>
        <w:spacing w:line="576" w:lineRule="exact"/>
        <w:ind w:firstLine="640" w:firstLineChars="200"/>
        <w:rPr>
          <w:rFonts w:ascii="Times New Roman" w:hAnsi="Times New Roman" w:eastAsia="楷体_GB2312"/>
          <w:b/>
          <w:sz w:val="32"/>
          <w:szCs w:val="32"/>
        </w:rPr>
      </w:pPr>
      <w:r>
        <w:rPr>
          <w:rFonts w:ascii="Times New Roman" w:hAnsi="Times New Roman" w:eastAsia="楷体_GB2312"/>
          <w:b/>
          <w:sz w:val="32"/>
          <w:szCs w:val="32"/>
        </w:rPr>
        <w:t>（一）单位职能简介</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1.参政议政。参与我区经济、社会事务的重大决策和政治协商，发挥民主监督。做好非公有制经济代表人士的政治安排的推荐工作。对我区重大决策的制定提出建议，并协助贯彻执行。</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2.发扬自我教育的优良传统，宣传党和国家的方针政策，加强和改进思想政治工作。对会员进行“团结、帮助、服务、教育”提倡爱国、敬业、守法，提高会员素质，培养骨干分子队伍。</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3.维护会员的合法权益。反映会员的意见、要求和建议，在会员与政府之间发挥桥梁纽带作用，当好政府管理非公有制经济的助手。</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4.为会员和社会提供市场、技术、商品等信息。按照国家有关规定为会员提供管理、会计、审计、融资等咨询服务。</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5.对会员开展专业培训。帮助会员改善经营管理，提高生产技术水平和产品质量。</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6.按照国家规定和有关政策，组织会员举办和参加各种展销会、交易会。组织出国考察、访问，帮助会员开拓国内、国际市场。</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7.为会员提供必要的证明，协调会员间的关系，为会员和民间企业调解纠纷。</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8.增进与台、港、澳地区和世界各国工商社团及工商经济界人士的联系和友谊，促进经济、技术和贸易合作的发展，协助引进资金、技术、人才。</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9.积极办好会办服务事业和经济实体。</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10.承办党委或政府交办的其他事项。</w:t>
      </w:r>
    </w:p>
    <w:p>
      <w:pPr>
        <w:spacing w:line="576" w:lineRule="exact"/>
        <w:ind w:firstLine="640" w:firstLineChars="200"/>
        <w:rPr>
          <w:rFonts w:ascii="Times New Roman" w:hAnsi="Times New Roman" w:eastAsia="楷体_GB2312"/>
          <w:b/>
          <w:sz w:val="32"/>
          <w:szCs w:val="32"/>
        </w:rPr>
      </w:pPr>
      <w:r>
        <w:rPr>
          <w:rFonts w:ascii="Times New Roman" w:hAnsi="Times New Roman" w:eastAsia="楷体_GB2312"/>
          <w:b/>
          <w:sz w:val="32"/>
          <w:szCs w:val="32"/>
        </w:rPr>
        <w:t>（二）单位2024年重点工作</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1.加强政治引领，扎实抓好民营经济统战工作。 围绕思想建设、组织建设、制度建设、文化建设，切实加强商协会党的建设，以此促进商协会建设，把牢商协会和民营企业正确政治方向，壮大商协会党组织和会员队伍，规范商协会管理，打造商协会文化，全面加强新时代民营经济统战工作。结合庆祝全国工商联成立 70 周年，宣传民营经济成就，引领民营经济人士听党话、跟党走。开展“聚焦二十大</w:t>
      </w:r>
      <w:r>
        <w:rPr>
          <w:rFonts w:ascii="Times New Roman" w:hAnsi="Times New Roman"/>
          <w:sz w:val="32"/>
          <w:szCs w:val="32"/>
        </w:rPr>
        <w:t>•</w:t>
      </w:r>
      <w:r>
        <w:rPr>
          <w:rFonts w:ascii="Times New Roman" w:hAnsi="Times New Roman" w:eastAsia="仿宋_GB2312"/>
          <w:sz w:val="32"/>
          <w:szCs w:val="32"/>
        </w:rPr>
        <w:t>展现新作为”“聚焦二十大</w:t>
      </w:r>
      <w:r>
        <w:rPr>
          <w:rFonts w:ascii="Times New Roman" w:hAnsi="Times New Roman"/>
          <w:sz w:val="32"/>
          <w:szCs w:val="32"/>
        </w:rPr>
        <w:t>•</w:t>
      </w:r>
      <w:r>
        <w:rPr>
          <w:rFonts w:ascii="Times New Roman" w:hAnsi="Times New Roman" w:eastAsia="仿宋_GB2312"/>
          <w:sz w:val="32"/>
          <w:szCs w:val="32"/>
        </w:rPr>
        <w:t>务实有行动”等教育活动，大力宣传民营企业和民营经济人士拼经济比发展的先进典型，引导广大民营经济人士争做新时代“四个典范”和合格的中国特色社会主义事业建设者。</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2.注重提高质量，规范推进商协会建设。继续壮大商协会会员队伍。加快会员发展，重点在创新型企业、新兴产业企业中发展会员，全年新增会员 10%以上；加强镇商会建设，规范管理，发挥作用，完善会员管理制度，加强动态管理、开展教育服务、实现稳妥发展。扎实开展会员组织管理系统信息录入工作，确保信息全面、真实、准确。</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3.做实摸清底数，做好民营经济统计调查工作。高质量完成上规模民营企业、民营企业社会责任等调查统计。加强民营企业调查系统建设，推动执常委企业全覆盖入库，调查问卷填报率达到 90% 以上。</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做优经济服务，助力民营企业纾困解难。落实执常委联系服务企业、商协会制度，大力开展“大走访大调研大服务”活动，常态化走访商协会和民营企业，收集整理企业问题和建议。健全民营经济问题处理机制，及时处置回应企业诉求呼声。全力协办企业家恳谈会、企业问题会商会，推动企业困难问题化解。</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加强服务提质，优化民营经济发展环境。深化与司法、市场监管、政务服务等部门已建立的联系机制，搭建更多政企交流平台，促进政企沟通，为服务企业聚力。加强涉企政策信息服务，及时编撰刊发《昭化区工商联微信公</w:t>
      </w:r>
      <w:r>
        <w:rPr>
          <w:rFonts w:hint="eastAsia" w:ascii="Times New Roman" w:hAnsi="Times New Roman" w:eastAsia="仿宋_GB2312"/>
          <w:sz w:val="32"/>
          <w:szCs w:val="32"/>
          <w:lang w:val="en-US" w:eastAsia="zh-CN"/>
        </w:rPr>
        <w:t>众</w:t>
      </w:r>
      <w:r>
        <w:rPr>
          <w:rFonts w:ascii="Times New Roman" w:hAnsi="Times New Roman" w:eastAsia="仿宋_GB2312"/>
          <w:sz w:val="32"/>
          <w:szCs w:val="32"/>
        </w:rPr>
        <w:t>号》，促进惠企政策落地落实。积极参与营商环境“背靠背”测评、民营企业投诉协调办理活动，助力改善民营企业发展环境。</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加大招商引资，促进民营企业对外交流合作。加强与区外工商联、商会、商务机构合作，组织企业外出考察学习，举办投资推介、经贸洽谈等交流活动，与浙江拱墅区工商联缔结友好商会，深化与新疆、重庆、杭州等地工商联（商会）已建立的合作机制，组织企业开展交流对接。积极对接省工商联、杭州市工商联，拱墅区工商联，组织开展“四川民营企业昭化行”和“拱墅区民营企业昭化行”活动，推动一批项目签约落地。</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提高社会服务，积极推进乡村振兴。做好联机关驻村帮扶工作，巩固拓展脱贫攻坚成果同乡村振兴有效衔接。深化“万企兴万村”行动，引导企业和商协会探索产销对接新模式，推动各类特色农产品“进电商、进社区、进企业”，增强乡村造血功能。积极创建“万企兴万村”行动示范项目、示范基地。加强与杭州市拱墅区对接，组织企业参与我区乡村振兴行动。</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加强规范建设，完成广东与北京昭化商会换届工作。完成广东昭化商会、北京昭化商会换届工作，加强其余4个异地商会和12个镇商会的检查指导工作，努力把商会建成充满活力的有组织的经济共同体和“团结、严谨、务实、奉献”的新型商会组织。</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9.强化法律服务，积极助力社会治理 。深入推进企业家学法用法，持续开展法律进企业、“万所联万会”等活动，举办专题法律讲座，加强法治民企建设。开展廉洁教育和守法诚信教育，引导民营企业依法依规经营。加强商协会调解组织建设，积极创建“枫桥式商会”。全面推行涉案企业合规改革。</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10.加强自身建设，大力营造良好干事创业环境。 围绕学习贯彻习近平新时代中国特色社会主义思想主题教育，以创建</w:t>
      </w:r>
      <w:r>
        <w:rPr>
          <w:rFonts w:hint="eastAsia" w:ascii="Times New Roman" w:hAnsi="Times New Roman" w:eastAsia="仿宋_GB2312"/>
          <w:sz w:val="32"/>
          <w:szCs w:val="32"/>
          <w:lang w:eastAsia="zh-CN"/>
        </w:rPr>
        <w:t>“</w:t>
      </w:r>
      <w:r>
        <w:rPr>
          <w:rFonts w:ascii="Times New Roman" w:hAnsi="Times New Roman" w:eastAsia="仿宋_GB2312"/>
          <w:sz w:val="32"/>
          <w:szCs w:val="32"/>
        </w:rPr>
        <w:t>模范政治机关、模范学习机关、模范效能机关、模范廉洁机关</w:t>
      </w:r>
      <w:r>
        <w:rPr>
          <w:rFonts w:hint="eastAsia" w:ascii="Times New Roman" w:hAnsi="Times New Roman" w:eastAsia="仿宋_GB2312"/>
          <w:sz w:val="32"/>
          <w:szCs w:val="32"/>
          <w:lang w:eastAsia="zh-CN"/>
        </w:rPr>
        <w:t>”</w:t>
      </w:r>
      <w:r>
        <w:rPr>
          <w:rFonts w:ascii="Times New Roman" w:hAnsi="Times New Roman" w:eastAsia="仿宋_GB2312"/>
          <w:sz w:val="32"/>
          <w:szCs w:val="32"/>
        </w:rPr>
        <w:t>和“五好”县级标杆工商联为载体，大力提升干部争先能力，努力激发干部拼的劲头，履职尽责，奋勇争先，全力推动各项工作出色出彩、走在前列。结合自身特色工作，抓试点示范求突破，争先进、创一流。</w:t>
      </w:r>
    </w:p>
    <w:p>
      <w:pPr>
        <w:spacing w:line="576" w:lineRule="exact"/>
        <w:ind w:firstLine="640" w:firstLineChars="200"/>
        <w:rPr>
          <w:rFonts w:ascii="Times New Roman" w:hAnsi="Times New Roman" w:eastAsia="黑体"/>
          <w:sz w:val="32"/>
          <w:szCs w:val="32"/>
        </w:rPr>
      </w:pPr>
      <w:r>
        <w:rPr>
          <w:rFonts w:ascii="Times New Roman" w:hAnsi="黑体" w:eastAsia="黑体"/>
          <w:sz w:val="32"/>
          <w:szCs w:val="32"/>
        </w:rPr>
        <w:t>二、部门预算单位构成</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我单位为一级预算单位，</w:t>
      </w:r>
      <w:r>
        <w:rPr>
          <w:rFonts w:hint="eastAsia" w:ascii="Times New Roman" w:hAnsi="Times New Roman" w:eastAsia="仿宋_GB2312"/>
          <w:sz w:val="32"/>
          <w:szCs w:val="32"/>
        </w:rPr>
        <w:t>无二级预算单位。设有内设机构3个。</w:t>
      </w:r>
    </w:p>
    <w:p>
      <w:pPr>
        <w:spacing w:line="576" w:lineRule="exact"/>
        <w:ind w:firstLine="640" w:firstLineChars="200"/>
        <w:rPr>
          <w:rFonts w:ascii="Times New Roman" w:hAnsi="Times New Roman" w:eastAsia="黑体"/>
          <w:sz w:val="32"/>
          <w:szCs w:val="32"/>
        </w:rPr>
      </w:pPr>
      <w:r>
        <w:rPr>
          <w:rFonts w:ascii="Times New Roman" w:hAnsi="黑体" w:eastAsia="黑体"/>
          <w:sz w:val="32"/>
          <w:szCs w:val="32"/>
        </w:rPr>
        <w:t>三、收支预算情况说明</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按照综合预算的原则，我单位所有收入和支出均纳入部门预算管理。收入为一般公共预算拨款收入，支出包括：一般公共服务支出、社会保障和就业支出。我单位2024年收支预算总数179.65万元,比2023年收支预算总数增加12.95万元，主要原因是预算项目整合、预算调整。</w:t>
      </w:r>
    </w:p>
    <w:p>
      <w:pPr>
        <w:spacing w:line="576" w:lineRule="exact"/>
        <w:ind w:firstLine="640" w:firstLineChars="200"/>
        <w:rPr>
          <w:rFonts w:ascii="Times New Roman" w:hAnsi="Times New Roman" w:eastAsia="楷体_GB2312"/>
          <w:b/>
          <w:sz w:val="32"/>
          <w:szCs w:val="32"/>
        </w:rPr>
      </w:pPr>
      <w:r>
        <w:rPr>
          <w:rFonts w:ascii="Times New Roman" w:hAnsi="Times New Roman" w:eastAsia="楷体_GB2312"/>
          <w:b/>
          <w:sz w:val="32"/>
          <w:szCs w:val="32"/>
        </w:rPr>
        <w:t>（一）收入预算情况</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我单位2024年收入预算179.65万元，一般公共预算拨款收入179.65万元，占100%。</w:t>
      </w:r>
    </w:p>
    <w:p>
      <w:pPr>
        <w:spacing w:line="576" w:lineRule="exact"/>
        <w:ind w:firstLine="640" w:firstLineChars="200"/>
        <w:rPr>
          <w:rFonts w:ascii="Times New Roman" w:hAnsi="Times New Roman" w:eastAsia="楷体_GB2312"/>
          <w:b/>
          <w:sz w:val="32"/>
          <w:szCs w:val="32"/>
        </w:rPr>
      </w:pPr>
      <w:r>
        <w:rPr>
          <w:rFonts w:ascii="Times New Roman" w:hAnsi="Times New Roman" w:eastAsia="楷体_GB2312"/>
          <w:b/>
          <w:sz w:val="32"/>
          <w:szCs w:val="32"/>
        </w:rPr>
        <w:t>（二）支出预算情况</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我单位2024年支出预算179.65万元，其中：基本支出92.78万元，占52%；项目支出86.87万元，占48%。</w:t>
      </w:r>
    </w:p>
    <w:p>
      <w:pPr>
        <w:spacing w:line="576" w:lineRule="exact"/>
        <w:ind w:firstLine="640" w:firstLineChars="200"/>
        <w:rPr>
          <w:rFonts w:ascii="Times New Roman" w:hAnsi="Times New Roman" w:eastAsia="黑体"/>
          <w:sz w:val="32"/>
          <w:szCs w:val="32"/>
        </w:rPr>
      </w:pPr>
      <w:r>
        <w:rPr>
          <w:rFonts w:ascii="Times New Roman" w:hAnsi="黑体" w:eastAsia="黑体"/>
          <w:sz w:val="32"/>
          <w:szCs w:val="32"/>
        </w:rPr>
        <w:t>四、财政拨款收支预算情况说明</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我单位2024年财政拨款收支预算总数179.65万元,比2023年财政拨款收支预算总数增加12.95万元，主要原因是项目整合、预算调整。</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收入包括：本年一般公共预算拨款收入179.65万元，支出包括：一般公共服务支出160.9万元、社会保障和就业支出</w:t>
      </w:r>
      <w:r>
        <w:rPr>
          <w:rFonts w:hint="eastAsia" w:ascii="Times New Roman" w:hAnsi="Times New Roman" w:eastAsia="仿宋_GB2312"/>
          <w:sz w:val="32"/>
          <w:szCs w:val="32"/>
        </w:rPr>
        <w:t>15.87</w:t>
      </w:r>
      <w:r>
        <w:rPr>
          <w:rFonts w:ascii="Times New Roman" w:hAnsi="Times New Roman" w:eastAsia="仿宋_GB2312"/>
          <w:sz w:val="32"/>
          <w:szCs w:val="32"/>
        </w:rPr>
        <w:t>万元</w:t>
      </w:r>
      <w:r>
        <w:rPr>
          <w:rFonts w:hint="eastAsia" w:ascii="Times New Roman" w:hAnsi="Times New Roman" w:eastAsia="仿宋_GB2312"/>
          <w:sz w:val="32"/>
          <w:szCs w:val="32"/>
        </w:rPr>
        <w:t>。</w:t>
      </w:r>
    </w:p>
    <w:p>
      <w:pPr>
        <w:spacing w:line="576" w:lineRule="exact"/>
        <w:ind w:firstLine="640" w:firstLineChars="200"/>
        <w:rPr>
          <w:rFonts w:ascii="Times New Roman" w:hAnsi="Times New Roman" w:eastAsia="黑体"/>
          <w:sz w:val="32"/>
          <w:szCs w:val="32"/>
        </w:rPr>
      </w:pPr>
      <w:r>
        <w:rPr>
          <w:rFonts w:ascii="Times New Roman" w:hAnsi="黑体" w:eastAsia="黑体"/>
          <w:sz w:val="32"/>
          <w:szCs w:val="32"/>
        </w:rPr>
        <w:t>五、一般公共预算当年拨款情况说明</w:t>
      </w:r>
    </w:p>
    <w:p>
      <w:pPr>
        <w:spacing w:line="576" w:lineRule="exact"/>
        <w:ind w:firstLine="640" w:firstLineChars="200"/>
        <w:rPr>
          <w:rFonts w:ascii="Times New Roman" w:hAnsi="Times New Roman" w:eastAsia="楷体_GB2312"/>
          <w:b/>
          <w:sz w:val="32"/>
          <w:szCs w:val="32"/>
        </w:rPr>
      </w:pPr>
      <w:r>
        <w:rPr>
          <w:rFonts w:ascii="Times New Roman" w:hAnsi="Times New Roman" w:eastAsia="楷体_GB2312"/>
          <w:b/>
          <w:sz w:val="32"/>
          <w:szCs w:val="32"/>
        </w:rPr>
        <w:t>（一）一般公共预算当年拨款规模变化情况</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我单位2024年一般公共预算当年拨款179.65万元，比2023年预算数增加12.95万元，主要原因是项目整合、预算调整。</w:t>
      </w:r>
    </w:p>
    <w:p>
      <w:pPr>
        <w:spacing w:line="576" w:lineRule="exact"/>
        <w:ind w:firstLine="640" w:firstLineChars="200"/>
        <w:rPr>
          <w:rFonts w:ascii="Times New Roman" w:hAnsi="Times New Roman" w:eastAsia="楷体_GB2312"/>
          <w:b/>
          <w:sz w:val="32"/>
          <w:szCs w:val="32"/>
        </w:rPr>
      </w:pPr>
      <w:r>
        <w:rPr>
          <w:rFonts w:ascii="Times New Roman" w:hAnsi="Times New Roman" w:eastAsia="楷体_GB2312"/>
          <w:b/>
          <w:sz w:val="32"/>
          <w:szCs w:val="32"/>
        </w:rPr>
        <w:t>（二）一般公共预算当年拨款结构情况</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一般公共服务支出160.9万元，占89.5%；社会保障和就业支出</w:t>
      </w:r>
      <w:r>
        <w:rPr>
          <w:rFonts w:hint="eastAsia" w:ascii="Times New Roman" w:hAnsi="Times New Roman" w:eastAsia="仿宋_GB2312"/>
          <w:sz w:val="32"/>
          <w:szCs w:val="32"/>
        </w:rPr>
        <w:t>15.87</w:t>
      </w:r>
      <w:r>
        <w:rPr>
          <w:rFonts w:ascii="Times New Roman" w:hAnsi="Times New Roman" w:eastAsia="仿宋_GB2312"/>
          <w:sz w:val="32"/>
          <w:szCs w:val="32"/>
        </w:rPr>
        <w:t>万元，占</w:t>
      </w:r>
      <w:r>
        <w:rPr>
          <w:rFonts w:hint="eastAsia" w:ascii="Times New Roman" w:hAnsi="Times New Roman" w:eastAsia="仿宋_GB2312"/>
          <w:sz w:val="32"/>
          <w:szCs w:val="32"/>
        </w:rPr>
        <w:t>10.5</w:t>
      </w:r>
      <w:r>
        <w:rPr>
          <w:rFonts w:ascii="Times New Roman" w:hAnsi="Times New Roman" w:eastAsia="仿宋_GB2312"/>
          <w:sz w:val="32"/>
          <w:szCs w:val="32"/>
        </w:rPr>
        <w:t>%。</w:t>
      </w:r>
    </w:p>
    <w:p>
      <w:pPr>
        <w:spacing w:line="576" w:lineRule="exact"/>
        <w:ind w:firstLine="640" w:firstLineChars="200"/>
        <w:rPr>
          <w:rFonts w:ascii="Times New Roman" w:hAnsi="Times New Roman" w:eastAsia="楷体_GB2312"/>
          <w:b/>
          <w:sz w:val="32"/>
          <w:szCs w:val="32"/>
          <w:highlight w:val="yellow"/>
        </w:rPr>
      </w:pPr>
      <w:r>
        <w:rPr>
          <w:rFonts w:ascii="Times New Roman" w:hAnsi="Times New Roman" w:eastAsia="楷体_GB2312"/>
          <w:b/>
          <w:sz w:val="32"/>
          <w:szCs w:val="32"/>
        </w:rPr>
        <w:t>（三）一般公共预算当年拨款具体使用情况</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1.一般公共服务（</w:t>
      </w:r>
      <w:r>
        <w:rPr>
          <w:rFonts w:hint="eastAsia" w:ascii="Times New Roman" w:hAnsi="Times New Roman" w:eastAsia="仿宋_GB2312"/>
          <w:sz w:val="32"/>
          <w:szCs w:val="32"/>
        </w:rPr>
        <w:t>201</w:t>
      </w:r>
      <w:r>
        <w:rPr>
          <w:rFonts w:ascii="Times New Roman" w:hAnsi="Times New Roman" w:eastAsia="仿宋_GB2312"/>
          <w:sz w:val="32"/>
          <w:szCs w:val="32"/>
        </w:rPr>
        <w:t>）民主党派及工商联事务（</w:t>
      </w:r>
      <w:r>
        <w:rPr>
          <w:rFonts w:hint="eastAsia" w:ascii="Times New Roman" w:hAnsi="Times New Roman" w:eastAsia="仿宋_GB2312"/>
          <w:sz w:val="32"/>
          <w:szCs w:val="32"/>
        </w:rPr>
        <w:t>28</w:t>
      </w:r>
      <w:r>
        <w:rPr>
          <w:rFonts w:ascii="Times New Roman" w:hAnsi="Times New Roman" w:eastAsia="仿宋_GB2312"/>
          <w:sz w:val="32"/>
          <w:szCs w:val="32"/>
        </w:rPr>
        <w:t>）行政运行（</w:t>
      </w:r>
      <w:r>
        <w:rPr>
          <w:rFonts w:hint="eastAsia" w:ascii="Times New Roman" w:hAnsi="Times New Roman" w:eastAsia="仿宋_GB2312"/>
          <w:sz w:val="32"/>
          <w:szCs w:val="32"/>
        </w:rPr>
        <w:t>01</w:t>
      </w:r>
      <w:r>
        <w:rPr>
          <w:rFonts w:ascii="Times New Roman" w:hAnsi="Times New Roman" w:eastAsia="仿宋_GB2312"/>
          <w:sz w:val="32"/>
          <w:szCs w:val="32"/>
        </w:rPr>
        <w:t>）2024年预算数为</w:t>
      </w:r>
      <w:r>
        <w:rPr>
          <w:rFonts w:hint="eastAsia" w:ascii="Times New Roman" w:hAnsi="Times New Roman" w:eastAsia="仿宋_GB2312"/>
          <w:sz w:val="32"/>
          <w:szCs w:val="32"/>
        </w:rPr>
        <w:t>101.</w:t>
      </w:r>
      <w:r>
        <w:rPr>
          <w:rFonts w:ascii="Times New Roman" w:hAnsi="Times New Roman" w:eastAsia="仿宋_GB2312"/>
          <w:sz w:val="32"/>
          <w:szCs w:val="32"/>
        </w:rPr>
        <w:t>78万元，主要用于：机关正常运转的基本支出，包括基本工资、津补贴</w:t>
      </w:r>
      <w:r>
        <w:rPr>
          <w:rFonts w:hint="eastAsia" w:ascii="Times New Roman" w:hAnsi="Times New Roman" w:eastAsia="仿宋_GB2312"/>
          <w:sz w:val="32"/>
          <w:szCs w:val="32"/>
        </w:rPr>
        <w:t>、养老、医疗、住房公积金</w:t>
      </w:r>
      <w:r>
        <w:rPr>
          <w:rFonts w:ascii="Times New Roman" w:hAnsi="Times New Roman" w:eastAsia="仿宋_GB2312"/>
          <w:sz w:val="32"/>
          <w:szCs w:val="32"/>
        </w:rPr>
        <w:t>等人员经费以及办公费、印刷费、水电费等日常公用经费和项目工作经费，保障部门正常运转。</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2.一般公共服务（</w:t>
      </w:r>
      <w:r>
        <w:rPr>
          <w:rFonts w:hint="eastAsia" w:ascii="Times New Roman" w:hAnsi="Times New Roman" w:eastAsia="仿宋_GB2312"/>
          <w:sz w:val="32"/>
          <w:szCs w:val="32"/>
        </w:rPr>
        <w:t>201</w:t>
      </w:r>
      <w:r>
        <w:rPr>
          <w:rFonts w:ascii="Times New Roman" w:hAnsi="Times New Roman" w:eastAsia="仿宋_GB2312"/>
          <w:sz w:val="32"/>
          <w:szCs w:val="32"/>
        </w:rPr>
        <w:t>）民主党派及工商联事务（</w:t>
      </w:r>
      <w:r>
        <w:rPr>
          <w:rFonts w:hint="eastAsia" w:ascii="Times New Roman" w:hAnsi="Times New Roman" w:eastAsia="仿宋_GB2312"/>
          <w:sz w:val="32"/>
          <w:szCs w:val="32"/>
        </w:rPr>
        <w:t>28</w:t>
      </w:r>
      <w:r>
        <w:rPr>
          <w:rFonts w:ascii="Times New Roman" w:hAnsi="Times New Roman" w:eastAsia="仿宋_GB2312"/>
          <w:sz w:val="32"/>
          <w:szCs w:val="32"/>
        </w:rPr>
        <w:t>）</w:t>
      </w:r>
      <w:r>
        <w:rPr>
          <w:rFonts w:hint="eastAsia" w:ascii="Times New Roman" w:hAnsi="Times New Roman" w:eastAsia="仿宋_GB2312"/>
          <w:sz w:val="32"/>
          <w:szCs w:val="32"/>
        </w:rPr>
        <w:t>一般</w:t>
      </w:r>
      <w:r>
        <w:rPr>
          <w:rFonts w:ascii="Times New Roman" w:hAnsi="Times New Roman" w:eastAsia="仿宋_GB2312"/>
          <w:sz w:val="32"/>
          <w:szCs w:val="32"/>
        </w:rPr>
        <w:t>行政</w:t>
      </w:r>
      <w:r>
        <w:rPr>
          <w:rFonts w:hint="eastAsia" w:ascii="Times New Roman" w:hAnsi="Times New Roman" w:eastAsia="仿宋_GB2312"/>
          <w:sz w:val="32"/>
          <w:szCs w:val="32"/>
        </w:rPr>
        <w:t>管理事务</w:t>
      </w:r>
      <w:r>
        <w:rPr>
          <w:rFonts w:ascii="Times New Roman" w:hAnsi="Times New Roman" w:eastAsia="仿宋_GB2312"/>
          <w:sz w:val="32"/>
          <w:szCs w:val="32"/>
        </w:rPr>
        <w:t>（</w:t>
      </w:r>
      <w:r>
        <w:rPr>
          <w:rFonts w:hint="eastAsia" w:ascii="Times New Roman" w:hAnsi="Times New Roman" w:eastAsia="仿宋_GB2312"/>
          <w:sz w:val="32"/>
          <w:szCs w:val="32"/>
        </w:rPr>
        <w:t>02</w:t>
      </w:r>
      <w:r>
        <w:rPr>
          <w:rFonts w:ascii="Times New Roman" w:hAnsi="Times New Roman" w:eastAsia="仿宋_GB2312"/>
          <w:sz w:val="32"/>
          <w:szCs w:val="32"/>
        </w:rPr>
        <w:t>）2024年预算数为6</w:t>
      </w:r>
      <w:r>
        <w:rPr>
          <w:rFonts w:hint="eastAsia" w:ascii="Times New Roman" w:hAnsi="Times New Roman" w:eastAsia="仿宋_GB2312"/>
          <w:sz w:val="32"/>
          <w:szCs w:val="32"/>
        </w:rPr>
        <w:t>2</w:t>
      </w:r>
      <w:r>
        <w:rPr>
          <w:rFonts w:ascii="Times New Roman" w:hAnsi="Times New Roman" w:eastAsia="仿宋_GB2312"/>
          <w:sz w:val="32"/>
          <w:szCs w:val="32"/>
        </w:rPr>
        <w:t>万元，主要用于：</w:t>
      </w:r>
      <w:r>
        <w:rPr>
          <w:rFonts w:hint="eastAsia" w:ascii="Times New Roman" w:hAnsi="Times New Roman" w:eastAsia="仿宋_GB2312"/>
          <w:sz w:val="32"/>
          <w:szCs w:val="32"/>
        </w:rPr>
        <w:t>驻外商会工作经费、企业家联席和企业家座谈会费用支出。</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3.社会保障和就业（</w:t>
      </w:r>
      <w:r>
        <w:rPr>
          <w:rFonts w:hint="eastAsia" w:ascii="Times New Roman" w:hAnsi="Times New Roman" w:eastAsia="仿宋_GB2312"/>
          <w:sz w:val="32"/>
          <w:szCs w:val="32"/>
        </w:rPr>
        <w:t>208</w:t>
      </w:r>
      <w:r>
        <w:rPr>
          <w:rFonts w:ascii="Times New Roman" w:hAnsi="Times New Roman" w:eastAsia="仿宋_GB2312"/>
          <w:sz w:val="32"/>
          <w:szCs w:val="32"/>
        </w:rPr>
        <w:t>）行政事业单位养老支出（</w:t>
      </w:r>
      <w:r>
        <w:rPr>
          <w:rFonts w:hint="eastAsia" w:ascii="Times New Roman" w:hAnsi="Times New Roman" w:eastAsia="仿宋_GB2312"/>
          <w:sz w:val="32"/>
          <w:szCs w:val="32"/>
        </w:rPr>
        <w:t>05</w:t>
      </w:r>
      <w:r>
        <w:rPr>
          <w:rFonts w:ascii="Times New Roman" w:hAnsi="Times New Roman" w:eastAsia="仿宋_GB2312"/>
          <w:sz w:val="32"/>
          <w:szCs w:val="32"/>
        </w:rPr>
        <w:t>）</w:t>
      </w:r>
      <w:r>
        <w:rPr>
          <w:rFonts w:hint="eastAsia" w:ascii="Times New Roman" w:hAnsi="Times New Roman" w:eastAsia="仿宋_GB2312"/>
          <w:sz w:val="32"/>
          <w:szCs w:val="32"/>
        </w:rPr>
        <w:t>行政单位离退休</w:t>
      </w:r>
      <w:r>
        <w:rPr>
          <w:rFonts w:ascii="Times New Roman" w:hAnsi="Times New Roman" w:eastAsia="仿宋_GB2312"/>
          <w:sz w:val="32"/>
          <w:szCs w:val="32"/>
        </w:rPr>
        <w:t>（</w:t>
      </w:r>
      <w:r>
        <w:rPr>
          <w:rFonts w:hint="eastAsia" w:ascii="Times New Roman" w:hAnsi="Times New Roman" w:eastAsia="仿宋_GB2312"/>
          <w:sz w:val="32"/>
          <w:szCs w:val="32"/>
        </w:rPr>
        <w:t>01</w:t>
      </w:r>
      <w:r>
        <w:rPr>
          <w:rFonts w:ascii="Times New Roman" w:hAnsi="Times New Roman" w:eastAsia="仿宋_GB2312"/>
          <w:sz w:val="32"/>
          <w:szCs w:val="32"/>
        </w:rPr>
        <w:t>）2024年预算数为6万元，主要用于：</w:t>
      </w:r>
      <w:r>
        <w:rPr>
          <w:rFonts w:hint="eastAsia" w:ascii="Times New Roman" w:hAnsi="Times New Roman" w:eastAsia="仿宋_GB2312"/>
          <w:sz w:val="32"/>
          <w:szCs w:val="32"/>
        </w:rPr>
        <w:t>退休人员目标奖支出</w:t>
      </w:r>
      <w:r>
        <w:rPr>
          <w:rFonts w:ascii="Times New Roman" w:hAnsi="Times New Roman" w:eastAsia="仿宋_GB2312"/>
          <w:sz w:val="32"/>
          <w:szCs w:val="32"/>
        </w:rPr>
        <w:t>。</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4.社会保障和就业（</w:t>
      </w:r>
      <w:r>
        <w:rPr>
          <w:rFonts w:hint="eastAsia" w:ascii="Times New Roman" w:hAnsi="Times New Roman" w:eastAsia="仿宋_GB2312"/>
          <w:sz w:val="32"/>
          <w:szCs w:val="32"/>
        </w:rPr>
        <w:t>208</w:t>
      </w:r>
      <w:r>
        <w:rPr>
          <w:rFonts w:ascii="Times New Roman" w:hAnsi="Times New Roman" w:eastAsia="仿宋_GB2312"/>
          <w:sz w:val="32"/>
          <w:szCs w:val="32"/>
        </w:rPr>
        <w:t>）行政事业单位养老支出（</w:t>
      </w:r>
      <w:r>
        <w:rPr>
          <w:rFonts w:hint="eastAsia" w:ascii="Times New Roman" w:hAnsi="Times New Roman" w:eastAsia="仿宋_GB2312"/>
          <w:sz w:val="32"/>
          <w:szCs w:val="32"/>
        </w:rPr>
        <w:t>05</w:t>
      </w:r>
      <w:r>
        <w:rPr>
          <w:rFonts w:ascii="Times New Roman" w:hAnsi="Times New Roman" w:eastAsia="仿宋_GB2312"/>
          <w:sz w:val="32"/>
          <w:szCs w:val="32"/>
        </w:rPr>
        <w:t>）机关事业单位职业年金缴费支出（</w:t>
      </w:r>
      <w:r>
        <w:rPr>
          <w:rFonts w:hint="eastAsia" w:ascii="Times New Roman" w:hAnsi="Times New Roman" w:eastAsia="仿宋_GB2312"/>
          <w:sz w:val="32"/>
          <w:szCs w:val="32"/>
        </w:rPr>
        <w:t>06</w:t>
      </w:r>
      <w:r>
        <w:rPr>
          <w:rFonts w:ascii="Times New Roman" w:hAnsi="Times New Roman" w:eastAsia="仿宋_GB2312"/>
          <w:sz w:val="32"/>
          <w:szCs w:val="32"/>
        </w:rPr>
        <w:t>）2024年预算数为9.87万元，主要用于：实施养老保险制度由单位缴纳的职业年金支出。</w:t>
      </w:r>
    </w:p>
    <w:p>
      <w:pPr>
        <w:spacing w:line="576" w:lineRule="exact"/>
        <w:ind w:firstLine="640" w:firstLineChars="200"/>
        <w:rPr>
          <w:rFonts w:ascii="Times New Roman" w:hAnsi="Times New Roman" w:eastAsia="黑体"/>
          <w:sz w:val="32"/>
          <w:szCs w:val="32"/>
        </w:rPr>
      </w:pPr>
      <w:r>
        <w:rPr>
          <w:rFonts w:ascii="Times New Roman" w:hAnsi="黑体" w:eastAsia="黑体"/>
          <w:sz w:val="32"/>
          <w:szCs w:val="32"/>
        </w:rPr>
        <w:t>六、一般公共预算基本支出情况说明</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我单位2024年一般公共预算基本支出92.78万元，其中：</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人员经费81.88万元，主要包括：基本工资、津贴补贴、奖金、住房公积金等支出。</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公用经费10.9万元，主要包括：办公费、</w:t>
      </w:r>
      <w:r>
        <w:rPr>
          <w:rFonts w:hint="eastAsia" w:ascii="Times New Roman" w:hAnsi="Times New Roman" w:eastAsia="仿宋_GB2312"/>
          <w:sz w:val="32"/>
          <w:szCs w:val="32"/>
        </w:rPr>
        <w:t>差旅费、工会经费、</w:t>
      </w:r>
      <w:r>
        <w:rPr>
          <w:rFonts w:ascii="Times New Roman" w:hAnsi="Times New Roman" w:eastAsia="仿宋_GB2312"/>
          <w:sz w:val="32"/>
          <w:szCs w:val="32"/>
        </w:rPr>
        <w:t>其他交通费用等支出。</w:t>
      </w:r>
    </w:p>
    <w:p>
      <w:pPr>
        <w:spacing w:line="576" w:lineRule="exact"/>
        <w:ind w:firstLine="640" w:firstLineChars="200"/>
        <w:rPr>
          <w:rFonts w:ascii="Times New Roman" w:hAnsi="Times New Roman" w:eastAsia="黑体"/>
          <w:sz w:val="32"/>
          <w:szCs w:val="32"/>
        </w:rPr>
      </w:pPr>
      <w:r>
        <w:rPr>
          <w:rFonts w:ascii="Times New Roman" w:hAnsi="黑体" w:eastAsia="黑体"/>
          <w:sz w:val="32"/>
          <w:szCs w:val="32"/>
        </w:rPr>
        <w:t>七、</w:t>
      </w:r>
      <w:r>
        <w:rPr>
          <w:rFonts w:ascii="Times New Roman" w:hAnsi="Times New Roman" w:eastAsia="黑体"/>
          <w:sz w:val="32"/>
          <w:szCs w:val="32"/>
        </w:rPr>
        <w:t>“</w:t>
      </w:r>
      <w:r>
        <w:rPr>
          <w:rFonts w:ascii="Times New Roman" w:hAnsi="黑体" w:eastAsia="黑体"/>
          <w:sz w:val="32"/>
          <w:szCs w:val="32"/>
        </w:rPr>
        <w:t>三公</w:t>
      </w:r>
      <w:r>
        <w:rPr>
          <w:rFonts w:ascii="Times New Roman" w:hAnsi="Times New Roman" w:eastAsia="黑体"/>
          <w:sz w:val="32"/>
          <w:szCs w:val="32"/>
        </w:rPr>
        <w:t>”</w:t>
      </w:r>
      <w:r>
        <w:rPr>
          <w:rFonts w:ascii="Times New Roman" w:hAnsi="黑体" w:eastAsia="黑体"/>
          <w:sz w:val="32"/>
          <w:szCs w:val="32"/>
        </w:rPr>
        <w:t>经费财政拨款预算安排情况说明</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我单位2024年“三公”经费财政拨款预算数1.12万元，其中：公务接待费1.12万元，公务用车购置及运行维护费0万元，因公出国（境）经费0万元。</w:t>
      </w:r>
    </w:p>
    <w:p>
      <w:pPr>
        <w:spacing w:line="576" w:lineRule="exact"/>
        <w:ind w:firstLine="640" w:firstLineChars="200"/>
        <w:rPr>
          <w:rFonts w:ascii="Times New Roman" w:hAnsi="Times New Roman" w:eastAsia="楷体_GB2312"/>
          <w:b/>
          <w:sz w:val="32"/>
          <w:szCs w:val="32"/>
        </w:rPr>
      </w:pPr>
      <w:r>
        <w:rPr>
          <w:rFonts w:ascii="Times New Roman" w:hAnsi="Times New Roman" w:eastAsia="楷体_GB2312"/>
          <w:b/>
          <w:sz w:val="32"/>
          <w:szCs w:val="32"/>
        </w:rPr>
        <w:t>（一）公务接待费</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公务接待费与2023年预算相比持平。</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2024年公务接待费计划用于执行接待考察调研、检查指导等公务活动开支的交通费、住宿费、用餐费等。</w:t>
      </w:r>
    </w:p>
    <w:p>
      <w:pPr>
        <w:spacing w:line="576" w:lineRule="exact"/>
        <w:ind w:firstLine="640" w:firstLineChars="200"/>
        <w:rPr>
          <w:rFonts w:ascii="Times New Roman" w:hAnsi="Times New Roman" w:eastAsia="楷体_GB2312"/>
          <w:b/>
          <w:sz w:val="32"/>
          <w:szCs w:val="32"/>
        </w:rPr>
      </w:pPr>
      <w:r>
        <w:rPr>
          <w:rFonts w:ascii="Times New Roman" w:hAnsi="Times New Roman" w:eastAsia="楷体_GB2312"/>
          <w:b/>
          <w:sz w:val="32"/>
          <w:szCs w:val="32"/>
        </w:rPr>
        <w:t>（二）公务用车购置及运行维护费</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公务用车购置及运行维护费与2023年预算相比持平。</w:t>
      </w:r>
    </w:p>
    <w:p>
      <w:pPr>
        <w:spacing w:line="576" w:lineRule="exact"/>
        <w:ind w:firstLine="640" w:firstLineChars="200"/>
        <w:rPr>
          <w:rFonts w:ascii="仿宋_GB2312" w:hAnsi="Times New Roman" w:eastAsia="仿宋_GB2312" w:cs="仿宋_GB2312"/>
          <w:color w:val="333333"/>
          <w:kern w:val="0"/>
          <w:sz w:val="32"/>
          <w:szCs w:val="32"/>
          <w:shd w:val="clear" w:color="auto" w:fill="FFFFFF"/>
        </w:rPr>
      </w:pPr>
      <w:r>
        <w:rPr>
          <w:rFonts w:hint="eastAsia" w:ascii="仿宋_GB2312" w:hAnsi="Times New Roman" w:eastAsia="仿宋_GB2312" w:cs="仿宋_GB2312"/>
          <w:color w:val="333333"/>
          <w:kern w:val="0"/>
          <w:sz w:val="32"/>
          <w:szCs w:val="32"/>
          <w:shd w:val="clear" w:color="auto" w:fill="FFFFFF"/>
        </w:rPr>
        <w:t>单位现有公务用车</w:t>
      </w:r>
      <w:r>
        <w:rPr>
          <w:rFonts w:hint="eastAsia" w:ascii="Times New Roman" w:hAnsi="Times New Roman" w:eastAsia="仿宋_GB2312"/>
          <w:color w:val="333333"/>
          <w:kern w:val="0"/>
          <w:sz w:val="32"/>
          <w:szCs w:val="32"/>
          <w:shd w:val="clear" w:color="auto" w:fill="FFFFFF"/>
        </w:rPr>
        <w:t>0</w:t>
      </w:r>
      <w:r>
        <w:rPr>
          <w:rFonts w:hint="eastAsia" w:ascii="仿宋_GB2312" w:hAnsi="Times New Roman" w:eastAsia="仿宋_GB2312" w:cs="仿宋_GB2312"/>
          <w:color w:val="333333"/>
          <w:kern w:val="0"/>
          <w:sz w:val="32"/>
          <w:szCs w:val="32"/>
          <w:shd w:val="clear" w:color="auto" w:fill="FFFFFF"/>
        </w:rPr>
        <w:t>辆，公务用车购置及运行维护费年初未安排预算，与上年持平。</w:t>
      </w:r>
    </w:p>
    <w:p>
      <w:pPr>
        <w:spacing w:line="576" w:lineRule="exact"/>
        <w:ind w:firstLine="640" w:firstLineChars="200"/>
        <w:rPr>
          <w:rFonts w:ascii="Times New Roman" w:hAnsi="Times New Roman" w:eastAsia="楷体_GB2312"/>
          <w:b/>
          <w:sz w:val="32"/>
          <w:szCs w:val="32"/>
        </w:rPr>
      </w:pPr>
      <w:r>
        <w:rPr>
          <w:rFonts w:ascii="Times New Roman" w:hAnsi="Times New Roman" w:eastAsia="楷体_GB2312"/>
          <w:b/>
          <w:sz w:val="32"/>
          <w:szCs w:val="32"/>
        </w:rPr>
        <w:t>（三）因公出国（境）经费</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因公出国（境）经费0万元，与2023年预算相比持平。</w:t>
      </w:r>
    </w:p>
    <w:p>
      <w:pPr>
        <w:spacing w:line="576" w:lineRule="exact"/>
        <w:ind w:firstLine="640" w:firstLineChars="200"/>
        <w:rPr>
          <w:rFonts w:ascii="Times New Roman" w:hAnsi="Times New Roman" w:eastAsia="黑体"/>
          <w:sz w:val="32"/>
          <w:szCs w:val="32"/>
        </w:rPr>
      </w:pPr>
      <w:r>
        <w:rPr>
          <w:rFonts w:ascii="Times New Roman" w:hAnsi="黑体" w:eastAsia="黑体"/>
          <w:sz w:val="32"/>
          <w:szCs w:val="32"/>
        </w:rPr>
        <w:t>八、政府性基金预算支出情况说明</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区工商联2024年无政府性基金预算拨款安排的支出</w:t>
      </w:r>
    </w:p>
    <w:p>
      <w:pPr>
        <w:spacing w:line="576" w:lineRule="exact"/>
        <w:ind w:firstLine="640" w:firstLineChars="200"/>
        <w:rPr>
          <w:rFonts w:ascii="Times New Roman" w:hAnsi="Times New Roman" w:eastAsia="黑体"/>
          <w:sz w:val="32"/>
          <w:szCs w:val="32"/>
        </w:rPr>
      </w:pPr>
      <w:r>
        <w:rPr>
          <w:rFonts w:ascii="Times New Roman" w:hAnsi="黑体" w:eastAsia="黑体"/>
          <w:sz w:val="32"/>
          <w:szCs w:val="32"/>
        </w:rPr>
        <w:t>九、国有资本经营预算支出情况说明</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区工商联2024年无国有资本经营预算拨款安排的支出。</w:t>
      </w:r>
    </w:p>
    <w:p>
      <w:pPr>
        <w:spacing w:line="576" w:lineRule="exact"/>
        <w:ind w:firstLine="640" w:firstLineChars="200"/>
        <w:rPr>
          <w:rFonts w:ascii="Times New Roman" w:hAnsi="Times New Roman" w:eastAsia="黑体"/>
          <w:sz w:val="32"/>
          <w:szCs w:val="32"/>
        </w:rPr>
      </w:pPr>
      <w:r>
        <w:rPr>
          <w:rFonts w:ascii="Times New Roman" w:hAnsi="黑体" w:eastAsia="黑体"/>
          <w:sz w:val="32"/>
          <w:szCs w:val="32"/>
        </w:rPr>
        <w:t>十、其他重要事项的情况说明</w:t>
      </w:r>
    </w:p>
    <w:p>
      <w:pPr>
        <w:spacing w:line="576" w:lineRule="exact"/>
        <w:ind w:firstLine="640" w:firstLineChars="200"/>
        <w:rPr>
          <w:rFonts w:ascii="Times New Roman" w:hAnsi="Times New Roman" w:eastAsia="楷体_GB2312"/>
          <w:b/>
          <w:sz w:val="32"/>
          <w:szCs w:val="32"/>
        </w:rPr>
      </w:pPr>
      <w:r>
        <w:rPr>
          <w:rFonts w:ascii="Times New Roman" w:hAnsi="Times New Roman" w:eastAsia="楷体_GB2312"/>
          <w:b/>
          <w:sz w:val="32"/>
          <w:szCs w:val="32"/>
        </w:rPr>
        <w:t>（一）机关运行经费</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2024年，区工商联的机关运行经费财政拨款预算为87.9万元，比2023年预算增加12.5万元，增长16%。主要原因</w:t>
      </w:r>
      <w:r>
        <w:rPr>
          <w:rFonts w:hint="eastAsia" w:ascii="Times New Roman" w:hAnsi="Times New Roman" w:eastAsia="仿宋_GB2312"/>
          <w:sz w:val="32"/>
          <w:szCs w:val="32"/>
          <w:lang w:val="en-US" w:eastAsia="zh-CN"/>
        </w:rPr>
        <w:t>是</w:t>
      </w:r>
      <w:bookmarkStart w:id="0" w:name="_GoBack"/>
      <w:bookmarkEnd w:id="0"/>
      <w:r>
        <w:rPr>
          <w:rFonts w:ascii="Times New Roman" w:hAnsi="Times New Roman" w:eastAsia="仿宋_GB2312"/>
          <w:sz w:val="32"/>
          <w:szCs w:val="32"/>
        </w:rPr>
        <w:t>项目经费增加。</w:t>
      </w:r>
    </w:p>
    <w:p>
      <w:pPr>
        <w:spacing w:line="576" w:lineRule="exact"/>
        <w:ind w:firstLine="640" w:firstLineChars="200"/>
        <w:rPr>
          <w:rFonts w:ascii="Times New Roman" w:hAnsi="Times New Roman" w:eastAsia="楷体_GB2312"/>
          <w:b/>
          <w:sz w:val="32"/>
          <w:szCs w:val="32"/>
        </w:rPr>
      </w:pPr>
      <w:r>
        <w:rPr>
          <w:rFonts w:ascii="Times New Roman" w:hAnsi="Times New Roman" w:eastAsia="楷体_GB2312"/>
          <w:b/>
          <w:sz w:val="32"/>
          <w:szCs w:val="32"/>
        </w:rPr>
        <w:t>（二）政府采购情况</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2024年，本单位无政府采购预算。</w:t>
      </w:r>
    </w:p>
    <w:p>
      <w:pPr>
        <w:spacing w:line="576" w:lineRule="exact"/>
        <w:ind w:firstLine="640" w:firstLineChars="200"/>
        <w:rPr>
          <w:rFonts w:ascii="Times New Roman" w:hAnsi="Times New Roman" w:eastAsia="楷体_GB2312"/>
          <w:b/>
          <w:sz w:val="32"/>
          <w:szCs w:val="32"/>
        </w:rPr>
      </w:pPr>
      <w:r>
        <w:rPr>
          <w:rFonts w:ascii="Times New Roman" w:hAnsi="Times New Roman" w:eastAsia="楷体_GB2312"/>
          <w:b/>
          <w:sz w:val="32"/>
          <w:szCs w:val="32"/>
        </w:rPr>
        <w:t>（三）国有资产占有使用情况</w:t>
      </w: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截至202</w:t>
      </w:r>
      <w:r>
        <w:rPr>
          <w:rFonts w:hint="eastAsia" w:ascii="Times New Roman" w:hAnsi="Times New Roman" w:eastAsia="仿宋_GB2312"/>
          <w:sz w:val="32"/>
          <w:szCs w:val="32"/>
        </w:rPr>
        <w:t>3</w:t>
      </w:r>
      <w:r>
        <w:rPr>
          <w:rFonts w:ascii="Times New Roman" w:hAnsi="Times New Roman" w:eastAsia="仿宋_GB2312"/>
          <w:sz w:val="32"/>
          <w:szCs w:val="32"/>
        </w:rPr>
        <w:t>年底，我单位共有车辆0辆，其中，领导干部用车0辆、定向保障用车0辆、执法执勤用车0辆。单位</w:t>
      </w:r>
      <w:r>
        <w:rPr>
          <w:rFonts w:hint="eastAsia" w:ascii="Times New Roman" w:hAnsi="Times New Roman" w:eastAsia="仿宋_GB2312"/>
          <w:sz w:val="32"/>
          <w:szCs w:val="32"/>
        </w:rPr>
        <w:t>价值200万以上大型设备0台</w:t>
      </w:r>
      <w:r>
        <w:rPr>
          <w:rFonts w:ascii="Times New Roman" w:hAnsi="Times New Roman" w:eastAsia="仿宋_GB2312"/>
          <w:sz w:val="32"/>
          <w:szCs w:val="32"/>
        </w:rPr>
        <w:t>。</w:t>
      </w:r>
    </w:p>
    <w:p>
      <w:pPr>
        <w:overflowPunct w:val="0"/>
        <w:spacing w:line="576"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仿宋_GB2312"/>
          <w:sz w:val="32"/>
          <w:szCs w:val="32"/>
        </w:rPr>
        <w:t>2024</w:t>
      </w:r>
      <w:r>
        <w:rPr>
          <w:rFonts w:hint="eastAsia" w:ascii="仿宋_GB2312" w:hAnsi="仿宋_GB2312" w:eastAsia="仿宋_GB2312" w:cs="仿宋_GB2312"/>
          <w:sz w:val="32"/>
          <w:szCs w:val="32"/>
        </w:rPr>
        <w:t>年部门预算安排车辆购置经费及大型设备购置经费0万元。</w:t>
      </w:r>
    </w:p>
    <w:p>
      <w:pPr>
        <w:spacing w:line="576" w:lineRule="exact"/>
        <w:ind w:firstLine="640" w:firstLineChars="200"/>
        <w:rPr>
          <w:rFonts w:ascii="Times New Roman" w:hAnsi="Times New Roman" w:eastAsia="楷体_GB2312"/>
          <w:b/>
          <w:sz w:val="32"/>
          <w:szCs w:val="32"/>
        </w:rPr>
      </w:pPr>
      <w:r>
        <w:rPr>
          <w:rFonts w:hint="eastAsia" w:ascii="Times New Roman" w:hAnsi="Times New Roman" w:eastAsia="楷体_GB2312"/>
          <w:b/>
          <w:sz w:val="32"/>
          <w:szCs w:val="32"/>
        </w:rPr>
        <w:t>（四）</w:t>
      </w:r>
      <w:r>
        <w:rPr>
          <w:rFonts w:ascii="Times New Roman" w:hAnsi="Times New Roman" w:eastAsia="楷体_GB2312"/>
          <w:b/>
          <w:sz w:val="32"/>
          <w:szCs w:val="32"/>
        </w:rPr>
        <w:t>绩效目标设置情况</w:t>
      </w:r>
    </w:p>
    <w:p>
      <w:pPr>
        <w:pStyle w:val="2"/>
        <w:spacing w:after="0"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2024年区工商联开展绩效目标管理的项目6个，涉及预算179.65万元。其中：人员类项目1个，涉及预算 81.88万元；运转类项目4个，涉及预算82.77万元；特定目标类项目1个，涉及预算15万元。</w:t>
      </w:r>
    </w:p>
    <w:p>
      <w:pPr>
        <w:spacing w:line="576" w:lineRule="exact"/>
        <w:ind w:firstLine="640" w:firstLineChars="200"/>
        <w:rPr>
          <w:rFonts w:ascii="Times New Roman" w:hAnsi="黑体" w:eastAsia="黑体"/>
          <w:sz w:val="32"/>
          <w:szCs w:val="32"/>
        </w:rPr>
      </w:pPr>
      <w:r>
        <w:rPr>
          <w:rFonts w:ascii="Times New Roman" w:hAnsi="黑体" w:eastAsia="黑体"/>
          <w:sz w:val="32"/>
          <w:szCs w:val="32"/>
        </w:rPr>
        <w:t>十一、名词解释</w:t>
      </w:r>
    </w:p>
    <w:p>
      <w:pPr>
        <w:spacing w:line="576" w:lineRule="exact"/>
        <w:ind w:firstLine="640" w:firstLineChars="200"/>
        <w:rPr>
          <w:rFonts w:ascii="Times New Roman" w:hAnsi="Times New Roman" w:eastAsia="仿宋_GB2312"/>
          <w:sz w:val="32"/>
          <w:szCs w:val="32"/>
        </w:rPr>
      </w:pPr>
      <w:r>
        <w:rPr>
          <w:rFonts w:ascii="Times New Roman" w:hAnsi="Times New Roman" w:eastAsia="楷体_GB2312"/>
          <w:b/>
          <w:sz w:val="32"/>
          <w:szCs w:val="32"/>
        </w:rPr>
        <w:t>（一）一般公共预算拨款收入</w:t>
      </w:r>
      <w:r>
        <w:rPr>
          <w:rFonts w:ascii="Times New Roman" w:hAnsi="Times New Roman" w:eastAsia="仿宋_GB2312"/>
          <w:sz w:val="32"/>
          <w:szCs w:val="32"/>
        </w:rPr>
        <w:t>：指</w:t>
      </w:r>
      <w:r>
        <w:rPr>
          <w:rFonts w:hint="eastAsia" w:ascii="Times New Roman" w:hAnsi="Times New Roman" w:eastAsia="仿宋_GB2312"/>
          <w:sz w:val="32"/>
          <w:szCs w:val="32"/>
        </w:rPr>
        <w:t>区</w:t>
      </w:r>
      <w:r>
        <w:rPr>
          <w:rFonts w:ascii="Times New Roman" w:hAnsi="Times New Roman" w:eastAsia="仿宋_GB2312"/>
          <w:sz w:val="32"/>
          <w:szCs w:val="32"/>
        </w:rPr>
        <w:t>级财政当年拨付的资金。</w:t>
      </w:r>
    </w:p>
    <w:p>
      <w:pPr>
        <w:spacing w:line="576" w:lineRule="exact"/>
        <w:ind w:firstLine="640" w:firstLineChars="200"/>
        <w:rPr>
          <w:rFonts w:ascii="Times New Roman" w:hAnsi="Times New Roman" w:eastAsia="仿宋_GB2312"/>
          <w:sz w:val="32"/>
          <w:szCs w:val="32"/>
        </w:rPr>
      </w:pPr>
      <w:r>
        <w:rPr>
          <w:rFonts w:ascii="Times New Roman" w:hAnsi="Times New Roman" w:eastAsia="楷体_GB2312"/>
          <w:b/>
          <w:sz w:val="32"/>
          <w:szCs w:val="32"/>
        </w:rPr>
        <w:t>（二）一般公共服务（类）民主党派及工商联事务（款）行政运行（项）</w:t>
      </w:r>
      <w:r>
        <w:rPr>
          <w:rFonts w:ascii="Times New Roman" w:hAnsi="Times New Roman" w:eastAsia="仿宋_GB2312"/>
          <w:sz w:val="32"/>
          <w:szCs w:val="32"/>
        </w:rPr>
        <w:t>：指机关单位用于保障机构正常运行、开展日常工作的基本支出。</w:t>
      </w:r>
    </w:p>
    <w:p>
      <w:pPr>
        <w:spacing w:line="576" w:lineRule="exact"/>
        <w:ind w:firstLine="640" w:firstLineChars="200"/>
        <w:rPr>
          <w:rFonts w:ascii="Times New Roman" w:hAnsi="Times New Roman" w:eastAsia="仿宋_GB2312"/>
          <w:sz w:val="32"/>
          <w:szCs w:val="32"/>
        </w:rPr>
      </w:pPr>
      <w:r>
        <w:rPr>
          <w:rFonts w:ascii="Times New Roman" w:hAnsi="Times New Roman" w:eastAsia="楷体_GB2312"/>
          <w:b/>
          <w:sz w:val="32"/>
          <w:szCs w:val="32"/>
        </w:rPr>
        <w:t>（三）一般公共服务（类）民主党派及工商联事务（款）其他民主党派及工商联事务（项）</w:t>
      </w:r>
      <w:r>
        <w:rPr>
          <w:rFonts w:ascii="Times New Roman" w:hAnsi="Times New Roman" w:eastAsia="仿宋_GB2312"/>
          <w:sz w:val="32"/>
          <w:szCs w:val="32"/>
        </w:rPr>
        <w:t>：其他民主党派及工商联事务方面的支出。</w:t>
      </w:r>
    </w:p>
    <w:p>
      <w:pPr>
        <w:spacing w:line="576" w:lineRule="exact"/>
        <w:ind w:firstLine="640" w:firstLineChars="200"/>
        <w:rPr>
          <w:rFonts w:ascii="Times New Roman" w:hAnsi="Times New Roman" w:eastAsia="仿宋_GB2312"/>
          <w:sz w:val="32"/>
          <w:szCs w:val="32"/>
        </w:rPr>
      </w:pPr>
      <w:r>
        <w:rPr>
          <w:rFonts w:ascii="Times New Roman" w:hAnsi="Times New Roman" w:eastAsia="楷体_GB2312"/>
          <w:b/>
          <w:sz w:val="32"/>
          <w:szCs w:val="32"/>
        </w:rPr>
        <w:t>（四）社会保障和就业（类）行政事业单位养老支出（款）机关事业单位基本养老保险缴费支出（项）</w:t>
      </w:r>
      <w:r>
        <w:rPr>
          <w:rFonts w:ascii="Times New Roman" w:hAnsi="Times New Roman" w:eastAsia="仿宋_GB2312"/>
          <w:sz w:val="32"/>
          <w:szCs w:val="32"/>
        </w:rPr>
        <w:t>：指部门实施养老保险制度由单位缴纳的养老保险费的支出。</w:t>
      </w:r>
    </w:p>
    <w:p>
      <w:pPr>
        <w:spacing w:line="576" w:lineRule="exact"/>
        <w:ind w:firstLine="640" w:firstLineChars="200"/>
        <w:rPr>
          <w:rFonts w:ascii="Times New Roman" w:hAnsi="Times New Roman" w:eastAsia="仿宋_GB2312"/>
          <w:sz w:val="32"/>
          <w:szCs w:val="32"/>
        </w:rPr>
      </w:pPr>
      <w:r>
        <w:rPr>
          <w:rFonts w:ascii="Times New Roman" w:hAnsi="Times New Roman" w:eastAsia="楷体_GB2312"/>
          <w:b/>
          <w:sz w:val="32"/>
          <w:szCs w:val="32"/>
        </w:rPr>
        <w:t>（五）社会保障和就业（类）行政事业单位养老支出（款）机关事业单位职业年金缴费支出（项）</w:t>
      </w:r>
      <w:r>
        <w:rPr>
          <w:rFonts w:ascii="Times New Roman" w:hAnsi="Times New Roman" w:eastAsia="仿宋_GB2312"/>
          <w:sz w:val="32"/>
          <w:szCs w:val="32"/>
        </w:rPr>
        <w:t>：指部门实施养老保险制度由单位缴纳的职业年金的支出。</w:t>
      </w:r>
    </w:p>
    <w:p>
      <w:pPr>
        <w:spacing w:line="576" w:lineRule="exact"/>
        <w:ind w:firstLine="640" w:firstLineChars="200"/>
        <w:rPr>
          <w:rFonts w:ascii="Times New Roman" w:hAnsi="Times New Roman" w:eastAsia="仿宋_GB2312"/>
          <w:sz w:val="32"/>
          <w:szCs w:val="32"/>
        </w:rPr>
      </w:pPr>
      <w:r>
        <w:rPr>
          <w:rFonts w:ascii="Times New Roman" w:hAnsi="Times New Roman" w:eastAsia="楷体_GB2312"/>
          <w:b/>
          <w:sz w:val="32"/>
          <w:szCs w:val="32"/>
        </w:rPr>
        <w:t>（</w:t>
      </w:r>
      <w:r>
        <w:rPr>
          <w:rFonts w:hint="eastAsia" w:ascii="Times New Roman" w:hAnsi="Times New Roman" w:eastAsia="楷体_GB2312"/>
          <w:b/>
          <w:sz w:val="32"/>
          <w:szCs w:val="32"/>
        </w:rPr>
        <w:t>六</w:t>
      </w:r>
      <w:r>
        <w:rPr>
          <w:rFonts w:ascii="Times New Roman" w:hAnsi="Times New Roman" w:eastAsia="楷体_GB2312"/>
          <w:b/>
          <w:sz w:val="32"/>
          <w:szCs w:val="32"/>
        </w:rPr>
        <w:t>）基本支出：</w:t>
      </w:r>
      <w:r>
        <w:rPr>
          <w:rFonts w:ascii="Times New Roman" w:hAnsi="Times New Roman" w:eastAsia="仿宋_GB2312"/>
          <w:sz w:val="32"/>
          <w:szCs w:val="32"/>
        </w:rPr>
        <w:t>指为保证机构正常运转，完成日常工作任务而发生的人员支出和公用支出。</w:t>
      </w:r>
    </w:p>
    <w:p>
      <w:pPr>
        <w:spacing w:line="576" w:lineRule="exact"/>
        <w:ind w:firstLine="640" w:firstLineChars="200"/>
        <w:rPr>
          <w:rFonts w:ascii="Times New Roman" w:hAnsi="Times New Roman" w:eastAsia="仿宋_GB2312"/>
          <w:sz w:val="32"/>
          <w:szCs w:val="32"/>
        </w:rPr>
      </w:pPr>
      <w:r>
        <w:rPr>
          <w:rFonts w:ascii="Times New Roman" w:hAnsi="Times New Roman" w:eastAsia="楷体_GB2312"/>
          <w:b/>
          <w:sz w:val="32"/>
          <w:szCs w:val="32"/>
        </w:rPr>
        <w:t>（</w:t>
      </w:r>
      <w:r>
        <w:rPr>
          <w:rFonts w:hint="eastAsia" w:ascii="Times New Roman" w:hAnsi="Times New Roman" w:eastAsia="楷体_GB2312"/>
          <w:b/>
          <w:sz w:val="32"/>
          <w:szCs w:val="32"/>
        </w:rPr>
        <w:t>七</w:t>
      </w:r>
      <w:r>
        <w:rPr>
          <w:rFonts w:ascii="Times New Roman" w:hAnsi="Times New Roman" w:eastAsia="楷体_GB2312"/>
          <w:b/>
          <w:sz w:val="32"/>
          <w:szCs w:val="32"/>
        </w:rPr>
        <w:t>）项目支出：</w:t>
      </w:r>
      <w:r>
        <w:rPr>
          <w:rFonts w:ascii="Times New Roman" w:hAnsi="Times New Roman" w:eastAsia="仿宋_GB2312"/>
          <w:sz w:val="32"/>
          <w:szCs w:val="32"/>
        </w:rPr>
        <w:t>指在基本支出之外为完成特定行政任务和事业发展目标所发生的支出。</w:t>
      </w:r>
    </w:p>
    <w:p>
      <w:pPr>
        <w:spacing w:line="576" w:lineRule="exact"/>
        <w:ind w:firstLine="640" w:firstLineChars="200"/>
        <w:rPr>
          <w:rFonts w:ascii="Times New Roman" w:hAnsi="Times New Roman" w:eastAsia="仿宋_GB2312"/>
          <w:sz w:val="32"/>
          <w:szCs w:val="32"/>
        </w:rPr>
      </w:pPr>
      <w:r>
        <w:rPr>
          <w:rFonts w:ascii="Times New Roman" w:hAnsi="Times New Roman" w:eastAsia="楷体_GB2312"/>
          <w:b/>
          <w:sz w:val="32"/>
          <w:szCs w:val="32"/>
        </w:rPr>
        <w:t>（</w:t>
      </w:r>
      <w:r>
        <w:rPr>
          <w:rFonts w:hint="eastAsia" w:ascii="Times New Roman" w:hAnsi="Times New Roman" w:eastAsia="楷体_GB2312"/>
          <w:b/>
          <w:sz w:val="32"/>
          <w:szCs w:val="32"/>
        </w:rPr>
        <w:t>八</w:t>
      </w:r>
      <w:r>
        <w:rPr>
          <w:rFonts w:ascii="Times New Roman" w:hAnsi="Times New Roman" w:eastAsia="楷体_GB2312"/>
          <w:b/>
          <w:sz w:val="32"/>
          <w:szCs w:val="32"/>
        </w:rPr>
        <w:t>）“三公”经费：</w:t>
      </w:r>
      <w:r>
        <w:rPr>
          <w:rFonts w:ascii="Times New Roman" w:hAnsi="Times New Roman" w:eastAsia="仿宋_GB2312"/>
          <w:sz w:val="32"/>
          <w:szCs w:val="32"/>
        </w:rPr>
        <w:t>纳入财政厅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76" w:lineRule="exact"/>
        <w:ind w:firstLine="640" w:firstLineChars="200"/>
        <w:rPr>
          <w:rFonts w:ascii="Times New Roman" w:hAnsi="Times New Roman" w:eastAsia="仿宋_GB2312"/>
          <w:sz w:val="32"/>
          <w:szCs w:val="32"/>
        </w:rPr>
      </w:pPr>
      <w:r>
        <w:rPr>
          <w:rFonts w:ascii="Times New Roman" w:hAnsi="Times New Roman" w:eastAsia="楷体_GB2312"/>
          <w:b/>
          <w:sz w:val="32"/>
          <w:szCs w:val="32"/>
        </w:rPr>
        <w:t>（</w:t>
      </w:r>
      <w:r>
        <w:rPr>
          <w:rFonts w:hint="eastAsia" w:ascii="Times New Roman" w:hAnsi="Times New Roman" w:eastAsia="楷体_GB2312"/>
          <w:b/>
          <w:sz w:val="32"/>
          <w:szCs w:val="32"/>
        </w:rPr>
        <w:t>九</w:t>
      </w:r>
      <w:r>
        <w:rPr>
          <w:rFonts w:ascii="Times New Roman" w:hAnsi="Times New Roman" w:eastAsia="楷体_GB2312"/>
          <w:b/>
          <w:sz w:val="32"/>
          <w:szCs w:val="32"/>
        </w:rPr>
        <w:t>）机关运行经费：</w:t>
      </w:r>
      <w:r>
        <w:rPr>
          <w:rFonts w:ascii="Times New Roman" w:hAnsi="Times New Roman" w:eastAsia="仿宋_GB2312"/>
          <w:sz w:val="32"/>
          <w:szCs w:val="32"/>
        </w:rPr>
        <w:t>为保障行政单位（包括参照公务员法管理的事业单位）运行用于购买货物和服务的各项资金，包括办公及印刷费、邮电费、差旅费、会议费、培训费、福利费、日常维修费、专用材料及一般设备购置费、办公用房水电费、办公用房物业管理费、公务用车运行维护费以及其他费用。</w:t>
      </w:r>
    </w:p>
    <w:p>
      <w:pPr>
        <w:spacing w:line="576" w:lineRule="exact"/>
        <w:ind w:firstLine="640" w:firstLineChars="200"/>
        <w:rPr>
          <w:rFonts w:ascii="Times New Roman" w:hAnsi="Times New Roman" w:eastAsia="仿宋_GB2312"/>
          <w:sz w:val="32"/>
          <w:szCs w:val="32"/>
        </w:rPr>
      </w:pPr>
    </w:p>
    <w:p>
      <w:pPr>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附件：1.部门预算公开表</w:t>
      </w:r>
    </w:p>
    <w:p>
      <w:pPr>
        <w:spacing w:line="576"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2.项目支出绩效目标表</w:t>
      </w:r>
    </w:p>
    <w:p>
      <w:pPr>
        <w:spacing w:line="576"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3.部门整体支出绩效目标表</w:t>
      </w:r>
    </w:p>
    <w:p>
      <w:pPr>
        <w:spacing w:line="576" w:lineRule="exact"/>
        <w:ind w:firstLine="640" w:firstLineChars="200"/>
        <w:rPr>
          <w:rFonts w:ascii="Times New Roman" w:hAnsi="Times New Roman" w:eastAsia="仿宋_GB2312"/>
          <w:b/>
          <w:sz w:val="32"/>
          <w:szCs w:val="32"/>
        </w:rPr>
      </w:pPr>
    </w:p>
    <w:sectPr>
      <w:footerReference r:id="rId3" w:type="default"/>
      <w:pgSz w:w="11906" w:h="16838"/>
      <w:pgMar w:top="2098" w:right="1474" w:bottom="1985" w:left="1588" w:header="720" w:footer="1559"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1DB3FC-90CD-45D7-997E-C691CA8DC8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ans">
    <w:altName w:val="微软雅黑"/>
    <w:panose1 w:val="00000000000000000000"/>
    <w:charset w:val="01"/>
    <w:family w:val="swiss"/>
    <w:pitch w:val="default"/>
    <w:sig w:usb0="00000000" w:usb1="00000000" w:usb2="00000000" w:usb3="00000000" w:csb0="00040001" w:csb1="00000000"/>
  </w:font>
  <w:font w:name="Noto Sans CJK SC Regular">
    <w:altName w:val="微软雅黑"/>
    <w:panose1 w:val="00000000000000000000"/>
    <w:charset w:val="01"/>
    <w:family w:val="auto"/>
    <w:pitch w:val="default"/>
    <w:sig w:usb0="00000000" w:usb1="00000000" w:usb2="00000000"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CBA37F38-0A9D-4222-B6C8-42CE3675813D}"/>
  </w:font>
  <w:font w:name="仿宋_GB2312">
    <w:altName w:val="仿宋"/>
    <w:panose1 w:val="02010609030101010101"/>
    <w:charset w:val="86"/>
    <w:family w:val="modern"/>
    <w:pitch w:val="default"/>
    <w:sig w:usb0="00000000" w:usb1="00000000" w:usb2="00000010" w:usb3="00000000" w:csb0="00040000" w:csb1="00000000"/>
    <w:embedRegular r:id="rId3" w:fontKey="{B23E8507-FA29-4251-846A-0248F8E71BC7}"/>
  </w:font>
  <w:font w:name="楷体_GB2312">
    <w:panose1 w:val="02010609030101010101"/>
    <w:charset w:val="86"/>
    <w:family w:val="modern"/>
    <w:pitch w:val="default"/>
    <w:sig w:usb0="00000001" w:usb1="080E0000" w:usb2="00000000" w:usb3="00000000" w:csb0="00040000" w:csb1="00000000"/>
    <w:embedRegular r:id="rId4" w:fontKey="{17BA4EC7-D8EB-4D61-A357-20A2E43ECA92}"/>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sz w:val="28"/>
        <w:szCs w:val="28"/>
      </w:rPr>
      <w:id w:val="430923"/>
    </w:sdtPr>
    <w:sdtEndPr>
      <w:rPr>
        <w:rFonts w:hint="eastAsia" w:ascii="宋体" w:hAnsi="宋体"/>
        <w:sz w:val="28"/>
        <w:szCs w:val="28"/>
      </w:rPr>
    </w:sdtEndPr>
    <w:sdtContent>
      <w:p>
        <w:pPr>
          <w:pStyle w:val="6"/>
          <w:framePr w:wrap="around" w:vAnchor="text" w:hAnchor="margin" w:xAlign="outside" w:y="1"/>
          <w:ind w:left="210" w:leftChars="100" w:right="210" w:rightChars="100"/>
          <w:rPr>
            <w:rStyle w:val="13"/>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9</w:t>
        </w:r>
        <w:r>
          <w:rPr>
            <w:rFonts w:ascii="宋体" w:hAnsi="宋体"/>
            <w:sz w:val="28"/>
            <w:szCs w:val="28"/>
          </w:rPr>
          <w:fldChar w:fldCharType="end"/>
        </w:r>
        <w:r>
          <w:rPr>
            <w:rFonts w:hint="eastAsia" w:ascii="宋体" w:hAnsi="宋体"/>
            <w:sz w:val="28"/>
            <w:szCs w:val="28"/>
          </w:rPr>
          <w:t xml:space="preserve"> —</w:t>
        </w:r>
      </w:p>
    </w:sdtContent>
  </w:sdt>
  <w:p>
    <w:pPr>
      <w:pStyle w:val="6"/>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420"/>
  <w:drawingGridHorizontalSpacing w:val="1"/>
  <w:drawingGridVerticalSpacing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VhYTg4NGNkZWJkODFjNzcyZDRjM2M4Y2UzNjI5ZmUifQ=="/>
  </w:docVars>
  <w:rsids>
    <w:rsidRoot w:val="003B2C62"/>
    <w:rsid w:val="001921EE"/>
    <w:rsid w:val="001B2778"/>
    <w:rsid w:val="0024271D"/>
    <w:rsid w:val="002E55B9"/>
    <w:rsid w:val="002F5B3F"/>
    <w:rsid w:val="0034324A"/>
    <w:rsid w:val="00350EE5"/>
    <w:rsid w:val="003B2C62"/>
    <w:rsid w:val="00414CB5"/>
    <w:rsid w:val="004454FB"/>
    <w:rsid w:val="00447B41"/>
    <w:rsid w:val="004B6D81"/>
    <w:rsid w:val="004F0913"/>
    <w:rsid w:val="005001A5"/>
    <w:rsid w:val="0052577B"/>
    <w:rsid w:val="005741CB"/>
    <w:rsid w:val="006151B6"/>
    <w:rsid w:val="00627805"/>
    <w:rsid w:val="008841E0"/>
    <w:rsid w:val="008E7384"/>
    <w:rsid w:val="0091415B"/>
    <w:rsid w:val="0093661E"/>
    <w:rsid w:val="00985DA6"/>
    <w:rsid w:val="009A1F89"/>
    <w:rsid w:val="009A63C8"/>
    <w:rsid w:val="00A06FE7"/>
    <w:rsid w:val="00A37A9A"/>
    <w:rsid w:val="00A93127"/>
    <w:rsid w:val="00AF4613"/>
    <w:rsid w:val="00AF5D74"/>
    <w:rsid w:val="00BC285F"/>
    <w:rsid w:val="00C74F20"/>
    <w:rsid w:val="00C835A9"/>
    <w:rsid w:val="00CA4E22"/>
    <w:rsid w:val="00CB041F"/>
    <w:rsid w:val="00D06516"/>
    <w:rsid w:val="00D123E4"/>
    <w:rsid w:val="00D36EE0"/>
    <w:rsid w:val="00F85B42"/>
    <w:rsid w:val="012352D1"/>
    <w:rsid w:val="03A8122A"/>
    <w:rsid w:val="0A552200"/>
    <w:rsid w:val="10324220"/>
    <w:rsid w:val="1F7BF06F"/>
    <w:rsid w:val="1FEE4B73"/>
    <w:rsid w:val="23CE9849"/>
    <w:rsid w:val="27CF1735"/>
    <w:rsid w:val="39F304DD"/>
    <w:rsid w:val="3D613FAC"/>
    <w:rsid w:val="54244390"/>
    <w:rsid w:val="54662A63"/>
    <w:rsid w:val="58064E12"/>
    <w:rsid w:val="5BFEE015"/>
    <w:rsid w:val="5D886429"/>
    <w:rsid w:val="62C25536"/>
    <w:rsid w:val="63EDCF55"/>
    <w:rsid w:val="63FBFBCF"/>
    <w:rsid w:val="669360FD"/>
    <w:rsid w:val="66B40612"/>
    <w:rsid w:val="68FF6A83"/>
    <w:rsid w:val="69821F8C"/>
    <w:rsid w:val="6B367ECC"/>
    <w:rsid w:val="6BCC5FD2"/>
    <w:rsid w:val="6FBBC9CF"/>
    <w:rsid w:val="72BDE561"/>
    <w:rsid w:val="78462278"/>
    <w:rsid w:val="7997EA6C"/>
    <w:rsid w:val="7AEAE675"/>
    <w:rsid w:val="7BAFCE5D"/>
    <w:rsid w:val="7C523723"/>
    <w:rsid w:val="7D46598C"/>
    <w:rsid w:val="7DFB240B"/>
    <w:rsid w:val="7E0935ED"/>
    <w:rsid w:val="7FCF2AF7"/>
    <w:rsid w:val="9FEF033D"/>
    <w:rsid w:val="A27FF1E5"/>
    <w:rsid w:val="AFDEB5A7"/>
    <w:rsid w:val="AFEA7FBF"/>
    <w:rsid w:val="B83F4767"/>
    <w:rsid w:val="BF930F07"/>
    <w:rsid w:val="BFCE8436"/>
    <w:rsid w:val="C3F7EB7A"/>
    <w:rsid w:val="CFF5FEEC"/>
    <w:rsid w:val="D3DD9064"/>
    <w:rsid w:val="D6F76A0C"/>
    <w:rsid w:val="D7ECE8D2"/>
    <w:rsid w:val="DFDD4FB5"/>
    <w:rsid w:val="E7F748B5"/>
    <w:rsid w:val="EE5F3713"/>
    <w:rsid w:val="EFC9D62C"/>
    <w:rsid w:val="F6BE9755"/>
    <w:rsid w:val="F6FFA89B"/>
    <w:rsid w:val="FAE4EFE1"/>
    <w:rsid w:val="FB9B6F12"/>
    <w:rsid w:val="FBB66A4A"/>
    <w:rsid w:val="FDEE6989"/>
    <w:rsid w:val="FF5E7DB8"/>
    <w:rsid w:val="FF77E367"/>
    <w:rsid w:val="FFD576EB"/>
    <w:rsid w:val="FFFBE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40" w:line="276" w:lineRule="auto"/>
    </w:pPr>
  </w:style>
  <w:style w:type="paragraph" w:styleId="3">
    <w:name w:val="caption"/>
    <w:basedOn w:val="1"/>
    <w:autoRedefine/>
    <w:qFormat/>
    <w:uiPriority w:val="0"/>
    <w:pPr>
      <w:suppressLineNumbers/>
      <w:spacing w:before="120" w:after="120"/>
    </w:pPr>
    <w:rPr>
      <w:i/>
      <w:iCs/>
      <w:sz w:val="24"/>
    </w:rPr>
  </w:style>
  <w:style w:type="paragraph" w:styleId="4">
    <w:name w:val="annotation text"/>
    <w:basedOn w:val="1"/>
    <w:autoRedefine/>
    <w:qFormat/>
    <w:uiPriority w:val="0"/>
    <w:pPr>
      <w:jc w:val="left"/>
    </w:pPr>
  </w:style>
  <w:style w:type="paragraph" w:styleId="5">
    <w:name w:val="Balloon Text"/>
    <w:basedOn w:val="1"/>
    <w:link w:val="19"/>
    <w:uiPriority w:val="0"/>
    <w:rPr>
      <w:sz w:val="18"/>
      <w:szCs w:val="18"/>
    </w:rPr>
  </w:style>
  <w:style w:type="paragraph" w:styleId="6">
    <w:name w:val="footer"/>
    <w:basedOn w:val="1"/>
    <w:link w:val="18"/>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w:basedOn w:val="2"/>
    <w:autoRedefine/>
    <w:qFormat/>
    <w:uiPriority w:val="0"/>
  </w:style>
  <w:style w:type="paragraph" w:styleId="9">
    <w:name w:val="table of figures"/>
    <w:basedOn w:val="1"/>
    <w:next w:val="1"/>
    <w:autoRedefine/>
    <w:qFormat/>
    <w:uiPriority w:val="0"/>
    <w:pPr>
      <w:ind w:left="200" w:leftChars="200" w:hanging="200" w:hangingChars="200"/>
    </w:pPr>
  </w:style>
  <w:style w:type="paragraph" w:styleId="10">
    <w:name w:val="Normal (Web)"/>
    <w:basedOn w:val="1"/>
    <w:autoRedefine/>
    <w:qFormat/>
    <w:uiPriority w:val="0"/>
    <w:rPr>
      <w:sz w:val="24"/>
    </w:rPr>
  </w:style>
  <w:style w:type="character" w:styleId="13">
    <w:name w:val="page number"/>
    <w:basedOn w:val="12"/>
    <w:autoRedefine/>
    <w:qFormat/>
    <w:uiPriority w:val="0"/>
  </w:style>
  <w:style w:type="character" w:customStyle="1" w:styleId="14">
    <w:name w:val="默认段落字体1"/>
    <w:autoRedefine/>
    <w:qFormat/>
    <w:uiPriority w:val="0"/>
  </w:style>
  <w:style w:type="paragraph" w:customStyle="1" w:styleId="15">
    <w:name w:val="Heading"/>
    <w:basedOn w:val="1"/>
    <w:next w:val="2"/>
    <w:autoRedefine/>
    <w:qFormat/>
    <w:uiPriority w:val="0"/>
    <w:pPr>
      <w:keepNext/>
      <w:spacing w:before="240" w:after="120"/>
    </w:pPr>
    <w:rPr>
      <w:rFonts w:ascii="Liberation Sans" w:hAnsi="Liberation Sans" w:eastAsia="Noto Sans CJK SC Regular" w:cs="Noto Sans CJK SC Regular"/>
      <w:sz w:val="28"/>
      <w:szCs w:val="28"/>
    </w:rPr>
  </w:style>
  <w:style w:type="paragraph" w:customStyle="1" w:styleId="16">
    <w:name w:val="Index"/>
    <w:basedOn w:val="1"/>
    <w:autoRedefine/>
    <w:qFormat/>
    <w:uiPriority w:val="0"/>
    <w:pPr>
      <w:suppressLineNumbers/>
    </w:pPr>
  </w:style>
  <w:style w:type="paragraph" w:styleId="17">
    <w:name w:val="List Paragraph"/>
    <w:basedOn w:val="1"/>
    <w:autoRedefine/>
    <w:qFormat/>
    <w:uiPriority w:val="34"/>
    <w:pPr>
      <w:suppressAutoHyphens w:val="0"/>
      <w:ind w:firstLine="420" w:firstLineChars="200"/>
    </w:pPr>
    <w:rPr>
      <w:rFonts w:ascii="Times New Roman" w:hAnsi="Times New Roman"/>
    </w:rPr>
  </w:style>
  <w:style w:type="character" w:customStyle="1" w:styleId="18">
    <w:name w:val="页脚 Char"/>
    <w:link w:val="6"/>
    <w:autoRedefine/>
    <w:qFormat/>
    <w:uiPriority w:val="0"/>
    <w:rPr>
      <w:rFonts w:ascii="Calibri" w:hAnsi="Calibri"/>
      <w:kern w:val="2"/>
      <w:sz w:val="18"/>
      <w:szCs w:val="24"/>
    </w:rPr>
  </w:style>
  <w:style w:type="character" w:customStyle="1" w:styleId="19">
    <w:name w:val="批注框文本 Char"/>
    <w:basedOn w:val="12"/>
    <w:link w:val="5"/>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833</Words>
  <Characters>4754</Characters>
  <Lines>39</Lines>
  <Paragraphs>11</Paragraphs>
  <TotalTime>3</TotalTime>
  <ScaleCrop>false</ScaleCrop>
  <LinksUpToDate>false</LinksUpToDate>
  <CharactersWithSpaces>5576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2024-03-18T09:23:00Z</dcterms:created>
  <dc:creator>admin</dc:creator>
  <cp:lastModifiedBy>昭化融媒体</cp:lastModifiedBy>
  <dcterms:modified xsi:type="dcterms:W3CDTF">2024-04-10T03:33:49Z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96081F72B7444D3C8C1C7DDAED24732C_13</vt:lpwstr>
  </property>
</Properties>
</file>