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1120" w:firstLineChars="200"/>
        <w:jc w:val="both"/>
        <w:textAlignment w:val="auto"/>
        <w:rPr>
          <w:rFonts w:hint="eastAsia" w:ascii="Times New Roman" w:hAnsi="Times New Roman" w:eastAsia="仿宋_GB2312"/>
          <w:sz w:val="56"/>
          <w:szCs w:val="56"/>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1120" w:firstLineChars="200"/>
        <w:jc w:val="both"/>
        <w:textAlignment w:val="auto"/>
        <w:rPr>
          <w:rFonts w:hint="eastAsia" w:ascii="Times New Roman" w:hAnsi="Times New Roman" w:eastAsia="仿宋_GB2312"/>
          <w:sz w:val="56"/>
          <w:szCs w:val="56"/>
          <w:lang w:val="en-US" w:eastAsia="zh-CN"/>
        </w:rPr>
      </w:pPr>
    </w:p>
    <w:p>
      <w:pPr>
        <w:pStyle w:val="9"/>
        <w:pageBreakBefore w:val="0"/>
        <w:kinsoku/>
        <w:wordWrap/>
        <w:overflowPunct/>
        <w:topLinePunct w:val="0"/>
        <w:autoSpaceDE/>
        <w:autoSpaceDN/>
        <w:bidi w:val="0"/>
        <w:adjustRightInd/>
        <w:snapToGrid/>
        <w:spacing w:before="0" w:after="0" w:line="576" w:lineRule="exact"/>
        <w:ind w:firstLine="1120" w:firstLineChars="200"/>
        <w:jc w:val="both"/>
        <w:textAlignment w:val="auto"/>
        <w:rPr>
          <w:rFonts w:hint="eastAsia" w:ascii="Times New Roman" w:hAnsi="Times New Roman" w:eastAsia="仿宋_GB2312"/>
          <w:sz w:val="56"/>
          <w:szCs w:val="56"/>
          <w:lang w:val="en-US" w:eastAsia="zh-CN"/>
        </w:rPr>
      </w:pPr>
    </w:p>
    <w:p>
      <w:pPr>
        <w:pageBreakBefore w:val="0"/>
        <w:kinsoku/>
        <w:wordWrap/>
        <w:overflowPunct/>
        <w:topLinePunct w:val="0"/>
        <w:autoSpaceDE/>
        <w:autoSpaceDN/>
        <w:bidi w:val="0"/>
        <w:adjustRightInd/>
        <w:snapToGrid/>
        <w:spacing w:line="576" w:lineRule="exact"/>
        <w:ind w:firstLine="420" w:firstLineChars="200"/>
        <w:jc w:val="both"/>
        <w:textAlignment w:val="auto"/>
        <w:rPr>
          <w:rFonts w:hint="eastAsia" w:ascii="Times New Roman" w:hAnsi="Times New Roman" w:eastAsia="仿宋_GB231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0"/>
        <w:rPr>
          <w:rFonts w:hint="eastAsia" w:ascii="方正小标宋简体" w:hAnsi="方正小标宋简体" w:eastAsia="方正小标宋简体" w:cs="方正小标宋简体"/>
          <w:i w:val="0"/>
          <w:caps w:val="0"/>
          <w:color w:val="333333"/>
          <w:spacing w:val="0"/>
          <w:kern w:val="0"/>
          <w:sz w:val="44"/>
          <w:szCs w:val="44"/>
          <w:lang w:val="en-US" w:eastAsia="zh-CN" w:bidi="en-A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0"/>
        <w:rPr>
          <w:rFonts w:hint="default" w:ascii="方正小标宋简体" w:hAnsi="方正小标宋简体" w:eastAsia="方正小标宋简体" w:cs="方正小标宋简体"/>
          <w:i w:val="0"/>
          <w:caps w:val="0"/>
          <w:color w:val="333333"/>
          <w:spacing w:val="0"/>
          <w:kern w:val="0"/>
          <w:sz w:val="44"/>
          <w:szCs w:val="44"/>
          <w:lang w:val="en-US" w:eastAsia="zh-CN" w:bidi="en-AU"/>
        </w:rPr>
      </w:pPr>
      <w:bookmarkStart w:id="0" w:name="_Toc23817"/>
      <w:bookmarkStart w:id="1" w:name="_Toc20056"/>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en-AU"/>
        </w:rPr>
        <w:t>广元市昭化区妇幼保健院</w:t>
      </w:r>
      <w:bookmarkEnd w:id="0"/>
      <w:bookmarkEnd w:id="1"/>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0"/>
        <w:rPr>
          <w:rFonts w:hint="default" w:ascii="方正小标宋简体" w:hAnsi="方正小标宋简体" w:eastAsia="方正小标宋简体" w:cs="方正小标宋简体"/>
          <w:i w:val="0"/>
          <w:caps w:val="0"/>
          <w:color w:val="333333"/>
          <w:spacing w:val="0"/>
          <w:kern w:val="0"/>
          <w:sz w:val="44"/>
          <w:szCs w:val="44"/>
          <w:lang w:val="en-US" w:eastAsia="zh-CN" w:bidi="en-AU"/>
        </w:rPr>
      </w:pPr>
      <w:bookmarkStart w:id="2" w:name="_Toc21121"/>
      <w:bookmarkStart w:id="3" w:name="_Toc5857"/>
      <w:r>
        <w:rPr>
          <w:rFonts w:hint="eastAsia" w:ascii="方正小标宋简体" w:hAnsi="方正小标宋简体" w:eastAsia="方正小标宋简体" w:cs="方正小标宋简体"/>
          <w:i w:val="0"/>
          <w:caps w:val="0"/>
          <w:color w:val="333333"/>
          <w:spacing w:val="0"/>
          <w:kern w:val="0"/>
          <w:sz w:val="44"/>
          <w:szCs w:val="44"/>
          <w:shd w:val="clear" w:color="auto" w:fill="FFFFFF"/>
          <w:lang w:val="en-US" w:eastAsia="zh-CN" w:bidi="en-AU"/>
        </w:rPr>
        <w:t>2023年部门预算编制说明</w:t>
      </w:r>
      <w:bookmarkEnd w:id="2"/>
      <w:bookmarkEnd w:id="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default" w:ascii="Times New Roman" w:hAnsi="Times New Roman" w:eastAsia="仿宋_GB2312" w:cs="Times New Roman"/>
          <w:i w:val="0"/>
          <w:caps w:val="0"/>
          <w:color w:val="333333"/>
          <w:spacing w:val="0"/>
          <w:sz w:val="32"/>
          <w:szCs w:val="32"/>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3" w:firstLineChars="200"/>
        <w:jc w:val="both"/>
        <w:textAlignment w:val="auto"/>
        <w:rPr>
          <w:rFonts w:ascii="Times New Roman" w:hAnsi="Times New Roman" w:eastAsia="仿宋_GB2312" w:cs="Times New Roman"/>
          <w:sz w:val="32"/>
          <w:szCs w:val="32"/>
        </w:rPr>
        <w:sectPr>
          <w:pgSz w:w="11906" w:h="16838"/>
          <w:pgMar w:top="1440" w:right="1800" w:bottom="1440" w:left="1800" w:header="720" w:footer="720" w:gutter="0"/>
          <w:pgNumType w:fmt="decimal"/>
          <w:docGrid w:type="lines" w:linePitch="312" w:charSpace="0"/>
        </w:sectPr>
      </w:pPr>
      <w:r>
        <w:rPr>
          <w:rFonts w:hint="eastAsia" w:ascii="Times New Roman" w:hAnsi="Times New Roman" w:eastAsia="仿宋_GB2312" w:cs="宋体"/>
          <w:b/>
          <w:i w:val="0"/>
          <w:caps w:val="0"/>
          <w:color w:val="333333"/>
          <w:spacing w:val="0"/>
          <w:sz w:val="32"/>
          <w:szCs w:val="32"/>
          <w:shd w:val="clear" w:color="auto" w:fill="FFFFFF"/>
        </w:rPr>
        <w:t> </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3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kern w:val="0"/>
          <w:sz w:val="40"/>
          <w:szCs w:val="40"/>
          <w:lang w:val="en-US" w:eastAsia="zh-CN" w:bidi="en-AU"/>
        </w:rPr>
      </w:pPr>
      <w:r>
        <w:rPr>
          <w:rFonts w:hint="eastAsia" w:ascii="方正小标宋简体" w:hAnsi="方正小标宋简体" w:eastAsia="方正小标宋简体" w:cs="方正小标宋简体"/>
          <w:i w:val="0"/>
          <w:caps w:val="0"/>
          <w:color w:val="333333"/>
          <w:spacing w:val="0"/>
          <w:kern w:val="0"/>
          <w:sz w:val="40"/>
          <w:szCs w:val="40"/>
          <w:shd w:val="clear" w:color="auto" w:fill="FFFFFF"/>
          <w:lang w:val="en-US" w:eastAsia="zh-CN" w:bidi="en-AU"/>
        </w:rPr>
        <w:t>目  录</w:t>
      </w:r>
    </w:p>
    <w:p>
      <w:pPr>
        <w:pStyle w:val="13"/>
        <w:pageBreakBefore w:val="0"/>
        <w:tabs>
          <w:tab w:val="right" w:leader="dot" w:pos="8306"/>
        </w:tabs>
        <w:kinsoku/>
        <w:wordWrap/>
        <w:overflowPunct/>
        <w:topLinePunct w:val="0"/>
        <w:autoSpaceDE/>
        <w:autoSpaceDN/>
        <w:bidi w:val="0"/>
        <w:adjustRightInd/>
        <w:snapToGrid/>
        <w:spacing w:line="576" w:lineRule="exact"/>
        <w:ind w:firstLine="643" w:firstLineChars="200"/>
        <w:jc w:val="both"/>
        <w:textAlignment w:val="auto"/>
        <w:rPr>
          <w:rFonts w:ascii="Times New Roman" w:hAnsi="Times New Roman" w:eastAsia="仿宋_GB2312"/>
        </w:rPr>
      </w:pPr>
      <w:r>
        <w:rPr>
          <w:rFonts w:hint="eastAsia" w:ascii="Times New Roman" w:hAnsi="Times New Roman" w:eastAsia="仿宋_GB2312" w:cs="宋体"/>
          <w:b/>
          <w:i w:val="0"/>
          <w:caps w:val="0"/>
          <w:color w:val="333333"/>
          <w:spacing w:val="0"/>
          <w:sz w:val="32"/>
          <w:szCs w:val="32"/>
          <w:shd w:val="clear" w:color="auto" w:fill="FFFFFF"/>
        </w:rPr>
        <w:fldChar w:fldCharType="begin"/>
      </w:r>
      <w:r>
        <w:rPr>
          <w:rFonts w:hint="eastAsia" w:ascii="Times New Roman" w:hAnsi="Times New Roman" w:eastAsia="仿宋_GB2312" w:cs="宋体"/>
          <w:b/>
          <w:i w:val="0"/>
          <w:caps w:val="0"/>
          <w:color w:val="333333"/>
          <w:spacing w:val="0"/>
          <w:sz w:val="32"/>
          <w:szCs w:val="32"/>
          <w:shd w:val="clear" w:color="auto" w:fill="FFFFFF"/>
        </w:rPr>
        <w:instrText xml:space="preserve">TOC \o "1-2" \h \u</w:instrText>
      </w:r>
      <w:r>
        <w:rPr>
          <w:rFonts w:hint="eastAsia" w:ascii="Times New Roman" w:hAnsi="Times New Roman" w:eastAsia="仿宋_GB2312" w:cs="宋体"/>
          <w:b/>
          <w:i w:val="0"/>
          <w:caps w:val="0"/>
          <w:color w:val="333333"/>
          <w:spacing w:val="0"/>
          <w:sz w:val="32"/>
          <w:szCs w:val="32"/>
          <w:shd w:val="clear" w:color="auto" w:fill="FFFFFF"/>
        </w:rPr>
        <w:fldChar w:fldCharType="separate"/>
      </w:r>
    </w:p>
    <w:p>
      <w:pPr>
        <w:pStyle w:val="20"/>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"_Toc1706"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一、基本职能及主要工作</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_Toc1706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1</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"_Toc21583"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二、部门预算单位构成</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_Toc21583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4</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"_Toc1384"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三、收支预算情况说明</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_Toc1384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5</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"_Toc15441"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四、财政拨款收支预算情况说明</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_Toc15441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5</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"_Toc22490"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五、一般公共预算当年拨款情况说明</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_Toc22490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6</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"_Toc2415"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六、一般公共预算基本支出情况说明</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_Toc2415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7</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"_Toc17047"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七、“三公”经费财政拨款预算安排情况说明</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_Toc17047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7</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"_Toc17764"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八、政府性基金预算支出情况说明</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_Toc17764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8</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"_Toc2481"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九、国有资本经营预算支出情况说明</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_Toc2481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8</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ascii="黑体" w:hAnsi="宋体" w:eastAsia="黑体" w:cs="黑体"/>
          <w:b/>
          <w:i w:val="0"/>
          <w:caps w:val="0"/>
          <w:spacing w:val="0"/>
          <w:kern w:val="0"/>
          <w:sz w:val="28"/>
          <w:szCs w:val="28"/>
          <w:lang w:val="en-US" w:eastAsia="zh-CN" w:bidi="en-AU"/>
        </w:rPr>
      </w:pPr>
      <w:r>
        <w:fldChar w:fldCharType="begin"/>
      </w:r>
      <w:r>
        <w:instrText xml:space="preserve"> HYPERLINK \l "_Toc8881"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十、其他重要事项的情况说明</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_Toc8881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8</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20"/>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ascii="Times New Roman" w:hAnsi="Times New Roman" w:eastAsia="仿宋_GB2312" w:cs="方正小标宋简体"/>
          <w:i w:val="0"/>
          <w:caps w:val="0"/>
          <w:color w:val="333333"/>
          <w:spacing w:val="0"/>
          <w:kern w:val="0"/>
          <w:sz w:val="28"/>
          <w:szCs w:val="28"/>
          <w:lang w:val="en-US" w:eastAsia="zh-CN" w:bidi="en-AU"/>
        </w:rPr>
      </w:pPr>
      <w:r>
        <w:fldChar w:fldCharType="begin"/>
      </w:r>
      <w:r>
        <w:instrText xml:space="preserve"> HYPERLINK \l "_Toc16901" </w:instrText>
      </w:r>
      <w:r>
        <w:fldChar w:fldCharType="separate"/>
      </w:r>
      <w:r>
        <w:rPr>
          <w:rFonts w:hint="eastAsia" w:ascii="黑体" w:hAnsi="宋体" w:eastAsia="黑体" w:cs="黑体"/>
          <w:b/>
          <w:i w:val="0"/>
          <w:caps w:val="0"/>
          <w:spacing w:val="0"/>
          <w:kern w:val="0"/>
          <w:sz w:val="28"/>
          <w:szCs w:val="28"/>
          <w:shd w:val="clear" w:color="auto" w:fill="FFFFFF"/>
          <w:lang w:val="en-US" w:eastAsia="zh-CN" w:bidi="en-AU"/>
        </w:rPr>
        <w:t>十一、名词解释</w:t>
      </w:r>
      <w:r>
        <w:rPr>
          <w:rFonts w:hint="eastAsia" w:ascii="黑体" w:hAnsi="宋体" w:eastAsia="黑体" w:cs="黑体"/>
          <w:b/>
          <w:i w:val="0"/>
          <w:caps w:val="0"/>
          <w:spacing w:val="0"/>
          <w:kern w:val="0"/>
          <w:sz w:val="28"/>
          <w:szCs w:val="28"/>
          <w:shd w:val="clear" w:color="auto" w:fill="FFFFFF"/>
          <w:lang w:val="en-US" w:eastAsia="zh-CN" w:bidi="en-AU"/>
        </w:rPr>
        <w:tab/>
      </w:r>
      <w:r>
        <w:rPr>
          <w:rFonts w:hint="eastAsia" w:ascii="黑体" w:hAnsi="宋体" w:eastAsia="黑体" w:cs="黑体"/>
          <w:b/>
          <w:i w:val="0"/>
          <w:caps w:val="0"/>
          <w:spacing w:val="0"/>
          <w:kern w:val="0"/>
          <w:sz w:val="28"/>
          <w:szCs w:val="28"/>
          <w:shd w:val="clear" w:color="auto" w:fill="FFFFFF"/>
          <w:lang w:val="en-US" w:eastAsia="zh-CN" w:bidi="en-AU"/>
        </w:rPr>
        <w:fldChar w:fldCharType="begin"/>
      </w:r>
      <w:r>
        <w:rPr>
          <w:rFonts w:hint="eastAsia" w:ascii="黑体" w:hAnsi="宋体" w:eastAsia="黑体" w:cs="黑体"/>
          <w:b/>
          <w:i w:val="0"/>
          <w:caps w:val="0"/>
          <w:spacing w:val="0"/>
          <w:kern w:val="0"/>
          <w:sz w:val="28"/>
          <w:szCs w:val="28"/>
          <w:shd w:val="clear" w:color="auto" w:fill="FFFFFF"/>
          <w:lang w:val="en-US" w:eastAsia="zh-CN" w:bidi="en-AU"/>
        </w:rPr>
        <w:instrText xml:space="preserve"> PAGEREF _Toc16901 \h </w:instrText>
      </w:r>
      <w:r>
        <w:rPr>
          <w:rFonts w:hint="eastAsia" w:ascii="黑体" w:hAnsi="宋体" w:eastAsia="黑体" w:cs="黑体"/>
          <w:b/>
          <w:i w:val="0"/>
          <w:caps w:val="0"/>
          <w:spacing w:val="0"/>
          <w:kern w:val="0"/>
          <w:sz w:val="28"/>
          <w:szCs w:val="28"/>
          <w:shd w:val="clear" w:color="auto" w:fill="FFFFFF"/>
          <w:lang w:val="en-US" w:eastAsia="zh-CN" w:bidi="en-AU"/>
        </w:rPr>
        <w:fldChar w:fldCharType="separate"/>
      </w:r>
      <w:r>
        <w:rPr>
          <w:rFonts w:hint="eastAsia" w:ascii="黑体" w:hAnsi="宋体" w:eastAsia="黑体" w:cs="黑体"/>
          <w:b/>
          <w:i w:val="0"/>
          <w:caps w:val="0"/>
          <w:spacing w:val="0"/>
          <w:kern w:val="0"/>
          <w:sz w:val="28"/>
          <w:szCs w:val="28"/>
          <w:shd w:val="clear" w:color="auto" w:fill="FFFFFF"/>
          <w:lang w:val="en-US" w:eastAsia="zh-CN" w:bidi="en-AU"/>
        </w:rPr>
        <w:t>9</w:t>
      </w:r>
      <w:r>
        <w:rPr>
          <w:rFonts w:hint="eastAsia" w:ascii="黑体" w:hAnsi="宋体" w:eastAsia="黑体" w:cs="黑体"/>
          <w:b/>
          <w:i w:val="0"/>
          <w:caps w:val="0"/>
          <w:spacing w:val="0"/>
          <w:kern w:val="0"/>
          <w:sz w:val="28"/>
          <w:szCs w:val="28"/>
          <w:shd w:val="clear" w:color="auto" w:fill="FFFFFF"/>
          <w:lang w:val="en-US" w:eastAsia="zh-CN" w:bidi="en-AU"/>
        </w:rPr>
        <w:fldChar w:fldCharType="end"/>
      </w:r>
      <w:r>
        <w:rPr>
          <w:rFonts w:hint="eastAsia" w:ascii="黑体" w:hAnsi="宋体" w:eastAsia="黑体" w:cs="黑体"/>
          <w:b/>
          <w:i w:val="0"/>
          <w:caps w:val="0"/>
          <w:spacing w:val="0"/>
          <w:kern w:val="0"/>
          <w:sz w:val="28"/>
          <w:szCs w:val="28"/>
          <w:shd w:val="clear" w:color="auto" w:fill="FFFFFF"/>
          <w:lang w:val="en-US" w:eastAsia="zh-CN" w:bidi="en-AU"/>
        </w:rPr>
        <w:fldChar w:fldCharType="end"/>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480" w:firstLineChars="200"/>
        <w:jc w:val="both"/>
        <w:textAlignment w:val="auto"/>
        <w:rPr>
          <w:rFonts w:hint="eastAsia" w:ascii="Times New Roman" w:hAnsi="Times New Roman" w:eastAsia="仿宋_GB2312" w:cs="宋体"/>
          <w:b/>
          <w:i w:val="0"/>
          <w:caps w:val="0"/>
          <w:color w:val="333333"/>
          <w:spacing w:val="0"/>
          <w:szCs w:val="32"/>
          <w:lang w:val="en-US" w:eastAsia="zh-CN"/>
        </w:rPr>
      </w:pPr>
      <w:r>
        <w:rPr>
          <w:rFonts w:hint="eastAsia" w:ascii="Times New Roman" w:hAnsi="Times New Roman" w:eastAsia="仿宋_GB2312" w:cs="宋体"/>
          <w:i w:val="0"/>
          <w:caps w:val="0"/>
          <w:color w:val="333333"/>
          <w:spacing w:val="0"/>
          <w:szCs w:val="32"/>
          <w:shd w:val="clear" w:color="auto" w:fill="FFFFFF"/>
        </w:rPr>
        <w:fldChar w:fldCharType="end"/>
      </w:r>
      <w:r>
        <w:rPr>
          <w:rFonts w:hint="eastAsia" w:ascii="Times New Roman" w:hAnsi="Times New Roman" w:eastAsia="仿宋_GB2312" w:cs="宋体"/>
          <w:b/>
          <w:i w:val="0"/>
          <w:caps w:val="0"/>
          <w:color w:val="333333"/>
          <w:spacing w:val="0"/>
          <w:szCs w:val="32"/>
          <w:shd w:val="clear" w:color="auto" w:fill="FFFFFF"/>
          <w:lang w:val="en-US" w:eastAsia="zh-CN"/>
        </w:rPr>
        <w:t xml:space="preserve">   </w:t>
      </w: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center" w:pos="4153"/>
        </w:tabs>
        <w:bidi w:val="0"/>
        <w:jc w:val="left"/>
        <w:rPr>
          <w:rFonts w:hint="default"/>
          <w:lang w:val="en-US" w:eastAsia="zh-CN"/>
        </w:rPr>
        <w:sectPr>
          <w:footerReference r:id="rId3" w:type="default"/>
          <w:pgSz w:w="11906" w:h="16838"/>
          <w:pgMar w:top="1440" w:right="1800" w:bottom="1440" w:left="1800" w:header="720" w:footer="720" w:gutter="0"/>
          <w:pgNumType w:fmt="decimal" w:start="1"/>
          <w:docGrid w:type="lines" w:linePitch="312" w:charSpace="0"/>
        </w:sectPr>
      </w:pPr>
      <w:r>
        <w:rPr>
          <w:rFonts w:hint="eastAsia"/>
          <w:lang w:val="en-US" w:eastAsia="zh-CN"/>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outlineLvl w:val="0"/>
        <w:rPr>
          <w:rFonts w:hint="eastAsia" w:ascii="黑体" w:hAnsi="黑体" w:eastAsia="黑体" w:cs="黑体"/>
          <w:i w:val="0"/>
          <w:caps w:val="0"/>
          <w:color w:val="333333"/>
          <w:spacing w:val="0"/>
          <w:sz w:val="32"/>
          <w:szCs w:val="32"/>
        </w:rPr>
      </w:pPr>
      <w:bookmarkStart w:id="4" w:name="_Toc1706"/>
      <w:r>
        <w:rPr>
          <w:rFonts w:hint="eastAsia" w:ascii="黑体" w:hAnsi="黑体" w:eastAsia="黑体" w:cs="黑体"/>
          <w:i w:val="0"/>
          <w:caps w:val="0"/>
          <w:color w:val="333333"/>
          <w:spacing w:val="0"/>
          <w:kern w:val="0"/>
          <w:sz w:val="32"/>
          <w:szCs w:val="32"/>
          <w:shd w:val="clear" w:color="auto" w:fill="FFFFFF"/>
          <w:lang w:val="en-US" w:eastAsia="zh-CN" w:bidi="en-AU"/>
        </w:rPr>
        <w:t>一、基本职能及主要工作</w:t>
      </w:r>
      <w:bookmarkEnd w:id="4"/>
    </w:p>
    <w:p>
      <w:pPr>
        <w:pStyle w:val="20"/>
        <w:keepNext w:val="0"/>
        <w:keepLines w:val="0"/>
        <w:pageBreakBefore w:val="0"/>
        <w:tabs>
          <w:tab w:val="right" w:leader="dot" w:pos="8306"/>
        </w:tabs>
        <w:kinsoku/>
        <w:wordWrap/>
        <w:overflowPunct/>
        <w:topLinePunct w:val="0"/>
        <w:autoSpaceDE/>
        <w:autoSpaceDN/>
        <w:bidi w:val="0"/>
        <w:adjustRightInd/>
        <w:snapToGrid/>
        <w:spacing w:line="576" w:lineRule="exact"/>
        <w:textAlignment w:val="auto"/>
        <w:rPr>
          <w:rFonts w:hint="eastAsia" w:ascii="Times New Roman" w:hAnsi="Times New Roman" w:eastAsia="仿宋_GB2312" w:cs="楷体_GB2312"/>
          <w:b/>
          <w:i w:val="0"/>
          <w:caps w:val="0"/>
          <w:color w:val="333333"/>
          <w:spacing w:val="0"/>
          <w:sz w:val="32"/>
          <w:szCs w:val="32"/>
        </w:rPr>
      </w:pPr>
      <w:bookmarkStart w:id="5" w:name="_Toc32086"/>
      <w:r>
        <w:rPr>
          <w:rFonts w:hint="eastAsia" w:ascii="楷体_GB2312" w:hAnsi="楷体_GB2312" w:eastAsia="楷体_GB2312" w:cs="楷体_GB2312"/>
          <w:b w:val="0"/>
          <w:bCs/>
          <w:i w:val="0"/>
          <w:caps w:val="0"/>
          <w:color w:val="333333"/>
          <w:spacing w:val="0"/>
          <w:sz w:val="32"/>
          <w:szCs w:val="32"/>
          <w:shd w:val="clear" w:color="auto" w:fill="FFFFFF"/>
        </w:rPr>
        <w:t>（一）</w:t>
      </w:r>
      <w:r>
        <w:rPr>
          <w:rFonts w:hint="eastAsia" w:ascii="楷体_GB2312" w:hAnsi="楷体_GB2312" w:eastAsia="楷体_GB2312" w:cs="楷体_GB2312"/>
          <w:b w:val="0"/>
          <w:bCs/>
          <w:i w:val="0"/>
          <w:caps w:val="0"/>
          <w:color w:val="333333"/>
          <w:spacing w:val="0"/>
          <w:sz w:val="32"/>
          <w:szCs w:val="32"/>
          <w:shd w:val="clear" w:color="auto" w:fill="FFFFFF"/>
          <w:lang w:val="en-US" w:eastAsia="zh-CN"/>
        </w:rPr>
        <w:t>区妇幼保健院</w:t>
      </w:r>
      <w:r>
        <w:rPr>
          <w:rFonts w:hint="eastAsia" w:ascii="方正仿宋_GB2312" w:hAnsi="方正仿宋_GB2312" w:eastAsia="方正仿宋_GB2312" w:cs="方正仿宋_GB2312"/>
          <w:i w:val="0"/>
          <w:caps w:val="0"/>
          <w:color w:val="333333"/>
          <w:spacing w:val="0"/>
          <w:kern w:val="0"/>
          <w:sz w:val="32"/>
          <w:szCs w:val="32"/>
          <w:shd w:val="clear" w:color="auto" w:fill="FFFFFF"/>
          <w:lang w:val="en-US" w:eastAsia="zh-CN" w:bidi="en-AU"/>
        </w:rPr>
        <w:t>职能</w:t>
      </w:r>
      <w:r>
        <w:rPr>
          <w:rFonts w:hint="eastAsia" w:ascii="楷体_GB2312" w:hAnsi="楷体_GB2312" w:eastAsia="楷体_GB2312" w:cs="楷体_GB2312"/>
          <w:b w:val="0"/>
          <w:bCs/>
          <w:i w:val="0"/>
          <w:caps w:val="0"/>
          <w:color w:val="333333"/>
          <w:spacing w:val="0"/>
          <w:sz w:val="32"/>
          <w:szCs w:val="32"/>
          <w:shd w:val="clear" w:color="auto" w:fill="FFFFFF"/>
        </w:rPr>
        <w:t>简介</w:t>
      </w:r>
      <w:bookmarkEnd w:id="5"/>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广元市昭化区妇幼保健院是国家二级甲等妇幼保健院，全国爱婴医院，120急救网络医院，昭化区产儿科急救中心和妇幼保健、计划生育指导单位，市区各类医疗保险定点机构，是集保健、临床于一体的县级妇幼保健机构，承担全区妇幼公共卫生项目、民生项目的实施以及妇女儿童保健技术的业务指导和常见病、多发病的临床诊治工作。</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outlineLvl w:val="1"/>
        <w:rPr>
          <w:rFonts w:hint="eastAsia" w:ascii="楷体_GB2312" w:hAnsi="楷体_GB2312" w:eastAsia="楷体_GB2312" w:cs="楷体_GB2312"/>
          <w:b w:val="0"/>
          <w:bCs/>
          <w:i w:val="0"/>
          <w:caps w:val="0"/>
          <w:color w:val="333333"/>
          <w:spacing w:val="0"/>
          <w:sz w:val="32"/>
          <w:szCs w:val="32"/>
        </w:rPr>
      </w:pPr>
      <w:bookmarkStart w:id="6" w:name="_Toc8364"/>
      <w:r>
        <w:rPr>
          <w:rFonts w:hint="eastAsia" w:ascii="楷体_GB2312" w:hAnsi="楷体_GB2312" w:eastAsia="楷体_GB2312" w:cs="楷体_GB2312"/>
          <w:b w:val="0"/>
          <w:bCs/>
          <w:i w:val="0"/>
          <w:caps w:val="0"/>
          <w:color w:val="333333"/>
          <w:spacing w:val="0"/>
          <w:sz w:val="32"/>
          <w:szCs w:val="32"/>
          <w:shd w:val="clear" w:color="auto" w:fill="FFFFFF"/>
          <w:lang w:val="en-US" w:eastAsia="zh-CN"/>
        </w:rPr>
        <w:t>（二）区妇幼保健院</w:t>
      </w:r>
      <w:r>
        <w:rPr>
          <w:rFonts w:hint="eastAsia" w:ascii="楷体_GB2312" w:hAnsi="楷体_GB2312" w:eastAsia="楷体_GB2312" w:cs="楷体_GB2312"/>
          <w:b w:val="0"/>
          <w:bCs/>
          <w:i w:val="0"/>
          <w:caps w:val="0"/>
          <w:color w:val="333333"/>
          <w:spacing w:val="0"/>
          <w:sz w:val="32"/>
          <w:szCs w:val="32"/>
          <w:shd w:val="clear" w:color="auto" w:fill="FFFFFF"/>
        </w:rPr>
        <w:t>202</w:t>
      </w:r>
      <w:r>
        <w:rPr>
          <w:rFonts w:hint="eastAsia" w:ascii="楷体_GB2312" w:hAnsi="楷体_GB2312" w:eastAsia="楷体_GB2312" w:cs="楷体_GB2312"/>
          <w:b w:val="0"/>
          <w:bCs/>
          <w:i w:val="0"/>
          <w:caps w:val="0"/>
          <w:color w:val="333333"/>
          <w:spacing w:val="0"/>
          <w:sz w:val="32"/>
          <w:szCs w:val="32"/>
          <w:shd w:val="clear" w:color="auto" w:fill="FFFFFF"/>
          <w:lang w:val="en-US" w:eastAsia="zh-CN"/>
        </w:rPr>
        <w:t>3</w:t>
      </w:r>
      <w:r>
        <w:rPr>
          <w:rFonts w:hint="eastAsia" w:ascii="楷体_GB2312" w:hAnsi="楷体_GB2312" w:eastAsia="楷体_GB2312" w:cs="楷体_GB2312"/>
          <w:b w:val="0"/>
          <w:bCs/>
          <w:i w:val="0"/>
          <w:caps w:val="0"/>
          <w:color w:val="333333"/>
          <w:spacing w:val="0"/>
          <w:sz w:val="32"/>
          <w:szCs w:val="32"/>
          <w:shd w:val="clear" w:color="auto" w:fill="FFFFFF"/>
        </w:rPr>
        <w:t>年重点工作</w:t>
      </w:r>
      <w:bookmarkEnd w:id="6"/>
    </w:p>
    <w:p>
      <w:pPr>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1.抓好党建及党风廉政建设</w:t>
      </w:r>
    </w:p>
    <w:p>
      <w:pPr>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把党的政治建设摆在首位，深入学习贯彻党的二十大精神，营造党建阵地氛围，加强党员队伍建设，激发党建活力，进一步夯实包联共建工作，开展好为民办实事活动。坚持党建对各项工作的统领，树立“抓党建就是抓全局”的鲜明导向，促进党建和业务深度融合，坚持党建工作和党风廉政工作共同谋划、共同部署。要强化全面从严治党责任担当，有效传导压力，发挥好班子集体作用，强化协作配合，形成工作合力，完善院内廉洁风险点排查和防范应对，强化制度建立，随时督促检查，及时纠偏固正，为医院各项工作的有序开展提供坚强的纪律保障。落实好党管宣传的要求，积极指导全院职工对医院、科室、个人进行正面、有效宣传，制定相关任务完成量。</w:t>
      </w:r>
    </w:p>
    <w:p>
      <w:pPr>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2.抓好医疗保健业务工作</w:t>
      </w:r>
    </w:p>
    <w:p>
      <w:pPr>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黑体"/>
          <w:b w:val="0"/>
          <w:bCs w:val="0"/>
          <w:sz w:val="32"/>
          <w:szCs w:val="32"/>
          <w:lang w:val="en-US" w:eastAsia="zh-CN"/>
        </w:rPr>
        <w:t>（</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1）做好新冠疫情防控“乙类乙管”工作。加强医院感染控制工作、防止医院感染暴发流行、突出院感各项监测前瞻性及时效性；加强医院感染管理三级体系效能发挥，进一步完善院感制度流程，实施规范化管理；全面开展医院感染各项监测工作，规范管理医院感染重点科室；加强传染病数据的上报，确保数据精准、可追溯；做好新冠相关政策调整的院感培训、管控与督导。</w:t>
      </w:r>
    </w:p>
    <w:p>
      <w:pPr>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2）做好医疗保健业务能力提升工作。妇产科、儿科积极申报创建市级重点专科。加强医技科的检验检查能力，全力推进检验科的规范改造，添置功能科的检查设备，提高放射科的设备使用效率。积极开展新技术新项目，增设乳腺外科、儿童外科及五官科；加大胃镜、肠镜临床应用检查；加大妇科利普刀的临床应用，拓展妇科业务；积极推广中医适宜技术的服务范围；加强门急诊能力建设，规范内科、外科、儿科、妇科专家门诊。积极拓展儿童保健及孕产妇保健服务项目，建成儿童预防接种门诊，持续做好盆底康复、产后康复业务。持续加强与社区卫生服务中心的医联体建设。</w:t>
      </w:r>
    </w:p>
    <w:p>
      <w:pPr>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3）做好妇幼公共卫生服务。及时跟进孕产妇、婴儿及5岁以下儿童死亡率、出生缺陷防治措施落实率等妇幼健康核心指标，确保目标任务完成，妇幼信息统计数据口径统一、安全。认真梳理解决妇幼卫生项目工作的重点、难点问题和薄弱环节，制定好详细的工作时间进度表，并认真组织实施；选择基础较好的乡镇打造妇幼工作模范点，带动辖区妇幼工作上档升级。</w:t>
      </w:r>
    </w:p>
    <w:p>
      <w:pPr>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4）做好医疗质量和医疗安全工作。进一步加强医疗质量和医疗安全的监督管理，严格依法执业，规范执业行为，防止医疗纠纷，确保医疗安全。建立门诊医疗文书书写规范与质量检查制度，充分发挥医院病案管理委员会的职能，重新修订《病历月度考核方案》并严格执行。全面加强临床护理工作，深化专业内涵，拓展服务领域，持续推进优质护理服务。</w:t>
      </w:r>
    </w:p>
    <w:p>
      <w:pPr>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（5）抓好医保政策的执行，保障医院和群众的正当利益。按照区医保局的工作安排，遵循</w:t>
      </w:r>
      <w:r>
        <w:rPr>
          <w:rFonts w:hint="default" w:ascii="Times New Roman" w:hAnsi="Times New Roman" w:eastAsia="仿宋_GB2312" w:cs="仿宋_GB2312"/>
          <w:i w:val="0"/>
          <w:caps w:val="0"/>
          <w:color w:val="333333"/>
          <w:spacing w:val="0"/>
          <w:kern w:val="0"/>
          <w:sz w:val="32"/>
          <w:szCs w:val="32"/>
          <w:shd w:val="clear" w:color="auto" w:fill="FFFFFF"/>
          <w:lang w:val="en-US" w:eastAsia="zh-CN" w:bidi="en-AU"/>
        </w:rPr>
        <w:t>“把握精神，吃透政策，大力宣传，稳步推进，狠抓落实”的总体思路，认真开展各项工作</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w:t>
      </w:r>
      <w:r>
        <w:rPr>
          <w:rFonts w:hint="default" w:ascii="Times New Roman" w:hAnsi="Times New Roman" w:eastAsia="仿宋_GB2312" w:cs="仿宋_GB2312"/>
          <w:i w:val="0"/>
          <w:caps w:val="0"/>
          <w:color w:val="333333"/>
          <w:spacing w:val="0"/>
          <w:kern w:val="0"/>
          <w:sz w:val="32"/>
          <w:szCs w:val="32"/>
          <w:shd w:val="clear" w:color="auto" w:fill="FFFFFF"/>
          <w:lang w:val="en-US" w:eastAsia="zh-CN" w:bidi="en-AU"/>
        </w:rPr>
        <w:t>一是持续加强对全院职工</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医保政策</w:t>
      </w:r>
      <w:r>
        <w:rPr>
          <w:rFonts w:hint="default" w:ascii="Times New Roman" w:hAnsi="Times New Roman" w:eastAsia="仿宋_GB2312" w:cs="仿宋_GB2312"/>
          <w:i w:val="0"/>
          <w:caps w:val="0"/>
          <w:color w:val="333333"/>
          <w:spacing w:val="0"/>
          <w:kern w:val="0"/>
          <w:sz w:val="32"/>
          <w:szCs w:val="32"/>
          <w:shd w:val="clear" w:color="auto" w:fill="FFFFFF"/>
          <w:lang w:val="en-US" w:eastAsia="zh-CN" w:bidi="en-AU"/>
        </w:rPr>
        <w:t>的培训学习，尤其是加大对调整后政策内容的宣传解读与公示公开，确保做到更加精细、突出重点，扎实提升政策知晓度</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二是抓窗口服务质量提升，按照“便民、高效、廉洁、规范”的服务宗旨，严格把关，用心操作，一站式真情服务，提升参保患者的满意度；宣传推广医保电子凭证的使用，指引群众能够在互联网上高效、安全地享受医疗保障部门的各项公共服务，提高优质服务的便民性；进一步优化DRG付费结算工作。</w:t>
      </w:r>
    </w:p>
    <w:p>
      <w:pPr>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3.抓好行政管理，做好后勤保障</w:t>
      </w:r>
    </w:p>
    <w:p>
      <w:pPr>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1）健全管理制度，规范工作流程。梳理医院基本制度，剔除与当前医院发展不相适宜的陈旧制度，更新、细化、完善与当前工作紧密结合的，与二级甲等保健院相匹配的新制度。加大节能减排降耗工作督查，为增收节支提供坚强保障。进一步完善年度目标责任书相关引导指标，严格按时组织月度考核工作，有针对性地举办质量管理委员会的运行分析，督促医院短板不足得到纠偏扶正。</w:t>
      </w:r>
    </w:p>
    <w:p>
      <w:pPr>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2）持续推动信息化建设，提升医院服务能力。持续开展信息机组及医院管理系统的日常巡查维护，保障各科室网络、信息正常运行和网络信息安全，新增加的电子票据、银医自助、分诊叫号、两病医保改革、新物流、体检系统上线，做好相关维护管理。完成省药械平台接口，保证上线使用；完成四川省法定传染病检测信息报告自动交换接口，保证模块尽快投入使用；完成机房精密空调维修保养工作，确保机房硬件设备设施安全。进一步规范院内信息数据采集和信息报送。</w:t>
      </w:r>
    </w:p>
    <w:p>
      <w:pPr>
        <w:pageBreakBefore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3）抓实安全生产工作，全面保障医院正常有序运转。要履行好安全生产直接责任人职责，持续抓好安全隐患排查，杜绝安全事故；加强救护车的维护保养和运行监管，保证急诊用车的及时性；做好院内维修改造等基建项目的规范实施和已完工程的收尾工作，履行好项目办职责；加强洗涤、消防、后勤服务等外包公司监管，加强医院资产和水电气的管理，保障医院临床服务的及时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outlineLvl w:val="0"/>
        <w:rPr>
          <w:rFonts w:hint="default" w:ascii="黑体" w:hAnsi="黑体" w:eastAsia="黑体" w:cs="黑体"/>
          <w:i w:val="0"/>
          <w:caps w:val="0"/>
          <w:color w:val="333333"/>
          <w:spacing w:val="0"/>
          <w:kern w:val="0"/>
          <w:sz w:val="32"/>
          <w:szCs w:val="32"/>
          <w:lang w:val="en-US" w:eastAsia="zh-CN" w:bidi="en-AU"/>
        </w:rPr>
      </w:pPr>
      <w:bookmarkStart w:id="7" w:name="_Toc21583"/>
      <w:r>
        <w:rPr>
          <w:rFonts w:hint="eastAsia" w:ascii="黑体" w:hAnsi="黑体" w:eastAsia="黑体" w:cs="黑体"/>
          <w:i w:val="0"/>
          <w:caps w:val="0"/>
          <w:color w:val="333333"/>
          <w:spacing w:val="0"/>
          <w:kern w:val="0"/>
          <w:sz w:val="32"/>
          <w:szCs w:val="32"/>
          <w:shd w:val="clear" w:color="auto" w:fill="FFFFFF"/>
          <w:lang w:val="en-US" w:eastAsia="zh-CN" w:bidi="en-AU"/>
        </w:rPr>
        <w:t>二、部门预算单位构成</w:t>
      </w:r>
      <w:bookmarkEnd w:id="7"/>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我单位为二级预算单位，隶属于广元市昭化区卫生健康局，为公益一类预算单位，设有妇产科、儿科、外科、内科、孕产及妇女保健部、儿童保健部、医技科、手术室、药房等临床、保健、医技医辅科室14个，其中儿科和妇产科为区级重点专科。</w:t>
      </w:r>
      <w:bookmarkStart w:id="8" w:name="_Toc1384"/>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default" w:ascii="黑体" w:hAnsi="黑体" w:eastAsia="黑体" w:cs="黑体"/>
          <w:i w:val="0"/>
          <w:caps w:val="0"/>
          <w:color w:val="333333"/>
          <w:spacing w:val="0"/>
          <w:kern w:val="0"/>
          <w:sz w:val="32"/>
          <w:szCs w:val="32"/>
          <w:lang w:val="en-US" w:eastAsia="zh-CN" w:bidi="en-AU"/>
        </w:rPr>
      </w:pPr>
      <w:r>
        <w:rPr>
          <w:rFonts w:hint="eastAsia" w:ascii="黑体" w:hAnsi="黑体" w:eastAsia="黑体" w:cs="黑体"/>
          <w:i w:val="0"/>
          <w:caps w:val="0"/>
          <w:color w:val="333333"/>
          <w:spacing w:val="0"/>
          <w:kern w:val="0"/>
          <w:sz w:val="32"/>
          <w:szCs w:val="32"/>
          <w:shd w:val="clear" w:color="auto" w:fill="FFFFFF"/>
          <w:lang w:val="en-US" w:eastAsia="zh-CN" w:bidi="en-AU"/>
        </w:rPr>
        <w:t>三、收支预算情况说明</w:t>
      </w:r>
      <w:bookmarkEnd w:id="8"/>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按照综合预算的原则，区妇幼保健院所有收入和支出均纳入部门预算管理。收入包括：一般公共预算拨款收入、上年结转；支出包括：社会保障和就业支出、卫生健康支出、住房保障支出。区妇幼保健院2023年收支总预算</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545.62</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万元，比2022年收支预算总数增加47.63万元，主要原因是专业技术人员职称晋升、工资调整、新进在编人员2名等形成人员经费增加。</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outlineLvl w:val="1"/>
        <w:rPr>
          <w:rFonts w:hint="eastAsia" w:ascii="楷体_GB2312" w:hAnsi="楷体_GB2312" w:eastAsia="楷体_GB2312" w:cs="楷体_GB2312"/>
          <w:b w:val="0"/>
          <w:bCs/>
          <w:i w:val="0"/>
          <w:caps w:val="0"/>
          <w:color w:val="333333"/>
          <w:spacing w:val="0"/>
          <w:kern w:val="2"/>
          <w:sz w:val="32"/>
          <w:szCs w:val="32"/>
          <w:lang w:val="en-US" w:eastAsia="zh-CN" w:bidi="ar-SA"/>
        </w:rPr>
      </w:pPr>
      <w:bookmarkStart w:id="9" w:name="_Toc24389"/>
      <w:r>
        <w:rPr>
          <w:rFonts w:hint="eastAsia" w:ascii="楷体_GB2312" w:hAnsi="楷体_GB2312" w:eastAsia="楷体_GB2312" w:cs="楷体_GB2312"/>
          <w:b w:val="0"/>
          <w:bCs/>
          <w:i w:val="0"/>
          <w:caps w:val="0"/>
          <w:color w:val="333333"/>
          <w:spacing w:val="0"/>
          <w:kern w:val="2"/>
          <w:sz w:val="32"/>
          <w:szCs w:val="32"/>
          <w:shd w:val="clear" w:color="auto" w:fill="FFFFFF"/>
          <w:lang w:val="en-US" w:eastAsia="zh-CN" w:bidi="ar-SA"/>
        </w:rPr>
        <w:t>（一）收入预算情况</w:t>
      </w:r>
      <w:bookmarkEnd w:id="9"/>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昭化区妇幼保健院2023年收入预算545.62万元，其中：一般公共预算拨款收入</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545.62</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万元，占</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100</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w:t>
      </w:r>
      <w:bookmarkStart w:id="10" w:name="_Toc22180"/>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楷体_GB2312" w:hAnsi="楷体_GB2312" w:eastAsia="楷体_GB2312" w:cs="楷体_GB2312"/>
          <w:b w:val="0"/>
          <w:bCs/>
          <w:i w:val="0"/>
          <w:caps w:val="0"/>
          <w:color w:val="333333"/>
          <w:spacing w:val="0"/>
          <w:sz w:val="32"/>
          <w:szCs w:val="32"/>
          <w:lang w:val="en-US" w:eastAsia="zh-CN"/>
        </w:rPr>
      </w:pPr>
      <w:r>
        <w:rPr>
          <w:rFonts w:hint="eastAsia" w:ascii="楷体_GB2312" w:hAnsi="楷体_GB2312" w:eastAsia="楷体_GB2312" w:cs="楷体_GB2312"/>
          <w:b w:val="0"/>
          <w:bCs/>
          <w:i w:val="0"/>
          <w:caps w:val="0"/>
          <w:color w:val="333333"/>
          <w:spacing w:val="0"/>
          <w:kern w:val="2"/>
          <w:sz w:val="32"/>
          <w:szCs w:val="32"/>
          <w:shd w:val="clear" w:color="auto" w:fill="FFFFFF"/>
          <w:lang w:val="en-US" w:eastAsia="zh-CN" w:bidi="ar-SA"/>
        </w:rPr>
        <w:t>（二）</w:t>
      </w:r>
      <w:r>
        <w:rPr>
          <w:rFonts w:hint="eastAsia" w:ascii="楷体_GB2312" w:hAnsi="楷体_GB2312" w:eastAsia="楷体_GB2312" w:cs="楷体_GB2312"/>
          <w:b w:val="0"/>
          <w:bCs/>
          <w:i w:val="0"/>
          <w:caps w:val="0"/>
          <w:color w:val="333333"/>
          <w:spacing w:val="0"/>
          <w:sz w:val="32"/>
          <w:szCs w:val="32"/>
          <w:shd w:val="clear" w:color="auto" w:fill="FFFFFF"/>
          <w:lang w:val="en-US" w:eastAsia="zh-CN"/>
        </w:rPr>
        <w:t>支出预算情况</w:t>
      </w:r>
      <w:bookmarkEnd w:id="10"/>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昭化区妇幼保健院2023年支出预算</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545.62</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万元，其中：基本支出</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535.06</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万元，占</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98</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w:t>
      </w:r>
      <w:bookmarkStart w:id="11" w:name="_Toc15441"/>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 xml:space="preserve">  </w:t>
      </w:r>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default" w:ascii="黑体" w:hAnsi="黑体" w:eastAsia="黑体" w:cs="黑体"/>
          <w:i w:val="0"/>
          <w:caps w:val="0"/>
          <w:color w:val="333333"/>
          <w:spacing w:val="0"/>
          <w:kern w:val="0"/>
          <w:sz w:val="32"/>
          <w:szCs w:val="32"/>
          <w:lang w:val="en-US" w:eastAsia="zh-CN" w:bidi="en-AU"/>
        </w:rPr>
      </w:pPr>
      <w:r>
        <w:rPr>
          <w:rFonts w:hint="eastAsia" w:ascii="黑体" w:hAnsi="黑体" w:eastAsia="黑体" w:cs="黑体"/>
          <w:i w:val="0"/>
          <w:caps w:val="0"/>
          <w:color w:val="333333"/>
          <w:spacing w:val="0"/>
          <w:kern w:val="0"/>
          <w:sz w:val="32"/>
          <w:szCs w:val="32"/>
          <w:shd w:val="clear" w:color="auto" w:fill="FFFFFF"/>
          <w:lang w:val="en-US" w:eastAsia="zh-CN" w:bidi="en-AU"/>
        </w:rPr>
        <w:t>四、财政拨款收支预算情况说明</w:t>
      </w:r>
      <w:bookmarkEnd w:id="11"/>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昭化区妇幼保健院2023年财政拨款收支总预算</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497.99</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万元，比2022年财政拨款收支总预算增加</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47.63</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万元，主要原因是专业技术人员职称晋升、工资调整、新进在编人员2名等形成人员经费增加。</w:t>
      </w:r>
    </w:p>
    <w:p>
      <w:pPr>
        <w:keepNext w:val="0"/>
        <w:keepLines w:val="0"/>
        <w:pageBreakBefore w:val="0"/>
        <w:widowControl/>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收入包括：本年一般公共预算拨款收入545.62万元、上年结转一般公共预算拨款收入</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万元；支出包括：社会保障和就业支出</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109.82</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万元、卫生健康支出</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391.00</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万元、住房保障支出</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44.80</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w:t>
      </w:r>
      <w:bookmarkStart w:id="12" w:name="_Toc22490"/>
    </w:p>
    <w:p>
      <w:pPr>
        <w:keepNext w:val="0"/>
        <w:keepLines w:val="0"/>
        <w:pageBreakBefore w:val="0"/>
        <w:widowControl/>
        <w:numPr>
          <w:ilvl w:val="0"/>
          <w:numId w:val="1"/>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黑体" w:hAnsi="黑体" w:eastAsia="黑体" w:cs="黑体"/>
          <w:i w:val="0"/>
          <w:caps w:val="0"/>
          <w:color w:val="333333"/>
          <w:spacing w:val="0"/>
          <w:kern w:val="0"/>
          <w:sz w:val="32"/>
          <w:szCs w:val="32"/>
          <w:lang w:val="en-US" w:eastAsia="zh-CN" w:bidi="en-AU"/>
        </w:rPr>
      </w:pPr>
      <w:r>
        <w:rPr>
          <w:rFonts w:hint="eastAsia" w:ascii="黑体" w:hAnsi="黑体" w:eastAsia="黑体" w:cs="黑体"/>
          <w:i w:val="0"/>
          <w:caps w:val="0"/>
          <w:color w:val="333333"/>
          <w:spacing w:val="0"/>
          <w:kern w:val="0"/>
          <w:sz w:val="32"/>
          <w:szCs w:val="32"/>
          <w:shd w:val="clear" w:color="auto" w:fill="FFFFFF"/>
          <w:lang w:val="en-US" w:eastAsia="zh-CN" w:bidi="en-AU"/>
        </w:rPr>
        <w:t>一般公共预算当年拨款情况说明</w:t>
      </w:r>
      <w:bookmarkEnd w:id="12"/>
      <w:bookmarkStart w:id="13" w:name="_Toc20419"/>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楷体_GB2312" w:hAnsi="楷体_GB2312" w:eastAsia="楷体_GB2312" w:cs="楷体_GB2312"/>
          <w:b w:val="0"/>
          <w:bCs/>
          <w:i w:val="0"/>
          <w:caps w:val="0"/>
          <w:color w:val="333333"/>
          <w:spacing w:val="0"/>
          <w:sz w:val="32"/>
          <w:szCs w:val="32"/>
          <w:lang w:val="en-US" w:eastAsia="zh-CN"/>
        </w:rPr>
      </w:pPr>
      <w:r>
        <w:rPr>
          <w:rFonts w:hint="eastAsia" w:ascii="楷体_GB2312" w:hAnsi="楷体_GB2312" w:eastAsia="楷体_GB2312" w:cs="楷体_GB2312"/>
          <w:b w:val="0"/>
          <w:bCs/>
          <w:i w:val="0"/>
          <w:caps w:val="0"/>
          <w:color w:val="333333"/>
          <w:spacing w:val="0"/>
          <w:kern w:val="2"/>
          <w:sz w:val="32"/>
          <w:szCs w:val="32"/>
          <w:shd w:val="clear" w:color="auto" w:fill="FFFFFF"/>
          <w:lang w:val="en-US" w:eastAsia="zh-CN" w:bidi="ar-SA"/>
        </w:rPr>
        <w:t>（一）</w:t>
      </w:r>
      <w:r>
        <w:rPr>
          <w:rFonts w:hint="eastAsia" w:ascii="楷体_GB2312" w:hAnsi="楷体_GB2312" w:eastAsia="楷体_GB2312" w:cs="楷体_GB2312"/>
          <w:b w:val="0"/>
          <w:bCs/>
          <w:i w:val="0"/>
          <w:caps w:val="0"/>
          <w:color w:val="333333"/>
          <w:spacing w:val="0"/>
          <w:sz w:val="32"/>
          <w:szCs w:val="32"/>
          <w:shd w:val="clear" w:color="auto" w:fill="FFFFFF"/>
          <w:lang w:val="en-US" w:eastAsia="zh-CN"/>
        </w:rPr>
        <w:t>一般公共预算当年拨款规模变化情况</w:t>
      </w:r>
      <w:bookmarkEnd w:id="13"/>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昭化区妇幼保健院2023年一般公共预算当年拨款</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545.62</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万元，比2022年预算数增加</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47.63</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万元，主要原因是专业技术人员职称晋升、工资调整、新进在编人员2名。</w:t>
      </w:r>
      <w:bookmarkStart w:id="14" w:name="_Toc14312"/>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楷体_GB2312" w:hAnsi="楷体_GB2312" w:eastAsia="楷体_GB2312" w:cs="楷体_GB2312"/>
          <w:b w:val="0"/>
          <w:bCs/>
          <w:i w:val="0"/>
          <w:caps w:val="0"/>
          <w:color w:val="333333"/>
          <w:spacing w:val="0"/>
          <w:sz w:val="32"/>
          <w:szCs w:val="32"/>
          <w:lang w:val="en-US" w:eastAsia="zh-CN"/>
        </w:rPr>
      </w:pPr>
      <w:r>
        <w:rPr>
          <w:rFonts w:hint="eastAsia" w:ascii="楷体_GB2312" w:hAnsi="楷体_GB2312" w:eastAsia="楷体_GB2312" w:cs="楷体_GB2312"/>
          <w:b w:val="0"/>
          <w:bCs/>
          <w:i w:val="0"/>
          <w:caps w:val="0"/>
          <w:color w:val="333333"/>
          <w:spacing w:val="0"/>
          <w:kern w:val="2"/>
          <w:sz w:val="32"/>
          <w:szCs w:val="32"/>
          <w:shd w:val="clear" w:color="auto" w:fill="FFFFFF"/>
          <w:lang w:val="en-US" w:eastAsia="zh-CN" w:bidi="ar-SA"/>
        </w:rPr>
        <w:t>（二）</w:t>
      </w:r>
      <w:r>
        <w:rPr>
          <w:rFonts w:hint="eastAsia" w:ascii="楷体_GB2312" w:hAnsi="楷体_GB2312" w:eastAsia="楷体_GB2312" w:cs="楷体_GB2312"/>
          <w:b w:val="0"/>
          <w:bCs/>
          <w:i w:val="0"/>
          <w:caps w:val="0"/>
          <w:color w:val="333333"/>
          <w:spacing w:val="0"/>
          <w:sz w:val="32"/>
          <w:szCs w:val="32"/>
          <w:shd w:val="clear" w:color="auto" w:fill="FFFFFF"/>
          <w:lang w:val="en-US" w:eastAsia="zh-CN"/>
        </w:rPr>
        <w:t>一般公共预算当年拨款结构情况</w:t>
      </w:r>
      <w:bookmarkEnd w:id="14"/>
    </w:p>
    <w:p>
      <w:pPr>
        <w:keepNext w:val="0"/>
        <w:keepLines w:val="0"/>
        <w:pageBreakBefore w:val="0"/>
        <w:widowControl/>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社会保障和就业支出</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109.82</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万元，占</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20</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%；卫生健康支出</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391</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万元，占</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72</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%；住房保障支出</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44.8</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万元，占</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8</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w:t>
      </w:r>
      <w:bookmarkStart w:id="15" w:name="_Toc16776"/>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楷体_GB2312" w:hAnsi="楷体_GB2312" w:eastAsia="楷体_GB2312" w:cs="楷体_GB2312"/>
          <w:b w:val="0"/>
          <w:bCs/>
          <w:i w:val="0"/>
          <w:caps w:val="0"/>
          <w:color w:val="333333"/>
          <w:spacing w:val="0"/>
          <w:sz w:val="32"/>
          <w:szCs w:val="32"/>
          <w:lang w:val="en-US" w:eastAsia="zh-CN"/>
        </w:rPr>
      </w:pPr>
      <w:r>
        <w:rPr>
          <w:rFonts w:hint="eastAsia" w:ascii="楷体_GB2312" w:hAnsi="楷体_GB2312" w:eastAsia="楷体_GB2312" w:cs="楷体_GB2312"/>
          <w:b w:val="0"/>
          <w:bCs/>
          <w:i w:val="0"/>
          <w:caps w:val="0"/>
          <w:color w:val="333333"/>
          <w:spacing w:val="0"/>
          <w:kern w:val="2"/>
          <w:sz w:val="32"/>
          <w:szCs w:val="32"/>
          <w:shd w:val="clear" w:color="auto" w:fill="FFFFFF"/>
          <w:lang w:val="en-US" w:eastAsia="zh-CN" w:bidi="ar-SA"/>
        </w:rPr>
        <w:t>（三）</w:t>
      </w:r>
      <w:r>
        <w:rPr>
          <w:rFonts w:hint="eastAsia" w:ascii="楷体_GB2312" w:hAnsi="楷体_GB2312" w:eastAsia="楷体_GB2312" w:cs="楷体_GB2312"/>
          <w:b w:val="0"/>
          <w:bCs/>
          <w:i w:val="0"/>
          <w:caps w:val="0"/>
          <w:color w:val="333333"/>
          <w:spacing w:val="0"/>
          <w:sz w:val="32"/>
          <w:szCs w:val="32"/>
          <w:shd w:val="clear" w:color="auto" w:fill="FFFFFF"/>
          <w:lang w:val="en-US" w:eastAsia="zh-CN"/>
        </w:rPr>
        <w:t>一般公共预算当年拨款具体使用情况</w:t>
      </w:r>
      <w:bookmarkEnd w:id="15"/>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highlight w:val="none"/>
          <w:lang w:val="en-US" w:eastAsia="zh-CN" w:bidi="en-AU"/>
        </w:rPr>
      </w:pPr>
      <w:r>
        <w:rPr>
          <w:rFonts w:hint="eastAsia" w:ascii="Times New Roman" w:hAnsi="Times New Roman" w:eastAsia="仿宋_GB2312" w:cs="仿宋_GB2312"/>
          <w:i w:val="0"/>
          <w:caps w:val="0"/>
          <w:color w:val="333333"/>
          <w:spacing w:val="0"/>
          <w:kern w:val="0"/>
          <w:sz w:val="32"/>
          <w:szCs w:val="32"/>
          <w:highlight w:val="none"/>
          <w:shd w:val="clear" w:color="auto" w:fill="FFFFFF"/>
          <w:lang w:val="en-US" w:eastAsia="zh-CN" w:bidi="en-AU"/>
        </w:rPr>
        <w:t>1.社会保障和就业（208）行政事业单位养老支出（05）事业单位离退休（02）2023年预算数为</w:t>
      </w:r>
      <w:r>
        <w:rPr>
          <w:rFonts w:hint="eastAsia" w:ascii="Times New Roman" w:hAnsi="Times New Roman" w:eastAsia="仿宋_GB2312" w:cs="Times New Roman"/>
          <w:i w:val="0"/>
          <w:caps w:val="0"/>
          <w:color w:val="333333"/>
          <w:spacing w:val="0"/>
          <w:kern w:val="0"/>
          <w:sz w:val="32"/>
          <w:szCs w:val="32"/>
          <w:highlight w:val="none"/>
          <w:shd w:val="clear" w:color="auto" w:fill="FFFFFF"/>
          <w:lang w:val="en-US" w:eastAsia="zh-CN" w:bidi="en-AU"/>
        </w:rPr>
        <w:t>26</w:t>
      </w:r>
      <w:r>
        <w:rPr>
          <w:rFonts w:hint="eastAsia" w:ascii="Times New Roman" w:hAnsi="Times New Roman" w:eastAsia="仿宋_GB2312" w:cs="仿宋_GB2312"/>
          <w:i w:val="0"/>
          <w:caps w:val="0"/>
          <w:color w:val="333333"/>
          <w:spacing w:val="0"/>
          <w:kern w:val="0"/>
          <w:sz w:val="32"/>
          <w:szCs w:val="32"/>
          <w:highlight w:val="none"/>
          <w:shd w:val="clear" w:color="auto" w:fill="FFFFFF"/>
          <w:lang w:val="en-US" w:eastAsia="zh-CN" w:bidi="en-AU"/>
        </w:rPr>
        <w:t>万元，主要用于：事业单位离退休人员经费支出。</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highlight w:val="none"/>
          <w:lang w:val="en-US" w:eastAsia="zh-CN" w:bidi="en-AU"/>
        </w:rPr>
      </w:pPr>
      <w:r>
        <w:rPr>
          <w:rFonts w:hint="eastAsia" w:ascii="Times New Roman" w:hAnsi="Times New Roman" w:eastAsia="仿宋_GB2312" w:cs="仿宋_GB2312"/>
          <w:i w:val="0"/>
          <w:caps w:val="0"/>
          <w:color w:val="333333"/>
          <w:spacing w:val="0"/>
          <w:kern w:val="0"/>
          <w:sz w:val="32"/>
          <w:szCs w:val="32"/>
          <w:highlight w:val="none"/>
          <w:shd w:val="clear" w:color="auto" w:fill="FFFFFF"/>
          <w:lang w:val="en-US" w:eastAsia="zh-CN" w:bidi="en-AU"/>
        </w:rPr>
        <w:t>2.社会保障和就业（208）行政事业单位养老支出（05）机关事业单位基本养老保险缴费支出（05）2023年预算数为59.73万元，主要用于：实施养老保险制度由单位缴纳的基本养老保险支出。</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highlight w:val="none"/>
          <w:lang w:val="en-US" w:eastAsia="zh-CN" w:bidi="en-AU"/>
        </w:rPr>
      </w:pPr>
      <w:r>
        <w:rPr>
          <w:rFonts w:hint="eastAsia" w:ascii="Times New Roman" w:hAnsi="Times New Roman" w:eastAsia="仿宋_GB2312" w:cs="仿宋_GB2312"/>
          <w:i w:val="0"/>
          <w:caps w:val="0"/>
          <w:color w:val="333333"/>
          <w:spacing w:val="0"/>
          <w:kern w:val="0"/>
          <w:sz w:val="32"/>
          <w:szCs w:val="32"/>
          <w:highlight w:val="none"/>
          <w:shd w:val="clear" w:color="auto" w:fill="FFFFFF"/>
          <w:lang w:val="en-US" w:eastAsia="zh-CN" w:bidi="en-AU"/>
        </w:rPr>
        <w:t>3.社会保障和就业（208）行政事业单位养老支出（05）机关事业单位职业年金缴费支出（06）2023年预算数为24.1万元，主要用于：实施养老保险制度由单位缴纳的职业年金支出。</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highlight w:val="none"/>
          <w:lang w:val="en-US" w:eastAsia="zh-CN" w:bidi="en-AU"/>
        </w:rPr>
      </w:pPr>
      <w:r>
        <w:rPr>
          <w:rFonts w:hint="eastAsia" w:ascii="Times New Roman" w:hAnsi="Times New Roman" w:eastAsia="仿宋_GB2312" w:cs="仿宋_GB2312"/>
          <w:i w:val="0"/>
          <w:caps w:val="0"/>
          <w:color w:val="333333"/>
          <w:spacing w:val="0"/>
          <w:kern w:val="0"/>
          <w:sz w:val="32"/>
          <w:szCs w:val="32"/>
          <w:highlight w:val="none"/>
          <w:shd w:val="clear" w:color="auto" w:fill="FFFFFF"/>
          <w:lang w:val="en-US" w:eastAsia="zh-CN" w:bidi="en-AU"/>
        </w:rPr>
        <w:t>4.卫生健康（210）公共卫生（04）妇幼保健机构（03）2023年预算数为357.94万元，主要用于：人员工资福利支出、对个人和家庭的补助支出。</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highlight w:val="none"/>
          <w:lang w:val="en-US" w:eastAsia="zh-CN" w:bidi="en-AU"/>
        </w:rPr>
      </w:pPr>
      <w:r>
        <w:rPr>
          <w:rFonts w:hint="eastAsia" w:ascii="Times New Roman" w:hAnsi="Times New Roman" w:eastAsia="仿宋_GB2312" w:cs="仿宋_GB2312"/>
          <w:i w:val="0"/>
          <w:caps w:val="0"/>
          <w:color w:val="333333"/>
          <w:spacing w:val="0"/>
          <w:kern w:val="0"/>
          <w:sz w:val="32"/>
          <w:szCs w:val="32"/>
          <w:highlight w:val="none"/>
          <w:shd w:val="clear" w:color="auto" w:fill="FFFFFF"/>
          <w:lang w:val="en-US" w:eastAsia="zh-CN" w:bidi="en-AU"/>
        </w:rPr>
        <w:t>5.卫生健康（210）公共卫生（04）重大公共卫生服务（09）2023年预算数为7.56万元，主要用于：实施免费婚检妇幼公共卫生项目。</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6.卫生健康（210）行政事业单位医疗（11）事业单位医疗（02）2023年预算数为25.5</w:t>
      </w:r>
      <w:r>
        <w:rPr>
          <w:rFonts w:hint="default" w:ascii="Times New Roman" w:hAnsi="Times New Roman" w:eastAsia="仿宋_GB2312" w:cs="Times New Roman"/>
          <w:i w:val="0"/>
          <w:caps w:val="0"/>
          <w:color w:val="333333"/>
          <w:spacing w:val="0"/>
          <w:kern w:val="0"/>
          <w:sz w:val="32"/>
          <w:szCs w:val="32"/>
          <w:shd w:val="clear" w:color="auto" w:fill="FFFFFF"/>
          <w:lang w:val="en-US" w:eastAsia="zh-CN" w:bidi="en-AU"/>
        </w:rPr>
        <w:t>万元</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，主要用于：事业单位按规定由单位缴纳的基本医疗保险支出。</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7.住房保障（221）住房改革支出（02）住房公积金（01）2023年预算数为</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44.8</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万元，主要用于：单位按规定为职工缴纳的住房公积金支出。</w:t>
      </w:r>
      <w:bookmarkStart w:id="16" w:name="_Toc2415"/>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黑体" w:hAnsi="黑体" w:eastAsia="黑体" w:cs="黑体"/>
          <w:i w:val="0"/>
          <w:caps w:val="0"/>
          <w:color w:val="333333"/>
          <w:spacing w:val="0"/>
          <w:kern w:val="0"/>
          <w:sz w:val="32"/>
          <w:szCs w:val="32"/>
          <w:lang w:val="en-US" w:eastAsia="zh-CN" w:bidi="en-AU"/>
        </w:rPr>
      </w:pPr>
      <w:r>
        <w:rPr>
          <w:rFonts w:hint="eastAsia" w:ascii="黑体" w:hAnsi="黑体" w:eastAsia="黑体" w:cs="黑体"/>
          <w:i w:val="0"/>
          <w:caps w:val="0"/>
          <w:color w:val="333333"/>
          <w:spacing w:val="0"/>
          <w:kern w:val="0"/>
          <w:sz w:val="32"/>
          <w:szCs w:val="32"/>
          <w:shd w:val="clear" w:color="auto" w:fill="FFFFFF"/>
          <w:lang w:val="en-US" w:eastAsia="zh-CN" w:bidi="en-AU"/>
        </w:rPr>
        <w:t>六、一般公共预算基本支出情况说明</w:t>
      </w:r>
      <w:bookmarkEnd w:id="16"/>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昭化区妇幼保健院2023年一般公共预算基本支出</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535.06</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万元，其中：人员经费</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535.06</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万元，主要包括：基本工资、津贴补贴、奖金、社会保险缴费、退休费、住房公积金等支出。</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公用经费</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w:t>
      </w:r>
      <w:bookmarkStart w:id="17" w:name="_Toc17047"/>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黑体" w:hAnsi="黑体" w:eastAsia="黑体" w:cs="黑体"/>
          <w:i w:val="0"/>
          <w:caps w:val="0"/>
          <w:color w:val="333333"/>
          <w:spacing w:val="0"/>
          <w:kern w:val="0"/>
          <w:sz w:val="32"/>
          <w:szCs w:val="32"/>
          <w:lang w:val="en-US" w:eastAsia="zh-CN" w:bidi="en-AU"/>
        </w:rPr>
      </w:pPr>
      <w:r>
        <w:rPr>
          <w:rFonts w:hint="eastAsia" w:ascii="黑体" w:hAnsi="黑体" w:eastAsia="黑体" w:cs="黑体"/>
          <w:i w:val="0"/>
          <w:caps w:val="0"/>
          <w:color w:val="333333"/>
          <w:spacing w:val="0"/>
          <w:kern w:val="0"/>
          <w:sz w:val="32"/>
          <w:szCs w:val="32"/>
          <w:shd w:val="clear" w:color="auto" w:fill="FFFFFF"/>
          <w:lang w:val="en-US" w:eastAsia="zh-CN" w:bidi="en-AU"/>
        </w:rPr>
        <w:t>七、“三公”经费财政拨款预算安排情况说明</w:t>
      </w:r>
      <w:bookmarkEnd w:id="17"/>
      <w:r>
        <w:rPr>
          <w:rFonts w:hint="eastAsia" w:ascii="黑体" w:hAnsi="黑体" w:eastAsia="黑体" w:cs="黑体"/>
          <w:i w:val="0"/>
          <w:caps w:val="0"/>
          <w:color w:val="333333"/>
          <w:spacing w:val="0"/>
          <w:kern w:val="0"/>
          <w:sz w:val="32"/>
          <w:szCs w:val="32"/>
          <w:shd w:val="clear" w:color="auto" w:fill="FFFFFF"/>
          <w:lang w:val="en-US" w:eastAsia="zh-CN" w:bidi="en-AU"/>
        </w:rPr>
        <w:t xml:space="preserve">         </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昭化区妇幼保健院2023年“三公”经费财政拨款预算数</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万元，其中：公务接待费</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w:t>
      </w:r>
      <w:r>
        <w:rPr>
          <w:rFonts w:ascii="Times New Roman" w:hAnsi="Times New Roman" w:eastAsia="仿宋_GB2312" w:cs="Times New Roman"/>
          <w:color w:val="000000"/>
          <w:kern w:val="0"/>
          <w:sz w:val="32"/>
          <w:szCs w:val="32"/>
          <w:shd w:val="clear" w:color="auto" w:fill="FFFFFF"/>
        </w:rPr>
        <w:t>202</w:t>
      </w:r>
      <w:r>
        <w:rPr>
          <w:rFonts w:hint="eastAsia" w:ascii="Times New Roman" w:hAnsi="Times New Roman" w:eastAsia="仿宋_GB2312" w:cs="Times New Roman"/>
          <w:color w:val="000000"/>
          <w:kern w:val="0"/>
          <w:sz w:val="32"/>
          <w:szCs w:val="32"/>
          <w:shd w:val="clear" w:color="auto" w:fill="FFFFFF"/>
          <w:lang w:val="en-US" w:eastAsia="zh-CN"/>
        </w:rPr>
        <w:t>3</w:t>
      </w:r>
      <w:r>
        <w:rPr>
          <w:rFonts w:hint="eastAsia" w:ascii="Times New Roman" w:hAnsi="Times New Roman" w:eastAsia="仿宋_GB2312" w:cs="仿宋_GB2312"/>
          <w:color w:val="000000"/>
          <w:kern w:val="0"/>
          <w:sz w:val="32"/>
          <w:szCs w:val="32"/>
          <w:shd w:val="clear" w:color="auto" w:fill="FFFFFF"/>
        </w:rPr>
        <w:t>年本单位无</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公务接待费预算），公务用车购置及运行维护费</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w:t>
      </w:r>
      <w:r>
        <w:rPr>
          <w:rFonts w:ascii="Times New Roman" w:hAnsi="Times New Roman" w:eastAsia="仿宋_GB2312" w:cs="Times New Roman"/>
          <w:color w:val="000000"/>
          <w:kern w:val="0"/>
          <w:sz w:val="32"/>
          <w:szCs w:val="32"/>
          <w:shd w:val="clear" w:color="auto" w:fill="FFFFFF"/>
        </w:rPr>
        <w:t>202</w:t>
      </w:r>
      <w:r>
        <w:rPr>
          <w:rFonts w:hint="eastAsia" w:ascii="Times New Roman" w:hAnsi="Times New Roman" w:eastAsia="仿宋_GB2312" w:cs="Times New Roman"/>
          <w:color w:val="000000"/>
          <w:kern w:val="0"/>
          <w:sz w:val="32"/>
          <w:szCs w:val="32"/>
          <w:shd w:val="clear" w:color="auto" w:fill="FFFFFF"/>
          <w:lang w:val="en-US" w:eastAsia="zh-CN"/>
        </w:rPr>
        <w:t>3</w:t>
      </w:r>
      <w:r>
        <w:rPr>
          <w:rFonts w:hint="eastAsia" w:ascii="Times New Roman" w:hAnsi="Times New Roman" w:eastAsia="仿宋_GB2312" w:cs="仿宋_GB2312"/>
          <w:color w:val="000000"/>
          <w:kern w:val="0"/>
          <w:sz w:val="32"/>
          <w:szCs w:val="32"/>
          <w:shd w:val="clear" w:color="auto" w:fill="FFFFFF"/>
        </w:rPr>
        <w:t>年本单位无公务用车购置及运行维护费预算</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），因公出国（境）经费</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万元</w:t>
      </w:r>
      <w:r>
        <w:rPr>
          <w:rFonts w:hint="eastAsia" w:ascii="Times New Roman" w:hAnsi="Times New Roman" w:eastAsia="仿宋_GB2312" w:cs="仿宋_GB2312"/>
          <w:color w:val="000000"/>
          <w:kern w:val="0"/>
          <w:sz w:val="32"/>
          <w:szCs w:val="32"/>
          <w:shd w:val="clear" w:color="auto" w:fill="FFFFFF"/>
        </w:rPr>
        <w:t>（</w:t>
      </w:r>
      <w:r>
        <w:rPr>
          <w:rFonts w:ascii="Times New Roman" w:hAnsi="Times New Roman" w:eastAsia="仿宋_GB2312" w:cs="Times New Roman"/>
          <w:color w:val="000000"/>
          <w:kern w:val="0"/>
          <w:sz w:val="32"/>
          <w:szCs w:val="32"/>
          <w:shd w:val="clear" w:color="auto" w:fill="FFFFFF"/>
        </w:rPr>
        <w:t>202</w:t>
      </w:r>
      <w:r>
        <w:rPr>
          <w:rFonts w:hint="eastAsia" w:ascii="Times New Roman" w:hAnsi="Times New Roman" w:eastAsia="仿宋_GB2312" w:cs="Times New Roman"/>
          <w:color w:val="000000"/>
          <w:kern w:val="0"/>
          <w:sz w:val="32"/>
          <w:szCs w:val="32"/>
          <w:shd w:val="clear" w:color="auto" w:fill="FFFFFF"/>
          <w:lang w:val="en-US" w:eastAsia="zh-CN"/>
        </w:rPr>
        <w:t>3</w:t>
      </w:r>
      <w:r>
        <w:rPr>
          <w:rFonts w:hint="eastAsia" w:ascii="Times New Roman" w:hAnsi="Times New Roman" w:eastAsia="仿宋_GB2312" w:cs="仿宋_GB2312"/>
          <w:color w:val="000000"/>
          <w:kern w:val="0"/>
          <w:sz w:val="32"/>
          <w:szCs w:val="32"/>
          <w:shd w:val="clear" w:color="auto" w:fill="FFFFFF"/>
        </w:rPr>
        <w:t>年本单位无因公出国（境）经费预算）</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w:t>
      </w:r>
      <w:bookmarkStart w:id="18" w:name="_Toc26359"/>
      <w:bookmarkStart w:id="19" w:name="_Toc21118"/>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 xml:space="preserve"> </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楷体_GB2312" w:hAnsi="楷体_GB2312" w:eastAsia="楷体_GB2312" w:cs="楷体_GB2312"/>
          <w:b w:val="0"/>
          <w:bCs/>
          <w:i w:val="0"/>
          <w:caps w:val="0"/>
          <w:color w:val="333333"/>
          <w:spacing w:val="0"/>
          <w:kern w:val="2"/>
          <w:sz w:val="32"/>
          <w:szCs w:val="32"/>
          <w:lang w:val="en-US" w:eastAsia="zh-CN" w:bidi="ar-SA"/>
        </w:rPr>
      </w:pPr>
      <w:r>
        <w:rPr>
          <w:rFonts w:hint="eastAsia" w:ascii="楷体_GB2312" w:hAnsi="楷体_GB2312" w:eastAsia="楷体_GB2312" w:cs="楷体_GB2312"/>
          <w:b w:val="0"/>
          <w:bCs/>
          <w:i w:val="0"/>
          <w:caps w:val="0"/>
          <w:color w:val="333333"/>
          <w:spacing w:val="0"/>
          <w:kern w:val="2"/>
          <w:sz w:val="32"/>
          <w:szCs w:val="32"/>
          <w:shd w:val="clear" w:color="auto" w:fill="FFFFFF"/>
          <w:lang w:val="en-US" w:eastAsia="zh-CN" w:bidi="ar-SA"/>
        </w:rPr>
        <w:t>（一）公务接待费与2022年预算相比</w:t>
      </w:r>
      <w:bookmarkEnd w:id="18"/>
      <w:bookmarkEnd w:id="19"/>
      <w:bookmarkStart w:id="20" w:name="_Toc17417"/>
      <w:bookmarkStart w:id="21" w:name="_Toc17154"/>
      <w:r>
        <w:rPr>
          <w:rFonts w:hint="eastAsia" w:ascii="楷体_GB2312" w:hAnsi="楷体_GB2312" w:eastAsia="楷体_GB2312" w:cs="楷体_GB2312"/>
          <w:b w:val="0"/>
          <w:bCs/>
          <w:i w:val="0"/>
          <w:caps w:val="0"/>
          <w:color w:val="333333"/>
          <w:spacing w:val="0"/>
          <w:kern w:val="2"/>
          <w:sz w:val="32"/>
          <w:szCs w:val="32"/>
          <w:shd w:val="clear" w:color="auto" w:fill="FFFFFF"/>
          <w:lang w:val="en-US" w:eastAsia="zh-CN" w:bidi="ar-SA"/>
        </w:rPr>
        <w:t xml:space="preserve">  </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2023年本单位无公务接待费预算，与2022年预算持平。</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楷体_GB2312" w:hAnsi="楷体_GB2312" w:eastAsia="楷体_GB2312" w:cs="楷体_GB2312"/>
          <w:b w:val="0"/>
          <w:bCs/>
          <w:i w:val="0"/>
          <w:caps w:val="0"/>
          <w:color w:val="333333"/>
          <w:spacing w:val="0"/>
          <w:kern w:val="2"/>
          <w:sz w:val="32"/>
          <w:szCs w:val="32"/>
          <w:lang w:val="en-US" w:eastAsia="zh-CN" w:bidi="ar-SA"/>
        </w:rPr>
      </w:pPr>
      <w:r>
        <w:rPr>
          <w:rFonts w:hint="eastAsia" w:ascii="楷体_GB2312" w:hAnsi="楷体_GB2312" w:eastAsia="楷体_GB2312" w:cs="楷体_GB2312"/>
          <w:b w:val="0"/>
          <w:bCs/>
          <w:i w:val="0"/>
          <w:caps w:val="0"/>
          <w:color w:val="333333"/>
          <w:spacing w:val="0"/>
          <w:kern w:val="2"/>
          <w:sz w:val="32"/>
          <w:szCs w:val="32"/>
          <w:shd w:val="clear" w:color="auto" w:fill="FFFFFF"/>
          <w:lang w:val="en-US" w:eastAsia="zh-CN" w:bidi="ar-SA"/>
        </w:rPr>
        <w:t>（二）公务用车购置及运行维护费与2022年预算相比</w:t>
      </w:r>
      <w:bookmarkEnd w:id="20"/>
      <w:bookmarkEnd w:id="21"/>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2023年本单位无公务用车购置及维护费预算，与2022年预算持平。</w:t>
      </w:r>
      <w:bookmarkStart w:id="22" w:name="_Toc29665"/>
      <w:bookmarkStart w:id="23" w:name="_Toc26955"/>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楷体_GB2312" w:hAnsi="楷体_GB2312" w:eastAsia="楷体_GB2312" w:cs="楷体_GB2312"/>
          <w:b w:val="0"/>
          <w:bCs/>
          <w:i w:val="0"/>
          <w:caps w:val="0"/>
          <w:color w:val="333333"/>
          <w:spacing w:val="0"/>
          <w:kern w:val="2"/>
          <w:sz w:val="32"/>
          <w:szCs w:val="32"/>
          <w:lang w:val="en-US" w:eastAsia="zh-CN" w:bidi="ar-SA"/>
        </w:rPr>
      </w:pPr>
      <w:r>
        <w:rPr>
          <w:rFonts w:hint="eastAsia" w:ascii="楷体_GB2312" w:hAnsi="楷体_GB2312" w:eastAsia="楷体_GB2312" w:cs="楷体_GB2312"/>
          <w:b w:val="0"/>
          <w:bCs/>
          <w:i w:val="0"/>
          <w:caps w:val="0"/>
          <w:color w:val="333333"/>
          <w:spacing w:val="0"/>
          <w:kern w:val="2"/>
          <w:sz w:val="32"/>
          <w:szCs w:val="32"/>
          <w:shd w:val="clear" w:color="auto" w:fill="FFFFFF"/>
          <w:lang w:val="en-US" w:eastAsia="zh-CN" w:bidi="ar-SA"/>
        </w:rPr>
        <w:t>（三）因公出国（境）经费与2022年预算相比</w:t>
      </w:r>
      <w:bookmarkEnd w:id="22"/>
      <w:bookmarkEnd w:id="23"/>
      <w:bookmarkStart w:id="24" w:name="_Toc17764"/>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2023年本单位无因公出国（境）经费预算，与2022年预算持平。</w:t>
      </w:r>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right="0" w:rightChars="0" w:firstLine="960" w:firstLineChars="300"/>
        <w:jc w:val="both"/>
        <w:textAlignment w:val="auto"/>
        <w:rPr>
          <w:rFonts w:hint="eastAsia" w:ascii="黑体" w:hAnsi="黑体" w:eastAsia="黑体" w:cs="黑体"/>
          <w:i w:val="0"/>
          <w:caps w:val="0"/>
          <w:color w:val="333333"/>
          <w:spacing w:val="0"/>
          <w:kern w:val="0"/>
          <w:sz w:val="32"/>
          <w:szCs w:val="32"/>
          <w:lang w:val="en-US" w:eastAsia="zh-CN" w:bidi="en-AU"/>
        </w:rPr>
      </w:pPr>
      <w:r>
        <w:rPr>
          <w:rFonts w:hint="eastAsia" w:ascii="黑体" w:hAnsi="黑体" w:eastAsia="黑体" w:cs="黑体"/>
          <w:i w:val="0"/>
          <w:caps w:val="0"/>
          <w:color w:val="333333"/>
          <w:spacing w:val="0"/>
          <w:kern w:val="0"/>
          <w:sz w:val="32"/>
          <w:szCs w:val="32"/>
          <w:shd w:val="clear" w:color="auto" w:fill="FFFFFF"/>
          <w:lang w:val="en-US" w:eastAsia="zh-CN" w:bidi="en-AU"/>
        </w:rPr>
        <w:t>八、政府性基金预算支出情况说明</w:t>
      </w:r>
      <w:bookmarkEnd w:id="24"/>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昭化区妇幼保健院2023年没有使用政府性基金预算拨款安排的支出。</w:t>
      </w:r>
      <w:bookmarkStart w:id="25" w:name="_Toc2481"/>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right="0" w:rightChars="0" w:firstLine="960" w:firstLineChars="300"/>
        <w:jc w:val="both"/>
        <w:textAlignment w:val="auto"/>
        <w:rPr>
          <w:rFonts w:hint="eastAsia" w:ascii="黑体" w:hAnsi="黑体" w:eastAsia="黑体" w:cs="黑体"/>
          <w:i w:val="0"/>
          <w:caps w:val="0"/>
          <w:color w:val="333333"/>
          <w:spacing w:val="0"/>
          <w:kern w:val="0"/>
          <w:sz w:val="32"/>
          <w:szCs w:val="32"/>
          <w:lang w:val="en-US" w:eastAsia="zh-CN" w:bidi="en-AU"/>
        </w:rPr>
      </w:pPr>
      <w:r>
        <w:rPr>
          <w:rFonts w:hint="eastAsia" w:ascii="黑体" w:hAnsi="黑体" w:eastAsia="黑体" w:cs="黑体"/>
          <w:i w:val="0"/>
          <w:caps w:val="0"/>
          <w:color w:val="333333"/>
          <w:spacing w:val="0"/>
          <w:kern w:val="0"/>
          <w:sz w:val="32"/>
          <w:szCs w:val="32"/>
          <w:shd w:val="clear" w:color="auto" w:fill="FFFFFF"/>
          <w:lang w:val="en-US" w:eastAsia="zh-CN" w:bidi="en-AU"/>
        </w:rPr>
        <w:t>九、国有资本经营预算支出情况说明</w:t>
      </w:r>
      <w:bookmarkEnd w:id="25"/>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昭化区妇幼保健院2023年没有使用国有资本经营预算拨款安排的支出。</w:t>
      </w:r>
      <w:bookmarkStart w:id="26" w:name="_Toc8881"/>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黑体" w:hAnsi="黑体" w:eastAsia="黑体" w:cs="黑体"/>
          <w:i w:val="0"/>
          <w:caps w:val="0"/>
          <w:color w:val="333333"/>
          <w:spacing w:val="0"/>
          <w:kern w:val="0"/>
          <w:sz w:val="32"/>
          <w:szCs w:val="32"/>
          <w:lang w:val="en-US" w:eastAsia="zh-CN" w:bidi="en-AU"/>
        </w:rPr>
      </w:pPr>
      <w:r>
        <w:rPr>
          <w:rFonts w:hint="eastAsia" w:ascii="黑体" w:hAnsi="黑体" w:eastAsia="黑体" w:cs="黑体"/>
          <w:i w:val="0"/>
          <w:caps w:val="0"/>
          <w:color w:val="333333"/>
          <w:spacing w:val="0"/>
          <w:kern w:val="0"/>
          <w:sz w:val="32"/>
          <w:szCs w:val="32"/>
          <w:shd w:val="clear" w:color="auto" w:fill="FFFFFF"/>
          <w:lang w:val="en-US" w:eastAsia="zh-CN" w:bidi="en-AU"/>
        </w:rPr>
        <w:t>十、其他重要事项的情况说明</w:t>
      </w:r>
      <w:bookmarkEnd w:id="26"/>
      <w:bookmarkStart w:id="27" w:name="_Toc5865"/>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b w:val="0"/>
          <w:bCs w:val="0"/>
          <w:i w:val="0"/>
          <w:caps w:val="0"/>
          <w:color w:val="333333"/>
          <w:spacing w:val="0"/>
          <w:kern w:val="0"/>
          <w:sz w:val="32"/>
          <w:szCs w:val="32"/>
          <w:lang w:val="en-US" w:eastAsia="zh-CN" w:bidi="en-AU"/>
        </w:rPr>
      </w:pPr>
      <w:r>
        <w:rPr>
          <w:rFonts w:hint="eastAsia" w:ascii="Times New Roman" w:hAnsi="Times New Roman" w:eastAsia="仿宋_GB2312" w:cs="仿宋_GB2312"/>
          <w:b w:val="0"/>
          <w:bCs w:val="0"/>
          <w:i w:val="0"/>
          <w:caps w:val="0"/>
          <w:color w:val="333333"/>
          <w:spacing w:val="0"/>
          <w:kern w:val="0"/>
          <w:sz w:val="32"/>
          <w:szCs w:val="32"/>
          <w:shd w:val="clear" w:color="auto" w:fill="FFFFFF"/>
          <w:lang w:val="en-US" w:eastAsia="zh-CN" w:bidi="en-AU"/>
        </w:rPr>
        <w:t>（一）机关运行经费</w:t>
      </w:r>
      <w:bookmarkEnd w:id="27"/>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本单位无机关运行经费。</w:t>
      </w:r>
      <w:bookmarkStart w:id="28" w:name="_Toc27077"/>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b w:val="0"/>
          <w:bCs w:val="0"/>
          <w:i w:val="0"/>
          <w:caps w:val="0"/>
          <w:color w:val="333333"/>
          <w:spacing w:val="0"/>
          <w:kern w:val="0"/>
          <w:sz w:val="32"/>
          <w:szCs w:val="32"/>
          <w:lang w:val="en-US" w:eastAsia="zh-CN" w:bidi="en-AU"/>
        </w:rPr>
      </w:pPr>
      <w:r>
        <w:rPr>
          <w:rFonts w:hint="eastAsia" w:ascii="Times New Roman" w:hAnsi="Times New Roman" w:eastAsia="仿宋_GB2312" w:cs="仿宋_GB2312"/>
          <w:b w:val="0"/>
          <w:bCs w:val="0"/>
          <w:i w:val="0"/>
          <w:caps w:val="0"/>
          <w:color w:val="333333"/>
          <w:spacing w:val="0"/>
          <w:kern w:val="0"/>
          <w:sz w:val="32"/>
          <w:szCs w:val="32"/>
          <w:shd w:val="clear" w:color="auto" w:fill="FFFFFF"/>
          <w:lang w:val="en-US" w:eastAsia="zh-CN" w:bidi="en-AU"/>
        </w:rPr>
        <w:t>（二）政府采购情况</w:t>
      </w:r>
      <w:bookmarkEnd w:id="28"/>
    </w:p>
    <w:p>
      <w:pPr>
        <w:keepNext w:val="0"/>
        <w:keepLines w:val="0"/>
        <w:pageBreakBefore w:val="0"/>
        <w:widowControl w:val="0"/>
        <w:numPr>
          <w:ilvl w:val="0"/>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pPr>
      <w:r>
        <w:rPr>
          <w:rFonts w:hint="eastAsia" w:ascii="Times New Roman" w:hAnsi="Times New Roman" w:eastAsia="仿宋_GB2312" w:cs="仿宋_GB2312"/>
          <w:i w:val="0"/>
          <w:caps w:val="0"/>
          <w:color w:val="333333"/>
          <w:spacing w:val="0"/>
          <w:kern w:val="0"/>
          <w:sz w:val="32"/>
          <w:szCs w:val="32"/>
          <w:highlight w:val="none"/>
          <w:shd w:val="clear" w:color="auto" w:fill="FFFFFF"/>
          <w:lang w:val="en-US" w:eastAsia="zh-CN" w:bidi="en-AU"/>
        </w:rPr>
        <w:t>本单位本年度无政府采购预算</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w:t>
      </w:r>
      <w:bookmarkStart w:id="29" w:name="_Toc23320"/>
    </w:p>
    <w:p>
      <w:pPr>
        <w:keepNext w:val="0"/>
        <w:keepLines w:val="0"/>
        <w:pageBreakBefore w:val="0"/>
        <w:widowControl w:val="0"/>
        <w:numPr>
          <w:ilvl w:val="0"/>
          <w:numId w:val="2"/>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b w:val="0"/>
          <w:bCs w:val="0"/>
          <w:i w:val="0"/>
          <w:caps w:val="0"/>
          <w:color w:val="333333"/>
          <w:spacing w:val="0"/>
          <w:kern w:val="0"/>
          <w:sz w:val="32"/>
          <w:szCs w:val="32"/>
          <w:shd w:val="clear" w:color="auto" w:fill="FFFFFF"/>
          <w:lang w:val="en-US" w:eastAsia="zh-CN" w:bidi="en-AU"/>
        </w:rPr>
      </w:pPr>
      <w:r>
        <w:rPr>
          <w:rFonts w:hint="eastAsia" w:ascii="Times New Roman" w:hAnsi="Times New Roman" w:eastAsia="仿宋_GB2312" w:cs="仿宋_GB2312"/>
          <w:b w:val="0"/>
          <w:bCs w:val="0"/>
          <w:i w:val="0"/>
          <w:caps w:val="0"/>
          <w:color w:val="333333"/>
          <w:spacing w:val="0"/>
          <w:kern w:val="0"/>
          <w:sz w:val="32"/>
          <w:szCs w:val="32"/>
          <w:shd w:val="clear" w:color="auto" w:fill="FFFFFF"/>
          <w:lang w:val="en-US" w:eastAsia="zh-CN" w:bidi="en-AU"/>
        </w:rPr>
        <w:t>国有资产占有使用情况</w:t>
      </w:r>
      <w:bookmarkEnd w:id="29"/>
    </w:p>
    <w:p>
      <w:pPr>
        <w:keepNext w:val="0"/>
        <w:keepLines w:val="0"/>
        <w:pageBreakBefore w:val="0"/>
        <w:widowControl w:val="0"/>
        <w:numPr>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right="0" w:rightChars="0" w:firstLine="640" w:firstLineChars="200"/>
        <w:jc w:val="both"/>
        <w:textAlignment w:val="auto"/>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截至2022年底，</w:t>
      </w:r>
      <w:r>
        <w:rPr>
          <w:rFonts w:hint="eastAsia" w:ascii="Times New Roman" w:hAnsi="Times New Roman" w:eastAsia="仿宋_GB2312" w:cs="仿宋_GB2312"/>
          <w:i w:val="0"/>
          <w:caps w:val="0"/>
          <w:color w:val="333333"/>
          <w:spacing w:val="0"/>
          <w:kern w:val="0"/>
          <w:sz w:val="32"/>
          <w:szCs w:val="32"/>
          <w:highlight w:val="none"/>
          <w:shd w:val="clear" w:color="auto" w:fill="FFFFFF"/>
          <w:lang w:val="en-US" w:eastAsia="zh-CN" w:bidi="en-AU"/>
        </w:rPr>
        <w:t>昭化区妇幼保健院</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共有车辆</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6</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辆，其中，领导干部用车</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辆、定向保障用车</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辆、执法执勤用车</w:t>
      </w:r>
      <w:r>
        <w:rPr>
          <w:rFonts w:hint="eastAsia" w:ascii="Times New Roman" w:hAnsi="Times New Roman" w:eastAsia="仿宋_GB2312" w:cs="Times New Roman"/>
          <w:i w:val="0"/>
          <w:caps w:val="0"/>
          <w:color w:val="333333"/>
          <w:spacing w:val="0"/>
          <w:kern w:val="0"/>
          <w:sz w:val="32"/>
          <w:szCs w:val="32"/>
          <w:shd w:val="clear" w:color="auto" w:fill="FFFFFF"/>
          <w:lang w:val="en-US" w:eastAsia="zh-CN" w:bidi="en-AU"/>
        </w:rPr>
        <w:t>0</w:t>
      </w: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辆，特种专业技术用车6辆，均为急诊急救车辆。单位价值100万元以上大型设备3台（套）。</w:t>
      </w:r>
      <w:bookmarkStart w:id="30" w:name="_Toc8220"/>
    </w:p>
    <w:p>
      <w:pPr>
        <w:keepNext w:val="0"/>
        <w:keepLines w:val="0"/>
        <w:pageBreakBefore w:val="0"/>
        <w:widowControl w:val="0"/>
        <w:numPr>
          <w:ilvl w:val="0"/>
          <w:numId w:val="2"/>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left="0" w:leftChars="0" w:right="0" w:rightChars="0" w:firstLine="640" w:firstLineChars="200"/>
        <w:jc w:val="both"/>
        <w:textAlignment w:val="auto"/>
        <w:rPr>
          <w:rFonts w:hint="eastAsia" w:ascii="Times New Roman" w:hAnsi="Times New Roman" w:eastAsia="仿宋_GB2312" w:cs="仿宋_GB2312"/>
          <w:b w:val="0"/>
          <w:bCs w:val="0"/>
          <w:i w:val="0"/>
          <w:caps w:val="0"/>
          <w:color w:val="333333"/>
          <w:spacing w:val="0"/>
          <w:kern w:val="0"/>
          <w:sz w:val="32"/>
          <w:szCs w:val="32"/>
          <w:shd w:val="clear" w:color="auto" w:fill="FFFFFF"/>
          <w:lang w:val="en-US" w:eastAsia="zh-CN" w:bidi="en-AU"/>
        </w:rPr>
      </w:pPr>
      <w:r>
        <w:rPr>
          <w:rFonts w:hint="eastAsia" w:ascii="Times New Roman" w:hAnsi="Times New Roman" w:eastAsia="仿宋_GB2312" w:cs="仿宋_GB2312"/>
          <w:b w:val="0"/>
          <w:bCs w:val="0"/>
          <w:i w:val="0"/>
          <w:caps w:val="0"/>
          <w:color w:val="333333"/>
          <w:spacing w:val="0"/>
          <w:kern w:val="0"/>
          <w:sz w:val="32"/>
          <w:szCs w:val="32"/>
          <w:shd w:val="clear" w:color="auto" w:fill="FFFFFF"/>
          <w:lang w:val="en-US" w:eastAsia="zh-CN" w:bidi="en-AU"/>
        </w:rPr>
        <w:t>绩效目标编制情况</w:t>
      </w:r>
      <w:bookmarkEnd w:id="30"/>
    </w:p>
    <w:p>
      <w:pPr>
        <w:keepNext w:val="0"/>
        <w:keepLines w:val="0"/>
        <w:pageBreakBefore w:val="0"/>
        <w:widowControl w:val="0"/>
        <w:numPr>
          <w:numId w:val="0"/>
        </w:numPr>
        <w:suppressLineNumbers w:val="0"/>
        <w:pBdr>
          <w:top w:val="none" w:color="auto" w:sz="0" w:space="0"/>
          <w:left w:val="none" w:color="auto" w:sz="0" w:space="0"/>
          <w:bottom w:val="single" w:color="FFFFFF" w:sz="8" w:space="31"/>
          <w:right w:val="none" w:color="auto" w:sz="0" w:space="0"/>
        </w:pBdr>
        <w:shd w:val="clear" w:color="auto" w:fill="FFFFFF"/>
        <w:kinsoku/>
        <w:wordWrap/>
        <w:overflowPunct w:val="0"/>
        <w:topLinePunct w:val="0"/>
        <w:autoSpaceDE/>
        <w:autoSpaceDN/>
        <w:bidi w:val="0"/>
        <w:adjustRightInd/>
        <w:snapToGrid/>
        <w:spacing w:beforeAutospacing="0" w:afterAutospacing="0" w:line="576" w:lineRule="exact"/>
        <w:ind w:right="0" w:rightChars="0" w:firstLine="640" w:firstLineChars="200"/>
        <w:jc w:val="both"/>
        <w:textAlignment w:val="auto"/>
        <w:rPr>
          <w:rFonts w:hint="default" w:ascii="Times New Roman" w:hAnsi="Times New Roman" w:eastAsia="仿宋_GB2312" w:cs="Times New Roman"/>
          <w:i w:val="0"/>
          <w:caps w:val="0"/>
          <w:color w:val="333333"/>
          <w:spacing w:val="0"/>
          <w:sz w:val="32"/>
          <w:szCs w:val="32"/>
          <w:highlight w:val="none"/>
        </w:rPr>
      </w:pPr>
      <w:r>
        <w:rPr>
          <w:rFonts w:hint="eastAsia" w:ascii="Times New Roman" w:hAnsi="Times New Roman" w:eastAsia="仿宋_GB2312" w:cs="仿宋_GB2312"/>
          <w:i w:val="0"/>
          <w:caps w:val="0"/>
          <w:color w:val="333333"/>
          <w:spacing w:val="0"/>
          <w:kern w:val="0"/>
          <w:sz w:val="32"/>
          <w:szCs w:val="32"/>
          <w:highlight w:val="none"/>
          <w:shd w:val="clear" w:color="auto" w:fill="FFFFFF"/>
          <w:lang w:val="en-US" w:eastAsia="zh-CN" w:bidi="en-AU"/>
        </w:rPr>
        <w:t xml:space="preserve">绩效目标是预算编制的前提和基础，2023年昭化区妇幼保健院单位预算按申请项目资金年度预期达到的产出和效果，编制了“部门预算项目绩效目标申报表（2023年度）”，涉及项目 2个 （含单位定额公用经费），金额 </w:t>
      </w:r>
      <w:r>
        <w:rPr>
          <w:rFonts w:hint="eastAsia" w:ascii="Times New Roman" w:hAnsi="Times New Roman" w:eastAsia="仿宋_GB2312" w:cs="Times New Roman"/>
          <w:i w:val="0"/>
          <w:caps w:val="0"/>
          <w:color w:val="333333"/>
          <w:spacing w:val="0"/>
          <w:kern w:val="0"/>
          <w:sz w:val="32"/>
          <w:szCs w:val="32"/>
          <w:highlight w:val="none"/>
          <w:shd w:val="clear" w:color="auto" w:fill="FFFFFF"/>
          <w:lang w:val="en-US" w:eastAsia="zh-CN" w:bidi="en-AU"/>
        </w:rPr>
        <w:t>10.56</w:t>
      </w:r>
      <w:r>
        <w:rPr>
          <w:rFonts w:hint="eastAsia" w:ascii="Times New Roman" w:hAnsi="Times New Roman" w:eastAsia="仿宋_GB2312" w:cs="仿宋_GB2312"/>
          <w:i w:val="0"/>
          <w:caps w:val="0"/>
          <w:color w:val="333333"/>
          <w:spacing w:val="0"/>
          <w:kern w:val="0"/>
          <w:sz w:val="32"/>
          <w:szCs w:val="32"/>
          <w:highlight w:val="none"/>
          <w:shd w:val="clear" w:color="auto" w:fill="FFFFFF"/>
          <w:lang w:val="en-US" w:eastAsia="zh-CN" w:bidi="en-AU"/>
        </w:rPr>
        <w:t xml:space="preserve"> 万元；按年度全部部门预算资金达到的总体产出和效果编制了“整体支出绩效目标申报表”。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outlineLvl w:val="0"/>
        <w:rPr>
          <w:rFonts w:hint="default" w:ascii="黑体" w:hAnsi="黑体" w:eastAsia="黑体" w:cs="黑体"/>
          <w:i w:val="0"/>
          <w:caps w:val="0"/>
          <w:color w:val="333333"/>
          <w:spacing w:val="0"/>
          <w:kern w:val="0"/>
          <w:sz w:val="32"/>
          <w:szCs w:val="32"/>
          <w:lang w:val="en-US" w:eastAsia="zh-CN" w:bidi="en-AU"/>
        </w:rPr>
      </w:pPr>
      <w:bookmarkStart w:id="31" w:name="_Toc16901"/>
      <w:r>
        <w:rPr>
          <w:rFonts w:hint="eastAsia" w:ascii="黑体" w:hAnsi="黑体" w:eastAsia="黑体" w:cs="黑体"/>
          <w:i w:val="0"/>
          <w:caps w:val="0"/>
          <w:color w:val="333333"/>
          <w:spacing w:val="0"/>
          <w:kern w:val="0"/>
          <w:sz w:val="32"/>
          <w:szCs w:val="32"/>
          <w:shd w:val="clear" w:color="auto" w:fill="FFFFFF"/>
          <w:lang w:val="en-US" w:eastAsia="zh-CN" w:bidi="en-AU"/>
        </w:rPr>
        <w:t>十一、名词解释</w:t>
      </w:r>
      <w:bookmarkEnd w:id="31"/>
      <w:bookmarkStart w:id="36" w:name="_GoBack"/>
      <w:bookmarkEnd w:id="36"/>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outlineLvl w:val="1"/>
        <w:rPr>
          <w:rFonts w:hint="eastAsia" w:ascii="Times New Roman" w:hAnsi="Times New Roman" w:eastAsia="仿宋_GB2312" w:cs="仿宋_GB2312"/>
          <w:i w:val="0"/>
          <w:caps w:val="0"/>
          <w:color w:val="333333"/>
          <w:spacing w:val="0"/>
          <w:kern w:val="0"/>
          <w:sz w:val="32"/>
          <w:szCs w:val="32"/>
          <w:lang w:val="en-US" w:eastAsia="zh-CN" w:bidi="en-AU"/>
        </w:rPr>
      </w:pPr>
      <w:bookmarkStart w:id="32" w:name="_Toc5531"/>
      <w:bookmarkStart w:id="33" w:name="_Toc10219"/>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（一）一般公共预算拨款收入：指省级财政当年拨付的资金。</w:t>
      </w:r>
      <w:bookmarkEnd w:id="32"/>
      <w:bookmarkEnd w:id="33"/>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（二）上年结转：指以前年度尚未完成，结转到本年仍按原规定用途继续使用的资金。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（三）社会保障和就业（类）行政事业单位养老支出（款）事业单位离退休（项）：指事业单位离退休人员的支出。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（四）社会保障和就业（类）行政事业单位养老支出（款）机关事业单位基本养老保险缴费支出（项）：指实施养老保险制度由单位缴纳的养老保险的支出。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（五）社会保障和就业（类）行政事业单位养老支出（款）机关事业单位职业年金缴费支出（项）：指实施养老保险制度由单位缴纳的职业年金的支出。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（六）卫生健康（类）公共卫生（款）妇幼保健机构（项）：指单位人员工资福利支出、对个人和家庭的补助支出。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（七）卫生健康（类）公共卫生（款）重大公共卫生服务（项）：指单位实施免费婚检妇幼公共卫生项目支出。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default" w:ascii="Times New Roman" w:hAnsi="Times New Roman" w:eastAsia="仿宋_GB2312" w:cs="Times New Roman"/>
          <w:i w:val="0"/>
          <w:caps w:val="0"/>
          <w:color w:val="333333"/>
          <w:spacing w:val="0"/>
          <w:sz w:val="32"/>
          <w:szCs w:val="32"/>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（八）卫生健康（类）行政事业单位医疗（款）事业单位医疗（项）：指事业单位用于单位应缴纳基本医疗保险支出。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（九）住房保障（类）住房改革支出（款）住房公积金（项）：指按照《住房公积金管理条例》的规定，由单位及其在职职工缴存的长期住房储金。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（十）基本支出：指为保证机构正常运转，完成日常工作任务而发生的人员支出和公用支出。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default" w:ascii="Times New Roman" w:hAnsi="Times New Roman" w:eastAsia="仿宋_GB2312" w:cs="Times New Roman"/>
          <w:i w:val="0"/>
          <w:caps w:val="0"/>
          <w:color w:val="333333"/>
          <w:spacing w:val="0"/>
          <w:sz w:val="32"/>
          <w:szCs w:val="32"/>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（十一）项目支出：指在基本支出之外为完成特定行政任务和事业发展目标所发生的支出。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十二）“三公”经费：纳入财政厅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十三）机关运行经费：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rPr>
          <w:rFonts w:hint="eastAsia" w:ascii="Times New Roman" w:hAnsi="Times New Roman" w:eastAsia="仿宋_GB2312" w:cs="仿宋_GB2312"/>
          <w:i w:val="0"/>
          <w:caps w:val="0"/>
          <w:color w:val="333333"/>
          <w:spacing w:val="0"/>
          <w:kern w:val="0"/>
          <w:sz w:val="32"/>
          <w:szCs w:val="32"/>
          <w:lang w:val="en-US" w:eastAsia="zh-CN" w:bidi="en-AU"/>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640" w:firstLineChars="200"/>
        <w:jc w:val="both"/>
        <w:textAlignment w:val="auto"/>
        <w:outlineLvl w:val="0"/>
        <w:rPr>
          <w:rFonts w:hint="eastAsia" w:ascii="Times New Roman" w:hAnsi="Times New Roman" w:eastAsia="仿宋_GB2312" w:cs="仿宋_GB2312"/>
          <w:i w:val="0"/>
          <w:caps w:val="0"/>
          <w:color w:val="333333"/>
          <w:spacing w:val="0"/>
          <w:kern w:val="0"/>
          <w:sz w:val="32"/>
          <w:szCs w:val="32"/>
          <w:lang w:val="en-US" w:eastAsia="zh-CN" w:bidi="en-AU"/>
        </w:rPr>
      </w:pPr>
      <w:bookmarkStart w:id="34" w:name="_Toc2647"/>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附件：1.部门预算公开表</w:t>
      </w:r>
      <w:bookmarkEnd w:id="34"/>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76" w:lineRule="exact"/>
        <w:ind w:left="0" w:right="0" w:firstLine="1600" w:firstLineChars="500"/>
        <w:jc w:val="both"/>
        <w:textAlignment w:val="auto"/>
        <w:outlineLvl w:val="0"/>
        <w:rPr>
          <w:rFonts w:hint="default" w:ascii="Times New Roman" w:hAnsi="Times New Roman" w:eastAsia="仿宋_GB2312" w:cs="仿宋_GB2312"/>
          <w:i w:val="0"/>
          <w:caps w:val="0"/>
          <w:color w:val="333333"/>
          <w:spacing w:val="0"/>
          <w:kern w:val="0"/>
          <w:sz w:val="32"/>
          <w:szCs w:val="32"/>
          <w:lang w:val="en-US" w:eastAsia="zh-CN" w:bidi="en-AU"/>
        </w:rPr>
      </w:pPr>
      <w:bookmarkStart w:id="35" w:name="_Toc19285"/>
      <w:r>
        <w:rPr>
          <w:rFonts w:hint="eastAsia" w:ascii="Times New Roman" w:hAnsi="Times New Roman" w:eastAsia="仿宋_GB2312" w:cs="仿宋_GB2312"/>
          <w:i w:val="0"/>
          <w:caps w:val="0"/>
          <w:color w:val="333333"/>
          <w:spacing w:val="0"/>
          <w:kern w:val="0"/>
          <w:sz w:val="32"/>
          <w:szCs w:val="32"/>
          <w:shd w:val="clear" w:color="auto" w:fill="FFFFFF"/>
          <w:lang w:val="en-US" w:eastAsia="zh-CN" w:bidi="en-AU"/>
        </w:rPr>
        <w:t>2.部门预算绩效目标表</w:t>
      </w:r>
      <w:bookmarkEnd w:id="35"/>
    </w:p>
    <w:p>
      <w:pPr>
        <w:pageBreakBefore w:val="0"/>
        <w:kinsoku/>
        <w:wordWrap/>
        <w:overflowPunct/>
        <w:topLinePunct w:val="0"/>
        <w:autoSpaceDE/>
        <w:autoSpaceDN/>
        <w:bidi w:val="0"/>
        <w:adjustRightInd/>
        <w:snapToGrid/>
        <w:spacing w:line="576" w:lineRule="exact"/>
        <w:ind w:firstLine="420" w:firstLineChars="200"/>
        <w:jc w:val="both"/>
        <w:textAlignment w:val="auto"/>
        <w:rPr>
          <w:rFonts w:ascii="Times New Roman" w:hAnsi="Times New Roman" w:eastAsia="仿宋_GB2312"/>
        </w:rPr>
      </w:pPr>
    </w:p>
    <w:sectPr>
      <w:footerReference r:id="rId4" w:type="default"/>
      <w:pgSz w:w="11906" w:h="16838"/>
      <w:pgMar w:top="2098" w:right="1474" w:bottom="1984" w:left="1587" w:header="720" w:footer="720" w:gutter="0"/>
      <w:pgNumType w:fmt="decimal" w:start="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w:pict>
        <v:shape id="文本框 6" o:spid="_x0000_s2049" o:spt="202" type="#_x0000_t202" style="position:absolute;left:0pt;margin-top:0pt;height:144pt;width:144pt;mso-position-horizontal:outside;mso-position-horizontal-relative:margin;mso-wrap-style:none;z-index:0;mso-width-relative:page;mso-height-relative:page;" filled="f" stroked="f" coordsize="21600,21600">
          <v:path/>
          <v:fill on="f" focussize="0,0"/>
          <v:stroke on="f"/>
          <v:imagedata o:title=""/>
          <o:lock v:ext="edit"/>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69CDD"/>
    <w:multiLevelType w:val="singleLevel"/>
    <w:tmpl w:val="9B369CDD"/>
    <w:lvl w:ilvl="0" w:tentative="0">
      <w:start w:val="3"/>
      <w:numFmt w:val="chineseCounting"/>
      <w:suff w:val="nothing"/>
      <w:lvlText w:val="（%1）"/>
      <w:lvlJc w:val="left"/>
      <w:rPr>
        <w:rFonts w:hint="eastAsia"/>
      </w:rPr>
    </w:lvl>
  </w:abstractNum>
  <w:abstractNum w:abstractNumId="1">
    <w:nsid w:val="0053208E"/>
    <w:multiLevelType w:val="singleLevel"/>
    <w:tmpl w:val="0053208E"/>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doNotTrackMoves/>
  <w:documentProtection w:enforcement="0"/>
  <w:defaultTabStop w:val="420"/>
  <w:drawingGridHorizontalSpacing w:val="1"/>
  <w:drawingGridVerticalSpacing w:val="1"/>
  <w:doNotUseMarginsForDrawingGridOrigin w:val="1"/>
  <w:drawingGridHorizontalOrigin w:val="0"/>
  <w:drawingGridVerticalOrigin w:val="0"/>
  <w:noPunctuationKerning w:val="1"/>
  <w:characterSpacingControl w:val="compressPunctuation"/>
  <w:noLineBreaksAfter w:lang="zh-CN" w:val="([{·‘“〈《「『【〔〖（．［｛￡￥"/>
  <w:noLineBreaksBefore w:lang="zh-CN" w:val="!),.:;?]}¨·ˇˉ―‖’”…∶、。〃々〉》」』】〕〗！＂＇），．：；？］｀｜｝～￠"/>
  <w:hdrShapeDefaults>
    <o:shapelayout v:ext="edit">
      <o:idmap v:ext="edit" data="2"/>
    </o:shapelayout>
  </w:hdrShapeDefaults>
  <w:compat>
    <w:noLeading/>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Setting w:name="enableOpenTypeFeatures" w:uri="http://schemas.microsoft.com/office/word" w:val="1"/>
    <w:compatSetting w:name="doNotFlipMirrorIndents" w:uri="http://schemas.microsoft.com/office/word" w:val="1"/>
  </w:compat>
  <w:docVars>
    <w:docVar w:name="commondata" w:val="eyJoZGlkIjoiOWMwMDdjMDFjZjQ1NWM1ZjZjMDI2NDMyZGQyNmU4MjQifQ=="/>
    <w:docVar w:name="KSO_WPS_MARK_KEY" w:val="cd03c003-f4a7-473d-b416-4b3a977c875b"/>
  </w:docVars>
  <w:rsids>
    <w:rsidRoot w:val="00000000"/>
    <w:rsid w:val="799F48A3"/>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2">
    <w:name w:val="Default Paragraph Font"/>
    <w:uiPriority w:val="0"/>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5">
    <w:name w:val="标题 1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customStyle="1" w:styleId="6">
    <w:name w:val="标题 21"/>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customStyle="1" w:styleId="7">
    <w:name w:val="默认段落字体11"/>
    <w:uiPriority w:val="0"/>
  </w:style>
  <w:style w:type="table" w:customStyle="1" w:styleId="8">
    <w:name w:val="普通表格1"/>
    <w:semiHidden/>
    <w:qFormat/>
    <w:uiPriority w:val="0"/>
    <w:tblPr>
      <w:tblLayout w:type="fixed"/>
      <w:tblCellMar>
        <w:top w:w="0" w:type="dxa"/>
        <w:left w:w="108" w:type="dxa"/>
        <w:bottom w:w="0" w:type="dxa"/>
        <w:right w:w="108" w:type="dxa"/>
      </w:tblCellMar>
    </w:tblPr>
  </w:style>
  <w:style w:type="paragraph" w:customStyle="1" w:styleId="9">
    <w:name w:val="正文文本1"/>
    <w:basedOn w:val="1"/>
    <w:next w:val="1"/>
    <w:qFormat/>
    <w:uiPriority w:val="0"/>
    <w:pPr>
      <w:spacing w:before="0" w:after="140" w:line="276" w:lineRule="auto"/>
    </w:pPr>
  </w:style>
  <w:style w:type="paragraph" w:customStyle="1" w:styleId="10">
    <w:name w:val="题注1"/>
    <w:basedOn w:val="1"/>
    <w:uiPriority w:val="0"/>
    <w:pPr>
      <w:widowControl w:val="0"/>
      <w:suppressLineNumbers/>
      <w:suppressAutoHyphens/>
      <w:spacing w:before="120" w:after="120"/>
    </w:pPr>
    <w:rPr>
      <w:i/>
      <w:iCs/>
      <w:sz w:val="24"/>
      <w:szCs w:val="24"/>
    </w:rPr>
  </w:style>
  <w:style w:type="paragraph" w:customStyle="1" w:styleId="11">
    <w:name w:val="页脚1"/>
    <w:basedOn w:val="1"/>
    <w:qFormat/>
    <w:uiPriority w:val="0"/>
    <w:pPr>
      <w:tabs>
        <w:tab w:val="center" w:pos="4153"/>
        <w:tab w:val="right" w:pos="8306"/>
      </w:tabs>
      <w:snapToGrid w:val="0"/>
      <w:jc w:val="left"/>
    </w:pPr>
    <w:rPr>
      <w:sz w:val="18"/>
    </w:rPr>
  </w:style>
  <w:style w:type="paragraph" w:customStyle="1" w:styleId="12">
    <w:name w:val="页眉1"/>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目录 11"/>
    <w:basedOn w:val="1"/>
    <w:next w:val="1"/>
    <w:qFormat/>
    <w:uiPriority w:val="0"/>
  </w:style>
  <w:style w:type="paragraph" w:customStyle="1" w:styleId="14">
    <w:name w:val="列表1"/>
    <w:basedOn w:val="9"/>
    <w:uiPriority w:val="0"/>
  </w:style>
  <w:style w:type="paragraph" w:customStyle="1" w:styleId="15">
    <w:name w:val="目录 21"/>
    <w:basedOn w:val="1"/>
    <w:next w:val="1"/>
    <w:uiPriority w:val="0"/>
    <w:pPr>
      <w:ind w:left="420" w:leftChars="200"/>
    </w:pPr>
  </w:style>
  <w:style w:type="paragraph" w:customStyle="1" w:styleId="16">
    <w:name w:val="普通(网站)1"/>
    <w:basedOn w:val="1"/>
    <w:qFormat/>
    <w:uiPriority w:val="0"/>
    <w:rPr>
      <w:sz w:val="24"/>
    </w:rPr>
  </w:style>
  <w:style w:type="character" w:customStyle="1" w:styleId="17">
    <w:name w:val="默认段落字体1"/>
    <w:uiPriority w:val="0"/>
  </w:style>
  <w:style w:type="paragraph" w:customStyle="1" w:styleId="18">
    <w:name w:val="Heading"/>
    <w:basedOn w:val="1"/>
    <w:next w:val="9"/>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9">
    <w:name w:val="Index"/>
    <w:basedOn w:val="1"/>
    <w:uiPriority w:val="0"/>
    <w:pPr>
      <w:widowControl w:val="0"/>
      <w:suppressLineNumbers/>
      <w:suppressAutoHyphens/>
    </w:p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5156</Words>
  <Characters>5433</Characters>
  <TotalTime>157269122</TotalTime>
  <ScaleCrop>false</ScaleCrop>
  <LinksUpToDate>false</LinksUpToDate>
  <CharactersWithSpaces>5468</CharactersWithSpaces>
  <Application>WPS Office_10.1.0.7520_F1E327BC-269C-435d-A152-05C5408002CA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2018-11-28T01:47:00Z</dcterms:created>
  <dc:creator>user</dc:creator>
  <cp:lastModifiedBy>lenovo</cp:lastModifiedBy>
  <dcterms:modified xsi:type="dcterms:W3CDTF">2024-08-12T05:49:08Z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17E4686BAF894892AC8F701B46C7F8D6_13</vt:lpwstr>
  </property>
</Properties>
</file>