
<file path=[Content_Types].xml><?xml version="1.0" encoding="utf-8"?>
<Types xmlns="http://schemas.openxmlformats.org/package/2006/content-types">
  <Default Extension="xml" ContentType="application/xml"/>
  <Default Extension="xls" ContentType="application/vnd.ms-exce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ascii="方正小标宋简体" w:hAnsi="宋体" w:eastAsia="方正小标宋简体"/>
          <w:color w:val="auto"/>
          <w:sz w:val="72"/>
          <w:szCs w:val="72"/>
          <w:highlight w:val="none"/>
        </w:rPr>
      </w:pPr>
      <w:bookmarkStart w:id="0" w:name="_Toc15378441"/>
      <w:bookmarkStart w:id="1" w:name="_Toc15396475"/>
      <w:bookmarkStart w:id="2" w:name="_Toc15396597"/>
      <w:bookmarkStart w:id="3" w:name="_Toc15306267"/>
      <w:bookmarkStart w:id="4" w:name="_Toc15377425"/>
      <w:bookmarkStart w:id="5" w:name="_Toc15377193"/>
    </w:p>
    <w:p>
      <w:pPr>
        <w:spacing w:line="600" w:lineRule="exact"/>
        <w:jc w:val="center"/>
        <w:outlineLvl w:val="9"/>
        <w:rPr>
          <w:rFonts w:ascii="方正小标宋简体" w:hAnsi="宋体" w:eastAsia="方正小标宋简体"/>
          <w:color w:val="auto"/>
          <w:sz w:val="72"/>
          <w:szCs w:val="72"/>
          <w:highlight w:val="none"/>
        </w:rPr>
      </w:pPr>
    </w:p>
    <w:bookmarkEnd w:id="0"/>
    <w:bookmarkEnd w:id="1"/>
    <w:bookmarkEnd w:id="2"/>
    <w:bookmarkEnd w:id="3"/>
    <w:bookmarkEnd w:id="4"/>
    <w:bookmarkEnd w:id="5"/>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6" w:name="_Toc24404"/>
      <w:bookmarkStart w:id="7" w:name="_Toc24422"/>
      <w:r>
        <w:rPr>
          <w:rFonts w:hint="eastAsia" w:ascii="方正小标宋简体" w:eastAsia="方正小标宋简体" w:cs="方正小标宋简体"/>
          <w:color w:val="auto"/>
          <w:sz w:val="72"/>
          <w:szCs w:val="72"/>
          <w:highlight w:val="none"/>
        </w:rPr>
        <w:t>202</w:t>
      </w:r>
      <w:r>
        <w:rPr>
          <w:rFonts w:hint="eastAsia" w:ascii="方正小标宋简体" w:eastAsia="方正小标宋简体" w:cs="方正小标宋简体"/>
          <w:color w:val="auto"/>
          <w:sz w:val="72"/>
          <w:szCs w:val="72"/>
          <w:highlight w:val="none"/>
          <w:lang w:val="en-US" w:eastAsia="zh-CN"/>
        </w:rPr>
        <w:t>2</w:t>
      </w:r>
      <w:r>
        <w:rPr>
          <w:rFonts w:hint="eastAsia" w:ascii="方正小标宋简体" w:eastAsia="方正小标宋简体" w:cs="方正小标宋简体"/>
          <w:color w:val="auto"/>
          <w:sz w:val="72"/>
          <w:szCs w:val="72"/>
          <w:highlight w:val="none"/>
        </w:rPr>
        <w:t>年度</w:t>
      </w:r>
      <w:bookmarkEnd w:id="6"/>
      <w:bookmarkEnd w:id="7"/>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8" w:name="_Toc11341"/>
      <w:bookmarkStart w:id="9" w:name="_Toc3162"/>
      <w:bookmarkStart w:id="10" w:name="_Toc28598"/>
      <w:bookmarkStart w:id="11" w:name="_Toc27846"/>
      <w:bookmarkStart w:id="12" w:name="_Toc13013"/>
      <w:bookmarkStart w:id="13" w:name="_Toc4566"/>
      <w:bookmarkStart w:id="14" w:name="_Toc32694"/>
      <w:bookmarkStart w:id="15" w:name="_Toc15377426"/>
      <w:bookmarkStart w:id="16" w:name="_Toc15377194"/>
      <w:bookmarkStart w:id="17" w:name="_Toc6647"/>
      <w:bookmarkStart w:id="18" w:name="_Toc15378442"/>
      <w:bookmarkStart w:id="19" w:name="_Toc15396598"/>
      <w:bookmarkStart w:id="20" w:name="_Toc15396476"/>
      <w:bookmarkStart w:id="21" w:name="_Toc2632"/>
      <w:r>
        <w:rPr>
          <w:rFonts w:hint="eastAsia" w:ascii="方正小标宋简体" w:eastAsia="方正小标宋简体" w:cs="方正小标宋简体"/>
          <w:color w:val="auto"/>
          <w:sz w:val="72"/>
          <w:szCs w:val="72"/>
          <w:highlight w:val="none"/>
        </w:rPr>
        <w:t>四川省</w:t>
      </w:r>
      <w:bookmarkStart w:id="22" w:name="_Toc15306268"/>
      <w:r>
        <w:rPr>
          <w:rFonts w:hint="eastAsia" w:ascii="方正小标宋简体" w:eastAsia="方正小标宋简体" w:cs="方正小标宋简体"/>
          <w:color w:val="auto"/>
          <w:sz w:val="72"/>
          <w:szCs w:val="72"/>
          <w:highlight w:val="none"/>
        </w:rPr>
        <w:t>广元市昭化区中医</w:t>
      </w:r>
      <w:bookmarkEnd w:id="8"/>
      <w:bookmarkEnd w:id="9"/>
      <w:bookmarkEnd w:id="10"/>
      <w:bookmarkEnd w:id="11"/>
      <w:bookmarkEnd w:id="12"/>
      <w:bookmarkEnd w:id="13"/>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23" w:name="_Toc3127"/>
      <w:r>
        <w:rPr>
          <w:rFonts w:hint="eastAsia" w:ascii="方正小标宋简体" w:eastAsia="方正小标宋简体" w:cs="方正小标宋简体"/>
          <w:color w:val="auto"/>
          <w:sz w:val="72"/>
          <w:szCs w:val="72"/>
          <w:highlight w:val="none"/>
        </w:rPr>
        <w:t>医院单位决算</w:t>
      </w:r>
      <w:bookmarkEnd w:id="14"/>
      <w:bookmarkEnd w:id="15"/>
      <w:bookmarkEnd w:id="16"/>
      <w:bookmarkEnd w:id="17"/>
      <w:bookmarkEnd w:id="18"/>
      <w:bookmarkEnd w:id="19"/>
      <w:bookmarkEnd w:id="20"/>
      <w:bookmarkEnd w:id="21"/>
      <w:bookmarkEnd w:id="22"/>
      <w:bookmarkEnd w:id="23"/>
    </w:p>
    <w:p>
      <w:pPr>
        <w:widowControl/>
        <w:jc w:val="center"/>
        <w:rPr>
          <w:rFonts w:hint="eastAsia" w:ascii="方正小标宋简体" w:eastAsia="方正小标宋简体"/>
          <w:color w:val="000000"/>
          <w:sz w:val="72"/>
          <w:szCs w:val="72"/>
        </w:rPr>
      </w:pPr>
    </w:p>
    <w:p>
      <w:pPr>
        <w:widowControl/>
        <w:jc w:val="center"/>
        <w:rPr>
          <w:rFonts w:hint="eastAsia" w:ascii="方正小标宋简体" w:eastAsia="方正小标宋简体"/>
          <w:color w:val="000000"/>
          <w:sz w:val="72"/>
          <w:szCs w:val="72"/>
        </w:rPr>
      </w:pPr>
    </w:p>
    <w:p>
      <w:pPr>
        <w:widowControl/>
        <w:jc w:val="center"/>
        <w:rPr>
          <w:rFonts w:hint="eastAsia" w:ascii="方正小标宋简体" w:eastAsia="方正小标宋简体"/>
          <w:color w:val="000000"/>
          <w:sz w:val="72"/>
          <w:szCs w:val="72"/>
        </w:rPr>
      </w:pPr>
    </w:p>
    <w:p>
      <w:pPr>
        <w:widowControl/>
        <w:jc w:val="center"/>
        <w:rPr>
          <w:rFonts w:hint="eastAsia" w:ascii="方正小标宋简体" w:eastAsia="方正小标宋简体"/>
          <w:color w:val="000000"/>
          <w:sz w:val="72"/>
          <w:szCs w:val="72"/>
        </w:rPr>
      </w:pPr>
    </w:p>
    <w:p>
      <w:pPr>
        <w:widowControl/>
        <w:jc w:val="center"/>
        <w:rPr>
          <w:rFonts w:hint="eastAsia" w:ascii="方正小标宋简体" w:eastAsia="方正小标宋简体"/>
          <w:color w:val="000000"/>
          <w:sz w:val="72"/>
          <w:szCs w:val="72"/>
        </w:rPr>
      </w:pPr>
    </w:p>
    <w:p>
      <w:pPr>
        <w:widowControl/>
        <w:jc w:val="center"/>
        <w:rPr>
          <w:rFonts w:hint="eastAsia" w:ascii="黑体" w:hAnsi="黑体" w:eastAsia="黑体" w:cs="黑体"/>
          <w:kern w:val="2"/>
          <w:sz w:val="32"/>
          <w:szCs w:val="32"/>
          <w:lang w:val="en-US" w:eastAsia="zh-CN" w:bidi="ar-SA"/>
        </w:rPr>
      </w:pPr>
    </w:p>
    <w:sdt>
      <w:sdtPr>
        <w:rPr>
          <w:rFonts w:hint="eastAsia" w:ascii="黑体" w:hAnsi="黑体" w:eastAsia="黑体" w:cs="黑体"/>
          <w:kern w:val="2"/>
          <w:sz w:val="32"/>
          <w:szCs w:val="32"/>
          <w:lang w:val="en-US" w:eastAsia="zh-CN" w:bidi="ar-SA"/>
        </w:rPr>
        <w:id w:val="147466021"/>
        <w15:color w:val="DBDBDB"/>
        <w:docPartObj>
          <w:docPartGallery w:val="Table of Contents"/>
          <w:docPartUnique/>
        </w:docPartObj>
      </w:sdtPr>
      <w:sdtEndPr>
        <w:rPr>
          <w:rFonts w:hint="eastAsia" w:ascii="黑体" w:hAnsi="黑体" w:eastAsia="黑体" w:cs="黑体"/>
          <w:kern w:val="2"/>
          <w:sz w:val="32"/>
          <w:szCs w:val="32"/>
          <w:lang w:val="en-US" w:eastAsia="zh-CN" w:bidi="ar-SA"/>
        </w:rPr>
      </w:sdtEndPr>
      <w:sdtContent>
        <w:p>
          <w:pPr>
            <w:widowControl/>
            <w:jc w:val="center"/>
            <w:rPr>
              <w:rFonts w:ascii="黑体" w:hAnsi="黑体" w:eastAsia="黑体"/>
              <w:color w:val="auto"/>
              <w:sz w:val="48"/>
              <w:szCs w:val="48"/>
              <w:highlight w:val="none"/>
            </w:rPr>
          </w:pPr>
          <w:bookmarkStart w:id="24" w:name="_Toc26030"/>
          <w:r>
            <w:rPr>
              <w:rFonts w:hint="eastAsia" w:ascii="黑体" w:hAnsi="黑体" w:eastAsia="黑体"/>
              <w:color w:val="auto"/>
              <w:sz w:val="48"/>
              <w:szCs w:val="48"/>
              <w:highlight w:val="none"/>
            </w:rPr>
            <w:t>目录</w:t>
          </w:r>
        </w:p>
        <w:p>
          <w:pPr>
            <w:pStyle w:val="13"/>
            <w:ind w:firstLine="2240" w:firstLineChars="800"/>
            <w:jc w:val="both"/>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28</w:t>
          </w:r>
          <w:r>
            <w:rPr>
              <w:rFonts w:hint="eastAsia"/>
              <w:color w:val="auto"/>
              <w:highlight w:val="none"/>
            </w:rPr>
            <w:t>日</w:t>
          </w:r>
          <w:r>
            <w:fldChar w:fldCharType="begin"/>
          </w:r>
          <w:r>
            <w:instrText xml:space="preserve">TOC \o "1-3" \h \u</w:instrText>
          </w:r>
          <w:r>
            <w:fldChar w:fldCharType="separate"/>
          </w:r>
        </w:p>
        <w:p>
          <w:pPr>
            <w:pStyle w:val="38"/>
            <w:tabs>
              <w:tab w:val="right" w:leader="dot" w:pos="8306"/>
            </w:tabs>
          </w:pPr>
          <w:r>
            <w:fldChar w:fldCharType="begin"/>
          </w:r>
          <w:r>
            <w:instrText xml:space="preserve"> HYPERLINK \l "_Toc19600" </w:instrText>
          </w:r>
          <w:r>
            <w:fldChar w:fldCharType="separate"/>
          </w:r>
          <w:r>
            <w:rPr>
              <w:rFonts w:hint="eastAsia" w:ascii="黑体" w:hAnsi="黑体" w:eastAsia="黑体" w:cs="黑体"/>
              <w:szCs w:val="48"/>
              <w:highlight w:val="none"/>
            </w:rPr>
            <w:t>第一部分</w:t>
          </w:r>
          <w:r>
            <w:rPr>
              <w:rFonts w:hint="eastAsia" w:ascii="黑体" w:hAnsi="黑体" w:eastAsia="黑体" w:cs="黑体"/>
              <w:szCs w:val="48"/>
              <w:highlight w:val="none"/>
              <w:lang w:val="en-US" w:eastAsia="zh-CN"/>
            </w:rPr>
            <w:t xml:space="preserve"> </w:t>
          </w:r>
          <w:r>
            <w:rPr>
              <w:rFonts w:hint="eastAsia" w:ascii="黑体" w:hAnsi="黑体" w:eastAsia="黑体" w:cs="黑体"/>
              <w:bCs w:val="0"/>
              <w:szCs w:val="48"/>
              <w:highlight w:val="none"/>
            </w:rPr>
            <w:t>部门概况</w:t>
          </w:r>
          <w:r>
            <w:tab/>
          </w:r>
          <w:r>
            <w:fldChar w:fldCharType="begin"/>
          </w:r>
          <w:r>
            <w:instrText xml:space="preserve"> PAGEREF _Toc19600 \h </w:instrText>
          </w:r>
          <w:r>
            <w:fldChar w:fldCharType="separate"/>
          </w:r>
          <w:r>
            <w:t>1</w:t>
          </w:r>
          <w:r>
            <w:fldChar w:fldCharType="end"/>
          </w:r>
          <w:r>
            <w:fldChar w:fldCharType="end"/>
          </w:r>
        </w:p>
        <w:p>
          <w:pPr>
            <w:pStyle w:val="39"/>
            <w:tabs>
              <w:tab w:val="right" w:leader="dot" w:pos="8306"/>
            </w:tabs>
          </w:pPr>
          <w:r>
            <w:fldChar w:fldCharType="begin"/>
          </w:r>
          <w:r>
            <w:instrText xml:space="preserve"> HYPERLINK \l "_Toc7657" </w:instrText>
          </w:r>
          <w:r>
            <w:fldChar w:fldCharType="separate"/>
          </w:r>
          <w:r>
            <w:rPr>
              <w:rFonts w:hint="eastAsia"/>
              <w:szCs w:val="36"/>
            </w:rPr>
            <w:t>一、</w:t>
          </w:r>
          <w:r>
            <w:rPr>
              <w:rFonts w:hint="eastAsia" w:ascii="黑体" w:hAnsi="黑体" w:eastAsia="黑体"/>
              <w:bCs w:val="0"/>
              <w:szCs w:val="32"/>
            </w:rPr>
            <w:t>职能简介</w:t>
          </w:r>
          <w:r>
            <w:tab/>
          </w:r>
          <w:r>
            <w:fldChar w:fldCharType="begin"/>
          </w:r>
          <w:r>
            <w:instrText xml:space="preserve"> PAGEREF _Toc7657 \h </w:instrText>
          </w:r>
          <w:r>
            <w:fldChar w:fldCharType="separate"/>
          </w:r>
          <w:r>
            <w:t>1</w:t>
          </w:r>
          <w:r>
            <w:fldChar w:fldCharType="end"/>
          </w:r>
          <w:r>
            <w:fldChar w:fldCharType="end"/>
          </w:r>
        </w:p>
        <w:p>
          <w:pPr>
            <w:pStyle w:val="39"/>
            <w:tabs>
              <w:tab w:val="right" w:leader="dot" w:pos="8306"/>
            </w:tabs>
          </w:pPr>
          <w:r>
            <w:fldChar w:fldCharType="begin"/>
          </w:r>
          <w:r>
            <w:instrText xml:space="preserve"> HYPERLINK \l "_Toc15394" </w:instrText>
          </w:r>
          <w:r>
            <w:fldChar w:fldCharType="separate"/>
          </w:r>
          <w:r>
            <w:rPr>
              <w:rFonts w:hint="eastAsia" w:ascii="黑体" w:hAnsi="黑体" w:eastAsia="黑体"/>
              <w:szCs w:val="32"/>
            </w:rPr>
            <w:t>二、</w:t>
          </w:r>
          <w:r>
            <w:rPr>
              <w:rFonts w:hint="eastAsia" w:ascii="黑体" w:hAnsi="黑体" w:eastAsia="黑体"/>
              <w:szCs w:val="32"/>
              <w:lang w:eastAsia="zh-CN"/>
            </w:rPr>
            <w:t>机构设置</w:t>
          </w:r>
          <w:r>
            <w:tab/>
          </w:r>
          <w:r>
            <w:fldChar w:fldCharType="begin"/>
          </w:r>
          <w:r>
            <w:instrText xml:space="preserve"> PAGEREF _Toc15394 \h </w:instrText>
          </w:r>
          <w:r>
            <w:fldChar w:fldCharType="separate"/>
          </w:r>
          <w:r>
            <w:t>2</w:t>
          </w:r>
          <w:r>
            <w:fldChar w:fldCharType="end"/>
          </w:r>
          <w:r>
            <w:fldChar w:fldCharType="end"/>
          </w:r>
        </w:p>
        <w:p>
          <w:pPr>
            <w:pStyle w:val="38"/>
            <w:tabs>
              <w:tab w:val="right" w:leader="dot" w:pos="8306"/>
            </w:tabs>
          </w:pPr>
          <w:r>
            <w:fldChar w:fldCharType="begin"/>
          </w:r>
          <w:r>
            <w:instrText xml:space="preserve"> HYPERLINK \l "_Toc3673" </w:instrText>
          </w:r>
          <w:r>
            <w:fldChar w:fldCharType="separate"/>
          </w:r>
          <w:r>
            <w:rPr>
              <w:rFonts w:hint="eastAsia" w:ascii="黑体" w:hAnsi="黑体" w:eastAsia="黑体" w:cstheme="minorBidi"/>
              <w:bCs/>
              <w:szCs w:val="48"/>
              <w:highlight w:val="none"/>
            </w:rPr>
            <w:t>第二部</w:t>
          </w:r>
          <w:r>
            <w:rPr>
              <w:rFonts w:hint="eastAsia" w:ascii="黑体" w:hAnsi="黑体" w:eastAsia="黑体" w:cstheme="minorBidi"/>
              <w:bCs/>
              <w:szCs w:val="48"/>
              <w:highlight w:val="none"/>
              <w:lang w:eastAsia="zh-CN"/>
            </w:rPr>
            <w:t>分</w:t>
          </w:r>
          <w:r>
            <w:rPr>
              <w:rFonts w:hint="eastAsia" w:ascii="黑体" w:hAnsi="黑体" w:eastAsia="黑体" w:cstheme="minorBidi"/>
              <w:bCs/>
              <w:szCs w:val="48"/>
              <w:highlight w:val="none"/>
              <w:lang w:val="en-US" w:eastAsia="zh-CN"/>
            </w:rPr>
            <w:t xml:space="preserve"> 2022年度</w:t>
          </w:r>
          <w:r>
            <w:rPr>
              <w:rFonts w:hint="eastAsia" w:ascii="黑体" w:hAnsi="黑体" w:eastAsia="黑体" w:cstheme="minorBidi"/>
              <w:bCs/>
              <w:szCs w:val="48"/>
              <w:highlight w:val="none"/>
            </w:rPr>
            <w:t>部门决算情况说明</w:t>
          </w:r>
          <w:r>
            <w:tab/>
          </w:r>
          <w:r>
            <w:fldChar w:fldCharType="begin"/>
          </w:r>
          <w:r>
            <w:instrText xml:space="preserve"> PAGEREF _Toc3673 \h </w:instrText>
          </w:r>
          <w:r>
            <w:fldChar w:fldCharType="separate"/>
          </w:r>
          <w:r>
            <w:t>2</w:t>
          </w:r>
          <w:r>
            <w:fldChar w:fldCharType="end"/>
          </w:r>
          <w:r>
            <w:fldChar w:fldCharType="end"/>
          </w:r>
        </w:p>
        <w:p>
          <w:pPr>
            <w:pStyle w:val="39"/>
            <w:tabs>
              <w:tab w:val="right" w:leader="dot" w:pos="8306"/>
            </w:tabs>
          </w:pPr>
          <w:r>
            <w:fldChar w:fldCharType="begin"/>
          </w:r>
          <w:r>
            <w:instrText xml:space="preserve"> HYPERLINK \l "_Toc9730" </w:instrText>
          </w:r>
          <w:r>
            <w:fldChar w:fldCharType="separate"/>
          </w:r>
          <w:r>
            <w:rPr>
              <w:rFonts w:hint="default" w:ascii="黑体" w:hAnsi="黑体" w:eastAsia="黑体"/>
              <w:szCs w:val="32"/>
            </w:rPr>
            <w:t>一、</w:t>
          </w:r>
          <w:r>
            <w:rPr>
              <w:rFonts w:hint="eastAsia" w:ascii="黑体" w:hAnsi="黑体" w:eastAsia="黑体"/>
              <w:szCs w:val="32"/>
              <w:highlight w:val="none"/>
            </w:rPr>
            <w:t>收入支出决算总体情况说明</w:t>
          </w:r>
          <w:r>
            <w:tab/>
          </w:r>
          <w:r>
            <w:fldChar w:fldCharType="begin"/>
          </w:r>
          <w:r>
            <w:instrText xml:space="preserve"> PAGEREF _Toc9730 \h </w:instrText>
          </w:r>
          <w:r>
            <w:fldChar w:fldCharType="separate"/>
          </w:r>
          <w:r>
            <w:t>2</w:t>
          </w:r>
          <w:r>
            <w:fldChar w:fldCharType="end"/>
          </w:r>
          <w:r>
            <w:fldChar w:fldCharType="end"/>
          </w:r>
        </w:p>
        <w:p>
          <w:pPr>
            <w:pStyle w:val="39"/>
            <w:tabs>
              <w:tab w:val="right" w:leader="dot" w:pos="8306"/>
            </w:tabs>
          </w:pPr>
          <w:r>
            <w:fldChar w:fldCharType="begin"/>
          </w:r>
          <w:r>
            <w:instrText xml:space="preserve"> HYPERLINK \l "_Toc13644" </w:instrText>
          </w:r>
          <w:r>
            <w:fldChar w:fldCharType="separate"/>
          </w:r>
          <w:r>
            <w:rPr>
              <w:rFonts w:hint="default" w:ascii="黑体" w:hAnsi="黑体" w:eastAsia="黑体"/>
              <w:szCs w:val="32"/>
            </w:rPr>
            <w:t>二、</w:t>
          </w:r>
          <w:r>
            <w:rPr>
              <w:rFonts w:hint="eastAsia" w:ascii="黑体" w:hAnsi="黑体" w:eastAsia="黑体"/>
              <w:szCs w:val="32"/>
              <w:highlight w:val="none"/>
            </w:rPr>
            <w:t>收入决算情况说明</w:t>
          </w:r>
          <w:r>
            <w:tab/>
          </w:r>
          <w:r>
            <w:fldChar w:fldCharType="begin"/>
          </w:r>
          <w:r>
            <w:instrText xml:space="preserve"> PAGEREF _Toc13644 \h </w:instrText>
          </w:r>
          <w:r>
            <w:fldChar w:fldCharType="separate"/>
          </w:r>
          <w:r>
            <w:t>3</w:t>
          </w:r>
          <w:r>
            <w:fldChar w:fldCharType="end"/>
          </w:r>
          <w:r>
            <w:fldChar w:fldCharType="end"/>
          </w:r>
        </w:p>
        <w:p>
          <w:pPr>
            <w:pStyle w:val="39"/>
            <w:tabs>
              <w:tab w:val="right" w:leader="dot" w:pos="8306"/>
            </w:tabs>
          </w:pPr>
          <w:r>
            <w:fldChar w:fldCharType="begin"/>
          </w:r>
          <w:r>
            <w:instrText xml:space="preserve"> HYPERLINK \l "_Toc16656" </w:instrText>
          </w:r>
          <w:r>
            <w:fldChar w:fldCharType="separate"/>
          </w:r>
          <w:r>
            <w:rPr>
              <w:rFonts w:hint="default" w:ascii="黑体" w:hAnsi="黑体" w:eastAsia="黑体"/>
              <w:szCs w:val="32"/>
            </w:rPr>
            <w:t>三、</w:t>
          </w:r>
          <w:r>
            <w:rPr>
              <w:rFonts w:hint="eastAsia" w:ascii="黑体" w:hAnsi="黑体" w:eastAsia="黑体"/>
              <w:szCs w:val="32"/>
              <w:highlight w:val="none"/>
            </w:rPr>
            <w:t>支出决算情况说明</w:t>
          </w:r>
          <w:r>
            <w:tab/>
          </w:r>
          <w:r>
            <w:fldChar w:fldCharType="begin"/>
          </w:r>
          <w:r>
            <w:instrText xml:space="preserve"> PAGEREF _Toc16656 \h </w:instrText>
          </w:r>
          <w:r>
            <w:fldChar w:fldCharType="separate"/>
          </w:r>
          <w:r>
            <w:t>3</w:t>
          </w:r>
          <w:r>
            <w:fldChar w:fldCharType="end"/>
          </w:r>
          <w:r>
            <w:fldChar w:fldCharType="end"/>
          </w:r>
        </w:p>
        <w:p>
          <w:pPr>
            <w:pStyle w:val="39"/>
            <w:tabs>
              <w:tab w:val="right" w:leader="dot" w:pos="8306"/>
            </w:tabs>
          </w:pPr>
          <w:r>
            <w:fldChar w:fldCharType="begin"/>
          </w:r>
          <w:r>
            <w:instrText xml:space="preserve"> HYPERLINK \l "_Toc31627" </w:instrText>
          </w:r>
          <w:r>
            <w:fldChar w:fldCharType="separate"/>
          </w:r>
          <w:r>
            <w:rPr>
              <w:rFonts w:hint="default" w:ascii="黑体" w:hAnsi="黑体" w:eastAsia="黑体"/>
              <w:szCs w:val="32"/>
            </w:rPr>
            <w:t>四、</w:t>
          </w:r>
          <w:r>
            <w:rPr>
              <w:rFonts w:hint="eastAsia" w:ascii="黑体" w:hAnsi="黑体" w:eastAsia="黑体" w:cs="黑体"/>
              <w:kern w:val="0"/>
              <w:szCs w:val="32"/>
              <w:highlight w:val="none"/>
              <w:lang w:val="en-US" w:eastAsia="zh-CN" w:bidi="ar-SA"/>
            </w:rPr>
            <w:t>财政拨款收入支出决算总体情况说明</w:t>
          </w:r>
          <w:r>
            <w:tab/>
          </w:r>
          <w:r>
            <w:fldChar w:fldCharType="begin"/>
          </w:r>
          <w:r>
            <w:instrText xml:space="preserve"> PAGEREF _Toc31627 \h </w:instrText>
          </w:r>
          <w:r>
            <w:fldChar w:fldCharType="separate"/>
          </w:r>
          <w:r>
            <w:t>4</w:t>
          </w:r>
          <w:r>
            <w:fldChar w:fldCharType="end"/>
          </w:r>
          <w:r>
            <w:fldChar w:fldCharType="end"/>
          </w:r>
        </w:p>
        <w:p>
          <w:pPr>
            <w:pStyle w:val="39"/>
            <w:tabs>
              <w:tab w:val="right" w:leader="dot" w:pos="8306"/>
            </w:tabs>
          </w:pPr>
          <w:r>
            <w:fldChar w:fldCharType="begin"/>
          </w:r>
          <w:r>
            <w:instrText xml:space="preserve"> HYPERLINK \l "_Toc21171" </w:instrText>
          </w:r>
          <w:r>
            <w:fldChar w:fldCharType="separate"/>
          </w:r>
          <w:r>
            <w:rPr>
              <w:rFonts w:hint="default" w:ascii="黑体" w:hAnsi="黑体" w:eastAsia="黑体" w:cs="黑体"/>
              <w:szCs w:val="32"/>
              <w:lang w:eastAsia="zh-CN"/>
            </w:rPr>
            <w:t>五、</w:t>
          </w:r>
          <w:r>
            <w:rPr>
              <w:rFonts w:hint="eastAsia" w:ascii="黑体" w:hAnsi="黑体" w:eastAsia="黑体" w:cs="黑体"/>
              <w:szCs w:val="32"/>
              <w:highlight w:val="none"/>
              <w:lang w:eastAsia="zh-CN"/>
            </w:rPr>
            <w:t>一般公共预算财政拨款支出决算情况说明</w:t>
          </w:r>
          <w:r>
            <w:tab/>
          </w:r>
          <w:r>
            <w:fldChar w:fldCharType="begin"/>
          </w:r>
          <w:r>
            <w:instrText xml:space="preserve"> PAGEREF _Toc21171 \h </w:instrText>
          </w:r>
          <w:r>
            <w:fldChar w:fldCharType="separate"/>
          </w:r>
          <w:r>
            <w:t>5</w:t>
          </w:r>
          <w:r>
            <w:fldChar w:fldCharType="end"/>
          </w:r>
          <w:r>
            <w:fldChar w:fldCharType="end"/>
          </w:r>
        </w:p>
        <w:p>
          <w:pPr>
            <w:pStyle w:val="39"/>
            <w:tabs>
              <w:tab w:val="right" w:leader="dot" w:pos="8306"/>
            </w:tabs>
          </w:pPr>
          <w:r>
            <w:fldChar w:fldCharType="begin"/>
          </w:r>
          <w:r>
            <w:instrText xml:space="preserve"> HYPERLINK \l "_Toc32151" </w:instrText>
          </w:r>
          <w:r>
            <w:fldChar w:fldCharType="separate"/>
          </w:r>
          <w:r>
            <w:rPr>
              <w:rFonts w:hint="default" w:ascii="黑体" w:hAnsi="黑体" w:eastAsia="黑体" w:cs="黑体"/>
              <w:szCs w:val="32"/>
              <w:lang w:eastAsia="zh-CN"/>
            </w:rPr>
            <w:t>六、</w:t>
          </w:r>
          <w:r>
            <w:rPr>
              <w:rFonts w:hint="eastAsia" w:ascii="黑体" w:hAnsi="黑体" w:eastAsia="黑体" w:cs="黑体"/>
              <w:szCs w:val="32"/>
              <w:highlight w:val="none"/>
              <w:lang w:eastAsia="zh-CN"/>
            </w:rPr>
            <w:t>一般公共预算财政拨款基本支出决算情况说明</w:t>
          </w:r>
          <w:r>
            <w:tab/>
          </w:r>
          <w:r>
            <w:fldChar w:fldCharType="begin"/>
          </w:r>
          <w:r>
            <w:instrText xml:space="preserve"> PAGEREF _Toc32151 \h </w:instrText>
          </w:r>
          <w:r>
            <w:fldChar w:fldCharType="separate"/>
          </w:r>
          <w:r>
            <w:t>7</w:t>
          </w:r>
          <w:r>
            <w:fldChar w:fldCharType="end"/>
          </w:r>
          <w:r>
            <w:fldChar w:fldCharType="end"/>
          </w:r>
        </w:p>
        <w:p>
          <w:pPr>
            <w:pStyle w:val="39"/>
            <w:tabs>
              <w:tab w:val="right" w:leader="dot" w:pos="8306"/>
            </w:tabs>
          </w:pPr>
          <w:r>
            <w:fldChar w:fldCharType="begin"/>
          </w:r>
          <w:r>
            <w:instrText xml:space="preserve"> HYPERLINK \l "_Toc28692" </w:instrText>
          </w:r>
          <w: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_Toc28692 \h </w:instrText>
          </w:r>
          <w:r>
            <w:fldChar w:fldCharType="separate"/>
          </w:r>
          <w:r>
            <w:t>8</w:t>
          </w:r>
          <w:r>
            <w:fldChar w:fldCharType="end"/>
          </w:r>
          <w:r>
            <w:fldChar w:fldCharType="end"/>
          </w:r>
        </w:p>
        <w:p>
          <w:pPr>
            <w:pStyle w:val="39"/>
            <w:tabs>
              <w:tab w:val="right" w:leader="dot" w:pos="8306"/>
            </w:tabs>
          </w:pPr>
          <w:r>
            <w:fldChar w:fldCharType="begin"/>
          </w:r>
          <w:r>
            <w:instrText xml:space="preserve"> HYPERLINK \l "_Toc11925"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_Toc11925 \h </w:instrText>
          </w:r>
          <w:r>
            <w:fldChar w:fldCharType="separate"/>
          </w:r>
          <w:r>
            <w:t>8</w:t>
          </w:r>
          <w:r>
            <w:fldChar w:fldCharType="end"/>
          </w:r>
          <w:r>
            <w:fldChar w:fldCharType="end"/>
          </w:r>
        </w:p>
        <w:p>
          <w:pPr>
            <w:pStyle w:val="39"/>
            <w:tabs>
              <w:tab w:val="right" w:leader="dot" w:pos="8306"/>
            </w:tabs>
          </w:pPr>
          <w:r>
            <w:fldChar w:fldCharType="begin"/>
          </w:r>
          <w:r>
            <w:instrText xml:space="preserve"> HYPERLINK \l "_Toc11275" </w:instrText>
          </w:r>
          <w:r>
            <w:fldChar w:fldCharType="separate"/>
          </w:r>
          <w:r>
            <w:rPr>
              <w:rFonts w:hint="eastAsia" w:ascii="黑体" w:hAnsi="黑体" w:eastAsia="黑体"/>
            </w:rPr>
            <w:t>九、</w:t>
          </w:r>
          <w:r>
            <w:rPr>
              <w:rFonts w:hint="eastAsia" w:ascii="黑体" w:hAnsi="黑体" w:eastAsia="黑体"/>
              <w:highlight w:val="none"/>
            </w:rPr>
            <w:t>国有资本经营预算支出决算情况说明</w:t>
          </w:r>
          <w:r>
            <w:tab/>
          </w:r>
          <w:r>
            <w:fldChar w:fldCharType="begin"/>
          </w:r>
          <w:r>
            <w:instrText xml:space="preserve"> PAGEREF _Toc11275 \h </w:instrText>
          </w:r>
          <w:r>
            <w:fldChar w:fldCharType="separate"/>
          </w:r>
          <w:r>
            <w:t>8</w:t>
          </w:r>
          <w:r>
            <w:fldChar w:fldCharType="end"/>
          </w:r>
          <w:r>
            <w:fldChar w:fldCharType="end"/>
          </w:r>
        </w:p>
        <w:p>
          <w:pPr>
            <w:pStyle w:val="39"/>
            <w:tabs>
              <w:tab w:val="right" w:leader="dot" w:pos="8306"/>
            </w:tabs>
          </w:pPr>
          <w:r>
            <w:fldChar w:fldCharType="begin"/>
          </w:r>
          <w:r>
            <w:instrText xml:space="preserve"> HYPERLINK \l "_Toc1580" </w:instrText>
          </w:r>
          <w:r>
            <w:fldChar w:fldCharType="separate"/>
          </w:r>
          <w:r>
            <w:rPr>
              <w:rFonts w:hint="eastAsia" w:ascii="黑体" w:hAnsi="黑体" w:eastAsia="黑体"/>
            </w:rPr>
            <w:t>十、</w:t>
          </w:r>
          <w:r>
            <w:rPr>
              <w:rFonts w:hint="eastAsia" w:ascii="黑体" w:hAnsi="黑体" w:eastAsia="黑体"/>
              <w:highlight w:val="none"/>
            </w:rPr>
            <w:t>其他重要事项的情况说明</w:t>
          </w:r>
          <w:r>
            <w:tab/>
          </w:r>
          <w:r>
            <w:fldChar w:fldCharType="begin"/>
          </w:r>
          <w:r>
            <w:instrText xml:space="preserve"> PAGEREF _Toc1580 \h </w:instrText>
          </w:r>
          <w:r>
            <w:fldChar w:fldCharType="separate"/>
          </w:r>
          <w:r>
            <w:t>8</w:t>
          </w:r>
          <w:r>
            <w:fldChar w:fldCharType="end"/>
          </w:r>
          <w:r>
            <w:fldChar w:fldCharType="end"/>
          </w:r>
        </w:p>
        <w:p>
          <w:pPr>
            <w:pStyle w:val="40"/>
            <w:tabs>
              <w:tab w:val="right" w:leader="dot" w:pos="8306"/>
            </w:tabs>
          </w:pPr>
          <w:r>
            <w:fldChar w:fldCharType="begin"/>
          </w:r>
          <w:r>
            <w:instrText xml:space="preserve"> HYPERLINK \l "_Toc8174" </w:instrText>
          </w:r>
          <w:r>
            <w:fldChar w:fldCharType="separate"/>
          </w:r>
          <w:r>
            <w:rPr>
              <w:rFonts w:hint="eastAsia" w:ascii="仿宋" w:hAnsi="仿宋" w:eastAsia="仿宋"/>
              <w:szCs w:val="32"/>
              <w:highlight w:val="none"/>
            </w:rPr>
            <w:t>（一）机关运行经费支出情况</w:t>
          </w:r>
          <w:r>
            <w:tab/>
          </w:r>
          <w:r>
            <w:fldChar w:fldCharType="begin"/>
          </w:r>
          <w:r>
            <w:instrText xml:space="preserve"> PAGEREF _Toc8174 \h </w:instrText>
          </w:r>
          <w:r>
            <w:fldChar w:fldCharType="separate"/>
          </w:r>
          <w:r>
            <w:t>8</w:t>
          </w:r>
          <w:r>
            <w:fldChar w:fldCharType="end"/>
          </w:r>
          <w:r>
            <w:fldChar w:fldCharType="end"/>
          </w:r>
        </w:p>
        <w:p>
          <w:pPr>
            <w:pStyle w:val="40"/>
            <w:tabs>
              <w:tab w:val="right" w:leader="dot" w:pos="8306"/>
            </w:tabs>
          </w:pPr>
          <w:r>
            <w:fldChar w:fldCharType="begin"/>
          </w:r>
          <w:r>
            <w:instrText xml:space="preserve"> HYPERLINK \l "_Toc15148" </w:instrText>
          </w:r>
          <w:r>
            <w:fldChar w:fldCharType="separate"/>
          </w:r>
          <w:r>
            <w:rPr>
              <w:rFonts w:hint="eastAsia" w:ascii="仿宋" w:hAnsi="仿宋" w:eastAsia="仿宋"/>
              <w:szCs w:val="32"/>
              <w:highlight w:val="none"/>
            </w:rPr>
            <w:t>（二）政府采购支出情况</w:t>
          </w:r>
          <w:r>
            <w:tab/>
          </w:r>
          <w:r>
            <w:fldChar w:fldCharType="begin"/>
          </w:r>
          <w:r>
            <w:instrText xml:space="preserve"> PAGEREF _Toc15148 \h </w:instrText>
          </w:r>
          <w:r>
            <w:fldChar w:fldCharType="separate"/>
          </w:r>
          <w:r>
            <w:t>8</w:t>
          </w:r>
          <w:r>
            <w:fldChar w:fldCharType="end"/>
          </w:r>
          <w:r>
            <w:fldChar w:fldCharType="end"/>
          </w:r>
        </w:p>
        <w:p>
          <w:pPr>
            <w:pStyle w:val="40"/>
            <w:tabs>
              <w:tab w:val="right" w:leader="dot" w:pos="8306"/>
            </w:tabs>
          </w:pPr>
          <w:r>
            <w:fldChar w:fldCharType="begin"/>
          </w:r>
          <w:r>
            <w:instrText xml:space="preserve"> HYPERLINK \l "_Toc19729" </w:instrText>
          </w:r>
          <w:r>
            <w:fldChar w:fldCharType="separate"/>
          </w:r>
          <w:r>
            <w:rPr>
              <w:rFonts w:hint="eastAsia" w:ascii="仿宋" w:hAnsi="仿宋" w:eastAsia="仿宋"/>
              <w:szCs w:val="32"/>
              <w:highlight w:val="none"/>
            </w:rPr>
            <w:t>（三）国有资产占有使用情况</w:t>
          </w:r>
          <w:r>
            <w:tab/>
          </w:r>
          <w:r>
            <w:fldChar w:fldCharType="begin"/>
          </w:r>
          <w:r>
            <w:instrText xml:space="preserve"> PAGEREF _Toc19729 \h </w:instrText>
          </w:r>
          <w:r>
            <w:fldChar w:fldCharType="separate"/>
          </w:r>
          <w:r>
            <w:t>9</w:t>
          </w:r>
          <w:r>
            <w:fldChar w:fldCharType="end"/>
          </w:r>
          <w:r>
            <w:fldChar w:fldCharType="end"/>
          </w:r>
        </w:p>
        <w:p>
          <w:pPr>
            <w:pStyle w:val="40"/>
            <w:tabs>
              <w:tab w:val="right" w:leader="dot" w:pos="8306"/>
            </w:tabs>
          </w:pPr>
          <w:r>
            <w:fldChar w:fldCharType="begin"/>
          </w:r>
          <w:r>
            <w:instrText xml:space="preserve"> HYPERLINK \l "_Toc21749" </w:instrText>
          </w:r>
          <w:r>
            <w:fldChar w:fldCharType="separate"/>
          </w:r>
          <w:r>
            <w:rPr>
              <w:rFonts w:hint="eastAsia" w:ascii="仿宋" w:hAnsi="仿宋" w:eastAsia="仿宋"/>
              <w:szCs w:val="32"/>
              <w:highlight w:val="none"/>
            </w:rPr>
            <w:t>（四）预算绩效管理情况</w:t>
          </w:r>
          <w:r>
            <w:tab/>
          </w:r>
          <w:r>
            <w:fldChar w:fldCharType="begin"/>
          </w:r>
          <w:r>
            <w:instrText xml:space="preserve"> PAGEREF _Toc21749 \h </w:instrText>
          </w:r>
          <w:r>
            <w:fldChar w:fldCharType="separate"/>
          </w:r>
          <w:r>
            <w:t>9</w:t>
          </w:r>
          <w:r>
            <w:fldChar w:fldCharType="end"/>
          </w:r>
          <w:r>
            <w:fldChar w:fldCharType="end"/>
          </w:r>
        </w:p>
        <w:p>
          <w:pPr>
            <w:pStyle w:val="38"/>
            <w:tabs>
              <w:tab w:val="right" w:leader="dot" w:pos="8306"/>
            </w:tabs>
          </w:pPr>
          <w:r>
            <w:fldChar w:fldCharType="begin"/>
          </w:r>
          <w:r>
            <w:instrText xml:space="preserve"> HYPERLINK \l "_Toc2882" </w:instrText>
          </w:r>
          <w:r>
            <w:fldChar w:fldCharType="separate"/>
          </w:r>
          <w:r>
            <w:rPr>
              <w:rFonts w:hint="eastAsia" w:ascii="黑体" w:hAnsi="黑体" w:eastAsia="黑体"/>
              <w:szCs w:val="48"/>
              <w:highlight w:val="none"/>
              <w:lang w:eastAsia="zh-CN"/>
            </w:rPr>
            <w:t>第三部分</w:t>
          </w:r>
          <w:r>
            <w:rPr>
              <w:rFonts w:hint="eastAsia" w:ascii="黑体" w:hAnsi="黑体" w:eastAsia="黑体"/>
              <w:szCs w:val="48"/>
              <w:highlight w:val="none"/>
              <w:lang w:val="en-US" w:eastAsia="zh-CN"/>
            </w:rPr>
            <w:t xml:space="preserve"> </w:t>
          </w:r>
          <w:r>
            <w:rPr>
              <w:rFonts w:hint="eastAsia" w:ascii="黑体" w:hAnsi="黑体" w:eastAsia="黑体"/>
              <w:szCs w:val="48"/>
              <w:highlight w:val="none"/>
            </w:rPr>
            <w:t>名词解释</w:t>
          </w:r>
          <w:r>
            <w:tab/>
          </w:r>
          <w:r>
            <w:fldChar w:fldCharType="begin"/>
          </w:r>
          <w:r>
            <w:instrText xml:space="preserve"> PAGEREF _Toc2882 \h </w:instrText>
          </w:r>
          <w:r>
            <w:fldChar w:fldCharType="separate"/>
          </w:r>
          <w:r>
            <w:t>11</w:t>
          </w:r>
          <w:r>
            <w:fldChar w:fldCharType="end"/>
          </w:r>
          <w:r>
            <w:fldChar w:fldCharType="end"/>
          </w:r>
        </w:p>
        <w:p>
          <w:pPr>
            <w:pStyle w:val="38"/>
            <w:tabs>
              <w:tab w:val="right" w:leader="dot" w:pos="8306"/>
            </w:tabs>
          </w:pPr>
          <w:r>
            <w:fldChar w:fldCharType="begin"/>
          </w:r>
          <w:r>
            <w:instrText xml:space="preserve"> HYPERLINK \l "_Toc10844" </w:instrText>
          </w:r>
          <w:r>
            <w:fldChar w:fldCharType="separate"/>
          </w:r>
          <w:r>
            <w:rPr>
              <w:rFonts w:hint="eastAsia"/>
              <w:lang w:eastAsia="zh-CN"/>
            </w:rPr>
            <w:t>第四部分</w:t>
          </w:r>
          <w:r>
            <w:rPr>
              <w:rFonts w:hint="eastAsia"/>
              <w:lang w:val="en-US" w:eastAsia="zh-CN"/>
            </w:rPr>
            <w:t xml:space="preserve"> </w:t>
          </w:r>
          <w:r>
            <w:rPr>
              <w:rFonts w:hint="eastAsia"/>
            </w:rPr>
            <w:t>附件</w:t>
          </w:r>
          <w:r>
            <w:tab/>
          </w:r>
          <w:r>
            <w:fldChar w:fldCharType="begin"/>
          </w:r>
          <w:r>
            <w:instrText xml:space="preserve"> PAGEREF _Toc10844 \h </w:instrText>
          </w:r>
          <w:r>
            <w:fldChar w:fldCharType="separate"/>
          </w:r>
          <w:r>
            <w:t>15</w:t>
          </w:r>
          <w:r>
            <w:fldChar w:fldCharType="end"/>
          </w:r>
          <w:r>
            <w:fldChar w:fldCharType="end"/>
          </w:r>
        </w:p>
        <w:p>
          <w:pPr>
            <w:pStyle w:val="38"/>
            <w:tabs>
              <w:tab w:val="right" w:leader="dot" w:pos="8306"/>
            </w:tabs>
          </w:pPr>
          <w:r>
            <w:fldChar w:fldCharType="begin"/>
          </w:r>
          <w:r>
            <w:instrText xml:space="preserve"> HYPERLINK \l "_Toc8588" </w:instrText>
          </w:r>
          <w:r>
            <w:fldChar w:fldCharType="separate"/>
          </w:r>
          <w:r>
            <w:rPr>
              <w:rFonts w:hint="eastAsia" w:ascii="黑体" w:hAnsi="黑体" w:eastAsia="黑体"/>
              <w:szCs w:val="48"/>
              <w:highlight w:val="none"/>
              <w:lang w:eastAsia="zh-CN"/>
            </w:rPr>
            <w:t>第五部分</w:t>
          </w:r>
          <w:r>
            <w:rPr>
              <w:rFonts w:hint="eastAsia" w:ascii="黑体" w:hAnsi="黑体" w:eastAsia="黑体"/>
              <w:szCs w:val="48"/>
              <w:highlight w:val="none"/>
              <w:lang w:val="en-US" w:eastAsia="zh-CN"/>
            </w:rPr>
            <w:t xml:space="preserve"> </w:t>
          </w:r>
          <w:r>
            <w:rPr>
              <w:rFonts w:hint="eastAsia" w:ascii="黑体" w:hAnsi="黑体" w:eastAsia="黑体"/>
              <w:szCs w:val="48"/>
              <w:highlight w:val="none"/>
            </w:rPr>
            <w:t>附表</w:t>
          </w:r>
          <w:r>
            <w:tab/>
          </w:r>
          <w:r>
            <w:fldChar w:fldCharType="begin"/>
          </w:r>
          <w:r>
            <w:instrText xml:space="preserve"> PAGEREF _Toc8588 \h </w:instrText>
          </w:r>
          <w:r>
            <w:fldChar w:fldCharType="separate"/>
          </w:r>
          <w:r>
            <w:t>19</w:t>
          </w:r>
          <w:r>
            <w:fldChar w:fldCharType="end"/>
          </w:r>
          <w:r>
            <w:fldChar w:fldCharType="end"/>
          </w:r>
        </w:p>
        <w:p>
          <w:pPr>
            <w:pStyle w:val="39"/>
            <w:tabs>
              <w:tab w:val="right" w:leader="dot" w:pos="8306"/>
            </w:tabs>
          </w:pPr>
          <w:r>
            <w:fldChar w:fldCharType="begin"/>
          </w:r>
          <w:r>
            <w:instrText xml:space="preserve"> HYPERLINK \l "_Toc10628" </w:instrText>
          </w:r>
          <w:r>
            <w:fldChar w:fldCharType="separate"/>
          </w:r>
          <w:r>
            <w:rPr>
              <w:rFonts w:hint="eastAsia" w:ascii="仿宋" w:hAnsi="仿宋" w:eastAsia="仿宋"/>
              <w:bCs w:val="0"/>
              <w:highlight w:val="none"/>
            </w:rPr>
            <w:t>一、收入支出决算总表</w:t>
          </w:r>
          <w:r>
            <w:tab/>
          </w:r>
          <w:r>
            <w:fldChar w:fldCharType="begin"/>
          </w:r>
          <w:r>
            <w:instrText xml:space="preserve"> PAGEREF _Toc10628 \h </w:instrText>
          </w:r>
          <w:r>
            <w:fldChar w:fldCharType="separate"/>
          </w:r>
          <w:r>
            <w:t>20</w:t>
          </w:r>
          <w:r>
            <w:fldChar w:fldCharType="end"/>
          </w:r>
          <w:r>
            <w:fldChar w:fldCharType="end"/>
          </w:r>
        </w:p>
        <w:p>
          <w:pPr>
            <w:pStyle w:val="39"/>
            <w:tabs>
              <w:tab w:val="right" w:leader="dot" w:pos="8306"/>
            </w:tabs>
          </w:pPr>
          <w:r>
            <w:fldChar w:fldCharType="begin"/>
          </w:r>
          <w:r>
            <w:instrText xml:space="preserve"> HYPERLINK \l "_Toc4036"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_Toc4036 \h </w:instrText>
          </w:r>
          <w:r>
            <w:fldChar w:fldCharType="separate"/>
          </w:r>
          <w:r>
            <w:t>20</w:t>
          </w:r>
          <w:r>
            <w:fldChar w:fldCharType="end"/>
          </w:r>
          <w:r>
            <w:fldChar w:fldCharType="end"/>
          </w:r>
        </w:p>
        <w:p>
          <w:pPr>
            <w:pStyle w:val="39"/>
            <w:tabs>
              <w:tab w:val="right" w:leader="dot" w:pos="8306"/>
            </w:tabs>
          </w:pPr>
          <w:r>
            <w:fldChar w:fldCharType="begin"/>
          </w:r>
          <w:r>
            <w:instrText xml:space="preserve"> HYPERLINK \l "_Toc28090"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_Toc28090 \h </w:instrText>
          </w:r>
          <w:r>
            <w:fldChar w:fldCharType="separate"/>
          </w:r>
          <w:r>
            <w:t>20</w:t>
          </w:r>
          <w:r>
            <w:fldChar w:fldCharType="end"/>
          </w:r>
          <w:r>
            <w:fldChar w:fldCharType="end"/>
          </w:r>
        </w:p>
        <w:p>
          <w:pPr>
            <w:pStyle w:val="39"/>
            <w:tabs>
              <w:tab w:val="right" w:leader="dot" w:pos="8306"/>
            </w:tabs>
          </w:pPr>
          <w:r>
            <w:fldChar w:fldCharType="begin"/>
          </w:r>
          <w:r>
            <w:instrText xml:space="preserve"> HYPERLINK \l "_Toc16425"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_Toc16425 \h </w:instrText>
          </w:r>
          <w:r>
            <w:fldChar w:fldCharType="separate"/>
          </w:r>
          <w:r>
            <w:t>20</w:t>
          </w:r>
          <w:r>
            <w:fldChar w:fldCharType="end"/>
          </w:r>
          <w:r>
            <w:fldChar w:fldCharType="end"/>
          </w:r>
        </w:p>
        <w:p>
          <w:pPr>
            <w:pStyle w:val="39"/>
            <w:tabs>
              <w:tab w:val="right" w:leader="dot" w:pos="8306"/>
            </w:tabs>
          </w:pPr>
          <w:r>
            <w:fldChar w:fldCharType="begin"/>
          </w:r>
          <w:r>
            <w:instrText xml:space="preserve"> HYPERLINK \l "_Toc26776"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_Toc26776 \h </w:instrText>
          </w:r>
          <w:r>
            <w:fldChar w:fldCharType="separate"/>
          </w:r>
          <w:r>
            <w:t>20</w:t>
          </w:r>
          <w:r>
            <w:fldChar w:fldCharType="end"/>
          </w:r>
          <w:r>
            <w:fldChar w:fldCharType="end"/>
          </w:r>
        </w:p>
        <w:p>
          <w:pPr>
            <w:pStyle w:val="39"/>
            <w:tabs>
              <w:tab w:val="right" w:leader="dot" w:pos="8306"/>
            </w:tabs>
          </w:pPr>
          <w:r>
            <w:fldChar w:fldCharType="begin"/>
          </w:r>
          <w:r>
            <w:instrText xml:space="preserve"> HYPERLINK \l "_Toc8712"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_Toc8712 \h </w:instrText>
          </w:r>
          <w:r>
            <w:fldChar w:fldCharType="separate"/>
          </w:r>
          <w:r>
            <w:t>20</w:t>
          </w:r>
          <w:r>
            <w:fldChar w:fldCharType="end"/>
          </w:r>
          <w:r>
            <w:fldChar w:fldCharType="end"/>
          </w:r>
        </w:p>
        <w:p>
          <w:pPr>
            <w:pStyle w:val="39"/>
            <w:tabs>
              <w:tab w:val="right" w:leader="dot" w:pos="8306"/>
            </w:tabs>
          </w:pPr>
          <w:r>
            <w:fldChar w:fldCharType="begin"/>
          </w:r>
          <w:r>
            <w:instrText xml:space="preserve"> HYPERLINK \l "_Toc26546"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_Toc26546 \h </w:instrText>
          </w:r>
          <w:r>
            <w:fldChar w:fldCharType="separate"/>
          </w:r>
          <w:r>
            <w:t>20</w:t>
          </w:r>
          <w:r>
            <w:fldChar w:fldCharType="end"/>
          </w:r>
          <w:r>
            <w:fldChar w:fldCharType="end"/>
          </w:r>
        </w:p>
        <w:p>
          <w:pPr>
            <w:pStyle w:val="39"/>
            <w:tabs>
              <w:tab w:val="right" w:leader="dot" w:pos="8306"/>
            </w:tabs>
          </w:pPr>
          <w:r>
            <w:fldChar w:fldCharType="begin"/>
          </w:r>
          <w:r>
            <w:instrText xml:space="preserve"> HYPERLINK \l "_Toc25141"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_Toc25141 \h </w:instrText>
          </w:r>
          <w:r>
            <w:fldChar w:fldCharType="separate"/>
          </w:r>
          <w:r>
            <w:t>20</w:t>
          </w:r>
          <w:r>
            <w:fldChar w:fldCharType="end"/>
          </w:r>
          <w:r>
            <w:fldChar w:fldCharType="end"/>
          </w:r>
        </w:p>
        <w:p>
          <w:pPr>
            <w:pStyle w:val="39"/>
            <w:tabs>
              <w:tab w:val="right" w:leader="dot" w:pos="8306"/>
            </w:tabs>
          </w:pPr>
          <w:r>
            <w:fldChar w:fldCharType="begin"/>
          </w:r>
          <w:r>
            <w:instrText xml:space="preserve"> HYPERLINK \l "_Toc27603"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_Toc27603 \h </w:instrText>
          </w:r>
          <w:r>
            <w:fldChar w:fldCharType="separate"/>
          </w:r>
          <w:r>
            <w:t>20</w:t>
          </w:r>
          <w:r>
            <w:fldChar w:fldCharType="end"/>
          </w:r>
          <w:r>
            <w:fldChar w:fldCharType="end"/>
          </w:r>
        </w:p>
        <w:p>
          <w:pPr>
            <w:pStyle w:val="39"/>
            <w:tabs>
              <w:tab w:val="right" w:leader="dot" w:pos="8306"/>
            </w:tabs>
          </w:pPr>
          <w:r>
            <w:fldChar w:fldCharType="begin"/>
          </w:r>
          <w:r>
            <w:instrText xml:space="preserve"> HYPERLINK \l "_Toc4213"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_Toc4213 \h </w:instrText>
          </w:r>
          <w:r>
            <w:fldChar w:fldCharType="separate"/>
          </w:r>
          <w:r>
            <w:t>20</w:t>
          </w:r>
          <w:r>
            <w:fldChar w:fldCharType="end"/>
          </w:r>
          <w:r>
            <w:fldChar w:fldCharType="end"/>
          </w:r>
        </w:p>
        <w:p>
          <w:pPr>
            <w:pStyle w:val="39"/>
            <w:tabs>
              <w:tab w:val="right" w:leader="dot" w:pos="8306"/>
            </w:tabs>
          </w:pPr>
          <w:r>
            <w:fldChar w:fldCharType="begin"/>
          </w:r>
          <w:r>
            <w:instrText xml:space="preserve"> HYPERLINK \l "_Toc5962"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_Toc5962 \h </w:instrText>
          </w:r>
          <w:r>
            <w:fldChar w:fldCharType="separate"/>
          </w:r>
          <w:r>
            <w:t>20</w:t>
          </w:r>
          <w:r>
            <w:fldChar w:fldCharType="end"/>
          </w:r>
          <w:r>
            <w:fldChar w:fldCharType="end"/>
          </w:r>
        </w:p>
        <w:p>
          <w:pPr>
            <w:pStyle w:val="39"/>
            <w:tabs>
              <w:tab w:val="right" w:leader="dot" w:pos="8306"/>
            </w:tabs>
          </w:pPr>
          <w:r>
            <w:fldChar w:fldCharType="begin"/>
          </w:r>
          <w:r>
            <w:instrText xml:space="preserve"> HYPERLINK \l "_Toc14604"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_Toc14604 \h </w:instrText>
          </w:r>
          <w:r>
            <w:fldChar w:fldCharType="separate"/>
          </w:r>
          <w:r>
            <w:t>20</w:t>
          </w:r>
          <w:r>
            <w:fldChar w:fldCharType="end"/>
          </w:r>
          <w:r>
            <w:fldChar w:fldCharType="end"/>
          </w:r>
        </w:p>
        <w:p>
          <w:pPr>
            <w:pStyle w:val="39"/>
            <w:tabs>
              <w:tab w:val="right" w:leader="dot" w:pos="8306"/>
            </w:tabs>
          </w:pPr>
          <w:r>
            <w:fldChar w:fldCharType="begin"/>
          </w:r>
          <w:r>
            <w:instrText xml:space="preserve"> HYPERLINK \l "_Toc13235"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_Toc13235 \h </w:instrText>
          </w:r>
          <w:r>
            <w:fldChar w:fldCharType="separate"/>
          </w:r>
          <w:r>
            <w:t>20</w:t>
          </w:r>
          <w:r>
            <w:fldChar w:fldCharType="end"/>
          </w:r>
          <w:r>
            <w:fldChar w:fldCharType="end"/>
          </w:r>
        </w:p>
        <w:p>
          <w:r>
            <w:fldChar w:fldCharType="end"/>
          </w:r>
        </w:p>
      </w:sdtContent>
    </w:sdt>
    <w:p>
      <w:pPr>
        <w:pStyle w:val="3"/>
        <w:keepNext/>
        <w:keepLines/>
        <w:pageBreakBefore w:val="0"/>
        <w:widowControl w:val="0"/>
        <w:kinsoku/>
        <w:wordWrap/>
        <w:overflowPunct/>
        <w:topLinePunct w:val="0"/>
        <w:autoSpaceDE/>
        <w:autoSpaceDN/>
        <w:bidi w:val="0"/>
        <w:adjustRightInd/>
        <w:snapToGrid/>
        <w:spacing w:line="579" w:lineRule="auto"/>
        <w:jc w:val="center"/>
        <w:textAlignment w:val="auto"/>
        <w:rPr>
          <w:rFonts w:hint="eastAsia" w:ascii="黑体" w:hAnsi="黑体" w:eastAsia="黑体" w:cs="黑体"/>
          <w:b w:val="0"/>
          <w:color w:val="auto"/>
          <w:sz w:val="48"/>
          <w:szCs w:val="48"/>
          <w:highlight w:val="none"/>
        </w:rPr>
        <w:sectPr>
          <w:footerReference r:id="rId5" w:type="first"/>
          <w:headerReference r:id="rId3" w:type="default"/>
          <w:footerReference r:id="rId4" w:type="default"/>
          <w:pgSz w:w="11906" w:h="16838"/>
          <w:pgMar w:top="1440" w:right="1800" w:bottom="1440" w:left="1800" w:header="851" w:footer="992" w:gutter="0"/>
          <w:pgNumType w:start="1"/>
          <w:cols w:space="425" w:num="1"/>
          <w:docGrid w:type="lines" w:linePitch="312" w:charSpace="0"/>
        </w:sectPr>
      </w:pPr>
      <w:bookmarkStart w:id="25" w:name="_Toc19600"/>
    </w:p>
    <w:p>
      <w:pPr>
        <w:pStyle w:val="3"/>
        <w:keepNext/>
        <w:keepLines/>
        <w:pageBreakBefore w:val="0"/>
        <w:widowControl w:val="0"/>
        <w:kinsoku/>
        <w:wordWrap/>
        <w:overflowPunct/>
        <w:topLinePunct w:val="0"/>
        <w:autoSpaceDE/>
        <w:autoSpaceDN/>
        <w:bidi w:val="0"/>
        <w:adjustRightInd/>
        <w:snapToGrid/>
        <w:spacing w:line="579" w:lineRule="auto"/>
        <w:jc w:val="center"/>
        <w:textAlignment w:val="auto"/>
        <w:rPr>
          <w:rFonts w:hint="eastAsia" w:ascii="黑体" w:hAnsi="黑体" w:eastAsia="黑体" w:cs="黑体"/>
          <w:b w:val="0"/>
          <w:color w:val="auto"/>
          <w:sz w:val="48"/>
          <w:szCs w:val="48"/>
          <w:highlight w:val="none"/>
        </w:rPr>
      </w:pPr>
    </w:p>
    <w:p>
      <w:pPr>
        <w:pStyle w:val="3"/>
        <w:keepNext/>
        <w:keepLines/>
        <w:pageBreakBefore w:val="0"/>
        <w:widowControl w:val="0"/>
        <w:kinsoku/>
        <w:wordWrap/>
        <w:overflowPunct/>
        <w:topLinePunct w:val="0"/>
        <w:autoSpaceDE/>
        <w:autoSpaceDN/>
        <w:bidi w:val="0"/>
        <w:adjustRightInd/>
        <w:snapToGrid/>
        <w:spacing w:line="579" w:lineRule="auto"/>
        <w:jc w:val="center"/>
        <w:textAlignment w:val="auto"/>
        <w:rPr>
          <w:rFonts w:hint="eastAsia" w:ascii="黑体" w:hAnsi="黑体" w:eastAsia="黑体" w:cs="黑体"/>
          <w:color w:val="auto"/>
          <w:sz w:val="48"/>
          <w:szCs w:val="48"/>
          <w:highlight w:val="none"/>
        </w:rPr>
      </w:pPr>
      <w:r>
        <w:rPr>
          <w:rFonts w:hint="eastAsia" w:ascii="黑体" w:hAnsi="黑体" w:eastAsia="黑体" w:cs="黑体"/>
          <w:b w:val="0"/>
          <w:color w:val="auto"/>
          <w:sz w:val="48"/>
          <w:szCs w:val="48"/>
          <w:highlight w:val="none"/>
        </w:rPr>
        <w:t>第一部分</w:t>
      </w:r>
      <w:r>
        <w:rPr>
          <w:rFonts w:hint="eastAsia" w:ascii="黑体" w:hAnsi="黑体" w:eastAsia="黑体" w:cs="黑体"/>
          <w:b w:val="0"/>
          <w:color w:val="auto"/>
          <w:sz w:val="48"/>
          <w:szCs w:val="48"/>
          <w:highlight w:val="none"/>
          <w:lang w:val="en-US" w:eastAsia="zh-CN"/>
        </w:rPr>
        <w:t xml:space="preserve"> </w:t>
      </w:r>
      <w:r>
        <w:rPr>
          <w:rStyle w:val="30"/>
          <w:rFonts w:hint="eastAsia" w:ascii="黑体" w:hAnsi="黑体" w:eastAsia="黑体" w:cs="黑体"/>
          <w:b w:val="0"/>
          <w:bCs w:val="0"/>
          <w:color w:val="auto"/>
          <w:sz w:val="48"/>
          <w:szCs w:val="48"/>
          <w:highlight w:val="none"/>
        </w:rPr>
        <w:t>部门概况</w:t>
      </w:r>
      <w:bookmarkEnd w:id="24"/>
      <w:bookmarkEnd w:id="25"/>
    </w:p>
    <w:p>
      <w:pPr>
        <w:ind w:firstLine="640" w:firstLineChars="200"/>
        <w:rPr>
          <w:rFonts w:hint="eastAsia" w:ascii="黑体" w:hAnsi="黑体" w:eastAsia="黑体" w:cs="黑体"/>
          <w:sz w:val="32"/>
          <w:szCs w:val="32"/>
        </w:rPr>
      </w:pPr>
      <w:bookmarkStart w:id="26" w:name="_Toc7657"/>
      <w:bookmarkStart w:id="27" w:name="_Toc16839"/>
      <w:bookmarkStart w:id="28" w:name="_Toc19933"/>
      <w:bookmarkStart w:id="29" w:name="_Toc1614"/>
      <w:bookmarkStart w:id="30" w:name="_Toc13327"/>
      <w:bookmarkStart w:id="31" w:name="_Toc15378445"/>
      <w:bookmarkStart w:id="32" w:name="_Toc15377198"/>
      <w:bookmarkStart w:id="33" w:name="_Toc15396601"/>
      <w:bookmarkStart w:id="34" w:name="_Toc15377200"/>
      <w:r>
        <w:rPr>
          <w:rFonts w:hint="eastAsia" w:ascii="黑体" w:hAnsi="黑体" w:eastAsia="黑体" w:cs="黑体"/>
          <w:sz w:val="32"/>
          <w:szCs w:val="32"/>
          <w:lang w:eastAsia="zh-CN"/>
        </w:rPr>
        <w:t>一、</w:t>
      </w:r>
      <w:r>
        <w:rPr>
          <w:rFonts w:hint="eastAsia" w:ascii="黑体" w:hAnsi="黑体" w:eastAsia="黑体" w:cs="黑体"/>
          <w:sz w:val="32"/>
          <w:szCs w:val="32"/>
        </w:rPr>
        <w:t>职能简介</w:t>
      </w:r>
      <w:bookmarkEnd w:id="26"/>
      <w:bookmarkEnd w:id="27"/>
      <w:bookmarkEnd w:id="28"/>
      <w:bookmarkEnd w:id="29"/>
      <w:bookmarkEnd w:id="30"/>
      <w:bookmarkEnd w:id="31"/>
      <w:bookmarkEnd w:id="32"/>
    </w:p>
    <w:p>
      <w:pPr>
        <w:ind w:firstLine="640" w:firstLineChars="200"/>
        <w:rPr>
          <w:rFonts w:hint="eastAsia" w:ascii="仿宋_GB2312" w:eastAsia="仿宋_GB2312"/>
          <w:color w:val="000000"/>
          <w:sz w:val="32"/>
          <w:szCs w:val="32"/>
        </w:rPr>
      </w:pPr>
      <w:r>
        <w:rPr>
          <w:rFonts w:hint="eastAsia" w:ascii="仿宋" w:eastAsia="仿宋" w:cs="仿宋"/>
          <w:color w:val="000000"/>
          <w:sz w:val="32"/>
          <w:szCs w:val="32"/>
        </w:rPr>
        <w:t>广元市昭化区中医医院是政府办非营利性事业单位，以中医中药为主，为全区人民身体健康提供中西医医疗、预防、保健、康复等医疗卫生服务。业务范围：内科、外科、针灸科专业、推拿科专业、中医骨伤科等。其主要职责：（一）为人民群众提供中西医医疗、预防、保健、康复等医疗卫生服务。（二）贯彻落实医药卫生体制改革、中西医并重方针和国家中医药法律法规，执行中医药政策；拟定实施中医药、民族医药和中西医结合发展战略、规划；指导全区各医疗机构发展中医药和中西医结合业务建设。（三）确保全区人民中西医疗健康需求，建立与地方经济发展相适应的中西医结合医疗环境。加强中医医院标准化管理。（四）承担意外灾害事故、疫情等突发公共卫生事件的医疗急救及社区预防、保健和康复医疗服务工作，开展各种医疗保健卫生知识宣传普及。（五）充分发挥中医药在国家基本公共卫生服务中的优势和作用，负责全区基本公共卫生服务中医药健康管理项目的实施和指导。（六）组织实施中西医药科学研究，推进医学科技成果转化和推广应用；承担全区中医药人才培养、中医药适宜技术推广及中医药继续医学培训工作。（七）做好城镇职工基本医疗保险、城镇居民基本医疗保险等定点医疗机构的各项工作。（八）参与乡村振兴、对口帮扶、重要会议与重大活动的医疗卫生保障工作及各项精神的落实。（九）配合区委、区政府及区卫健局制定中医药相关政策，并完成其交办的其他卫生工作。</w:t>
      </w:r>
    </w:p>
    <w:p>
      <w:pPr>
        <w:ind w:firstLine="640" w:firstLineChars="200"/>
        <w:rPr>
          <w:rFonts w:hint="eastAsia" w:ascii="黑体" w:hAnsi="黑体" w:eastAsia="黑体" w:cs="黑体"/>
          <w:color w:val="000000"/>
          <w:sz w:val="32"/>
          <w:szCs w:val="32"/>
        </w:rPr>
      </w:pPr>
      <w:bookmarkStart w:id="35" w:name="_Toc26618"/>
      <w:bookmarkStart w:id="36" w:name="_Toc28704"/>
      <w:bookmarkStart w:id="37" w:name="_Toc5468"/>
      <w:bookmarkStart w:id="38" w:name="_Toc15394"/>
      <w:bookmarkStart w:id="39" w:name="_Toc30310"/>
      <w:r>
        <w:rPr>
          <w:rFonts w:hint="eastAsia" w:ascii="黑体" w:hAnsi="黑体" w:eastAsia="黑体" w:cs="黑体"/>
          <w:color w:val="000000"/>
          <w:sz w:val="32"/>
          <w:szCs w:val="32"/>
          <w:lang w:eastAsia="zh-CN"/>
        </w:rPr>
        <w:t>二、机构设置</w:t>
      </w:r>
      <w:bookmarkEnd w:id="35"/>
      <w:bookmarkEnd w:id="36"/>
      <w:bookmarkEnd w:id="37"/>
      <w:bookmarkEnd w:id="38"/>
      <w:bookmarkEnd w:id="39"/>
    </w:p>
    <w:p>
      <w:pPr>
        <w:ind w:firstLine="640" w:firstLineChars="200"/>
        <w:rPr>
          <w:rFonts w:hint="eastAsia" w:ascii="仿宋" w:eastAsia="仿宋" w:cs="仿宋"/>
          <w:color w:val="000000"/>
          <w:sz w:val="32"/>
          <w:szCs w:val="32"/>
        </w:rPr>
      </w:pPr>
      <w:r>
        <w:rPr>
          <w:rFonts w:hint="eastAsia" w:ascii="仿宋" w:eastAsia="仿宋" w:cs="仿宋"/>
          <w:color w:val="000000"/>
          <w:sz w:val="32"/>
          <w:szCs w:val="32"/>
          <w:lang w:eastAsia="zh-CN"/>
        </w:rPr>
        <w:t>广元市昭化区中医医院属于主管部门下属单位，属于二级预算单位，无下属机构。</w:t>
      </w:r>
    </w:p>
    <w:p>
      <w:pPr>
        <w:pStyle w:val="8"/>
        <w:numPr>
          <w:ilvl w:val="0"/>
          <w:numId w:val="0"/>
        </w:numPr>
        <w:tabs>
          <w:tab w:val="left" w:pos="0"/>
        </w:tabs>
        <w:ind w:leftChars="400"/>
        <w:rPr>
          <w:rFonts w:hint="eastAsia" w:ascii="仿宋" w:eastAsia="仿宋" w:cs="仿宋"/>
          <w:b w:val="0"/>
          <w:bCs/>
          <w:sz w:val="32"/>
          <w:szCs w:val="32"/>
        </w:rPr>
      </w:pPr>
    </w:p>
    <w:bookmarkEnd w:id="33"/>
    <w:bookmarkEnd w:id="34"/>
    <w:p>
      <w:pPr>
        <w:pStyle w:val="8"/>
        <w:numPr>
          <w:ilvl w:val="0"/>
          <w:numId w:val="0"/>
        </w:numPr>
        <w:tabs>
          <w:tab w:val="left" w:pos="0"/>
        </w:tabs>
        <w:ind w:leftChars="400"/>
        <w:rPr>
          <w:rFonts w:hint="eastAsia" w:ascii="仿宋" w:eastAsia="仿宋" w:cs="仿宋"/>
          <w:b w:val="0"/>
          <w:bCs/>
          <w:sz w:val="32"/>
          <w:szCs w:val="32"/>
        </w:rPr>
      </w:pPr>
    </w:p>
    <w:p>
      <w:pPr>
        <w:widowControl/>
        <w:jc w:val="center"/>
        <w:outlineLvl w:val="0"/>
        <w:rPr>
          <w:rStyle w:val="30"/>
          <w:rFonts w:hint="eastAsia" w:ascii="黑体" w:hAnsi="黑体" w:eastAsia="黑体" w:cstheme="minorBidi"/>
          <w:b w:val="0"/>
          <w:bCs/>
          <w:color w:val="auto"/>
          <w:highlight w:val="none"/>
        </w:rPr>
      </w:pPr>
      <w:bookmarkStart w:id="40" w:name="_Toc15377204"/>
      <w:bookmarkStart w:id="41" w:name="_Toc15396602"/>
      <w:bookmarkStart w:id="42" w:name="_Toc20181"/>
      <w:bookmarkStart w:id="43" w:name="_Toc20069"/>
      <w:bookmarkStart w:id="44" w:name="_Toc3673"/>
      <w:r>
        <w:rPr>
          <w:rStyle w:val="30"/>
          <w:rFonts w:hint="eastAsia" w:ascii="黑体" w:hAnsi="黑体" w:eastAsia="黑体" w:cstheme="minorBidi"/>
          <w:b w:val="0"/>
          <w:bCs/>
          <w:color w:val="auto"/>
          <w:sz w:val="48"/>
          <w:szCs w:val="48"/>
          <w:highlight w:val="none"/>
        </w:rPr>
        <w:t>第二部</w:t>
      </w:r>
      <w:r>
        <w:rPr>
          <w:rStyle w:val="30"/>
          <w:rFonts w:hint="eastAsia" w:ascii="黑体" w:hAnsi="黑体" w:eastAsia="黑体" w:cstheme="minorBidi"/>
          <w:b w:val="0"/>
          <w:bCs/>
          <w:color w:val="auto"/>
          <w:sz w:val="48"/>
          <w:szCs w:val="48"/>
          <w:highlight w:val="none"/>
          <w:lang w:eastAsia="zh-CN"/>
        </w:rPr>
        <w:t>分</w:t>
      </w:r>
      <w:r>
        <w:rPr>
          <w:rStyle w:val="30"/>
          <w:rFonts w:hint="eastAsia" w:ascii="黑体" w:hAnsi="黑体" w:eastAsia="黑体" w:cstheme="minorBidi"/>
          <w:b w:val="0"/>
          <w:bCs/>
          <w:color w:val="auto"/>
          <w:sz w:val="48"/>
          <w:szCs w:val="48"/>
          <w:highlight w:val="none"/>
          <w:lang w:val="en-US" w:eastAsia="zh-CN"/>
        </w:rPr>
        <w:t xml:space="preserve"> 2022年度</w:t>
      </w:r>
      <w:r>
        <w:rPr>
          <w:rStyle w:val="30"/>
          <w:rFonts w:hint="eastAsia" w:ascii="黑体" w:hAnsi="黑体" w:eastAsia="黑体" w:cstheme="minorBidi"/>
          <w:b w:val="0"/>
          <w:bCs/>
          <w:color w:val="auto"/>
          <w:sz w:val="48"/>
          <w:szCs w:val="48"/>
          <w:highlight w:val="none"/>
        </w:rPr>
        <w:t>部门决算情况说明</w:t>
      </w:r>
      <w:bookmarkEnd w:id="40"/>
      <w:bookmarkEnd w:id="41"/>
      <w:bookmarkEnd w:id="42"/>
      <w:bookmarkEnd w:id="43"/>
      <w:bookmarkEnd w:id="44"/>
    </w:p>
    <w:p>
      <w:pPr>
        <w:rPr>
          <w:color w:val="auto"/>
          <w:highlight w:val="none"/>
        </w:rPr>
      </w:pPr>
    </w:p>
    <w:p>
      <w:pPr>
        <w:pStyle w:val="29"/>
        <w:numPr>
          <w:ilvl w:val="0"/>
          <w:numId w:val="1"/>
        </w:numPr>
        <w:spacing w:line="600" w:lineRule="exact"/>
        <w:ind w:firstLineChars="0"/>
        <w:outlineLvl w:val="1"/>
        <w:rPr>
          <w:rStyle w:val="31"/>
          <w:rFonts w:ascii="黑体" w:hAnsi="黑体" w:eastAsia="黑体"/>
          <w:b w:val="0"/>
          <w:color w:val="auto"/>
          <w:sz w:val="32"/>
          <w:szCs w:val="32"/>
          <w:highlight w:val="none"/>
        </w:rPr>
      </w:pPr>
      <w:bookmarkStart w:id="45" w:name="_Toc14343"/>
      <w:bookmarkStart w:id="46" w:name="_Toc13083"/>
      <w:bookmarkStart w:id="47" w:name="_Toc9730"/>
      <w:bookmarkStart w:id="48" w:name="_Toc15377205"/>
      <w:bookmarkStart w:id="49" w:name="_Toc15396603"/>
      <w:r>
        <w:rPr>
          <w:rFonts w:hint="eastAsia" w:ascii="黑体" w:hAnsi="黑体" w:eastAsia="黑体"/>
          <w:color w:val="auto"/>
          <w:sz w:val="32"/>
          <w:szCs w:val="32"/>
          <w:highlight w:val="none"/>
        </w:rPr>
        <w:t>收</w:t>
      </w:r>
      <w:r>
        <w:rPr>
          <w:rStyle w:val="31"/>
          <w:rFonts w:hint="eastAsia" w:ascii="黑体" w:hAnsi="黑体" w:eastAsia="黑体"/>
          <w:b w:val="0"/>
          <w:color w:val="auto"/>
          <w:sz w:val="32"/>
          <w:szCs w:val="32"/>
          <w:highlight w:val="none"/>
        </w:rPr>
        <w:t>入支出决算总体情况说明</w:t>
      </w:r>
      <w:bookmarkEnd w:id="45"/>
      <w:bookmarkEnd w:id="46"/>
      <w:bookmarkEnd w:id="47"/>
      <w:bookmarkEnd w:id="48"/>
      <w:bookmarkEnd w:id="4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年度收、支总计660.24万元。与20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68.31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11.54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年一般公共预算拨款比上年</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22.48</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事业收入比上年</w:t>
      </w:r>
      <w:r>
        <w:rPr>
          <w:rFonts w:hint="eastAsia" w:ascii="仿宋" w:hAnsi="仿宋" w:eastAsia="仿宋" w:cs="仿宋"/>
          <w:sz w:val="32"/>
          <w:szCs w:val="32"/>
          <w:lang w:val="en-US" w:eastAsia="zh-CN"/>
        </w:rPr>
        <w:t>增加41.65</w:t>
      </w:r>
      <w:r>
        <w:rPr>
          <w:rFonts w:hint="eastAsia" w:ascii="仿宋" w:hAnsi="仿宋" w:eastAsia="仿宋" w:cs="仿宋"/>
          <w:sz w:val="32"/>
          <w:szCs w:val="32"/>
        </w:rPr>
        <w:t>万元，政府性基金</w:t>
      </w:r>
      <w:r>
        <w:rPr>
          <w:rFonts w:hint="eastAsia" w:ascii="仿宋" w:hAnsi="仿宋" w:eastAsia="仿宋" w:cs="仿宋"/>
          <w:sz w:val="32"/>
          <w:szCs w:val="32"/>
          <w:lang w:val="en-US" w:eastAsia="zh-CN"/>
        </w:rPr>
        <w:t>增加5.28</w:t>
      </w:r>
      <w:r>
        <w:rPr>
          <w:rFonts w:hint="eastAsia" w:ascii="仿宋" w:hAnsi="仿宋" w:eastAsia="仿宋" w:cs="仿宋"/>
          <w:sz w:val="32"/>
          <w:szCs w:val="32"/>
        </w:rPr>
        <w:t>万元</w:t>
      </w:r>
      <w:r>
        <w:rPr>
          <w:rFonts w:hint="eastAsia" w:ascii="仿宋" w:hAnsi="仿宋" w:eastAsia="仿宋" w:cs="仿宋"/>
          <w:sz w:val="32"/>
          <w:szCs w:val="32"/>
          <w:lang w:eastAsia="zh-CN"/>
        </w:rPr>
        <w:t>，上年结转资金</w:t>
      </w:r>
      <w:r>
        <w:rPr>
          <w:rFonts w:hint="eastAsia" w:ascii="仿宋" w:hAnsi="仿宋" w:eastAsia="仿宋" w:cs="仿宋"/>
          <w:sz w:val="32"/>
          <w:szCs w:val="32"/>
          <w:lang w:val="en-US" w:eastAsia="zh-CN"/>
        </w:rPr>
        <w:t>减少1.10万元</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年支出主要变动的原因是：社会保障和就业支出</w:t>
      </w:r>
      <w:r>
        <w:rPr>
          <w:rFonts w:hint="eastAsia" w:ascii="仿宋" w:hAnsi="仿宋" w:eastAsia="仿宋" w:cs="仿宋"/>
          <w:sz w:val="32"/>
          <w:szCs w:val="32"/>
          <w:lang w:val="en-US" w:eastAsia="zh-CN"/>
        </w:rPr>
        <w:t>增加18.76</w:t>
      </w:r>
      <w:r>
        <w:rPr>
          <w:rFonts w:hint="eastAsia" w:ascii="仿宋" w:hAnsi="仿宋" w:eastAsia="仿宋" w:cs="仿宋"/>
          <w:sz w:val="32"/>
          <w:szCs w:val="32"/>
        </w:rPr>
        <w:t>万元，卫生健康支出</w:t>
      </w:r>
      <w:r>
        <w:rPr>
          <w:rFonts w:hint="eastAsia" w:ascii="仿宋" w:hAnsi="仿宋" w:eastAsia="仿宋" w:cs="仿宋"/>
          <w:sz w:val="32"/>
          <w:szCs w:val="32"/>
          <w:lang w:val="en-US" w:eastAsia="zh-CN"/>
        </w:rPr>
        <w:t>增加43.15</w:t>
      </w:r>
      <w:r>
        <w:rPr>
          <w:rFonts w:hint="eastAsia" w:ascii="仿宋" w:hAnsi="仿宋" w:eastAsia="仿宋" w:cs="仿宋"/>
          <w:sz w:val="32"/>
          <w:szCs w:val="32"/>
        </w:rPr>
        <w:t>万元，住房保障支出</w:t>
      </w:r>
      <w:r>
        <w:rPr>
          <w:rFonts w:hint="eastAsia" w:ascii="仿宋" w:hAnsi="仿宋" w:eastAsia="仿宋" w:cs="仿宋"/>
          <w:sz w:val="32"/>
          <w:szCs w:val="32"/>
          <w:lang w:val="en-US" w:eastAsia="zh-CN"/>
        </w:rPr>
        <w:t>增加1.43</w:t>
      </w:r>
      <w:r>
        <w:rPr>
          <w:rFonts w:hint="eastAsia" w:ascii="仿宋" w:hAnsi="仿宋" w:eastAsia="仿宋" w:cs="仿宋"/>
          <w:sz w:val="32"/>
          <w:szCs w:val="32"/>
        </w:rPr>
        <w:t>万元。</w:t>
      </w:r>
    </w:p>
    <w:p>
      <w:pPr>
        <w:pStyle w:val="2"/>
        <w:jc w:val="center"/>
        <w:rPr>
          <w:rFonts w:hint="eastAsia"/>
        </w:rPr>
      </w:pPr>
      <w:r>
        <w:object>
          <v:shape id="_x0000_i1025" o:spt="75" alt="0.emf" type="#_x0000_t75" style="height:147.65pt;width:306.5pt;" o:ole="t" filled="f" o:preferrelative="t" stroked="f" coordsize="21600,21600">
            <v:path/>
            <v:fill on="f" focussize="0,0"/>
            <v:stroke on="f"/>
            <v:imagedata r:id="rId9" o:title=""/>
            <o:lock v:ext="edit" aspectratio="t"/>
            <w10:wrap type="none"/>
            <w10:anchorlock/>
          </v:shape>
          <o:OLEObject Type="Embed" ProgID="Excel.Sheet.8" ShapeID="_x0000_i1025" DrawAspect="Content" ObjectID="_1468075725" r:id="rId8">
            <o:LockedField>false</o:LockedField>
          </o:OLEObject>
        </w:object>
      </w:r>
    </w:p>
    <w:p>
      <w:pPr>
        <w:pStyle w:val="2"/>
        <w:jc w:val="center"/>
      </w:pP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p>
      <w:pPr>
        <w:pStyle w:val="29"/>
        <w:numPr>
          <w:ilvl w:val="0"/>
          <w:numId w:val="1"/>
        </w:numPr>
        <w:spacing w:line="600" w:lineRule="exact"/>
        <w:ind w:firstLineChars="0"/>
        <w:outlineLvl w:val="1"/>
        <w:rPr>
          <w:rStyle w:val="31"/>
          <w:rFonts w:ascii="黑体" w:hAnsi="黑体" w:eastAsia="黑体"/>
          <w:b w:val="0"/>
          <w:color w:val="auto"/>
          <w:sz w:val="32"/>
          <w:szCs w:val="32"/>
          <w:highlight w:val="none"/>
        </w:rPr>
      </w:pPr>
      <w:bookmarkStart w:id="50" w:name="_Toc27827"/>
      <w:bookmarkStart w:id="51" w:name="_Toc15377206"/>
      <w:bookmarkStart w:id="52" w:name="_Toc15396604"/>
      <w:bookmarkStart w:id="53" w:name="_Toc13644"/>
      <w:bookmarkStart w:id="54" w:name="_Toc21110"/>
      <w:r>
        <w:rPr>
          <w:rFonts w:hint="eastAsia" w:ascii="黑体" w:hAnsi="黑体" w:eastAsia="黑体"/>
          <w:color w:val="auto"/>
          <w:sz w:val="32"/>
          <w:szCs w:val="32"/>
          <w:highlight w:val="none"/>
        </w:rPr>
        <w:t>收</w:t>
      </w:r>
      <w:r>
        <w:rPr>
          <w:rStyle w:val="31"/>
          <w:rFonts w:hint="eastAsia" w:ascii="黑体" w:hAnsi="黑体" w:eastAsia="黑体"/>
          <w:b w:val="0"/>
          <w:color w:val="auto"/>
          <w:sz w:val="32"/>
          <w:szCs w:val="32"/>
          <w:highlight w:val="none"/>
        </w:rPr>
        <w:t>入决算情况说明</w:t>
      </w:r>
      <w:bookmarkEnd w:id="50"/>
      <w:bookmarkEnd w:id="51"/>
      <w:bookmarkEnd w:id="52"/>
      <w:bookmarkEnd w:id="53"/>
      <w:bookmarkEnd w:id="54"/>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年本年收入合计660.24万元，其中：一般公共预算财政拨款收入335.53万元，占</w:t>
      </w:r>
      <w:r>
        <w:rPr>
          <w:rFonts w:hint="eastAsia" w:ascii="仿宋" w:hAnsi="仿宋" w:eastAsia="仿宋"/>
          <w:color w:val="auto"/>
          <w:sz w:val="32"/>
          <w:szCs w:val="32"/>
          <w:highlight w:val="none"/>
          <w:lang w:val="en-US" w:eastAsia="zh-CN"/>
        </w:rPr>
        <w:t>50.82</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；政府性基金预算财政拨款收入5.28万元，占</w:t>
      </w:r>
      <w:r>
        <w:rPr>
          <w:rFonts w:hint="eastAsia" w:ascii="仿宋" w:hAnsi="仿宋" w:eastAsia="仿宋"/>
          <w:color w:val="auto"/>
          <w:sz w:val="32"/>
          <w:szCs w:val="32"/>
          <w:highlight w:val="none"/>
          <w:lang w:val="en-US" w:eastAsia="zh-CN"/>
        </w:rPr>
        <w:t>0.80</w:t>
      </w:r>
      <w:r>
        <w:rPr>
          <w:rFonts w:ascii="仿宋" w:hAnsi="仿宋" w:eastAsia="仿宋"/>
          <w:color w:val="auto"/>
          <w:sz w:val="32"/>
          <w:szCs w:val="32"/>
          <w:highlight w:val="none"/>
        </w:rPr>
        <w:t>%</w:t>
      </w:r>
      <w:r>
        <w:rPr>
          <w:rFonts w:hint="eastAsia" w:ascii="仿宋" w:hAnsi="仿宋" w:eastAsia="仿宋"/>
          <w:color w:val="auto"/>
          <w:sz w:val="32"/>
          <w:szCs w:val="32"/>
          <w:highlight w:val="none"/>
        </w:rPr>
        <w:t>；事业收入319.43万元，占</w:t>
      </w:r>
      <w:r>
        <w:rPr>
          <w:rFonts w:hint="eastAsia" w:ascii="仿宋" w:hAnsi="仿宋" w:eastAsia="仿宋"/>
          <w:color w:val="auto"/>
          <w:sz w:val="32"/>
          <w:szCs w:val="32"/>
          <w:highlight w:val="none"/>
          <w:lang w:val="en-US" w:eastAsia="zh-CN"/>
        </w:rPr>
        <w:t>48.38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pPr>
    </w:p>
    <w:p>
      <w:pPr>
        <w:pStyle w:val="2"/>
        <w:jc w:val="center"/>
        <w:rPr>
          <w:rFonts w:ascii="仿宋" w:hAnsi="仿宋" w:eastAsia="仿宋"/>
          <w:b/>
          <w:color w:val="auto"/>
          <w:sz w:val="32"/>
          <w:szCs w:val="32"/>
          <w:highlight w:val="none"/>
        </w:rPr>
      </w:pPr>
      <w:r>
        <w:drawing>
          <wp:inline distT="0" distB="0" distL="114300" distR="114300">
            <wp:extent cx="3931920" cy="2018030"/>
            <wp:effectExtent l="6350" t="6350" r="24130" b="13970"/>
            <wp:docPr id="294" name="图表"/>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jc w:val="center"/>
        <w:outlineLvl w:val="1"/>
        <w:rPr>
          <w:rFonts w:ascii="仿宋_GB2312" w:eastAsia="仿宋_GB2312"/>
          <w:color w:val="auto"/>
          <w:sz w:val="32"/>
          <w:szCs w:val="32"/>
          <w:highlight w:val="none"/>
        </w:rPr>
      </w:pPr>
      <w:r>
        <w:rPr>
          <w:rFonts w:hint="eastAsia" w:ascii="仿宋" w:eastAsia="仿宋"/>
          <w:color w:val="auto"/>
          <w:sz w:val="32"/>
          <w:szCs w:val="32"/>
          <w:highlight w:val="none"/>
        </w:rPr>
        <w:t>（图2：收入决算结构图）（饼状图）</w:t>
      </w:r>
    </w:p>
    <w:p>
      <w:pPr>
        <w:pStyle w:val="29"/>
        <w:numPr>
          <w:ilvl w:val="0"/>
          <w:numId w:val="1"/>
        </w:numPr>
        <w:spacing w:line="600" w:lineRule="exact"/>
        <w:ind w:firstLineChars="0"/>
        <w:outlineLvl w:val="1"/>
        <w:rPr>
          <w:rStyle w:val="31"/>
          <w:rFonts w:ascii="黑体" w:hAnsi="黑体" w:eastAsia="黑体"/>
          <w:b w:val="0"/>
          <w:color w:val="auto"/>
          <w:sz w:val="32"/>
          <w:szCs w:val="32"/>
          <w:highlight w:val="none"/>
        </w:rPr>
      </w:pPr>
      <w:bookmarkStart w:id="55" w:name="_Toc3018"/>
      <w:bookmarkStart w:id="56" w:name="_Toc16656"/>
      <w:bookmarkStart w:id="57" w:name="_Toc15377207"/>
      <w:bookmarkStart w:id="58" w:name="_Toc15396605"/>
      <w:bookmarkStart w:id="59" w:name="_Toc26278"/>
      <w:r>
        <w:rPr>
          <w:rFonts w:hint="eastAsia" w:ascii="黑体" w:hAnsi="黑体" w:eastAsia="黑体"/>
          <w:color w:val="auto"/>
          <w:sz w:val="32"/>
          <w:szCs w:val="32"/>
          <w:highlight w:val="none"/>
        </w:rPr>
        <w:t>支</w:t>
      </w:r>
      <w:r>
        <w:rPr>
          <w:rStyle w:val="31"/>
          <w:rFonts w:hint="eastAsia" w:ascii="黑体" w:hAnsi="黑体" w:eastAsia="黑体"/>
          <w:b w:val="0"/>
          <w:color w:val="auto"/>
          <w:sz w:val="32"/>
          <w:szCs w:val="32"/>
          <w:highlight w:val="none"/>
        </w:rPr>
        <w:t>出决算情况说明</w:t>
      </w:r>
      <w:bookmarkEnd w:id="55"/>
      <w:bookmarkEnd w:id="56"/>
      <w:bookmarkEnd w:id="57"/>
      <w:bookmarkEnd w:id="58"/>
      <w:bookmarkEnd w:id="5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年本年支出合计660.24万元，其中：基本支出614.13万元，占</w:t>
      </w:r>
      <w:r>
        <w:rPr>
          <w:rFonts w:hint="eastAsia" w:ascii="仿宋" w:hAnsi="仿宋" w:eastAsia="仿宋"/>
          <w:color w:val="auto"/>
          <w:sz w:val="32"/>
          <w:szCs w:val="32"/>
          <w:highlight w:val="none"/>
          <w:lang w:val="en-US" w:eastAsia="zh-CN"/>
        </w:rPr>
        <w:t>93</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；项目支出46.11万元，占</w:t>
      </w:r>
      <w:r>
        <w:rPr>
          <w:rFonts w:hint="eastAsia" w:ascii="仿宋" w:hAnsi="仿宋" w:eastAsia="仿宋"/>
          <w:color w:val="auto"/>
          <w:sz w:val="32"/>
          <w:szCs w:val="32"/>
          <w:highlight w:val="none"/>
          <w:lang w:val="en-US" w:eastAsia="zh-CN"/>
        </w:rPr>
        <w:t>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jc w:val="center"/>
        <w:rPr>
          <w:rFonts w:ascii="仿宋" w:hAnsi="仿宋" w:eastAsia="仿宋"/>
          <w:color w:val="auto"/>
          <w:sz w:val="32"/>
          <w:szCs w:val="32"/>
          <w:highlight w:val="none"/>
          <w:shd w:val="pct10" w:color="auto" w:fill="FFFFFF"/>
        </w:rPr>
      </w:pPr>
      <w:r>
        <w:drawing>
          <wp:inline distT="0" distB="0" distL="114300" distR="114300">
            <wp:extent cx="4107815" cy="2106295"/>
            <wp:effectExtent l="6350" t="6350" r="19685" b="20955"/>
            <wp:docPr id="295" name="图表"/>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1280" w:firstLineChars="400"/>
        <w:rPr>
          <w:rFonts w:ascii="仿宋_GB2312" w:eastAsia="仿宋_GB2312"/>
          <w:color w:val="auto"/>
          <w:sz w:val="32"/>
          <w:szCs w:val="32"/>
          <w:highlight w:val="none"/>
        </w:rPr>
      </w:pPr>
      <w:r>
        <w:rPr>
          <w:rFonts w:hint="eastAsia" w:ascii="仿宋" w:eastAsia="仿宋"/>
          <w:color w:val="auto"/>
          <w:sz w:val="32"/>
          <w:szCs w:val="32"/>
          <w:highlight w:val="none"/>
        </w:rPr>
        <w:t>（图3：支出决算结构图）（饼状图）</w:t>
      </w:r>
    </w:p>
    <w:p>
      <w:pPr>
        <w:numPr>
          <w:ilvl w:val="0"/>
          <w:numId w:val="1"/>
        </w:numPr>
        <w:spacing w:line="600" w:lineRule="exact"/>
        <w:ind w:left="1360" w:leftChars="0" w:hanging="720" w:firstLineChars="0"/>
        <w:outlineLvl w:val="1"/>
        <w:rPr>
          <w:rStyle w:val="31"/>
          <w:rFonts w:ascii="黑体" w:hAnsi="黑体" w:eastAsia="黑体"/>
          <w:b w:val="0"/>
          <w:color w:val="auto"/>
          <w:sz w:val="32"/>
          <w:szCs w:val="32"/>
          <w:highlight w:val="none"/>
        </w:rPr>
      </w:pPr>
      <w:bookmarkStart w:id="60" w:name="_Toc31627"/>
      <w:bookmarkStart w:id="61" w:name="_Toc15377208"/>
      <w:bookmarkStart w:id="62" w:name="_Toc10972"/>
      <w:bookmarkStart w:id="63" w:name="_Toc15396606"/>
      <w:bookmarkStart w:id="64" w:name="_Toc26063"/>
      <w:r>
        <w:rPr>
          <w:rFonts w:hint="eastAsia" w:ascii="黑体" w:hAnsi="黑体" w:eastAsia="黑体" w:cs="黑体"/>
          <w:b/>
          <w:color w:val="auto"/>
          <w:kern w:val="0"/>
          <w:sz w:val="32"/>
          <w:szCs w:val="32"/>
          <w:highlight w:val="none"/>
          <w:lang w:val="en-US" w:eastAsia="zh-CN" w:bidi="ar-SA"/>
        </w:rPr>
        <w:t>财政拨款收入支出决算总体情况说明</w:t>
      </w:r>
      <w:bookmarkEnd w:id="60"/>
      <w:bookmarkEnd w:id="61"/>
      <w:bookmarkEnd w:id="62"/>
      <w:bookmarkEnd w:id="63"/>
      <w:bookmarkEnd w:id="64"/>
    </w:p>
    <w:p>
      <w:pPr>
        <w:spacing w:line="600" w:lineRule="exact"/>
        <w:ind w:firstLine="640" w:firstLineChars="200"/>
        <w:outlineLvl w:val="9"/>
        <w:rPr>
          <w:rFonts w:ascii="仿宋" w:hAnsi="仿宋" w:eastAsia="仿宋"/>
          <w:sz w:val="32"/>
          <w:szCs w:val="32"/>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年财政拨款收、支总计340.82万元。与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26.66</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8.5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年一般公共预算拨款比上年</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22.48</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政府性基金</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5.28</w:t>
      </w:r>
      <w:r>
        <w:rPr>
          <w:rFonts w:hint="eastAsia" w:ascii="仿宋" w:hAnsi="仿宋" w:eastAsia="仿宋" w:cs="仿宋"/>
          <w:sz w:val="32"/>
          <w:szCs w:val="32"/>
        </w:rPr>
        <w:t>万元；202</w:t>
      </w:r>
      <w:r>
        <w:rPr>
          <w:rFonts w:hint="eastAsia" w:ascii="仿宋" w:hAnsi="仿宋" w:eastAsia="仿宋" w:cs="仿宋"/>
          <w:sz w:val="32"/>
          <w:szCs w:val="32"/>
          <w:lang w:val="en-US" w:eastAsia="zh-CN"/>
        </w:rPr>
        <w:t>2</w:t>
      </w:r>
      <w:r>
        <w:rPr>
          <w:rFonts w:hint="eastAsia" w:ascii="仿宋" w:hAnsi="仿宋" w:eastAsia="仿宋" w:cs="仿宋"/>
          <w:sz w:val="32"/>
          <w:szCs w:val="32"/>
        </w:rPr>
        <w:t>年支出主要变动的原因是：社会保障和就业支出</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18.76</w:t>
      </w:r>
      <w:r>
        <w:rPr>
          <w:rFonts w:hint="eastAsia" w:ascii="仿宋" w:hAnsi="仿宋" w:eastAsia="仿宋" w:cs="仿宋"/>
          <w:sz w:val="32"/>
          <w:szCs w:val="32"/>
        </w:rPr>
        <w:t>万元，卫生健康支出</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1.49</w:t>
      </w:r>
      <w:r>
        <w:rPr>
          <w:rFonts w:hint="eastAsia" w:ascii="仿宋" w:hAnsi="仿宋" w:eastAsia="仿宋" w:cs="仿宋"/>
          <w:sz w:val="32"/>
          <w:szCs w:val="32"/>
        </w:rPr>
        <w:t>万元，住房保障支出</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1.43</w:t>
      </w:r>
      <w:r>
        <w:rPr>
          <w:rFonts w:hint="eastAsia" w:ascii="仿宋" w:hAnsi="仿宋" w:eastAsia="仿宋" w:cs="仿宋"/>
          <w:sz w:val="32"/>
          <w:szCs w:val="32"/>
        </w:rPr>
        <w:t>万元</w:t>
      </w:r>
      <w:r>
        <w:rPr>
          <w:rFonts w:hint="eastAsia" w:ascii="仿宋" w:hAnsi="仿宋" w:eastAsia="仿宋" w:cs="仿宋"/>
          <w:sz w:val="32"/>
          <w:szCs w:val="32"/>
          <w:lang w:eastAsia="zh-CN"/>
        </w:rPr>
        <w:t>，城乡社区支出增加</w:t>
      </w:r>
      <w:r>
        <w:rPr>
          <w:rFonts w:hint="eastAsia" w:ascii="仿宋" w:hAnsi="仿宋" w:eastAsia="仿宋" w:cs="仿宋"/>
          <w:sz w:val="32"/>
          <w:szCs w:val="32"/>
          <w:lang w:val="en-US" w:eastAsia="zh-CN"/>
        </w:rPr>
        <w:t>5.28万元</w:t>
      </w:r>
      <w:r>
        <w:rPr>
          <w:rFonts w:hint="eastAsia" w:ascii="仿宋" w:hAnsi="仿宋" w:eastAsia="仿宋" w:cs="仿宋"/>
          <w:sz w:val="32"/>
          <w:szCs w:val="32"/>
        </w:rPr>
        <w:t>。</w:t>
      </w:r>
    </w:p>
    <w:p>
      <w:pPr>
        <w:spacing w:line="600" w:lineRule="exact"/>
        <w:ind w:firstLine="640"/>
        <w:rPr>
          <w:rFonts w:ascii="仿宋" w:hAnsi="仿宋" w:eastAsia="仿宋"/>
          <w:color w:val="auto"/>
          <w:sz w:val="32"/>
          <w:szCs w:val="32"/>
          <w:highlight w:val="none"/>
        </w:rPr>
      </w:pPr>
    </w:p>
    <w:p>
      <w:pPr>
        <w:pStyle w:val="2"/>
        <w:jc w:val="center"/>
        <w:rPr>
          <w:rFonts w:ascii="仿宋" w:hAnsi="仿宋" w:eastAsia="仿宋"/>
          <w:b/>
          <w:color w:val="auto"/>
          <w:sz w:val="32"/>
          <w:szCs w:val="32"/>
          <w:highlight w:val="none"/>
        </w:rPr>
      </w:pPr>
      <w:r>
        <w:object>
          <v:shape id="_x0000_i1026" o:spt="75" alt="1.emf" type="#_x0000_t75" style="height:182pt;width:299.6pt;" o:ole="t" filled="f" o:preferrelative="t" stroked="f" coordsize="21600,21600">
            <v:path/>
            <v:fill on="f" focussize="0,0"/>
            <v:stroke on="f"/>
            <v:imagedata r:id="rId13" o:title=""/>
            <o:lock v:ext="edit" aspectratio="t"/>
            <w10:wrap type="none"/>
            <w10:anchorlock/>
          </v:shape>
          <o:OLEObject Type="Embed" ProgID="Excel.Sheet.8" ShapeID="_x0000_i1026" DrawAspect="Content" ObjectID="_1468075726" r:id="rId12">
            <o:LockedField>false</o:LockedField>
          </o:OLEObject>
        </w:object>
      </w:r>
    </w:p>
    <w:p>
      <w:pPr>
        <w:pStyle w:val="2"/>
        <w:rPr>
          <w:rFonts w:hint="eastAsia"/>
        </w:rPr>
      </w:pPr>
      <w:r>
        <w:rPr>
          <w:rFonts w:hint="eastAsia" w:ascii="仿宋" w:eastAsia="仿宋"/>
          <w:color w:val="auto"/>
          <w:sz w:val="32"/>
          <w:szCs w:val="32"/>
          <w:highlight w:val="none"/>
        </w:rPr>
        <w:t>（图4：财政拨款收、支决算总计变动情况）（柱状图）</w:t>
      </w:r>
    </w:p>
    <w:p>
      <w:pPr>
        <w:spacing w:line="600" w:lineRule="exact"/>
        <w:rPr>
          <w:rFonts w:ascii="仿宋" w:hAnsi="仿宋" w:eastAsia="仿宋"/>
          <w:b/>
          <w:color w:val="auto"/>
          <w:sz w:val="32"/>
          <w:szCs w:val="32"/>
          <w:highlight w:val="none"/>
        </w:rPr>
      </w:pPr>
    </w:p>
    <w:p>
      <w:pPr>
        <w:pStyle w:val="2"/>
        <w:keepNext w:val="0"/>
        <w:keepLines w:val="0"/>
        <w:pageBreakBefore w:val="0"/>
        <w:widowControl w:val="0"/>
        <w:numPr>
          <w:ilvl w:val="0"/>
          <w:numId w:val="1"/>
        </w:numPr>
        <w:kinsoku/>
        <w:wordWrap/>
        <w:overflowPunct/>
        <w:topLinePunct w:val="0"/>
        <w:autoSpaceDE/>
        <w:autoSpaceDN/>
        <w:bidi w:val="0"/>
        <w:adjustRightInd/>
        <w:snapToGrid/>
        <w:ind w:left="1361" w:leftChars="0" w:hanging="720" w:firstLineChars="0"/>
        <w:textAlignment w:val="auto"/>
        <w:outlineLvl w:val="1"/>
        <w:rPr>
          <w:rFonts w:hint="eastAsia" w:ascii="黑体" w:hAnsi="黑体" w:eastAsia="黑体" w:cs="黑体"/>
          <w:b/>
          <w:color w:val="auto"/>
          <w:sz w:val="32"/>
          <w:szCs w:val="32"/>
          <w:highlight w:val="none"/>
          <w:lang w:eastAsia="zh-CN"/>
        </w:rPr>
      </w:pPr>
      <w:bookmarkStart w:id="65" w:name="_Toc21171"/>
      <w:bookmarkStart w:id="66" w:name="_Toc8497"/>
      <w:bookmarkStart w:id="67" w:name="_Toc6716"/>
      <w:bookmarkStart w:id="68" w:name="_Toc15396607"/>
      <w:bookmarkStart w:id="69" w:name="_Toc15377209"/>
      <w:r>
        <w:rPr>
          <w:rFonts w:hint="eastAsia" w:ascii="黑体" w:hAnsi="黑体" w:eastAsia="黑体" w:cs="黑体"/>
          <w:b/>
          <w:color w:val="auto"/>
          <w:sz w:val="32"/>
          <w:szCs w:val="32"/>
          <w:highlight w:val="none"/>
          <w:lang w:eastAsia="zh-CN"/>
        </w:rPr>
        <w:t>一般公共预算财政拨款支出决算情况说明</w:t>
      </w:r>
      <w:bookmarkEnd w:id="65"/>
      <w:bookmarkEnd w:id="66"/>
      <w:bookmarkEnd w:id="67"/>
      <w:bookmarkEnd w:id="68"/>
      <w:bookmarkEnd w:id="69"/>
    </w:p>
    <w:p>
      <w:pPr>
        <w:spacing w:line="600" w:lineRule="exact"/>
        <w:ind w:firstLine="602" w:firstLineChars="200"/>
        <w:outlineLvl w:val="2"/>
        <w:rPr>
          <w:rFonts w:ascii="仿宋" w:hAnsi="仿宋" w:eastAsia="仿宋"/>
          <w:b/>
          <w:color w:val="auto"/>
          <w:sz w:val="30"/>
          <w:szCs w:val="30"/>
          <w:highlight w:val="none"/>
        </w:rPr>
      </w:pPr>
      <w:bookmarkStart w:id="70" w:name="_Toc6556"/>
      <w:bookmarkStart w:id="71" w:name="_Toc15377210"/>
      <w:r>
        <w:rPr>
          <w:rFonts w:hint="eastAsia" w:ascii="仿宋" w:hAnsi="仿宋" w:eastAsia="仿宋"/>
          <w:b/>
          <w:color w:val="auto"/>
          <w:sz w:val="30"/>
          <w:szCs w:val="30"/>
          <w:highlight w:val="none"/>
        </w:rPr>
        <w:t>（一）一般公共预算财政拨款支出决算总体情况</w:t>
      </w:r>
      <w:bookmarkEnd w:id="70"/>
      <w:bookmarkEnd w:id="71"/>
    </w:p>
    <w:p>
      <w:pPr>
        <w:spacing w:line="600" w:lineRule="exact"/>
        <w:ind w:firstLine="640" w:firstLineChars="200"/>
        <w:rPr>
          <w:rFonts w:hint="eastAsia" w:ascii="仿宋" w:hAnsi="仿宋" w:eastAsia="仿宋"/>
          <w:color w:val="000000"/>
          <w:sz w:val="32"/>
          <w:szCs w:val="32"/>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年一般公共预算财政拨款支出335.53万元，占本年支出合计的</w:t>
      </w:r>
      <w:r>
        <w:rPr>
          <w:rFonts w:hint="eastAsia" w:ascii="仿宋" w:hAnsi="仿宋" w:eastAsia="仿宋"/>
          <w:color w:val="auto"/>
          <w:sz w:val="32"/>
          <w:szCs w:val="32"/>
          <w:highlight w:val="none"/>
          <w:lang w:val="en-US" w:eastAsia="zh-CN"/>
        </w:rPr>
        <w:t>50.82</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21.67</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6.90</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000000"/>
          <w:sz w:val="32"/>
          <w:szCs w:val="32"/>
        </w:rPr>
        <w:t>基本支出</w:t>
      </w:r>
      <w:r>
        <w:rPr>
          <w:rFonts w:hint="eastAsia" w:ascii="仿宋" w:hAnsi="仿宋" w:eastAsia="仿宋"/>
          <w:color w:val="000000"/>
          <w:sz w:val="32"/>
          <w:szCs w:val="32"/>
          <w:lang w:eastAsia="zh-CN"/>
        </w:rPr>
        <w:t>增加</w:t>
      </w:r>
      <w:r>
        <w:rPr>
          <w:rFonts w:hint="eastAsia" w:ascii="仿宋" w:hAnsi="仿宋" w:eastAsia="仿宋"/>
          <w:color w:val="000000"/>
          <w:sz w:val="32"/>
          <w:szCs w:val="32"/>
          <w:lang w:val="en-US" w:eastAsia="zh-CN"/>
        </w:rPr>
        <w:t>54.05</w:t>
      </w:r>
      <w:r>
        <w:rPr>
          <w:rFonts w:hint="eastAsia" w:ascii="仿宋" w:hAnsi="仿宋" w:eastAsia="仿宋"/>
          <w:color w:val="000000"/>
          <w:sz w:val="32"/>
          <w:szCs w:val="32"/>
        </w:rPr>
        <w:t>万元，项目支出</w:t>
      </w:r>
      <w:r>
        <w:rPr>
          <w:rFonts w:hint="eastAsia" w:ascii="仿宋" w:hAnsi="仿宋" w:eastAsia="仿宋"/>
          <w:color w:val="000000"/>
          <w:sz w:val="32"/>
          <w:szCs w:val="32"/>
          <w:lang w:eastAsia="zh-CN"/>
        </w:rPr>
        <w:t>减少了</w:t>
      </w:r>
      <w:r>
        <w:rPr>
          <w:rFonts w:hint="eastAsia" w:ascii="仿宋" w:hAnsi="仿宋" w:eastAsia="仿宋"/>
          <w:color w:val="000000"/>
          <w:sz w:val="32"/>
          <w:szCs w:val="32"/>
          <w:lang w:val="en-US" w:eastAsia="zh-CN"/>
        </w:rPr>
        <w:t>32.38</w:t>
      </w:r>
      <w:r>
        <w:rPr>
          <w:rFonts w:hint="eastAsia" w:ascii="仿宋" w:hAnsi="仿宋" w:eastAsia="仿宋"/>
          <w:color w:val="000000"/>
          <w:sz w:val="32"/>
          <w:szCs w:val="32"/>
        </w:rPr>
        <w:t>万元。</w:t>
      </w:r>
    </w:p>
    <w:p>
      <w:pPr>
        <w:pStyle w:val="2"/>
      </w:pPr>
    </w:p>
    <w:p>
      <w:pPr>
        <w:pStyle w:val="2"/>
        <w:jc w:val="center"/>
        <w:rPr>
          <w:rFonts w:ascii="仿宋" w:hAnsi="仿宋" w:eastAsia="仿宋"/>
          <w:color w:val="auto"/>
          <w:sz w:val="32"/>
          <w:szCs w:val="32"/>
          <w:highlight w:val="none"/>
        </w:rPr>
      </w:pPr>
      <w:r>
        <w:rPr>
          <w:color w:val="0000FF"/>
        </w:rPr>
        <w:object>
          <v:shape id="_x0000_i1027" o:spt="75" alt="2.emf" type="#_x0000_t75" style="height:194.1pt;width:319.6pt;" o:ole="t" filled="f" o:preferrelative="t" stroked="f" coordsize="21600,21600">
            <v:path/>
            <v:fill on="f" focussize="0,0"/>
            <v:stroke on="f"/>
            <v:imagedata r:id="rId15" o:title=""/>
            <o:lock v:ext="edit" aspectratio="t"/>
            <w10:wrap type="none"/>
            <w10:anchorlock/>
          </v:shape>
          <o:OLEObject Type="Embed" ProgID="Excel.Sheet.8" ShapeID="_x0000_i1027" DrawAspect="Content" ObjectID="_1468075727" r:id="rId14">
            <o:LockedField>false</o:LockedField>
          </o:OLEObject>
        </w:object>
      </w:r>
    </w:p>
    <w:p>
      <w:pPr>
        <w:pStyle w:val="2"/>
        <w:rPr>
          <w:rFonts w:ascii="仿宋" w:hAnsi="仿宋" w:eastAsia="仿宋"/>
          <w:color w:val="auto"/>
          <w:sz w:val="32"/>
          <w:szCs w:val="32"/>
          <w:highlight w:val="none"/>
        </w:rPr>
      </w:pPr>
      <w:r>
        <w:rPr>
          <w:rFonts w:hint="eastAsia" w:ascii="仿宋" w:eastAsia="仿宋"/>
          <w:color w:val="auto"/>
          <w:sz w:val="32"/>
          <w:szCs w:val="32"/>
          <w:highlight w:val="none"/>
        </w:rPr>
        <w:t>（图5：一般公共预算财政拨款支出决算变动情况）（柱状图）</w:t>
      </w:r>
    </w:p>
    <w:p>
      <w:pPr>
        <w:spacing w:line="600" w:lineRule="exact"/>
        <w:ind w:firstLine="643" w:firstLineChars="200"/>
        <w:outlineLvl w:val="2"/>
        <w:rPr>
          <w:rFonts w:ascii="仿宋" w:hAnsi="仿宋" w:eastAsia="仿宋"/>
          <w:b/>
          <w:color w:val="auto"/>
          <w:sz w:val="32"/>
          <w:szCs w:val="32"/>
          <w:highlight w:val="none"/>
        </w:rPr>
      </w:pPr>
      <w:bookmarkStart w:id="72" w:name="_Toc32558"/>
      <w:bookmarkStart w:id="73" w:name="_Toc15377211"/>
      <w:r>
        <w:rPr>
          <w:rFonts w:hint="eastAsia" w:ascii="仿宋" w:hAnsi="仿宋" w:eastAsia="仿宋"/>
          <w:b/>
          <w:color w:val="auto"/>
          <w:sz w:val="32"/>
          <w:szCs w:val="32"/>
          <w:highlight w:val="none"/>
        </w:rPr>
        <w:t>（二）一般公共预算财政拨款支出决算结构情况</w:t>
      </w:r>
      <w:bookmarkEnd w:id="72"/>
      <w:bookmarkEnd w:id="73"/>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年一般公共预算财政拨款支出335.53万元，主要用于以下方面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rPr>
        <w:t>54.92万元，占</w:t>
      </w:r>
      <w:r>
        <w:rPr>
          <w:rFonts w:hint="eastAsia" w:ascii="仿宋" w:hAnsi="仿宋" w:eastAsia="仿宋"/>
          <w:color w:val="auto"/>
          <w:sz w:val="32"/>
          <w:szCs w:val="32"/>
          <w:highlight w:val="none"/>
          <w:lang w:val="en-US" w:eastAsia="zh-CN"/>
        </w:rPr>
        <w:t>16.37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rPr>
        <w:t>256.25万元，占</w:t>
      </w:r>
      <w:r>
        <w:rPr>
          <w:rFonts w:hint="eastAsia" w:ascii="仿宋" w:hAnsi="仿宋" w:eastAsia="仿宋"/>
          <w:color w:val="auto"/>
          <w:sz w:val="32"/>
          <w:szCs w:val="32"/>
          <w:highlight w:val="none"/>
          <w:lang w:val="en-US" w:eastAsia="zh-CN"/>
        </w:rPr>
        <w:t>76.37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rPr>
        <w:t>24.37万元，占</w:t>
      </w:r>
      <w:r>
        <w:rPr>
          <w:rFonts w:hint="eastAsia" w:ascii="仿宋" w:hAnsi="仿宋" w:eastAsia="仿宋"/>
          <w:color w:val="auto"/>
          <w:sz w:val="32"/>
          <w:szCs w:val="32"/>
          <w:highlight w:val="none"/>
          <w:lang w:val="en-US" w:eastAsia="zh-CN"/>
        </w:rPr>
        <w:t>7.26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jc w:val="center"/>
        <w:rPr>
          <w:rFonts w:hint="eastAsia"/>
        </w:rPr>
      </w:pPr>
      <w:r>
        <w:drawing>
          <wp:inline distT="0" distB="0" distL="114300" distR="114300">
            <wp:extent cx="4081145" cy="2141855"/>
            <wp:effectExtent l="6350" t="6350" r="8255" b="23495"/>
            <wp:docPr id="296" name="图表"/>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600" w:lineRule="exact"/>
        <w:rPr>
          <w:rFonts w:hint="eastAsia" w:ascii="仿宋" w:eastAsia="仿宋"/>
          <w:color w:val="auto"/>
          <w:sz w:val="32"/>
          <w:szCs w:val="32"/>
          <w:highlight w:val="none"/>
        </w:rPr>
      </w:pPr>
      <w:r>
        <w:rPr>
          <w:rFonts w:hint="eastAsia" w:ascii="仿宋" w:eastAsia="仿宋"/>
          <w:color w:val="auto"/>
          <w:sz w:val="32"/>
          <w:szCs w:val="32"/>
          <w:highlight w:val="none"/>
        </w:rPr>
        <w:t>（图6：一般公共预算财政拨款支出决算结构）（饼状图）</w:t>
      </w:r>
    </w:p>
    <w:p>
      <w:pPr>
        <w:spacing w:line="600" w:lineRule="exact"/>
        <w:rPr>
          <w:rFonts w:ascii="仿宋" w:hAnsi="仿宋" w:eastAsia="仿宋"/>
          <w:color w:val="auto"/>
          <w:sz w:val="32"/>
          <w:szCs w:val="32"/>
          <w:highlight w:val="none"/>
        </w:rPr>
      </w:pPr>
    </w:p>
    <w:p>
      <w:pPr>
        <w:spacing w:line="600" w:lineRule="exact"/>
        <w:ind w:firstLine="643" w:firstLineChars="200"/>
        <w:outlineLvl w:val="2"/>
        <w:rPr>
          <w:rFonts w:ascii="仿宋" w:hAnsi="仿宋" w:eastAsia="仿宋"/>
          <w:b/>
          <w:color w:val="auto"/>
          <w:sz w:val="32"/>
          <w:szCs w:val="32"/>
          <w:highlight w:val="none"/>
        </w:rPr>
      </w:pPr>
      <w:bookmarkStart w:id="74" w:name="_Toc323"/>
      <w:bookmarkStart w:id="75" w:name="_Toc15377212"/>
      <w:r>
        <w:rPr>
          <w:rFonts w:hint="eastAsia" w:ascii="仿宋" w:hAnsi="仿宋" w:eastAsia="仿宋"/>
          <w:b/>
          <w:color w:val="auto"/>
          <w:sz w:val="32"/>
          <w:szCs w:val="32"/>
          <w:highlight w:val="none"/>
        </w:rPr>
        <w:t>（三）一般公共预算财政拨款支出决算具体情况</w:t>
      </w:r>
      <w:bookmarkEnd w:id="74"/>
      <w:bookmarkEnd w:id="75"/>
    </w:p>
    <w:p>
      <w:pPr>
        <w:spacing w:line="600" w:lineRule="exact"/>
        <w:ind w:firstLine="643" w:firstLineChars="200"/>
        <w:outlineLvl w:val="9"/>
        <w:rPr>
          <w:rFonts w:ascii="仿宋" w:hAnsi="仿宋" w:eastAsia="仿宋"/>
          <w:color w:val="auto"/>
          <w:sz w:val="32"/>
          <w:szCs w:val="32"/>
          <w:highlight w:val="none"/>
        </w:rPr>
      </w:pPr>
      <w:bookmarkStart w:id="76" w:name="_Toc15377444"/>
      <w:bookmarkStart w:id="77" w:name="_Toc15378460"/>
      <w:bookmarkStart w:id="78"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color w:val="auto"/>
          <w:sz w:val="32"/>
          <w:szCs w:val="32"/>
          <w:highlight w:val="none"/>
        </w:rPr>
        <w:t>335.53万元，</w:t>
      </w:r>
      <w:r>
        <w:rPr>
          <w:rStyle w:val="19"/>
          <w:rFonts w:hint="eastAsia" w:ascii="仿宋" w:hAnsi="仿宋" w:eastAsia="仿宋"/>
          <w:bCs/>
          <w:color w:val="auto"/>
          <w:sz w:val="32"/>
          <w:szCs w:val="32"/>
          <w:highlight w:val="none"/>
        </w:rPr>
        <w:t>完成预算</w:t>
      </w:r>
      <w:r>
        <w:rPr>
          <w:rStyle w:val="19"/>
          <w:rFonts w:hint="eastAsia" w:ascii="仿宋" w:hAnsi="仿宋" w:eastAsia="仿宋"/>
          <w:bCs/>
          <w:color w:val="auto"/>
          <w:sz w:val="32"/>
          <w:szCs w:val="32"/>
          <w:highlight w:val="none"/>
          <w:lang w:val="en-US" w:eastAsia="zh-CN"/>
        </w:rPr>
        <w:t>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76"/>
      <w:bookmarkEnd w:id="77"/>
      <w:bookmarkEnd w:id="78"/>
    </w:p>
    <w:p>
      <w:pPr>
        <w:spacing w:line="600" w:lineRule="exact"/>
        <w:ind w:firstLine="643" w:firstLineChars="200"/>
        <w:outlineLvl w:val="9"/>
        <w:rPr>
          <w:rStyle w:val="19"/>
          <w:rFonts w:hint="eastAsia" w:ascii="仿宋" w:hAnsi="仿宋" w:eastAsia="仿宋"/>
          <w:b w:val="0"/>
          <w:bCs/>
          <w:color w:val="auto"/>
          <w:sz w:val="32"/>
          <w:szCs w:val="32"/>
        </w:rPr>
      </w:pPr>
      <w:r>
        <w:rPr>
          <w:rStyle w:val="19"/>
          <w:rFonts w:ascii="仿宋" w:hAnsi="仿宋" w:eastAsia="仿宋"/>
          <w:bCs/>
          <w:color w:val="auto"/>
          <w:sz w:val="32"/>
          <w:szCs w:val="32"/>
          <w:highlight w:val="none"/>
        </w:rPr>
        <w:t>1.</w:t>
      </w:r>
      <w:r>
        <w:rPr>
          <w:rFonts w:hint="eastAsia" w:ascii="仿宋" w:eastAsia="仿宋"/>
          <w:b/>
          <w:bCs/>
          <w:color w:val="auto"/>
          <w:sz w:val="32"/>
          <w:szCs w:val="32"/>
        </w:rPr>
        <w:t>卫生健康支出</w:t>
      </w:r>
      <w:r>
        <w:rPr>
          <w:rStyle w:val="19"/>
          <w:rFonts w:hint="eastAsia" w:ascii="仿宋" w:eastAsia="仿宋"/>
          <w:bCs/>
          <w:color w:val="auto"/>
          <w:sz w:val="32"/>
          <w:szCs w:val="32"/>
        </w:rPr>
        <w:t>（类）公立医院（款）中医（民族）医院（项）：</w:t>
      </w:r>
      <w:r>
        <w:rPr>
          <w:rStyle w:val="19"/>
          <w:rFonts w:hint="eastAsia" w:ascii="仿宋" w:eastAsia="仿宋"/>
          <w:b w:val="0"/>
          <w:color w:val="auto"/>
          <w:sz w:val="32"/>
          <w:szCs w:val="32"/>
        </w:rPr>
        <w:t>主要用于中医医院人员经费</w:t>
      </w:r>
      <w:r>
        <w:rPr>
          <w:rStyle w:val="19"/>
          <w:rFonts w:hint="eastAsia" w:ascii="仿宋" w:eastAsia="仿宋"/>
          <w:bCs/>
          <w:color w:val="auto"/>
          <w:sz w:val="32"/>
          <w:szCs w:val="32"/>
        </w:rPr>
        <w:t>，</w:t>
      </w:r>
      <w:r>
        <w:rPr>
          <w:rStyle w:val="19"/>
          <w:rFonts w:hint="eastAsia" w:ascii="仿宋" w:eastAsia="仿宋"/>
          <w:b w:val="0"/>
          <w:color w:val="auto"/>
          <w:sz w:val="32"/>
          <w:szCs w:val="32"/>
        </w:rPr>
        <w:t>支出</w:t>
      </w:r>
      <w:r>
        <w:rPr>
          <w:rFonts w:hint="eastAsia" w:ascii="仿宋_GB2312" w:eastAsia="仿宋_GB2312"/>
          <w:color w:val="auto"/>
          <w:sz w:val="32"/>
          <w:szCs w:val="32"/>
        </w:rPr>
        <w:t>决算数为</w:t>
      </w:r>
      <w:r>
        <w:rPr>
          <w:rFonts w:hint="eastAsia" w:ascii="仿宋_GB2312" w:eastAsia="仿宋_GB2312"/>
          <w:color w:val="auto"/>
          <w:sz w:val="32"/>
          <w:szCs w:val="32"/>
          <w:lang w:val="en-US" w:eastAsia="zh-CN"/>
        </w:rPr>
        <w:t>199.36</w:t>
      </w:r>
      <w:r>
        <w:rPr>
          <w:rFonts w:hint="eastAsia" w:ascii="仿宋_GB2312" w:eastAsia="仿宋_GB2312"/>
          <w:color w:val="auto"/>
          <w:sz w:val="32"/>
          <w:szCs w:val="32"/>
        </w:rPr>
        <w:t>万元，完成预算</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w:t>
      </w:r>
      <w:r>
        <w:rPr>
          <w:rStyle w:val="19"/>
          <w:rFonts w:hint="eastAsia" w:ascii="仿宋" w:hAnsi="仿宋" w:eastAsia="仿宋"/>
          <w:b w:val="0"/>
          <w:bCs/>
          <w:color w:val="auto"/>
          <w:sz w:val="32"/>
          <w:szCs w:val="32"/>
        </w:rPr>
        <w:t>决算数等于预算数的主要原因是当年发生的支出当年支付。</w:t>
      </w:r>
    </w:p>
    <w:p>
      <w:pPr>
        <w:spacing w:line="600" w:lineRule="exact"/>
        <w:ind w:firstLine="643" w:firstLineChars="200"/>
        <w:outlineLvl w:val="9"/>
        <w:rPr>
          <w:rFonts w:ascii="仿宋" w:hAnsi="仿宋" w:eastAsia="仿宋"/>
          <w:b/>
          <w:color w:val="auto"/>
          <w:sz w:val="32"/>
          <w:szCs w:val="32"/>
          <w:highlight w:val="none"/>
        </w:rPr>
      </w:pPr>
      <w:r>
        <w:rPr>
          <w:rStyle w:val="19"/>
          <w:rFonts w:ascii="仿宋" w:hAnsi="仿宋" w:eastAsia="仿宋"/>
          <w:bCs/>
          <w:color w:val="auto"/>
          <w:sz w:val="32"/>
          <w:szCs w:val="32"/>
          <w:highlight w:val="none"/>
        </w:rPr>
        <w:t>2.</w:t>
      </w:r>
      <w:r>
        <w:rPr>
          <w:rFonts w:hint="eastAsia" w:ascii="仿宋" w:eastAsia="仿宋"/>
          <w:b/>
          <w:bCs/>
          <w:color w:val="auto"/>
          <w:sz w:val="32"/>
          <w:szCs w:val="32"/>
        </w:rPr>
        <w:t>卫生健康支出</w:t>
      </w:r>
      <w:r>
        <w:rPr>
          <w:rStyle w:val="19"/>
          <w:rFonts w:hint="eastAsia" w:ascii="仿宋" w:eastAsia="仿宋"/>
          <w:bCs/>
          <w:color w:val="auto"/>
          <w:sz w:val="32"/>
          <w:szCs w:val="32"/>
        </w:rPr>
        <w:t>（类）公立医院（款） 其他公立医院支出（项）：</w:t>
      </w:r>
      <w:r>
        <w:rPr>
          <w:rStyle w:val="19"/>
          <w:rFonts w:hint="eastAsia" w:ascii="仿宋" w:eastAsia="仿宋"/>
          <w:b w:val="0"/>
          <w:bCs w:val="0"/>
          <w:color w:val="auto"/>
          <w:sz w:val="32"/>
          <w:szCs w:val="32"/>
          <w:lang w:eastAsia="zh-CN"/>
        </w:rPr>
        <w:t>主要用于中医院中医药专项补助经费，</w:t>
      </w:r>
      <w:r>
        <w:rPr>
          <w:rStyle w:val="19"/>
          <w:rFonts w:hint="eastAsia" w:ascii="仿宋" w:eastAsia="仿宋"/>
          <w:b w:val="0"/>
          <w:color w:val="auto"/>
          <w:sz w:val="32"/>
          <w:szCs w:val="32"/>
        </w:rPr>
        <w:t>支出</w:t>
      </w:r>
      <w:r>
        <w:rPr>
          <w:rFonts w:hint="eastAsia" w:ascii="仿宋_GB2312" w:eastAsia="仿宋_GB2312"/>
          <w:color w:val="auto"/>
          <w:sz w:val="32"/>
          <w:szCs w:val="32"/>
        </w:rPr>
        <w:t>决算数为</w:t>
      </w:r>
      <w:r>
        <w:rPr>
          <w:rFonts w:hint="eastAsia" w:ascii="仿宋_GB2312" w:eastAsia="仿宋_GB2312"/>
          <w:color w:val="auto"/>
          <w:sz w:val="32"/>
          <w:szCs w:val="32"/>
          <w:lang w:val="en-US" w:eastAsia="zh-CN"/>
        </w:rPr>
        <w:t>20.83</w:t>
      </w:r>
      <w:r>
        <w:rPr>
          <w:rFonts w:hint="eastAsia" w:ascii="仿宋_GB2312" w:eastAsia="仿宋_GB2312"/>
          <w:color w:val="auto"/>
          <w:sz w:val="32"/>
          <w:szCs w:val="32"/>
        </w:rPr>
        <w:t>万元，完成预算</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w:t>
      </w:r>
      <w:r>
        <w:rPr>
          <w:rStyle w:val="19"/>
          <w:rFonts w:hint="eastAsia" w:ascii="仿宋" w:hAnsi="仿宋" w:eastAsia="仿宋"/>
          <w:b w:val="0"/>
          <w:bCs/>
          <w:color w:val="auto"/>
          <w:sz w:val="32"/>
          <w:szCs w:val="32"/>
        </w:rPr>
        <w:t>决算数等于预算数的主要原因是当年发生的</w:t>
      </w:r>
      <w:r>
        <w:rPr>
          <w:rStyle w:val="19"/>
          <w:rFonts w:hint="eastAsia" w:ascii="仿宋" w:hAnsi="仿宋" w:eastAsia="仿宋"/>
          <w:b w:val="0"/>
          <w:bCs/>
          <w:color w:val="auto"/>
          <w:sz w:val="32"/>
          <w:szCs w:val="32"/>
          <w:lang w:eastAsia="zh-CN"/>
        </w:rPr>
        <w:t>中医药专项资金</w:t>
      </w:r>
      <w:r>
        <w:rPr>
          <w:rStyle w:val="19"/>
          <w:rFonts w:hint="eastAsia" w:ascii="仿宋" w:hAnsi="仿宋" w:eastAsia="仿宋"/>
          <w:b w:val="0"/>
          <w:bCs/>
          <w:color w:val="auto"/>
          <w:sz w:val="32"/>
          <w:szCs w:val="32"/>
        </w:rPr>
        <w:t>当年支付。</w:t>
      </w:r>
    </w:p>
    <w:p>
      <w:pPr>
        <w:spacing w:line="600" w:lineRule="exact"/>
        <w:ind w:firstLine="643" w:firstLineChars="200"/>
        <w:outlineLvl w:val="9"/>
        <w:rPr>
          <w:rStyle w:val="19"/>
          <w:rFonts w:hint="eastAsia" w:ascii="仿宋" w:hAnsi="仿宋" w:eastAsia="仿宋"/>
          <w:b w:val="0"/>
          <w:bCs/>
          <w:sz w:val="32"/>
          <w:szCs w:val="32"/>
        </w:rPr>
      </w:pPr>
      <w:r>
        <w:rPr>
          <w:rStyle w:val="19"/>
          <w:rFonts w:ascii="仿宋" w:hAnsi="仿宋" w:eastAsia="仿宋"/>
          <w:bCs/>
          <w:color w:val="auto"/>
          <w:sz w:val="32"/>
          <w:szCs w:val="32"/>
          <w:highlight w:val="none"/>
        </w:rPr>
        <w:t>3.</w:t>
      </w:r>
      <w:r>
        <w:rPr>
          <w:rStyle w:val="19"/>
          <w:rFonts w:hint="eastAsia" w:ascii="仿宋_GB2312" w:eastAsia="仿宋_GB2312"/>
          <w:bCs/>
          <w:color w:val="000000"/>
          <w:sz w:val="32"/>
          <w:szCs w:val="32"/>
        </w:rPr>
        <w:t>卫生健康支出（类）公共卫生（款）</w:t>
      </w:r>
      <w:r>
        <w:rPr>
          <w:rStyle w:val="19"/>
          <w:rFonts w:hint="eastAsia" w:ascii="仿宋_GB2312" w:eastAsia="仿宋_GB2312"/>
          <w:color w:val="000000"/>
          <w:sz w:val="32"/>
          <w:szCs w:val="32"/>
        </w:rPr>
        <w:t>基本公共卫生服务（项）：</w:t>
      </w:r>
      <w:r>
        <w:rPr>
          <w:rStyle w:val="19"/>
          <w:rFonts w:hint="eastAsia" w:ascii="仿宋_GB2312" w:eastAsia="仿宋_GB2312"/>
          <w:b w:val="0"/>
          <w:color w:val="000000"/>
          <w:sz w:val="32"/>
          <w:szCs w:val="32"/>
        </w:rPr>
        <w:t>主要用于区中医院开展基本公共卫生服务活动支出。</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年决算数为5万元，完成预算</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w:t>
      </w:r>
      <w:r>
        <w:rPr>
          <w:rStyle w:val="19"/>
          <w:rFonts w:hint="eastAsia" w:ascii="仿宋" w:hAnsi="仿宋" w:eastAsia="仿宋"/>
          <w:b w:val="0"/>
          <w:bCs/>
          <w:sz w:val="32"/>
          <w:szCs w:val="32"/>
        </w:rPr>
        <w:t>决算数等于预算数的主要原因是当年收到资金，考核后当年发放。</w:t>
      </w:r>
    </w:p>
    <w:p>
      <w:pPr>
        <w:spacing w:line="600" w:lineRule="exact"/>
        <w:ind w:firstLine="643" w:firstLineChars="200"/>
        <w:outlineLvl w:val="9"/>
        <w:rPr>
          <w:rFonts w:hint="eastAsia" w:ascii="仿宋_GB2312" w:eastAsia="仿宋_GB2312"/>
          <w:color w:val="000000"/>
          <w:sz w:val="32"/>
          <w:szCs w:val="32"/>
        </w:rPr>
      </w:pPr>
      <w:r>
        <w:rPr>
          <w:rStyle w:val="19"/>
          <w:rFonts w:ascii="仿宋" w:hAnsi="仿宋" w:eastAsia="仿宋"/>
          <w:bCs/>
          <w:color w:val="auto"/>
          <w:sz w:val="32"/>
          <w:szCs w:val="32"/>
          <w:highlight w:val="none"/>
        </w:rPr>
        <w:t>4.</w:t>
      </w:r>
      <w:r>
        <w:rPr>
          <w:rStyle w:val="19"/>
          <w:rFonts w:hint="eastAsia" w:ascii="仿宋_GB2312" w:eastAsia="仿宋_GB2312"/>
          <w:bCs/>
          <w:color w:val="000000"/>
          <w:sz w:val="32"/>
          <w:szCs w:val="32"/>
        </w:rPr>
        <w:t>卫生健康支出（类）行政事业单位（款）事业单位医疗（项）</w:t>
      </w:r>
      <w:r>
        <w:rPr>
          <w:rStyle w:val="19"/>
          <w:rFonts w:hint="eastAsia" w:ascii="仿宋_GB2312" w:eastAsia="仿宋_GB2312"/>
          <w:b w:val="0"/>
          <w:color w:val="000000"/>
          <w:sz w:val="32"/>
          <w:szCs w:val="32"/>
        </w:rPr>
        <w:t>：用于在职在编人员医疗保险支出，202</w:t>
      </w:r>
      <w:r>
        <w:rPr>
          <w:rStyle w:val="19"/>
          <w:rFonts w:hint="eastAsia" w:ascii="仿宋_GB2312" w:eastAsia="仿宋_GB2312"/>
          <w:b w:val="0"/>
          <w:color w:val="000000"/>
          <w:sz w:val="32"/>
          <w:szCs w:val="32"/>
          <w:lang w:val="en-US" w:eastAsia="zh-CN"/>
        </w:rPr>
        <w:t>2</w:t>
      </w:r>
      <w:r>
        <w:rPr>
          <w:rStyle w:val="19"/>
          <w:rFonts w:hint="eastAsia" w:ascii="仿宋_GB2312" w:eastAsia="仿宋_GB2312"/>
          <w:b w:val="0"/>
          <w:color w:val="000000"/>
          <w:sz w:val="32"/>
          <w:szCs w:val="32"/>
        </w:rPr>
        <w:t>年决算数16.06万元，</w:t>
      </w:r>
      <w:r>
        <w:rPr>
          <w:rFonts w:hint="eastAsia" w:ascii="仿宋_GB2312" w:eastAsia="仿宋_GB2312"/>
          <w:color w:val="000000"/>
          <w:sz w:val="32"/>
          <w:szCs w:val="32"/>
        </w:rPr>
        <w:t>完成预算</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w:t>
      </w:r>
      <w:r>
        <w:rPr>
          <w:rStyle w:val="19"/>
          <w:rFonts w:hint="eastAsia" w:ascii="仿宋" w:hAnsi="仿宋" w:eastAsia="仿宋"/>
          <w:b w:val="0"/>
          <w:bCs/>
          <w:sz w:val="32"/>
          <w:szCs w:val="32"/>
        </w:rPr>
        <w:t>决算数等于预算数的主要原因是人员经费都是按月支付。</w:t>
      </w:r>
    </w:p>
    <w:p>
      <w:pPr>
        <w:spacing w:line="600" w:lineRule="exact"/>
        <w:ind w:firstLine="643" w:firstLineChars="200"/>
        <w:outlineLvl w:val="9"/>
        <w:rPr>
          <w:rFonts w:hint="eastAsia" w:ascii="仿宋_GB2312" w:eastAsia="仿宋_GB2312"/>
          <w:sz w:val="32"/>
          <w:szCs w:val="32"/>
        </w:rPr>
      </w:pPr>
      <w:r>
        <w:rPr>
          <w:rStyle w:val="19"/>
          <w:rFonts w:ascii="仿宋" w:hAnsi="仿宋" w:eastAsia="仿宋"/>
          <w:bCs/>
          <w:color w:val="auto"/>
          <w:sz w:val="32"/>
          <w:szCs w:val="32"/>
          <w:highlight w:val="none"/>
        </w:rPr>
        <w:t>5.</w:t>
      </w:r>
      <w:r>
        <w:rPr>
          <w:rStyle w:val="19"/>
          <w:rFonts w:hint="eastAsia" w:ascii="仿宋_GB2312" w:eastAsia="仿宋_GB2312"/>
          <w:color w:val="000000"/>
          <w:sz w:val="32"/>
          <w:szCs w:val="32"/>
        </w:rPr>
        <w:t>社会保障和就业支出（类）行政事业单位离退休（款）</w:t>
      </w:r>
      <w:r>
        <w:rPr>
          <w:rFonts w:hint="eastAsia" w:ascii="仿宋_GB2312" w:eastAsia="仿宋_GB2312"/>
          <w:b/>
          <w:color w:val="000000"/>
          <w:sz w:val="32"/>
          <w:szCs w:val="32"/>
        </w:rPr>
        <w:t>机关事业单位基本养老保险缴费支出（项）：</w:t>
      </w:r>
      <w:r>
        <w:rPr>
          <w:rFonts w:hint="eastAsia" w:ascii="仿宋_GB2312" w:eastAsia="仿宋_GB2312"/>
          <w:bCs/>
          <w:color w:val="000000"/>
          <w:sz w:val="32"/>
          <w:szCs w:val="32"/>
        </w:rPr>
        <w:t>主要用于在职在编人员基本养老保险支出，</w:t>
      </w:r>
      <w:r>
        <w:rPr>
          <w:rFonts w:hint="eastAsia" w:ascii="仿宋_GB2312" w:eastAsia="仿宋_GB2312"/>
          <w:sz w:val="32"/>
          <w:szCs w:val="32"/>
        </w:rPr>
        <w:t>202</w:t>
      </w:r>
      <w:r>
        <w:rPr>
          <w:rFonts w:hint="eastAsia" w:ascii="仿宋_GB2312" w:eastAsia="仿宋_GB2312"/>
          <w:sz w:val="32"/>
          <w:szCs w:val="32"/>
          <w:lang w:val="en-US" w:eastAsia="zh-CN"/>
        </w:rPr>
        <w:t>2</w:t>
      </w:r>
      <w:r>
        <w:rPr>
          <w:rFonts w:hint="eastAsia" w:ascii="仿宋_GB2312" w:eastAsia="仿宋_GB2312"/>
          <w:sz w:val="32"/>
          <w:szCs w:val="32"/>
        </w:rPr>
        <w:t>年决算数为36.38万元，完成预算</w:t>
      </w:r>
      <w:r>
        <w:rPr>
          <w:rFonts w:hint="eastAsia" w:ascii="仿宋_GB2312" w:eastAsia="仿宋_GB2312"/>
          <w:sz w:val="32"/>
          <w:szCs w:val="32"/>
          <w:lang w:val="en-US" w:eastAsia="zh-CN"/>
        </w:rPr>
        <w:t>100</w:t>
      </w:r>
      <w:r>
        <w:rPr>
          <w:rFonts w:hint="eastAsia" w:ascii="仿宋_GB2312" w:eastAsia="仿宋_GB2312"/>
          <w:sz w:val="32"/>
          <w:szCs w:val="32"/>
        </w:rPr>
        <w:t>%。</w:t>
      </w:r>
      <w:r>
        <w:rPr>
          <w:rStyle w:val="19"/>
          <w:rFonts w:hint="eastAsia" w:ascii="仿宋" w:hAnsi="仿宋" w:eastAsia="仿宋"/>
          <w:b w:val="0"/>
          <w:bCs/>
          <w:sz w:val="32"/>
          <w:szCs w:val="32"/>
        </w:rPr>
        <w:t>决算数等于预算数的主要原因是人员经费都是按月支付。</w:t>
      </w:r>
    </w:p>
    <w:p>
      <w:pPr>
        <w:spacing w:line="600" w:lineRule="exact"/>
        <w:ind w:firstLine="643" w:firstLineChars="200"/>
        <w:outlineLvl w:val="9"/>
        <w:rPr>
          <w:rStyle w:val="19"/>
          <w:rFonts w:hint="eastAsia" w:ascii="仿宋" w:hAnsi="仿宋" w:eastAsia="仿宋"/>
          <w:b w:val="0"/>
          <w:bCs/>
          <w:sz w:val="32"/>
          <w:szCs w:val="32"/>
        </w:rPr>
      </w:pPr>
      <w:r>
        <w:rPr>
          <w:rStyle w:val="19"/>
          <w:rFonts w:ascii="仿宋" w:hAnsi="仿宋" w:eastAsia="仿宋"/>
          <w:bCs/>
          <w:color w:val="auto"/>
          <w:sz w:val="32"/>
          <w:szCs w:val="32"/>
          <w:highlight w:val="none"/>
        </w:rPr>
        <w:t>6.</w:t>
      </w:r>
      <w:r>
        <w:rPr>
          <w:rStyle w:val="19"/>
          <w:rFonts w:hint="eastAsia" w:ascii="仿宋_GB2312" w:eastAsia="仿宋_GB2312"/>
          <w:color w:val="000000"/>
          <w:sz w:val="32"/>
          <w:szCs w:val="32"/>
        </w:rPr>
        <w:t>社会保障和就业支出（类）行政事业单位离退休（款）</w:t>
      </w:r>
      <w:r>
        <w:rPr>
          <w:rFonts w:hint="eastAsia" w:ascii="仿宋_GB2312" w:eastAsia="仿宋_GB2312"/>
          <w:b/>
          <w:sz w:val="32"/>
          <w:szCs w:val="32"/>
        </w:rPr>
        <w:t>机关事业单位职业年金缴费支出（项）：</w:t>
      </w:r>
      <w:r>
        <w:rPr>
          <w:rFonts w:hint="eastAsia" w:ascii="仿宋_GB2312" w:eastAsia="仿宋_GB2312"/>
          <w:bCs/>
          <w:color w:val="000000"/>
          <w:sz w:val="32"/>
          <w:szCs w:val="32"/>
        </w:rPr>
        <w:t>主要用于在职在编人员职业年金支出，</w:t>
      </w:r>
      <w:r>
        <w:rPr>
          <w:rFonts w:hint="eastAsia" w:ascii="仿宋_GB2312" w:eastAsia="仿宋_GB2312"/>
          <w:sz w:val="32"/>
          <w:szCs w:val="32"/>
        </w:rPr>
        <w:t>202</w:t>
      </w:r>
      <w:r>
        <w:rPr>
          <w:rFonts w:hint="eastAsia" w:ascii="仿宋_GB2312" w:eastAsia="仿宋_GB2312"/>
          <w:sz w:val="32"/>
          <w:szCs w:val="32"/>
          <w:lang w:val="en-US" w:eastAsia="zh-CN"/>
        </w:rPr>
        <w:t>2</w:t>
      </w:r>
      <w:r>
        <w:rPr>
          <w:rFonts w:hint="eastAsia" w:ascii="仿宋_GB2312" w:eastAsia="仿宋_GB2312"/>
          <w:sz w:val="32"/>
          <w:szCs w:val="32"/>
        </w:rPr>
        <w:t>年决算数为12.54万元，完成预算</w:t>
      </w:r>
      <w:r>
        <w:rPr>
          <w:rFonts w:hint="eastAsia" w:ascii="仿宋_GB2312" w:eastAsia="仿宋_GB2312"/>
          <w:sz w:val="32"/>
          <w:szCs w:val="32"/>
          <w:lang w:val="en-US" w:eastAsia="zh-CN"/>
        </w:rPr>
        <w:t>100</w:t>
      </w:r>
      <w:r>
        <w:rPr>
          <w:rFonts w:hint="eastAsia" w:ascii="仿宋_GB2312" w:eastAsia="仿宋_GB2312"/>
          <w:sz w:val="32"/>
          <w:szCs w:val="32"/>
        </w:rPr>
        <w:t>%。</w:t>
      </w:r>
      <w:r>
        <w:rPr>
          <w:rStyle w:val="19"/>
          <w:rFonts w:hint="eastAsia" w:ascii="仿宋" w:hAnsi="仿宋" w:eastAsia="仿宋"/>
          <w:b w:val="0"/>
          <w:bCs/>
          <w:sz w:val="32"/>
          <w:szCs w:val="32"/>
        </w:rPr>
        <w:t>决算数等于预算数的主要原因是人员经费都是按月支付。</w:t>
      </w:r>
    </w:p>
    <w:p>
      <w:pPr>
        <w:pStyle w:val="2"/>
        <w:rPr>
          <w:rFonts w:hint="eastAsia"/>
          <w:lang w:eastAsia="zh-CN"/>
        </w:rPr>
      </w:pPr>
    </w:p>
    <w:p>
      <w:pPr>
        <w:pStyle w:val="2"/>
        <w:keepNext w:val="0"/>
        <w:keepLines w:val="0"/>
        <w:pageBreakBefore w:val="0"/>
        <w:widowControl w:val="0"/>
        <w:numPr>
          <w:ilvl w:val="0"/>
          <w:numId w:val="1"/>
        </w:numPr>
        <w:kinsoku/>
        <w:wordWrap/>
        <w:overflowPunct/>
        <w:topLinePunct w:val="0"/>
        <w:autoSpaceDE/>
        <w:autoSpaceDN/>
        <w:bidi w:val="0"/>
        <w:adjustRightInd/>
        <w:snapToGrid/>
        <w:ind w:left="1361" w:leftChars="0" w:hanging="720" w:firstLineChars="0"/>
        <w:textAlignment w:val="auto"/>
        <w:outlineLvl w:val="1"/>
        <w:rPr>
          <w:rFonts w:hint="eastAsia" w:ascii="黑体" w:hAnsi="黑体" w:eastAsia="黑体" w:cs="黑体"/>
          <w:sz w:val="32"/>
          <w:szCs w:val="32"/>
          <w:lang w:eastAsia="zh-CN"/>
        </w:rPr>
      </w:pPr>
      <w:bookmarkStart w:id="79" w:name="_Toc32151"/>
      <w:bookmarkStart w:id="80" w:name="_Toc16491"/>
      <w:bookmarkStart w:id="81" w:name="_Toc24962"/>
      <w:r>
        <w:rPr>
          <w:rFonts w:hint="eastAsia" w:ascii="黑体" w:hAnsi="黑体" w:eastAsia="黑体" w:cs="黑体"/>
          <w:b/>
          <w:color w:val="auto"/>
          <w:sz w:val="32"/>
          <w:szCs w:val="32"/>
          <w:highlight w:val="none"/>
          <w:lang w:eastAsia="zh-CN"/>
        </w:rPr>
        <w:t>一般公共预算财政拨款基本支出决算情况说明</w:t>
      </w:r>
      <w:bookmarkEnd w:id="79"/>
      <w:bookmarkEnd w:id="80"/>
      <w:bookmarkEnd w:id="81"/>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年一般公共预算财政拨款基本支出294.7万元，其中：</w:t>
      </w:r>
    </w:p>
    <w:p>
      <w:pPr>
        <w:spacing w:line="600" w:lineRule="exact"/>
        <w:ind w:firstLine="645"/>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人员经费294.7万元，主要包括：基本工资93.69</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、津贴补贴3.75</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、绩效工资61.04</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、机关事业单位基本养老保险缴费36.38</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、职业年金缴费12.54</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、其他工资福利支出40.89</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、住房公积金24.37</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等。</w:t>
      </w:r>
    </w:p>
    <w:p>
      <w:pPr>
        <w:spacing w:line="600" w:lineRule="exact"/>
        <w:ind w:firstLine="645"/>
        <w:rPr>
          <w:rFonts w:ascii="仿宋" w:hAnsi="仿宋" w:eastAsia="仿宋"/>
          <w:b/>
          <w:color w:val="auto"/>
          <w:sz w:val="32"/>
          <w:szCs w:val="32"/>
          <w:highlight w:val="none"/>
        </w:rPr>
      </w:pPr>
    </w:p>
    <w:p>
      <w:pPr>
        <w:spacing w:line="600" w:lineRule="exact"/>
        <w:ind w:firstLine="640"/>
        <w:rPr>
          <w:rFonts w:ascii="仿宋" w:hAnsi="仿宋" w:eastAsia="仿宋"/>
          <w:b/>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outlineLvl w:val="1"/>
        <w:rPr>
          <w:rStyle w:val="31"/>
          <w:rFonts w:ascii="黑体" w:hAnsi="黑体" w:eastAsia="黑体"/>
          <w:b w:val="0"/>
          <w:color w:val="auto"/>
          <w:highlight w:val="none"/>
        </w:rPr>
      </w:pPr>
      <w:bookmarkStart w:id="82" w:name="_Toc28692"/>
      <w:bookmarkStart w:id="83" w:name="_Toc9612"/>
      <w:bookmarkStart w:id="84" w:name="_Toc12081"/>
      <w:bookmarkStart w:id="85" w:name="_Toc15377215"/>
      <w:bookmarkStart w:id="86" w:name="_Toc15396609"/>
      <w:r>
        <w:rPr>
          <w:rFonts w:hint="eastAsia" w:ascii="黑体" w:eastAsia="黑体"/>
          <w:color w:val="auto"/>
          <w:sz w:val="32"/>
          <w:szCs w:val="32"/>
          <w:highlight w:val="none"/>
        </w:rPr>
        <w:t>七、</w:t>
      </w:r>
      <w:r>
        <w:rPr>
          <w:rStyle w:val="31"/>
          <w:rFonts w:hint="eastAsia" w:ascii="黑体" w:hAnsi="黑体" w:eastAsia="黑体"/>
          <w:b w:val="0"/>
          <w:color w:val="auto"/>
          <w:highlight w:val="none"/>
        </w:rPr>
        <w:t>财政拨款</w:t>
      </w:r>
      <w:r>
        <w:rPr>
          <w:rStyle w:val="31"/>
          <w:rFonts w:hint="eastAsia" w:ascii="黑体" w:hAnsi="黑体" w:eastAsia="黑体"/>
          <w:color w:val="auto"/>
          <w:highlight w:val="none"/>
        </w:rPr>
        <w:t>“</w:t>
      </w:r>
      <w:r>
        <w:rPr>
          <w:rStyle w:val="31"/>
          <w:rFonts w:hint="eastAsia" w:ascii="黑体" w:hAnsi="黑体" w:eastAsia="黑体"/>
          <w:b w:val="0"/>
          <w:color w:val="auto"/>
          <w:highlight w:val="none"/>
        </w:rPr>
        <w:t>三公”经费支出决算情况说明</w:t>
      </w:r>
      <w:bookmarkEnd w:id="82"/>
      <w:bookmarkEnd w:id="83"/>
      <w:bookmarkEnd w:id="84"/>
      <w:bookmarkEnd w:id="85"/>
      <w:bookmarkEnd w:id="86"/>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outlineLvl w:val="2"/>
        <w:rPr>
          <w:rFonts w:hint="eastAsia" w:ascii="仿宋" w:eastAsia="仿宋"/>
          <w:b/>
          <w:color w:val="000000"/>
          <w:sz w:val="32"/>
          <w:szCs w:val="32"/>
        </w:rPr>
      </w:pPr>
      <w:bookmarkStart w:id="87" w:name="_Toc15377216"/>
      <w:bookmarkStart w:id="88" w:name="_Toc21665"/>
      <w:r>
        <w:rPr>
          <w:rFonts w:hint="eastAsia" w:ascii="仿宋" w:eastAsia="仿宋"/>
          <w:b/>
          <w:color w:val="000000"/>
          <w:sz w:val="32"/>
          <w:szCs w:val="32"/>
        </w:rPr>
        <w:t>（一）“三公”经费财政拨款支出决算总体情况说明</w:t>
      </w:r>
      <w:bookmarkEnd w:id="87"/>
      <w:bookmarkEnd w:id="88"/>
    </w:p>
    <w:p>
      <w:pPr>
        <w:spacing w:line="600" w:lineRule="exact"/>
        <w:ind w:firstLine="640"/>
        <w:rPr>
          <w:rFonts w:hint="eastAsia" w:ascii="仿宋_GB2312" w:eastAsia="仿宋_GB2312"/>
          <w:color w:val="000000"/>
          <w:sz w:val="32"/>
          <w:szCs w:val="32"/>
        </w:rPr>
      </w:pPr>
      <w:r>
        <w:rPr>
          <w:rFonts w:hint="eastAsia" w:ascii="仿宋" w:hAnsi="仿宋" w:eastAsia="仿宋"/>
          <w:color w:val="000000"/>
          <w:sz w:val="32"/>
          <w:szCs w:val="32"/>
        </w:rPr>
        <w:t>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年“三公”经费财政拨款支出决算为0万元，</w:t>
      </w:r>
      <w:r>
        <w:rPr>
          <w:rFonts w:hint="eastAsia" w:ascii="仿宋" w:eastAsia="仿宋"/>
          <w:color w:val="000000"/>
          <w:sz w:val="32"/>
          <w:szCs w:val="32"/>
        </w:rPr>
        <w:t>年初未安排预算。</w:t>
      </w:r>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outlineLvl w:val="2"/>
        <w:rPr>
          <w:rFonts w:hint="eastAsia" w:ascii="仿宋" w:eastAsia="仿宋"/>
          <w:b/>
          <w:color w:val="000000"/>
          <w:sz w:val="32"/>
          <w:szCs w:val="32"/>
        </w:rPr>
      </w:pPr>
      <w:bookmarkStart w:id="89" w:name="_Toc23458"/>
      <w:r>
        <w:rPr>
          <w:rFonts w:hint="eastAsia" w:ascii="仿宋" w:eastAsia="仿宋"/>
          <w:b/>
          <w:color w:val="000000"/>
          <w:sz w:val="32"/>
          <w:szCs w:val="32"/>
        </w:rPr>
        <w:t>（二）“三公”经费财政拨款支出决算具体情况说明</w:t>
      </w:r>
      <w:bookmarkEnd w:id="89"/>
    </w:p>
    <w:p>
      <w:pPr>
        <w:spacing w:line="600" w:lineRule="exact"/>
        <w:ind w:firstLine="640"/>
        <w:rPr>
          <w:rFonts w:hint="eastAsia" w:ascii="仿宋" w:hAnsi="仿宋" w:eastAsia="仿宋"/>
          <w:color w:val="000000"/>
          <w:sz w:val="32"/>
          <w:szCs w:val="32"/>
        </w:rPr>
      </w:pPr>
      <w:r>
        <w:rPr>
          <w:rFonts w:hint="eastAsia" w:ascii="仿宋" w:hAnsi="仿宋" w:eastAsia="仿宋"/>
          <w:color w:val="000000"/>
          <w:sz w:val="32"/>
          <w:szCs w:val="32"/>
        </w:rPr>
        <w:t>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年“三公”经费财政拨款支出决算中：</w:t>
      </w:r>
    </w:p>
    <w:p>
      <w:pPr>
        <w:spacing w:line="600" w:lineRule="exact"/>
        <w:ind w:firstLine="640"/>
        <w:rPr>
          <w:rFonts w:ascii="仿宋_GB2312" w:eastAsia="仿宋_GB2312"/>
          <w:b/>
          <w:color w:val="000000"/>
          <w:sz w:val="32"/>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eastAsia="仿宋_GB2312"/>
          <w:color w:val="000000"/>
          <w:sz w:val="32"/>
          <w:szCs w:val="32"/>
        </w:rPr>
        <w:t>0万元，</w:t>
      </w:r>
      <w:r>
        <w:rPr>
          <w:rFonts w:hint="eastAsia" w:ascii="仿宋" w:eastAsia="仿宋"/>
          <w:color w:val="000000"/>
          <w:sz w:val="32"/>
          <w:szCs w:val="32"/>
        </w:rPr>
        <w:t>年初未安排预算</w:t>
      </w:r>
      <w:r>
        <w:rPr>
          <w:rStyle w:val="19"/>
          <w:rFonts w:hint="eastAsia" w:ascii="仿宋" w:hAnsi="仿宋" w:eastAsia="仿宋"/>
          <w:b w:val="0"/>
          <w:bCs/>
          <w:color w:val="000000"/>
          <w:sz w:val="32"/>
          <w:szCs w:val="32"/>
        </w:rPr>
        <w:t>。</w:t>
      </w:r>
    </w:p>
    <w:p>
      <w:pPr>
        <w:spacing w:line="600" w:lineRule="exact"/>
        <w:ind w:firstLine="640"/>
        <w:rPr>
          <w:rFonts w:ascii="仿宋_GB2312" w:eastAsia="仿宋_GB2312"/>
          <w:color w:val="000000"/>
          <w:sz w:val="32"/>
          <w:szCs w:val="32"/>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eastAsia="仿宋_GB2312"/>
          <w:color w:val="000000"/>
          <w:sz w:val="32"/>
          <w:szCs w:val="32"/>
        </w:rPr>
        <w:t>0万元</w:t>
      </w:r>
      <w:r>
        <w:rPr>
          <w:rFonts w:ascii="仿宋_GB2312" w:eastAsia="仿宋_GB2312"/>
          <w:color w:val="000000"/>
          <w:sz w:val="32"/>
          <w:szCs w:val="32"/>
        </w:rPr>
        <w:t>,</w:t>
      </w:r>
      <w:r>
        <w:rPr>
          <w:rFonts w:hint="eastAsia" w:ascii="仿宋" w:eastAsia="仿宋"/>
          <w:color w:val="000000"/>
          <w:sz w:val="32"/>
          <w:szCs w:val="32"/>
        </w:rPr>
        <w:t>年初未安排预算</w:t>
      </w:r>
      <w:r>
        <w:rPr>
          <w:rStyle w:val="19"/>
          <w:rFonts w:hint="eastAsia" w:ascii="仿宋" w:hAnsi="仿宋" w:eastAsia="仿宋"/>
          <w:b w:val="0"/>
          <w:bCs/>
          <w:color w:val="000000"/>
          <w:sz w:val="32"/>
          <w:szCs w:val="32"/>
        </w:rPr>
        <w:t>。</w:t>
      </w:r>
    </w:p>
    <w:p>
      <w:pPr>
        <w:spacing w:line="600" w:lineRule="exact"/>
        <w:ind w:firstLine="640"/>
        <w:rPr>
          <w:rFonts w:hint="eastAsia" w:ascii="仿宋_GB2312" w:eastAsia="仿宋_GB2312"/>
          <w:color w:val="000000"/>
          <w:sz w:val="32"/>
          <w:szCs w:val="32"/>
        </w:rPr>
      </w:pPr>
      <w:r>
        <w:rPr>
          <w:rFonts w:hint="eastAsia" w:ascii="仿宋_GB2312" w:eastAsia="仿宋_GB2312"/>
          <w:b/>
          <w:color w:val="000000"/>
          <w:sz w:val="32"/>
          <w:szCs w:val="32"/>
        </w:rPr>
        <w:t>3</w:t>
      </w:r>
      <w:r>
        <w:rPr>
          <w:rFonts w:ascii="仿宋_GB2312" w:eastAsia="仿宋_GB2312"/>
          <w:b/>
          <w:color w:val="000000"/>
          <w:sz w:val="32"/>
          <w:szCs w:val="32"/>
        </w:rPr>
        <w:t>.</w:t>
      </w:r>
      <w:r>
        <w:rPr>
          <w:rFonts w:hint="eastAsia" w:ascii="仿宋_GB2312" w:eastAsia="仿宋_GB2312"/>
          <w:b/>
          <w:color w:val="000000"/>
          <w:sz w:val="32"/>
          <w:szCs w:val="32"/>
        </w:rPr>
        <w:t>公务接待费支出</w:t>
      </w:r>
      <w:r>
        <w:rPr>
          <w:rFonts w:hint="eastAsia" w:ascii="仿宋_GB2312" w:eastAsia="仿宋_GB2312"/>
          <w:color w:val="000000"/>
          <w:sz w:val="32"/>
          <w:szCs w:val="32"/>
        </w:rPr>
        <w:t>0万元，</w:t>
      </w:r>
      <w:r>
        <w:rPr>
          <w:rFonts w:hint="eastAsia" w:ascii="仿宋" w:eastAsia="仿宋"/>
          <w:color w:val="000000"/>
          <w:sz w:val="32"/>
          <w:szCs w:val="32"/>
        </w:rPr>
        <w:t>年初未安排预算</w:t>
      </w:r>
      <w:r>
        <w:rPr>
          <w:rStyle w:val="19"/>
          <w:rFonts w:hint="eastAsia" w:ascii="仿宋" w:hAnsi="仿宋" w:eastAsia="仿宋"/>
          <w:b w:val="0"/>
          <w:bCs/>
          <w:color w:val="000000"/>
          <w:sz w:val="32"/>
          <w:szCs w:val="32"/>
        </w:rPr>
        <w:t>。</w:t>
      </w:r>
    </w:p>
    <w:p>
      <w:pPr>
        <w:spacing w:line="600" w:lineRule="exact"/>
        <w:ind w:firstLine="640"/>
        <w:outlineLvl w:val="9"/>
        <w:rPr>
          <w:rFonts w:hint="eastAsia" w:ascii="黑体" w:eastAsia="黑体"/>
          <w:color w:val="auto"/>
          <w:sz w:val="32"/>
          <w:szCs w:val="32"/>
          <w:highlight w:val="none"/>
        </w:rPr>
      </w:pPr>
      <w:bookmarkStart w:id="90" w:name="_Toc15377218"/>
      <w:bookmarkStart w:id="91" w:name="_Toc15396610"/>
    </w:p>
    <w:p>
      <w:pPr>
        <w:keepNext w:val="0"/>
        <w:keepLines w:val="0"/>
        <w:pageBreakBefore w:val="0"/>
        <w:widowControl w:val="0"/>
        <w:kinsoku/>
        <w:wordWrap/>
        <w:overflowPunct/>
        <w:topLinePunct w:val="0"/>
        <w:autoSpaceDE/>
        <w:autoSpaceDN/>
        <w:bidi w:val="0"/>
        <w:adjustRightInd/>
        <w:snapToGrid/>
        <w:spacing w:line="600" w:lineRule="exact"/>
        <w:ind w:firstLine="641"/>
        <w:textAlignment w:val="auto"/>
        <w:outlineLvl w:val="1"/>
        <w:rPr>
          <w:rStyle w:val="31"/>
          <w:rFonts w:ascii="黑体" w:hAnsi="黑体" w:eastAsia="黑体"/>
          <w:color w:val="auto"/>
          <w:highlight w:val="none"/>
        </w:rPr>
      </w:pPr>
      <w:bookmarkStart w:id="92" w:name="_Toc18673"/>
      <w:bookmarkStart w:id="93" w:name="_Toc11925"/>
      <w:bookmarkStart w:id="94" w:name="_Toc28816"/>
      <w:r>
        <w:rPr>
          <w:rFonts w:hint="eastAsia" w:ascii="黑体" w:eastAsia="黑体"/>
          <w:color w:val="auto"/>
          <w:sz w:val="32"/>
          <w:szCs w:val="32"/>
          <w:highlight w:val="none"/>
        </w:rPr>
        <w:t>八、</w:t>
      </w:r>
      <w:r>
        <w:rPr>
          <w:rStyle w:val="31"/>
          <w:rFonts w:hint="eastAsia" w:ascii="黑体" w:hAnsi="黑体" w:eastAsia="黑体"/>
          <w:b w:val="0"/>
          <w:color w:val="auto"/>
          <w:highlight w:val="none"/>
        </w:rPr>
        <w:t>政府性基金预算支出决算情况说明</w:t>
      </w:r>
      <w:bookmarkEnd w:id="90"/>
      <w:bookmarkEnd w:id="91"/>
      <w:bookmarkEnd w:id="92"/>
      <w:bookmarkEnd w:id="93"/>
      <w:bookmarkEnd w:id="94"/>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拨款支出5.28万元。</w:t>
      </w:r>
    </w:p>
    <w:p>
      <w:pPr>
        <w:spacing w:line="600" w:lineRule="exact"/>
        <w:ind w:firstLine="640"/>
        <w:rPr>
          <w:rFonts w:ascii="仿宋_GB2312" w:eastAsia="仿宋_GB2312"/>
          <w:color w:val="auto"/>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1"/>
        <w:textAlignment w:val="auto"/>
        <w:outlineLvl w:val="1"/>
        <w:rPr>
          <w:rStyle w:val="31"/>
          <w:rFonts w:ascii="黑体" w:hAnsi="黑体" w:eastAsia="黑体"/>
          <w:b w:val="0"/>
          <w:color w:val="auto"/>
          <w:highlight w:val="none"/>
        </w:rPr>
      </w:pPr>
      <w:bookmarkStart w:id="95" w:name="_Toc11275"/>
      <w:bookmarkStart w:id="96" w:name="_Toc21717"/>
      <w:bookmarkStart w:id="97" w:name="_Toc11864"/>
      <w:bookmarkStart w:id="98" w:name="_Toc15396611"/>
      <w:bookmarkStart w:id="99" w:name="_Toc15377219"/>
      <w:r>
        <w:rPr>
          <w:rStyle w:val="31"/>
          <w:rFonts w:hint="eastAsia" w:ascii="黑体" w:hAnsi="黑体" w:eastAsia="黑体"/>
          <w:b w:val="0"/>
          <w:color w:val="auto"/>
          <w:highlight w:val="none"/>
        </w:rPr>
        <w:t>国有资本经营预算支出决算情况说明</w:t>
      </w:r>
      <w:bookmarkEnd w:id="95"/>
      <w:bookmarkEnd w:id="96"/>
      <w:bookmarkEnd w:id="97"/>
      <w:bookmarkEnd w:id="98"/>
      <w:bookmarkEnd w:id="99"/>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580" w:lineRule="exact"/>
        <w:jc w:val="center"/>
        <w:rPr>
          <w:rFonts w:ascii="方正小标宋简体" w:hAnsi="方正小标宋简体" w:eastAsia="方正小标宋简体" w:cs="方正小标宋简体"/>
          <w:color w:val="auto"/>
          <w:sz w:val="44"/>
          <w:szCs w:val="44"/>
          <w:highlight w:val="none"/>
        </w:rPr>
      </w:pPr>
    </w:p>
    <w:p>
      <w:pPr>
        <w:numPr>
          <w:ilvl w:val="0"/>
          <w:numId w:val="2"/>
        </w:numPr>
        <w:spacing w:line="600" w:lineRule="exact"/>
        <w:ind w:firstLine="640"/>
        <w:outlineLvl w:val="1"/>
        <w:rPr>
          <w:rStyle w:val="31"/>
          <w:rFonts w:hint="eastAsia" w:ascii="黑体" w:hAnsi="黑体" w:eastAsia="黑体"/>
          <w:b w:val="0"/>
          <w:color w:val="auto"/>
          <w:highlight w:val="none"/>
        </w:rPr>
      </w:pPr>
      <w:bookmarkStart w:id="100" w:name="_Toc1580"/>
      <w:bookmarkStart w:id="101" w:name="_Toc17305"/>
      <w:bookmarkStart w:id="102" w:name="_Toc11205"/>
      <w:bookmarkStart w:id="103" w:name="_Toc15377221"/>
      <w:bookmarkStart w:id="104" w:name="_Toc15396612"/>
      <w:r>
        <w:rPr>
          <w:rStyle w:val="31"/>
          <w:rFonts w:hint="eastAsia" w:ascii="黑体" w:hAnsi="黑体" w:eastAsia="黑体"/>
          <w:b w:val="0"/>
          <w:color w:val="auto"/>
          <w:highlight w:val="none"/>
        </w:rPr>
        <w:t>其他重要事项的情况说明</w:t>
      </w:r>
      <w:bookmarkEnd w:id="100"/>
      <w:bookmarkEnd w:id="101"/>
      <w:bookmarkEnd w:id="102"/>
      <w:bookmarkEnd w:id="103"/>
      <w:bookmarkEnd w:id="104"/>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ascii="仿宋" w:hAnsi="仿宋" w:eastAsia="仿宋"/>
          <w:color w:val="auto"/>
          <w:sz w:val="32"/>
          <w:szCs w:val="32"/>
          <w:highlight w:val="none"/>
        </w:rPr>
      </w:pPr>
      <w:bookmarkStart w:id="105" w:name="_Toc15377222"/>
      <w:bookmarkStart w:id="106" w:name="_Toc8174"/>
      <w:r>
        <w:rPr>
          <w:rFonts w:hint="eastAsia" w:ascii="仿宋" w:hAnsi="仿宋" w:eastAsia="仿宋"/>
          <w:b/>
          <w:color w:val="auto"/>
          <w:sz w:val="32"/>
          <w:szCs w:val="32"/>
          <w:highlight w:val="none"/>
        </w:rPr>
        <w:t>（一）机关运行经费支出情况</w:t>
      </w:r>
      <w:bookmarkEnd w:id="105"/>
      <w:bookmarkEnd w:id="106"/>
    </w:p>
    <w:p>
      <w:pPr>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本单位为事业单位，无机关运行经费支出。</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3" w:firstLineChars="200"/>
        <w:jc w:val="left"/>
        <w:textAlignment w:val="auto"/>
        <w:outlineLvl w:val="2"/>
        <w:rPr>
          <w:rFonts w:ascii="仿宋" w:hAnsi="仿宋" w:eastAsia="仿宋"/>
          <w:b/>
          <w:color w:val="auto"/>
          <w:sz w:val="32"/>
          <w:szCs w:val="32"/>
          <w:highlight w:val="none"/>
        </w:rPr>
      </w:pPr>
      <w:bookmarkStart w:id="107" w:name="_Toc15148"/>
      <w:bookmarkStart w:id="108" w:name="_Toc15377223"/>
      <w:r>
        <w:rPr>
          <w:rFonts w:hint="eastAsia" w:ascii="仿宋" w:hAnsi="仿宋" w:eastAsia="仿宋"/>
          <w:b/>
          <w:color w:val="auto"/>
          <w:sz w:val="32"/>
          <w:szCs w:val="32"/>
          <w:highlight w:val="none"/>
        </w:rPr>
        <w:t>（二）政府采购支出情况</w:t>
      </w:r>
      <w:bookmarkEnd w:id="107"/>
      <w:bookmarkEnd w:id="108"/>
    </w:p>
    <w:p>
      <w:pPr>
        <w:spacing w:line="600" w:lineRule="exact"/>
        <w:ind w:firstLine="640" w:firstLineChars="200"/>
        <w:rPr>
          <w:rFonts w:hint="eastAsia" w:ascii="仿宋_GB2312" w:eastAsia="仿宋_GB2312"/>
          <w:color w:val="000000"/>
          <w:sz w:val="32"/>
          <w:szCs w:val="32"/>
          <w:highlight w:val="yellow"/>
        </w:rPr>
      </w:pP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年，广元市昭化区中医医院</w:t>
      </w:r>
      <w:r>
        <w:rPr>
          <w:rFonts w:hint="eastAsia" w:ascii="仿宋_GB2312" w:eastAsia="仿宋_GB2312"/>
          <w:sz w:val="32"/>
          <w:szCs w:val="32"/>
          <w:highlight w:val="none"/>
          <w:lang w:val="en-US" w:eastAsia="zh-CN"/>
        </w:rPr>
        <w:t>本年未发生政府采购。</w:t>
      </w:r>
    </w:p>
    <w:p>
      <w:pPr>
        <w:spacing w:line="600" w:lineRule="exact"/>
        <w:rPr>
          <w:rFonts w:ascii="仿宋_GB2312" w:eastAsia="仿宋_GB2312"/>
          <w:color w:val="auto"/>
          <w:sz w:val="32"/>
          <w:szCs w:val="32"/>
          <w:highlight w:val="none"/>
        </w:rPr>
      </w:pPr>
    </w:p>
    <w:p>
      <w:pPr>
        <w:keepNext w:val="0"/>
        <w:keepLines w:val="0"/>
        <w:pageBreakBefore w:val="0"/>
        <w:widowControl w:val="0"/>
        <w:kinsoku/>
        <w:wordWrap/>
        <w:overflowPunct/>
        <w:topLinePunct w:val="0"/>
        <w:autoSpaceDE w:val="0"/>
        <w:autoSpaceDN w:val="0"/>
        <w:bidi w:val="0"/>
        <w:adjustRightInd w:val="0"/>
        <w:snapToGrid/>
        <w:spacing w:line="600" w:lineRule="exact"/>
        <w:ind w:firstLine="643" w:firstLineChars="200"/>
        <w:jc w:val="left"/>
        <w:textAlignment w:val="auto"/>
        <w:outlineLvl w:val="2"/>
        <w:rPr>
          <w:rFonts w:ascii="仿宋" w:hAnsi="仿宋" w:eastAsia="仿宋"/>
          <w:b/>
          <w:color w:val="auto"/>
          <w:sz w:val="32"/>
          <w:szCs w:val="32"/>
          <w:highlight w:val="none"/>
        </w:rPr>
      </w:pPr>
      <w:bookmarkStart w:id="109" w:name="_Toc19729"/>
      <w:bookmarkStart w:id="110" w:name="_Toc15377224"/>
      <w:r>
        <w:rPr>
          <w:rFonts w:hint="eastAsia" w:ascii="仿宋" w:hAnsi="仿宋" w:eastAsia="仿宋"/>
          <w:b/>
          <w:color w:val="auto"/>
          <w:sz w:val="32"/>
          <w:szCs w:val="32"/>
          <w:highlight w:val="none"/>
        </w:rPr>
        <w:t>（三）国有资产占有使用情况</w:t>
      </w:r>
      <w:bookmarkEnd w:id="109"/>
      <w:bookmarkEnd w:id="110"/>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000000"/>
          <w:sz w:val="32"/>
          <w:szCs w:val="32"/>
        </w:rPr>
        <w:t>截至202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年12月31日，区中医院共有车辆2辆，用于本医疗单位急诊急救。</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3" w:firstLineChars="200"/>
        <w:jc w:val="left"/>
        <w:textAlignment w:val="auto"/>
        <w:outlineLvl w:val="2"/>
        <w:rPr>
          <w:rFonts w:ascii="仿宋" w:hAnsi="仿宋" w:eastAsia="仿宋"/>
          <w:b/>
          <w:color w:val="auto"/>
          <w:sz w:val="32"/>
          <w:szCs w:val="32"/>
          <w:highlight w:val="none"/>
        </w:rPr>
      </w:pPr>
      <w:bookmarkStart w:id="111" w:name="_Toc21749"/>
      <w:r>
        <w:rPr>
          <w:rFonts w:hint="eastAsia" w:ascii="仿宋" w:hAnsi="仿宋" w:eastAsia="仿宋"/>
          <w:b/>
          <w:color w:val="auto"/>
          <w:sz w:val="32"/>
          <w:szCs w:val="32"/>
          <w:highlight w:val="none"/>
        </w:rPr>
        <w:t>（四）预算绩效管理情况</w:t>
      </w:r>
      <w:bookmarkEnd w:id="111"/>
    </w:p>
    <w:p>
      <w:pPr>
        <w:spacing w:line="600" w:lineRule="exact"/>
        <w:ind w:firstLine="640"/>
        <w:rPr>
          <w:rFonts w:hint="eastAsia" w:ascii="仿宋" w:hAnsi="仿宋" w:eastAsia="仿宋"/>
          <w:color w:val="000000"/>
          <w:sz w:val="32"/>
          <w:szCs w:val="32"/>
        </w:rPr>
      </w:pPr>
      <w:r>
        <w:rPr>
          <w:rFonts w:hint="eastAsia" w:ascii="仿宋" w:hAnsi="仿宋" w:eastAsia="仿宋"/>
          <w:color w:val="000000"/>
          <w:sz w:val="32"/>
          <w:szCs w:val="32"/>
        </w:rPr>
        <w:t>根据预算绩效管理要求，我院年初预算编制阶段，组织对取消药品及耗材加成项目开展了预算事前绩效评估，对3个项目编制了绩效目标，预算执行过程中，选取3个项目开展绩效监控，年终执行完毕后，对3个项目开展了绩效目标完成情况自评。</w:t>
      </w:r>
    </w:p>
    <w:p>
      <w:pPr>
        <w:spacing w:line="600" w:lineRule="exact"/>
        <w:ind w:firstLine="640"/>
        <w:rPr>
          <w:rFonts w:ascii="仿宋_GB2312" w:hAnsi="仿宋_GB2312" w:eastAsia="仿宋_GB2312" w:cs="仿宋_GB2312"/>
          <w:sz w:val="32"/>
          <w:szCs w:val="32"/>
        </w:rPr>
      </w:pPr>
      <w:r>
        <w:rPr>
          <w:rFonts w:hint="eastAsia" w:ascii="仿宋" w:hAnsi="仿宋" w:eastAsia="仿宋"/>
          <w:color w:val="000000"/>
          <w:sz w:val="32"/>
          <w:szCs w:val="32"/>
        </w:rPr>
        <w:t>本单位按要求对202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单位整体支出开展绩效自评，从评价情况来看预算支出未发现无预算、超预算支出，未发现虚列支出和预算科目间相互挤占问题，所有财政资金支出均履行了严格审批手续，未发现挤占、挪用、转移财政资金行为。基本支出严格</w:t>
      </w:r>
      <w:r>
        <w:rPr>
          <w:rFonts w:hint="eastAsia" w:ascii="仿宋" w:hAnsi="仿宋" w:eastAsia="仿宋" w:cs="仿宋"/>
          <w:sz w:val="32"/>
          <w:szCs w:val="32"/>
        </w:rPr>
        <w:t>执行国家有关政策及规定，无擅自扩大开支范围的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w:t>
      </w:r>
      <w:r>
        <w:rPr>
          <w:rFonts w:hint="eastAsia" w:ascii="仿宋" w:hAnsi="仿宋" w:eastAsia="仿宋"/>
          <w:color w:val="000000"/>
          <w:sz w:val="32"/>
          <w:szCs w:val="32"/>
        </w:rPr>
        <w:t>单位</w:t>
      </w:r>
      <w:r>
        <w:rPr>
          <w:rFonts w:hint="eastAsia" w:ascii="仿宋" w:hAnsi="仿宋" w:eastAsia="仿宋" w:cs="仿宋"/>
          <w:sz w:val="32"/>
          <w:szCs w:val="32"/>
        </w:rPr>
        <w:t>还自行组织了项目绩效评价，从评价情况来看我单位对项目资金加强使用管理，明确了项目内容、目</w:t>
      </w:r>
      <w:r>
        <w:rPr>
          <w:rFonts w:hint="eastAsia" w:ascii="仿宋" w:hAnsi="仿宋" w:eastAsia="仿宋"/>
          <w:sz w:val="32"/>
          <w:szCs w:val="32"/>
        </w:rPr>
        <w:t>标任务及工作措施。在实施过程中，经常召开专项会议，及时调度项目进度，研究解决项目工作中的具体问题，并</w:t>
      </w:r>
      <w:r>
        <w:rPr>
          <w:rFonts w:hint="eastAsia" w:ascii="仿宋" w:hAnsi="仿宋" w:eastAsia="仿宋" w:cs="仿宋"/>
          <w:sz w:val="32"/>
          <w:szCs w:val="32"/>
        </w:rPr>
        <w:t>根据专项资金文件规定的申报、审核、支付、管理流程，基本按照相关文件的规定审核支付资金，</w:t>
      </w:r>
      <w:r>
        <w:rPr>
          <w:rFonts w:hint="eastAsia" w:ascii="仿宋" w:hAnsi="仿宋" w:eastAsia="仿宋" w:cs="仿宋"/>
          <w:color w:val="000000"/>
          <w:sz w:val="32"/>
          <w:szCs w:val="32"/>
        </w:rPr>
        <w:t>资金</w:t>
      </w:r>
      <w:r>
        <w:rPr>
          <w:rFonts w:hint="eastAsia" w:ascii="仿宋" w:hAnsi="仿宋" w:eastAsia="仿宋" w:cs="仿宋"/>
          <w:sz w:val="32"/>
          <w:szCs w:val="32"/>
        </w:rPr>
        <w:t>的支付范围、支付标准基本合规合法，支付依据充分，做到了专款专用。</w:t>
      </w:r>
    </w:p>
    <w:p>
      <w:pPr>
        <w:numPr>
          <w:ilvl w:val="0"/>
          <w:numId w:val="3"/>
        </w:num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项目绩效目标完成情况。</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）新冠疫情及二类疫苗基金</w:t>
      </w:r>
      <w:r>
        <w:rPr>
          <w:rFonts w:hint="eastAsia" w:ascii="仿宋" w:hAnsi="仿宋" w:eastAsia="仿宋" w:cs="仿宋"/>
          <w:sz w:val="32"/>
          <w:szCs w:val="32"/>
        </w:rPr>
        <w:t>绩效目标完成情况综述：项目全年预算数</w:t>
      </w:r>
      <w:r>
        <w:rPr>
          <w:rFonts w:hint="eastAsia" w:ascii="仿宋" w:hAnsi="仿宋" w:eastAsia="仿宋" w:cs="仿宋"/>
          <w:sz w:val="32"/>
          <w:szCs w:val="32"/>
          <w:lang w:val="en-US" w:eastAsia="zh-CN"/>
        </w:rPr>
        <w:t>5.28</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5.28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r>
        <w:rPr>
          <w:rFonts w:hint="eastAsia" w:ascii="仿宋_GB2312" w:eastAsia="仿宋_GB2312" w:cs="仿宋_GB2312"/>
          <w:sz w:val="32"/>
          <w:szCs w:val="32"/>
        </w:rPr>
        <w:t>通过项目实施，对疫情预防能力，以及改造设施环境等，大大的提升了疫情防控能力，确保疫情防控取得了较好成效</w:t>
      </w:r>
      <w:r>
        <w:rPr>
          <w:rFonts w:hint="eastAsia" w:ascii="仿宋" w:eastAsia="仿宋"/>
          <w:sz w:val="32"/>
          <w:szCs w:val="32"/>
        </w:rPr>
        <w:t>。</w:t>
      </w:r>
    </w:p>
    <w:p>
      <w:pPr>
        <w:tabs>
          <w:tab w:val="left" w:pos="0"/>
        </w:tabs>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（2）公共卫生体系建设项目绩效目标完成情况综述。项目全年预算数</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万元，完成预算的100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。通过项目实施，对国家公共卫生十三个项目得到落实。</w:t>
      </w:r>
    </w:p>
    <w:p>
      <w:pPr>
        <w:spacing w:line="580" w:lineRule="exact"/>
        <w:ind w:firstLine="640" w:firstLineChars="200"/>
        <w:rPr>
          <w:rFonts w:hint="eastAsia" w:ascii="仿宋_GB2312" w:eastAsia="仿宋_GB2312" w:cs="仿宋_GB2312"/>
          <w:sz w:val="32"/>
          <w:szCs w:val="32"/>
        </w:rPr>
      </w:pPr>
      <w:r>
        <w:rPr>
          <w:rFonts w:hint="eastAsia" w:ascii="仿宋_GB2312" w:hAnsi="仿宋_GB2312" w:eastAsia="仿宋_GB2312" w:cs="仿宋_GB2312"/>
          <w:sz w:val="32"/>
          <w:szCs w:val="32"/>
        </w:rPr>
        <w:t>( 3 ）医疗</w:t>
      </w:r>
      <w:r>
        <w:rPr>
          <w:rFonts w:hint="eastAsia" w:ascii="仿宋_GB2312" w:eastAsia="仿宋_GB2312" w:cs="仿宋_GB2312"/>
          <w:sz w:val="32"/>
          <w:szCs w:val="32"/>
        </w:rPr>
        <w:t>服务与保障能力提升补助资金建设项目绩效目标完成情况综述。项目全年预算数</w:t>
      </w:r>
      <w:r>
        <w:rPr>
          <w:rFonts w:hint="eastAsia" w:ascii="仿宋_GB2312" w:eastAsia="仿宋_GB2312" w:cs="仿宋_GB2312"/>
          <w:sz w:val="32"/>
          <w:szCs w:val="32"/>
          <w:lang w:val="en-US" w:eastAsia="zh-CN"/>
        </w:rPr>
        <w:t>35.83</w:t>
      </w:r>
      <w:r>
        <w:rPr>
          <w:rFonts w:hint="eastAsia" w:ascii="仿宋_GB2312" w:eastAsia="仿宋_GB2312" w:cs="仿宋_GB2312"/>
          <w:sz w:val="32"/>
          <w:szCs w:val="32"/>
        </w:rPr>
        <w:t>万元，执行数为</w:t>
      </w:r>
      <w:r>
        <w:rPr>
          <w:rFonts w:hint="eastAsia" w:ascii="仿宋_GB2312" w:eastAsia="仿宋_GB2312" w:cs="仿宋_GB2312"/>
          <w:sz w:val="32"/>
          <w:szCs w:val="32"/>
          <w:lang w:val="en-US" w:eastAsia="zh-CN"/>
        </w:rPr>
        <w:t>35.83</w:t>
      </w:r>
      <w:r>
        <w:rPr>
          <w:rFonts w:hint="eastAsia" w:ascii="仿宋_GB2312" w:eastAsia="仿宋_GB2312" w:cs="仿宋_GB2312"/>
          <w:sz w:val="32"/>
          <w:szCs w:val="32"/>
        </w:rPr>
        <w:t>万元，完成预算的100%。通过项目实施，对疫情预防能力，以及改造设施环境等，大大</w:t>
      </w:r>
      <w:r>
        <w:rPr>
          <w:rFonts w:hint="eastAsia" w:ascii="仿宋_GB2312" w:eastAsia="仿宋_GB2312" w:cs="仿宋_GB2312"/>
          <w:sz w:val="32"/>
          <w:szCs w:val="32"/>
          <w:lang w:eastAsia="zh-CN"/>
        </w:rPr>
        <w:t>地</w:t>
      </w:r>
      <w:r>
        <w:rPr>
          <w:rFonts w:hint="eastAsia" w:ascii="仿宋_GB2312" w:eastAsia="仿宋_GB2312" w:cs="仿宋_GB2312"/>
          <w:sz w:val="32"/>
          <w:szCs w:val="32"/>
        </w:rPr>
        <w:t>提升了疫情防控能力，确保疫情防控取得了较好成效</w:t>
      </w:r>
      <w:r>
        <w:rPr>
          <w:rFonts w:hint="eastAsia" w:ascii="仿宋" w:eastAsia="仿宋"/>
          <w:sz w:val="32"/>
          <w:szCs w:val="32"/>
        </w:rPr>
        <w:t>。</w:t>
      </w:r>
    </w:p>
    <w:p>
      <w:pPr>
        <w:widowControl/>
        <w:ind w:firstLine="420" w:firstLineChars="200"/>
        <w:jc w:val="left"/>
        <w:rPr>
          <w:rFonts w:ascii="仿宋_GB2312" w:eastAsia="仿宋_GB2312"/>
          <w:b/>
          <w:color w:val="auto"/>
          <w:sz w:val="32"/>
          <w:szCs w:val="32"/>
          <w:highlight w:val="none"/>
        </w:rPr>
      </w:pPr>
      <w: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0"/>
        <w:rPr>
          <w:rStyle w:val="30"/>
          <w:rFonts w:ascii="黑体" w:hAnsi="黑体" w:eastAsia="黑体"/>
          <w:b w:val="0"/>
          <w:color w:val="auto"/>
          <w:sz w:val="48"/>
          <w:szCs w:val="48"/>
          <w:highlight w:val="none"/>
        </w:rPr>
      </w:pPr>
      <w:bookmarkStart w:id="112" w:name="_Toc2882"/>
      <w:bookmarkStart w:id="113" w:name="_Toc8687"/>
      <w:bookmarkStart w:id="114" w:name="_Toc6628"/>
      <w:bookmarkStart w:id="115" w:name="_Toc15377225"/>
      <w:bookmarkStart w:id="116" w:name="_Toc15396613"/>
      <w:r>
        <w:rPr>
          <w:rFonts w:hint="eastAsia" w:ascii="黑体" w:hAnsi="黑体" w:eastAsia="黑体"/>
          <w:color w:val="auto"/>
          <w:sz w:val="48"/>
          <w:szCs w:val="48"/>
          <w:highlight w:val="none"/>
          <w:lang w:eastAsia="zh-CN"/>
        </w:rPr>
        <w:t>第三部分</w:t>
      </w:r>
      <w:r>
        <w:rPr>
          <w:rFonts w:hint="eastAsia" w:ascii="黑体" w:hAnsi="黑体" w:eastAsia="黑体"/>
          <w:color w:val="auto"/>
          <w:sz w:val="48"/>
          <w:szCs w:val="48"/>
          <w:highlight w:val="none"/>
          <w:lang w:val="en-US" w:eastAsia="zh-CN"/>
        </w:rPr>
        <w:t xml:space="preserve"> </w:t>
      </w:r>
      <w:r>
        <w:rPr>
          <w:rFonts w:hint="eastAsia" w:ascii="黑体" w:hAnsi="黑体" w:eastAsia="黑体"/>
          <w:color w:val="auto"/>
          <w:sz w:val="48"/>
          <w:szCs w:val="48"/>
          <w:highlight w:val="none"/>
        </w:rPr>
        <w:t>名</w:t>
      </w:r>
      <w:r>
        <w:rPr>
          <w:rStyle w:val="30"/>
          <w:rFonts w:hint="eastAsia" w:ascii="黑体" w:hAnsi="黑体" w:eastAsia="黑体"/>
          <w:b w:val="0"/>
          <w:color w:val="auto"/>
          <w:sz w:val="48"/>
          <w:szCs w:val="48"/>
          <w:highlight w:val="none"/>
        </w:rPr>
        <w:t>词解释</w:t>
      </w:r>
      <w:bookmarkEnd w:id="112"/>
      <w:bookmarkEnd w:id="113"/>
      <w:bookmarkEnd w:id="114"/>
      <w:bookmarkEnd w:id="115"/>
      <w:bookmarkEnd w:id="116"/>
    </w:p>
    <w:p>
      <w:pPr>
        <w:spacing w:line="600" w:lineRule="exact"/>
        <w:jc w:val="left"/>
        <w:rPr>
          <w:rFonts w:ascii="宋体"/>
          <w:b/>
          <w:color w:val="auto"/>
          <w:sz w:val="44"/>
          <w:szCs w:val="44"/>
          <w:highlight w:val="none"/>
        </w:rPr>
      </w:pPr>
    </w:p>
    <w:p>
      <w:pPr>
        <w:pStyle w:val="28"/>
        <w:spacing w:line="560" w:lineRule="exact"/>
        <w:ind w:firstLine="640" w:firstLineChars="200"/>
        <w:rPr>
          <w:rFonts w:hint="eastAsia" w:ascii="仿宋_GB2312" w:eastAsia="仿宋_GB2312"/>
          <w:sz w:val="32"/>
          <w:szCs w:val="32"/>
        </w:rPr>
      </w:pPr>
      <w:bookmarkStart w:id="117" w:name="_Toc15377226"/>
      <w:r>
        <w:rPr>
          <w:rFonts w:hint="eastAsia" w:ascii="仿宋_GB2312" w:eastAsia="仿宋_GB2312"/>
          <w:sz w:val="32"/>
          <w:szCs w:val="32"/>
        </w:rPr>
        <w:t>1.财政拨款收入：指单位从同级财政部门取得的各类拨款。</w:t>
      </w:r>
    </w:p>
    <w:p>
      <w:pPr>
        <w:pStyle w:val="28"/>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2.事业收入：指事业单位开展专业业务活动及辅助活动取得的收入。如区人民医院、</w:t>
      </w:r>
      <w:r>
        <w:rPr>
          <w:rFonts w:hint="eastAsia" w:ascii="仿宋_GB2312" w:eastAsia="仿宋_GB2312"/>
          <w:sz w:val="32"/>
          <w:szCs w:val="32"/>
          <w:lang w:eastAsia="zh-CN"/>
        </w:rPr>
        <w:t>区</w:t>
      </w:r>
      <w:r>
        <w:rPr>
          <w:rFonts w:hint="eastAsia" w:ascii="仿宋_GB2312" w:eastAsia="仿宋_GB2312"/>
          <w:sz w:val="32"/>
          <w:szCs w:val="32"/>
        </w:rPr>
        <w:t>妇幼保健计</w:t>
      </w:r>
      <w:r>
        <w:rPr>
          <w:rFonts w:hint="eastAsia" w:ascii="仿宋_GB2312" w:eastAsia="仿宋_GB2312"/>
          <w:sz w:val="32"/>
          <w:szCs w:val="32"/>
          <w:lang w:eastAsia="zh-CN"/>
        </w:rPr>
        <w:t>划</w:t>
      </w:r>
      <w:r>
        <w:rPr>
          <w:rFonts w:hint="eastAsia" w:ascii="仿宋_GB2312" w:eastAsia="仿宋_GB2312"/>
          <w:sz w:val="32"/>
          <w:szCs w:val="32"/>
        </w:rPr>
        <w:t>生育服务中心、区中医医院、乡镇卫生院医疗收入等。</w:t>
      </w:r>
    </w:p>
    <w:p>
      <w:pPr>
        <w:pStyle w:val="28"/>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3.其他收入：指单位取得的除上述收入以外的各项收入。主要是利息收入等。 </w:t>
      </w:r>
    </w:p>
    <w:p>
      <w:pPr>
        <w:pStyle w:val="28"/>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4.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pStyle w:val="28"/>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5.年初结转和结余：指以前年度尚未完成、结转到本年按有关规定继续使用的资金。 </w:t>
      </w:r>
    </w:p>
    <w:p>
      <w:pPr>
        <w:pStyle w:val="28"/>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6.本年盈余分配：指事业单位按照政府会计制度的规定从非财政拨款结余或事业结余中提取的奖励基金和职工福利基金等。</w:t>
      </w:r>
    </w:p>
    <w:p>
      <w:pPr>
        <w:pStyle w:val="28"/>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7.年末结转和结余：指单位按有关规定结转到下年或以后年度继续使用的资金。</w:t>
      </w:r>
    </w:p>
    <w:p>
      <w:pPr>
        <w:ind w:firstLine="640" w:firstLineChars="200"/>
        <w:rPr>
          <w:rFonts w:hint="eastAsia" w:ascii="仿宋_GB2312" w:eastAsia="仿宋_GB2312"/>
          <w:sz w:val="32"/>
          <w:szCs w:val="32"/>
        </w:rPr>
      </w:pPr>
      <w:r>
        <w:rPr>
          <w:rFonts w:hint="eastAsia" w:ascii="仿宋_GB2312" w:eastAsia="仿宋_GB2312"/>
          <w:color w:val="000000"/>
          <w:sz w:val="32"/>
          <w:szCs w:val="32"/>
        </w:rPr>
        <w:t>8.</w:t>
      </w:r>
      <w:r>
        <w:rPr>
          <w:rFonts w:hint="eastAsia" w:ascii="仿宋" w:eastAsia="仿宋"/>
          <w:color w:val="000000"/>
          <w:sz w:val="32"/>
          <w:szCs w:val="32"/>
        </w:rPr>
        <w:t>卫生健康支出</w:t>
      </w:r>
      <w:r>
        <w:rPr>
          <w:rStyle w:val="19"/>
          <w:rFonts w:hint="eastAsia" w:ascii="仿宋" w:eastAsia="仿宋"/>
          <w:b w:val="0"/>
          <w:color w:val="000000"/>
          <w:sz w:val="32"/>
          <w:szCs w:val="32"/>
        </w:rPr>
        <w:t>（类）卫生健康管理事务（款）行政运行（项）</w:t>
      </w:r>
      <w:r>
        <w:rPr>
          <w:rFonts w:hint="eastAsia" w:ascii="仿宋_GB2312" w:eastAsia="仿宋_GB2312"/>
          <w:color w:val="000000"/>
          <w:sz w:val="32"/>
          <w:szCs w:val="32"/>
        </w:rPr>
        <w:t>：指反映行政单位的基本支出；</w:t>
      </w:r>
      <w:r>
        <w:rPr>
          <w:rFonts w:hint="eastAsia" w:ascii="仿宋" w:eastAsia="仿宋"/>
          <w:color w:val="000000"/>
          <w:sz w:val="32"/>
          <w:szCs w:val="32"/>
        </w:rPr>
        <w:t>卫生健康支出（</w:t>
      </w:r>
      <w:r>
        <w:rPr>
          <w:rFonts w:hint="eastAsia" w:ascii="仿宋_GB2312" w:eastAsia="仿宋_GB2312"/>
          <w:color w:val="000000"/>
          <w:sz w:val="32"/>
          <w:szCs w:val="32"/>
        </w:rPr>
        <w:t>类）公立医院（款）</w:t>
      </w:r>
      <w:r>
        <w:rPr>
          <w:rStyle w:val="19"/>
          <w:rFonts w:hint="eastAsia" w:ascii="仿宋_GB2312" w:eastAsia="仿宋_GB2312"/>
          <w:b w:val="0"/>
          <w:color w:val="000000"/>
          <w:sz w:val="32"/>
          <w:szCs w:val="32"/>
        </w:rPr>
        <w:t>中医（民族）医院（项）</w:t>
      </w:r>
      <w:r>
        <w:rPr>
          <w:rFonts w:hint="eastAsia" w:ascii="仿宋_GB2312" w:eastAsia="仿宋_GB2312"/>
          <w:color w:val="000000"/>
          <w:sz w:val="32"/>
          <w:szCs w:val="32"/>
        </w:rPr>
        <w:t>：指反映</w:t>
      </w:r>
      <w:r>
        <w:rPr>
          <w:rFonts w:hint="eastAsia" w:ascii="仿宋" w:eastAsia="仿宋"/>
          <w:color w:val="000000"/>
          <w:sz w:val="32"/>
          <w:szCs w:val="32"/>
        </w:rPr>
        <w:t>卫生健康部门</w:t>
      </w:r>
      <w:r>
        <w:rPr>
          <w:rFonts w:hint="eastAsia" w:ascii="仿宋_GB2312" w:eastAsia="仿宋_GB2312"/>
          <w:color w:val="000000"/>
          <w:sz w:val="32"/>
          <w:szCs w:val="32"/>
        </w:rPr>
        <w:t>所属的中医院支出；</w:t>
      </w:r>
      <w:r>
        <w:rPr>
          <w:rFonts w:hint="eastAsia" w:ascii="仿宋" w:eastAsia="仿宋"/>
          <w:color w:val="000000"/>
          <w:sz w:val="32"/>
          <w:szCs w:val="32"/>
        </w:rPr>
        <w:t>卫生健康支出</w:t>
      </w:r>
      <w:r>
        <w:rPr>
          <w:rFonts w:hint="eastAsia" w:ascii="仿宋_GB2312" w:eastAsia="仿宋_GB2312"/>
          <w:color w:val="000000"/>
          <w:sz w:val="32"/>
          <w:szCs w:val="32"/>
        </w:rPr>
        <w:t>（类）基层医疗卫生机构（款）</w:t>
      </w:r>
      <w:r>
        <w:rPr>
          <w:rStyle w:val="19"/>
          <w:rFonts w:hint="eastAsia" w:ascii="仿宋_GB2312" w:eastAsia="仿宋_GB2312"/>
          <w:b w:val="0"/>
          <w:color w:val="000000"/>
          <w:sz w:val="32"/>
          <w:szCs w:val="32"/>
        </w:rPr>
        <w:t>乡镇卫生院（项）</w:t>
      </w:r>
      <w:r>
        <w:rPr>
          <w:rFonts w:hint="eastAsia" w:ascii="仿宋_GB2312" w:eastAsia="仿宋_GB2312"/>
          <w:color w:val="000000"/>
          <w:sz w:val="32"/>
          <w:szCs w:val="32"/>
        </w:rPr>
        <w:t>：反映乡镇卫生院的支出；</w:t>
      </w:r>
      <w:r>
        <w:rPr>
          <w:rFonts w:hint="eastAsia" w:ascii="仿宋" w:eastAsia="仿宋"/>
          <w:color w:val="000000"/>
          <w:sz w:val="32"/>
          <w:szCs w:val="32"/>
        </w:rPr>
        <w:t>卫生健康支出</w:t>
      </w:r>
      <w:r>
        <w:rPr>
          <w:rStyle w:val="19"/>
          <w:rFonts w:hint="eastAsia" w:ascii="仿宋_GB2312" w:eastAsia="仿宋_GB2312"/>
          <w:b w:val="0"/>
          <w:color w:val="000000"/>
          <w:sz w:val="32"/>
          <w:szCs w:val="32"/>
        </w:rPr>
        <w:t>（类）公共卫生（款）疾病预防控制机构（项）</w:t>
      </w:r>
      <w:r>
        <w:rPr>
          <w:rFonts w:hint="eastAsia" w:ascii="仿宋_GB2312" w:eastAsia="仿宋_GB2312"/>
          <w:color w:val="000000"/>
          <w:sz w:val="32"/>
          <w:szCs w:val="32"/>
        </w:rPr>
        <w:t>：反映</w:t>
      </w:r>
      <w:r>
        <w:rPr>
          <w:rFonts w:hint="eastAsia" w:ascii="仿宋" w:eastAsia="仿宋"/>
          <w:color w:val="000000"/>
          <w:sz w:val="32"/>
          <w:szCs w:val="32"/>
        </w:rPr>
        <w:t>卫生健康</w:t>
      </w:r>
      <w:r>
        <w:rPr>
          <w:rFonts w:hint="eastAsia" w:ascii="仿宋_GB2312" w:eastAsia="仿宋_GB2312"/>
          <w:color w:val="000000"/>
          <w:sz w:val="32"/>
          <w:szCs w:val="32"/>
        </w:rPr>
        <w:t>部门所属的疾病预防控制机构的支出；</w:t>
      </w:r>
      <w:r>
        <w:rPr>
          <w:rFonts w:hint="eastAsia" w:ascii="仿宋" w:eastAsia="仿宋"/>
          <w:color w:val="000000"/>
          <w:sz w:val="32"/>
          <w:szCs w:val="32"/>
        </w:rPr>
        <w:t>卫生健康支出</w:t>
      </w:r>
      <w:r>
        <w:rPr>
          <w:rStyle w:val="19"/>
          <w:rFonts w:hint="eastAsia" w:ascii="仿宋_GB2312" w:eastAsia="仿宋_GB2312"/>
          <w:b w:val="0"/>
          <w:color w:val="000000"/>
          <w:sz w:val="32"/>
          <w:szCs w:val="32"/>
        </w:rPr>
        <w:t>（类）公共卫生（款）卫生监督机构（项）</w:t>
      </w:r>
      <w:r>
        <w:rPr>
          <w:rFonts w:hint="eastAsia" w:ascii="仿宋_GB2312" w:eastAsia="仿宋_GB2312"/>
          <w:color w:val="000000"/>
          <w:sz w:val="32"/>
          <w:szCs w:val="32"/>
        </w:rPr>
        <w:t>：反映</w:t>
      </w:r>
      <w:r>
        <w:rPr>
          <w:rFonts w:hint="eastAsia" w:ascii="仿宋" w:eastAsia="仿宋"/>
          <w:color w:val="000000"/>
          <w:sz w:val="32"/>
          <w:szCs w:val="32"/>
        </w:rPr>
        <w:t>卫生健康</w:t>
      </w:r>
      <w:r>
        <w:rPr>
          <w:rFonts w:hint="eastAsia" w:ascii="仿宋_GB2312" w:eastAsia="仿宋_GB2312"/>
          <w:color w:val="000000"/>
          <w:sz w:val="32"/>
          <w:szCs w:val="32"/>
        </w:rPr>
        <w:t>部门所属卫生监督机构的支出；</w:t>
      </w:r>
      <w:r>
        <w:rPr>
          <w:rFonts w:hint="eastAsia" w:ascii="仿宋" w:eastAsia="仿宋"/>
          <w:color w:val="000000"/>
          <w:sz w:val="32"/>
          <w:szCs w:val="32"/>
        </w:rPr>
        <w:t>卫生健康支出</w:t>
      </w:r>
      <w:r>
        <w:rPr>
          <w:rStyle w:val="19"/>
          <w:rFonts w:hint="eastAsia" w:ascii="仿宋_GB2312" w:eastAsia="仿宋_GB2312"/>
          <w:b w:val="0"/>
          <w:color w:val="000000"/>
          <w:sz w:val="32"/>
          <w:szCs w:val="32"/>
        </w:rPr>
        <w:t>（类）公共卫生（款）妇幼保健机构（项）</w:t>
      </w:r>
      <w:r>
        <w:rPr>
          <w:rFonts w:hint="eastAsia" w:ascii="仿宋_GB2312" w:eastAsia="仿宋_GB2312"/>
          <w:color w:val="000000"/>
          <w:sz w:val="32"/>
          <w:szCs w:val="32"/>
        </w:rPr>
        <w:t>：反映</w:t>
      </w:r>
      <w:r>
        <w:rPr>
          <w:rFonts w:hint="eastAsia" w:ascii="仿宋" w:eastAsia="仿宋"/>
          <w:color w:val="000000"/>
          <w:sz w:val="32"/>
          <w:szCs w:val="32"/>
        </w:rPr>
        <w:t>卫生健康部门</w:t>
      </w:r>
      <w:r>
        <w:rPr>
          <w:rFonts w:hint="eastAsia" w:ascii="仿宋_GB2312" w:eastAsia="仿宋_GB2312"/>
          <w:color w:val="000000"/>
          <w:sz w:val="32"/>
          <w:szCs w:val="32"/>
        </w:rPr>
        <w:t>所属妇幼保健机构的支出；</w:t>
      </w:r>
      <w:r>
        <w:rPr>
          <w:rStyle w:val="19"/>
          <w:rFonts w:hint="eastAsia" w:ascii="仿宋_GB2312" w:eastAsia="仿宋_GB2312"/>
          <w:b w:val="0"/>
          <w:color w:val="000000"/>
          <w:sz w:val="32"/>
          <w:szCs w:val="32"/>
        </w:rPr>
        <w:t>卫生健康支出（类）公共卫生（款）基本公共卫生服务（项）</w:t>
      </w:r>
      <w:r>
        <w:rPr>
          <w:rFonts w:hint="eastAsia" w:ascii="仿宋_GB2312" w:eastAsia="仿宋_GB2312"/>
          <w:color w:val="000000"/>
          <w:sz w:val="32"/>
          <w:szCs w:val="32"/>
        </w:rPr>
        <w:t>：反映乡镇卫生院、社区卫生机构开展基本公共卫生服务的支出；</w:t>
      </w:r>
      <w:r>
        <w:rPr>
          <w:rStyle w:val="19"/>
          <w:rFonts w:hint="eastAsia" w:ascii="仿宋_GB2312" w:eastAsia="仿宋_GB2312"/>
          <w:b w:val="0"/>
          <w:color w:val="000000"/>
          <w:sz w:val="32"/>
          <w:szCs w:val="32"/>
        </w:rPr>
        <w:t>卫生健康支出（类）公共卫生（款）重大公共卫生专项（项）</w:t>
      </w:r>
      <w:r>
        <w:rPr>
          <w:rFonts w:hint="eastAsia" w:ascii="仿宋_GB2312" w:eastAsia="仿宋_GB2312"/>
          <w:color w:val="000000"/>
          <w:sz w:val="32"/>
          <w:szCs w:val="32"/>
        </w:rPr>
        <w:t>：反映重大疾病预防控制等重大公共卫生服务项目支出；</w:t>
      </w:r>
      <w:r>
        <w:rPr>
          <w:rFonts w:hint="eastAsia" w:ascii="仿宋_GB2312" w:eastAsia="仿宋_GB2312"/>
          <w:bCs/>
          <w:color w:val="000000"/>
          <w:sz w:val="32"/>
          <w:szCs w:val="32"/>
        </w:rPr>
        <w:t>卫生健康支出（类）中医药（款）中医药专项（项）：</w:t>
      </w:r>
      <w:r>
        <w:rPr>
          <w:rFonts w:hint="eastAsia" w:ascii="仿宋_GB2312" w:eastAsia="仿宋_GB2312"/>
          <w:color w:val="000000"/>
          <w:sz w:val="32"/>
          <w:szCs w:val="32"/>
        </w:rPr>
        <w:t>主要用于中医专项支出：</w:t>
      </w:r>
      <w:r>
        <w:rPr>
          <w:rStyle w:val="19"/>
          <w:rFonts w:hint="eastAsia" w:ascii="仿宋_GB2312" w:eastAsia="仿宋_GB2312"/>
          <w:b w:val="0"/>
          <w:color w:val="000000"/>
          <w:sz w:val="32"/>
          <w:szCs w:val="32"/>
        </w:rPr>
        <w:t>卫生健康支出</w:t>
      </w:r>
      <w:r>
        <w:rPr>
          <w:rFonts w:hint="eastAsia" w:ascii="仿宋_GB2312" w:eastAsia="仿宋_GB2312"/>
          <w:color w:val="000000"/>
          <w:sz w:val="32"/>
          <w:szCs w:val="32"/>
        </w:rPr>
        <w:t>（类）基层医疗卫生机构（款）其他基层医疗卫生机构支出（项）</w:t>
      </w:r>
      <w:r>
        <w:rPr>
          <w:rStyle w:val="19"/>
          <w:rFonts w:hint="eastAsia" w:ascii="仿宋_GB2312" w:eastAsia="仿宋_GB2312"/>
          <w:b w:val="0"/>
          <w:color w:val="000000"/>
          <w:sz w:val="32"/>
          <w:szCs w:val="32"/>
        </w:rPr>
        <w:t>：反映除乡镇卫生院、城市社区卫生机构以外的其他用于基层医疗卫生机构的支出；卫生健康支出（类）计划生育事务</w:t>
      </w:r>
      <w:r>
        <w:rPr>
          <w:rFonts w:hint="eastAsia" w:ascii="仿宋_GB2312" w:eastAsia="仿宋_GB2312"/>
          <w:color w:val="000000"/>
          <w:sz w:val="32"/>
          <w:szCs w:val="32"/>
        </w:rPr>
        <w:t>（款）其他计划生育事务支出（项）：</w:t>
      </w:r>
      <w:r>
        <w:rPr>
          <w:rStyle w:val="19"/>
          <w:rFonts w:hint="eastAsia" w:ascii="仿宋_GB2312" w:eastAsia="仿宋_GB2312"/>
          <w:b w:val="0"/>
          <w:color w:val="000000"/>
          <w:sz w:val="32"/>
          <w:szCs w:val="32"/>
        </w:rPr>
        <w:t>反映计划生育服务支出；卫生健康支出（类）行政事业单位医疗</w:t>
      </w:r>
      <w:r>
        <w:rPr>
          <w:rFonts w:hint="eastAsia" w:ascii="仿宋_GB2312" w:eastAsia="仿宋_GB2312"/>
          <w:color w:val="000000"/>
          <w:sz w:val="32"/>
          <w:szCs w:val="32"/>
        </w:rPr>
        <w:t>（款）事业单位医疗（项）：</w:t>
      </w:r>
      <w:r>
        <w:rPr>
          <w:rStyle w:val="19"/>
          <w:rFonts w:hint="eastAsia" w:ascii="仿宋_GB2312" w:eastAsia="仿宋_GB2312"/>
          <w:b w:val="0"/>
          <w:sz w:val="32"/>
          <w:szCs w:val="32"/>
        </w:rPr>
        <w:t>反映</w:t>
      </w:r>
      <w:r>
        <w:rPr>
          <w:rStyle w:val="19"/>
          <w:rFonts w:hint="eastAsia" w:ascii="仿宋_GB2312" w:eastAsia="仿宋_GB2312"/>
          <w:b w:val="0"/>
          <w:color w:val="000000"/>
          <w:sz w:val="32"/>
          <w:szCs w:val="32"/>
        </w:rPr>
        <w:t>卫生健康支出中的在职人员医疗保险；卫生健康支出（类）行政事业单位医疗</w:t>
      </w:r>
      <w:r>
        <w:rPr>
          <w:rFonts w:hint="eastAsia" w:ascii="仿宋_GB2312" w:eastAsia="仿宋_GB2312"/>
          <w:color w:val="000000"/>
          <w:sz w:val="32"/>
          <w:szCs w:val="32"/>
        </w:rPr>
        <w:t>（款）其他卫生健康支出（项）反映基层医疗单位贫困人口体检支出：</w:t>
      </w:r>
      <w:r>
        <w:rPr>
          <w:rFonts w:hint="eastAsia" w:ascii="仿宋_GB2312" w:eastAsia="仿宋_GB2312"/>
          <w:sz w:val="32"/>
          <w:szCs w:val="32"/>
        </w:rPr>
        <w:t>农林水支出（类）扶贫（款）其他扶贫支出（项）主要反映健康扶贫支出。</w:t>
      </w:r>
    </w:p>
    <w:p>
      <w:pPr>
        <w:ind w:firstLine="640" w:firstLineChars="200"/>
        <w:rPr>
          <w:rFonts w:hint="eastAsia" w:ascii="仿宋" w:eastAsia="仿宋" w:cs="仿宋"/>
          <w:sz w:val="32"/>
          <w:szCs w:val="32"/>
        </w:rPr>
      </w:pPr>
      <w:r>
        <w:rPr>
          <w:rFonts w:hint="eastAsia" w:ascii="仿宋" w:eastAsia="仿宋" w:cs="仿宋"/>
          <w:sz w:val="32"/>
          <w:szCs w:val="32"/>
        </w:rPr>
        <w:t>9.社会保障和就业支出：反映政府在社会保障和就业方面的支出。</w:t>
      </w:r>
    </w:p>
    <w:p>
      <w:pPr>
        <w:ind w:firstLine="640" w:firstLineChars="200"/>
        <w:rPr>
          <w:rFonts w:hint="eastAsia" w:ascii="仿宋" w:eastAsia="仿宋" w:cs="仿宋"/>
          <w:sz w:val="32"/>
          <w:szCs w:val="32"/>
        </w:rPr>
      </w:pPr>
      <w:r>
        <w:rPr>
          <w:rFonts w:hint="eastAsia" w:ascii="仿宋" w:eastAsia="仿宋" w:cs="仿宋"/>
          <w:sz w:val="32"/>
          <w:szCs w:val="32"/>
        </w:rPr>
        <w:t>社会保障和就业支出－行政事业单位离退休－机关事业单位基本养老保险缴费支出：反映机关事业单位实施养老保险制度由单位缴纳的基本养老保险支出；</w:t>
      </w:r>
    </w:p>
    <w:p>
      <w:pPr>
        <w:ind w:firstLine="640" w:firstLineChars="200"/>
        <w:rPr>
          <w:rStyle w:val="19"/>
          <w:rFonts w:hint="eastAsia" w:ascii="仿宋" w:eastAsia="仿宋" w:cs="仿宋"/>
          <w:b w:val="0"/>
          <w:color w:val="000000"/>
          <w:sz w:val="32"/>
          <w:szCs w:val="32"/>
        </w:rPr>
      </w:pPr>
      <w:r>
        <w:rPr>
          <w:rFonts w:hint="eastAsia" w:ascii="仿宋" w:eastAsia="仿宋" w:cs="仿宋"/>
          <w:sz w:val="32"/>
          <w:szCs w:val="32"/>
        </w:rPr>
        <w:t>10.住房保障支出：住房保障支出－住房改革支出－住房公积金：反映行政事业单位按人力资源和社会保障部、财政部规定的基本工资和津贴补贴以及规定比例为职工缴纳的住房公积金。</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11.基本支出：指为保障机构正常运转、完成日常工作任务而发生的人员支出和公用支出。</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 xml:space="preserve">12.项目支出：指在基本支出之外为完成特定行政任务和事业发展目标所发生的支出。 </w:t>
      </w:r>
    </w:p>
    <w:p>
      <w:pPr>
        <w:pStyle w:val="28"/>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13.“三公”经费：指</w:t>
      </w:r>
      <w:r>
        <w:rPr>
          <w:rFonts w:hint="eastAsia" w:hAnsi="仿宋" w:cs="Times New Roman"/>
          <w:sz w:val="32"/>
          <w:szCs w:val="32"/>
        </w:rPr>
        <w:t>单位</w:t>
      </w:r>
      <w:r>
        <w:rPr>
          <w:rFonts w:hint="eastAsia" w:ascii="仿宋_GB2312" w:eastAsia="仿宋_GB2312"/>
          <w:sz w:val="32"/>
          <w:szCs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14.</w:t>
      </w:r>
      <w:r>
        <w:rPr>
          <w:rFonts w:hint="eastAsia" w:hAnsi="仿宋" w:cs="Times New Roman"/>
          <w:sz w:val="32"/>
          <w:szCs w:val="32"/>
        </w:rPr>
        <w:t>单位</w:t>
      </w:r>
      <w:r>
        <w:rPr>
          <w:rFonts w:hint="eastAsia" w:ascii="仿宋_GB2312" w:eastAsia="仿宋_GB2312"/>
          <w:sz w:val="32"/>
          <w:szCs w:val="32"/>
        </w:rPr>
        <w:t>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9"/>
        <w:rPr>
          <w:rFonts w:ascii="宋体"/>
          <w:b/>
          <w:color w:val="auto"/>
          <w:sz w:val="44"/>
          <w:szCs w:val="44"/>
          <w:highlight w:val="none"/>
        </w:rPr>
      </w:pPr>
      <w:r>
        <w:br w:type="page"/>
      </w:r>
      <w:bookmarkStart w:id="118" w:name="_Toc15396614"/>
    </w:p>
    <w:p>
      <w:pPr>
        <w:pStyle w:val="3"/>
        <w:keepNext/>
        <w:keepLines/>
        <w:pageBreakBefore w:val="0"/>
        <w:widowControl w:val="0"/>
        <w:kinsoku/>
        <w:wordWrap/>
        <w:overflowPunct/>
        <w:topLinePunct w:val="0"/>
        <w:autoSpaceDE/>
        <w:autoSpaceDN/>
        <w:bidi w:val="0"/>
        <w:adjustRightInd/>
        <w:snapToGrid/>
        <w:spacing w:line="579" w:lineRule="auto"/>
        <w:jc w:val="center"/>
        <w:textAlignment w:val="auto"/>
        <w:rPr>
          <w:rFonts w:hint="eastAsia"/>
        </w:rPr>
      </w:pPr>
      <w:bookmarkStart w:id="119" w:name="_Toc124"/>
      <w:bookmarkStart w:id="120" w:name="_Toc23416"/>
      <w:bookmarkStart w:id="121" w:name="_Toc8508"/>
      <w:bookmarkStart w:id="122" w:name="_Toc15427"/>
      <w:bookmarkStart w:id="123" w:name="_Toc10844"/>
      <w:r>
        <w:rPr>
          <w:rFonts w:hint="eastAsia"/>
          <w:lang w:eastAsia="zh-CN"/>
        </w:rPr>
        <w:t>第四部分</w:t>
      </w:r>
      <w:r>
        <w:rPr>
          <w:rFonts w:hint="eastAsia"/>
          <w:lang w:val="en-US" w:eastAsia="zh-CN"/>
        </w:rPr>
        <w:t xml:space="preserve"> </w:t>
      </w:r>
      <w:r>
        <w:rPr>
          <w:rFonts w:hint="eastAsia"/>
        </w:rPr>
        <w:t>附件</w:t>
      </w:r>
      <w:bookmarkEnd w:id="119"/>
      <w:bookmarkEnd w:id="120"/>
      <w:bookmarkEnd w:id="121"/>
      <w:bookmarkEnd w:id="122"/>
      <w:bookmarkEnd w:id="123"/>
    </w:p>
    <w:p>
      <w:pPr>
        <w:pStyle w:val="4"/>
        <w:keepNext/>
        <w:keepLines/>
        <w:pageBreakBefore w:val="0"/>
        <w:widowControl w:val="0"/>
        <w:kinsoku/>
        <w:wordWrap/>
        <w:overflowPunct/>
        <w:topLinePunct w:val="0"/>
        <w:autoSpaceDE/>
        <w:autoSpaceDN/>
        <w:bidi w:val="0"/>
        <w:adjustRightInd/>
        <w:snapToGrid/>
        <w:spacing w:line="579" w:lineRule="auto"/>
        <w:jc w:val="center"/>
        <w:textAlignment w:val="auto"/>
        <w:outlineLvl w:val="1"/>
        <w:rPr>
          <w:rFonts w:hint="eastAsia"/>
          <w:lang w:eastAsia="zh-CN"/>
        </w:rPr>
      </w:pPr>
      <w:bookmarkStart w:id="124" w:name="_Toc17884"/>
      <w:bookmarkStart w:id="125" w:name="_Toc17210"/>
      <w:bookmarkStart w:id="126" w:name="_Toc28455"/>
      <w:r>
        <w:rPr>
          <w:rFonts w:hint="eastAsia" w:ascii="黑体" w:hAnsi="黑体" w:eastAsia="黑体" w:cs="黑体"/>
          <w:sz w:val="32"/>
          <w:szCs w:val="32"/>
          <w:lang w:eastAsia="zh-CN"/>
        </w:rPr>
        <w:t>项目绩效目标完成情况表（</w:t>
      </w:r>
      <w:r>
        <w:rPr>
          <w:rFonts w:hint="eastAsia" w:ascii="黑体" w:hAnsi="黑体" w:eastAsia="黑体" w:cs="黑体"/>
          <w:sz w:val="32"/>
          <w:szCs w:val="32"/>
          <w:lang w:val="en-US" w:eastAsia="zh-CN"/>
        </w:rPr>
        <w:t>2022年度</w:t>
      </w:r>
      <w:r>
        <w:rPr>
          <w:rFonts w:hint="eastAsia" w:ascii="黑体" w:hAnsi="黑体" w:eastAsia="黑体" w:cs="黑体"/>
          <w:sz w:val="32"/>
          <w:szCs w:val="32"/>
          <w:lang w:eastAsia="zh-CN"/>
        </w:rPr>
        <w:t>）</w:t>
      </w:r>
      <w:bookmarkEnd w:id="124"/>
      <w:bookmarkEnd w:id="125"/>
      <w:bookmarkEnd w:id="126"/>
    </w:p>
    <w:tbl>
      <w:tblPr>
        <w:tblStyle w:val="16"/>
        <w:tblpPr w:leftFromText="180" w:rightFromText="180" w:vertAnchor="text" w:horzAnchor="page" w:tblpXSpec="center" w:tblpY="423"/>
        <w:tblOverlap w:val="never"/>
        <w:tblW w:w="8640" w:type="dxa"/>
        <w:jc w:val="center"/>
        <w:tblLayout w:type="fixed"/>
        <w:tblCellMar>
          <w:top w:w="0" w:type="dxa"/>
          <w:left w:w="0" w:type="dxa"/>
          <w:bottom w:w="0" w:type="dxa"/>
          <w:right w:w="0" w:type="dxa"/>
        </w:tblCellMar>
      </w:tblPr>
      <w:tblGrid>
        <w:gridCol w:w="589"/>
        <w:gridCol w:w="980"/>
        <w:gridCol w:w="986"/>
        <w:gridCol w:w="2071"/>
        <w:gridCol w:w="2140"/>
        <w:gridCol w:w="1874"/>
      </w:tblGrid>
      <w:tr>
        <w:tblPrEx>
          <w:tblCellMar>
            <w:top w:w="0" w:type="dxa"/>
            <w:left w:w="0" w:type="dxa"/>
            <w:bottom w:w="0" w:type="dxa"/>
            <w:right w:w="0" w:type="dxa"/>
          </w:tblCellMar>
        </w:tblPrEx>
        <w:trPr>
          <w:trHeight w:val="1063" w:hRule="atLeast"/>
          <w:jc w:val="center"/>
        </w:trPr>
        <w:tc>
          <w:tcPr>
            <w:tcW w:w="8640" w:type="dxa"/>
            <w:gridSpan w:val="6"/>
            <w:tcBorders>
              <w:top w:val="nil"/>
              <w:left w:val="nil"/>
              <w:bottom w:val="nil"/>
              <w:right w:val="nil"/>
            </w:tcBorders>
            <w:noWrap w:val="0"/>
            <w:tcMar>
              <w:top w:w="15" w:type="dxa"/>
              <w:left w:w="15" w:type="dxa"/>
              <w:bottom w:w="0" w:type="dxa"/>
              <w:right w:w="15" w:type="dxa"/>
            </w:tcMar>
            <w:vAlign w:val="center"/>
          </w:tcPr>
          <w:p>
            <w:pPr>
              <w:widowControl/>
              <w:jc w:val="both"/>
              <w:textAlignment w:val="center"/>
              <w:rPr>
                <w:rFonts w:hint="eastAsia" w:asciiTheme="majorEastAsia" w:hAnsiTheme="majorEastAsia" w:eastAsiaTheme="majorEastAsia" w:cstheme="majorEastAsia"/>
                <w:color w:val="000000"/>
                <w:sz w:val="36"/>
                <w:szCs w:val="36"/>
              </w:rPr>
            </w:pPr>
          </w:p>
        </w:tc>
      </w:tr>
      <w:tr>
        <w:tblPrEx>
          <w:tblCellMar>
            <w:top w:w="0" w:type="dxa"/>
            <w:left w:w="0" w:type="dxa"/>
            <w:bottom w:w="0" w:type="dxa"/>
            <w:right w:w="0" w:type="dxa"/>
          </w:tblCellMar>
        </w:tblPrEx>
        <w:trPr>
          <w:trHeight w:val="363" w:hRule="atLeast"/>
          <w:jc w:val="center"/>
        </w:trPr>
        <w:tc>
          <w:tcPr>
            <w:tcW w:w="255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项目名称</w:t>
            </w:r>
          </w:p>
        </w:tc>
        <w:tc>
          <w:tcPr>
            <w:tcW w:w="60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sz w:val="24"/>
                <w:szCs w:val="24"/>
                <w:lang w:eastAsia="zh-CN"/>
              </w:rPr>
              <w:t>新冠疫情及二类疫苗</w:t>
            </w:r>
            <w:r>
              <w:rPr>
                <w:rFonts w:hint="eastAsia" w:asciiTheme="majorEastAsia" w:hAnsiTheme="majorEastAsia" w:eastAsiaTheme="majorEastAsia" w:cstheme="majorEastAsia"/>
                <w:color w:val="000000"/>
                <w:sz w:val="24"/>
              </w:rPr>
              <w:t>补助</w:t>
            </w:r>
          </w:p>
        </w:tc>
      </w:tr>
      <w:tr>
        <w:tblPrEx>
          <w:tblCellMar>
            <w:top w:w="0" w:type="dxa"/>
            <w:left w:w="0" w:type="dxa"/>
            <w:bottom w:w="0" w:type="dxa"/>
            <w:right w:w="0" w:type="dxa"/>
          </w:tblCellMar>
        </w:tblPrEx>
        <w:trPr>
          <w:trHeight w:val="363" w:hRule="atLeast"/>
          <w:jc w:val="center"/>
        </w:trPr>
        <w:tc>
          <w:tcPr>
            <w:tcW w:w="255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预算单位</w:t>
            </w:r>
          </w:p>
        </w:tc>
        <w:tc>
          <w:tcPr>
            <w:tcW w:w="60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广元市昭化区中医医院</w:t>
            </w:r>
          </w:p>
        </w:tc>
      </w:tr>
      <w:tr>
        <w:tblPrEx>
          <w:tblCellMar>
            <w:top w:w="0" w:type="dxa"/>
            <w:left w:w="0" w:type="dxa"/>
            <w:bottom w:w="0" w:type="dxa"/>
            <w:right w:w="0" w:type="dxa"/>
          </w:tblCellMar>
        </w:tblPrEx>
        <w:trPr>
          <w:trHeight w:val="363" w:hRule="atLeast"/>
          <w:jc w:val="center"/>
        </w:trPr>
        <w:tc>
          <w:tcPr>
            <w:tcW w:w="58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预算执行情况（万元）</w:t>
            </w:r>
          </w:p>
        </w:tc>
        <w:tc>
          <w:tcPr>
            <w:tcW w:w="196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预算数：</w:t>
            </w:r>
          </w:p>
        </w:tc>
        <w:tc>
          <w:tcPr>
            <w:tcW w:w="2071"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val="en-US" w:eastAsia="zh-CN"/>
              </w:rPr>
            </w:pPr>
            <w:r>
              <w:rPr>
                <w:rFonts w:hint="eastAsia" w:asciiTheme="majorEastAsia" w:hAnsiTheme="majorEastAsia" w:eastAsiaTheme="majorEastAsia" w:cstheme="majorEastAsia"/>
                <w:color w:val="000000"/>
                <w:sz w:val="24"/>
                <w:lang w:val="en-US" w:eastAsia="zh-CN"/>
              </w:rPr>
              <w:t>5.28</w:t>
            </w:r>
          </w:p>
        </w:tc>
        <w:tc>
          <w:tcPr>
            <w:tcW w:w="214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执行数：</w:t>
            </w:r>
          </w:p>
        </w:tc>
        <w:tc>
          <w:tcPr>
            <w:tcW w:w="1874"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val="en-US" w:eastAsia="zh-CN"/>
              </w:rPr>
            </w:pPr>
            <w:r>
              <w:rPr>
                <w:rFonts w:hint="eastAsia" w:asciiTheme="majorEastAsia" w:hAnsiTheme="majorEastAsia" w:eastAsiaTheme="majorEastAsia" w:cstheme="majorEastAsia"/>
                <w:color w:val="000000"/>
                <w:sz w:val="24"/>
                <w:lang w:val="en-US" w:eastAsia="zh-CN"/>
              </w:rPr>
              <w:t>5.28</w:t>
            </w:r>
          </w:p>
        </w:tc>
      </w:tr>
      <w:tr>
        <w:tblPrEx>
          <w:tblCellMar>
            <w:top w:w="0" w:type="dxa"/>
            <w:left w:w="0" w:type="dxa"/>
            <w:bottom w:w="0" w:type="dxa"/>
            <w:right w:w="0" w:type="dxa"/>
          </w:tblCellMar>
        </w:tblPrEx>
        <w:trPr>
          <w:trHeight w:val="363" w:hRule="atLeast"/>
          <w:jc w:val="center"/>
        </w:trPr>
        <w:tc>
          <w:tcPr>
            <w:tcW w:w="58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jc w:val="center"/>
              <w:rPr>
                <w:rFonts w:hint="eastAsia" w:asciiTheme="majorEastAsia" w:hAnsiTheme="majorEastAsia" w:eastAsiaTheme="majorEastAsia" w:cstheme="majorEastAsia"/>
                <w:color w:val="000000"/>
                <w:sz w:val="24"/>
              </w:rPr>
            </w:pPr>
          </w:p>
        </w:tc>
        <w:tc>
          <w:tcPr>
            <w:tcW w:w="196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其中－财政拨款：</w:t>
            </w:r>
          </w:p>
        </w:tc>
        <w:tc>
          <w:tcPr>
            <w:tcW w:w="2071"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val="en-US" w:eastAsia="zh-CN"/>
              </w:rPr>
            </w:pPr>
            <w:r>
              <w:rPr>
                <w:rFonts w:hint="eastAsia" w:asciiTheme="majorEastAsia" w:hAnsiTheme="majorEastAsia" w:eastAsiaTheme="majorEastAsia" w:cstheme="majorEastAsia"/>
                <w:color w:val="000000"/>
                <w:sz w:val="24"/>
                <w:lang w:val="en-US" w:eastAsia="zh-CN"/>
              </w:rPr>
              <w:t>5.28</w:t>
            </w:r>
          </w:p>
        </w:tc>
        <w:tc>
          <w:tcPr>
            <w:tcW w:w="214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其中－财政拨款：</w:t>
            </w:r>
          </w:p>
        </w:tc>
        <w:tc>
          <w:tcPr>
            <w:tcW w:w="1874"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val="en-US" w:eastAsia="zh-CN"/>
              </w:rPr>
            </w:pPr>
            <w:r>
              <w:rPr>
                <w:rFonts w:hint="eastAsia" w:asciiTheme="majorEastAsia" w:hAnsiTheme="majorEastAsia" w:eastAsiaTheme="majorEastAsia" w:cstheme="majorEastAsia"/>
                <w:color w:val="000000"/>
                <w:sz w:val="24"/>
                <w:lang w:val="en-US" w:eastAsia="zh-CN"/>
              </w:rPr>
              <w:t>5.28</w:t>
            </w:r>
          </w:p>
        </w:tc>
      </w:tr>
      <w:tr>
        <w:tblPrEx>
          <w:tblCellMar>
            <w:top w:w="0" w:type="dxa"/>
            <w:left w:w="0" w:type="dxa"/>
            <w:bottom w:w="0" w:type="dxa"/>
            <w:right w:w="0" w:type="dxa"/>
          </w:tblCellMar>
        </w:tblPrEx>
        <w:trPr>
          <w:trHeight w:val="1186" w:hRule="atLeast"/>
          <w:jc w:val="center"/>
        </w:trPr>
        <w:tc>
          <w:tcPr>
            <w:tcW w:w="58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jc w:val="center"/>
              <w:rPr>
                <w:rFonts w:hint="eastAsia" w:asciiTheme="majorEastAsia" w:hAnsiTheme="majorEastAsia" w:eastAsiaTheme="majorEastAsia" w:cstheme="majorEastAsia"/>
                <w:color w:val="000000"/>
                <w:sz w:val="24"/>
              </w:rPr>
            </w:pPr>
          </w:p>
        </w:tc>
        <w:tc>
          <w:tcPr>
            <w:tcW w:w="196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其他资金：</w:t>
            </w:r>
          </w:p>
        </w:tc>
        <w:tc>
          <w:tcPr>
            <w:tcW w:w="2071"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无</w:t>
            </w:r>
          </w:p>
        </w:tc>
        <w:tc>
          <w:tcPr>
            <w:tcW w:w="214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其他资金：</w:t>
            </w:r>
          </w:p>
        </w:tc>
        <w:tc>
          <w:tcPr>
            <w:tcW w:w="1874"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jc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无</w:t>
            </w:r>
          </w:p>
        </w:tc>
      </w:tr>
      <w:tr>
        <w:tblPrEx>
          <w:tblCellMar>
            <w:top w:w="0" w:type="dxa"/>
            <w:left w:w="0" w:type="dxa"/>
            <w:bottom w:w="0" w:type="dxa"/>
            <w:right w:w="0" w:type="dxa"/>
          </w:tblCellMar>
        </w:tblPrEx>
        <w:trPr>
          <w:trHeight w:val="363" w:hRule="atLeast"/>
          <w:jc w:val="center"/>
        </w:trPr>
        <w:tc>
          <w:tcPr>
            <w:tcW w:w="58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年度目标完成情况</w:t>
            </w:r>
          </w:p>
        </w:tc>
        <w:tc>
          <w:tcPr>
            <w:tcW w:w="4037"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预期目标</w:t>
            </w:r>
          </w:p>
        </w:tc>
        <w:tc>
          <w:tcPr>
            <w:tcW w:w="401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实际完成目标</w:t>
            </w:r>
          </w:p>
        </w:tc>
      </w:tr>
      <w:tr>
        <w:tblPrEx>
          <w:tblCellMar>
            <w:top w:w="0" w:type="dxa"/>
            <w:left w:w="0" w:type="dxa"/>
            <w:bottom w:w="0" w:type="dxa"/>
            <w:right w:w="0" w:type="dxa"/>
          </w:tblCellMar>
        </w:tblPrEx>
        <w:trPr>
          <w:trHeight w:val="1364" w:hRule="atLeast"/>
          <w:jc w:val="center"/>
        </w:trPr>
        <w:tc>
          <w:tcPr>
            <w:tcW w:w="58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jc w:val="center"/>
              <w:rPr>
                <w:rFonts w:hint="eastAsia" w:asciiTheme="majorEastAsia" w:hAnsiTheme="majorEastAsia" w:eastAsiaTheme="majorEastAsia" w:cstheme="majorEastAsia"/>
                <w:color w:val="000000"/>
                <w:sz w:val="24"/>
              </w:rPr>
            </w:pPr>
          </w:p>
        </w:tc>
        <w:tc>
          <w:tcPr>
            <w:tcW w:w="4037"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left"/>
              <w:textAlignment w:val="center"/>
              <w:rPr>
                <w:rFonts w:hint="eastAsia" w:asciiTheme="majorEastAsia" w:hAnsiTheme="majorEastAsia" w:eastAsiaTheme="majorEastAsia" w:cstheme="majorEastAsia"/>
                <w:color w:val="000000"/>
                <w:sz w:val="24"/>
                <w:lang w:val="en-US" w:eastAsia="zh-CN"/>
              </w:rPr>
            </w:pPr>
            <w:r>
              <w:rPr>
                <w:rFonts w:hint="eastAsia" w:asciiTheme="majorEastAsia" w:hAnsiTheme="majorEastAsia" w:eastAsiaTheme="majorEastAsia" w:cstheme="majorEastAsia"/>
                <w:color w:val="000000"/>
                <w:sz w:val="24"/>
              </w:rPr>
              <w:t>通过</w:t>
            </w:r>
            <w:r>
              <w:rPr>
                <w:rFonts w:hint="eastAsia" w:asciiTheme="majorEastAsia" w:hAnsiTheme="majorEastAsia" w:eastAsiaTheme="majorEastAsia" w:cstheme="majorEastAsia"/>
                <w:color w:val="000000"/>
                <w:sz w:val="24"/>
                <w:szCs w:val="24"/>
              </w:rPr>
              <w:t>对</w:t>
            </w:r>
            <w:r>
              <w:rPr>
                <w:rFonts w:hint="eastAsia" w:asciiTheme="majorEastAsia" w:hAnsiTheme="majorEastAsia" w:eastAsiaTheme="majorEastAsia" w:cstheme="majorEastAsia"/>
                <w:sz w:val="24"/>
                <w:szCs w:val="24"/>
                <w:lang w:eastAsia="zh-CN"/>
              </w:rPr>
              <w:t>新冠疫情及二类疫苗</w:t>
            </w:r>
            <w:r>
              <w:rPr>
                <w:rFonts w:hint="eastAsia" w:asciiTheme="majorEastAsia" w:hAnsiTheme="majorEastAsia" w:eastAsiaTheme="majorEastAsia" w:cstheme="majorEastAsia"/>
                <w:color w:val="000000"/>
                <w:sz w:val="24"/>
                <w:szCs w:val="24"/>
              </w:rPr>
              <w:t>资</w:t>
            </w:r>
            <w:r>
              <w:rPr>
                <w:rFonts w:hint="eastAsia" w:asciiTheme="majorEastAsia" w:hAnsiTheme="majorEastAsia" w:eastAsiaTheme="majorEastAsia" w:cstheme="majorEastAsia"/>
                <w:color w:val="000000"/>
                <w:sz w:val="24"/>
              </w:rPr>
              <w:t>金补助，</w:t>
            </w:r>
            <w:r>
              <w:rPr>
                <w:rFonts w:hint="eastAsia" w:asciiTheme="majorEastAsia" w:hAnsiTheme="majorEastAsia" w:eastAsiaTheme="majorEastAsia" w:cstheme="majorEastAsia"/>
                <w:color w:val="000000"/>
                <w:sz w:val="24"/>
                <w:lang w:eastAsia="zh-CN"/>
              </w:rPr>
              <w:t>减轻民众经济负担，提高疫苗普及率，提高整体的免疫水平，有效控制新冠疫情发展，恢复经济发展水平。</w:t>
            </w:r>
          </w:p>
        </w:tc>
        <w:tc>
          <w:tcPr>
            <w:tcW w:w="401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left"/>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通过</w:t>
            </w:r>
            <w:r>
              <w:rPr>
                <w:rFonts w:hint="eastAsia" w:asciiTheme="majorEastAsia" w:hAnsiTheme="majorEastAsia" w:eastAsiaTheme="majorEastAsia" w:cstheme="majorEastAsia"/>
                <w:color w:val="000000"/>
                <w:sz w:val="24"/>
                <w:szCs w:val="24"/>
              </w:rPr>
              <w:t>对</w:t>
            </w:r>
            <w:r>
              <w:rPr>
                <w:rFonts w:hint="eastAsia" w:asciiTheme="majorEastAsia" w:hAnsiTheme="majorEastAsia" w:eastAsiaTheme="majorEastAsia" w:cstheme="majorEastAsia"/>
                <w:sz w:val="24"/>
                <w:szCs w:val="24"/>
                <w:lang w:eastAsia="zh-CN"/>
              </w:rPr>
              <w:t>新冠疫情及二类疫苗</w:t>
            </w:r>
            <w:r>
              <w:rPr>
                <w:rFonts w:hint="eastAsia" w:asciiTheme="majorEastAsia" w:hAnsiTheme="majorEastAsia" w:eastAsiaTheme="majorEastAsia" w:cstheme="majorEastAsia"/>
                <w:color w:val="000000"/>
                <w:sz w:val="24"/>
                <w:szCs w:val="24"/>
              </w:rPr>
              <w:t>资</w:t>
            </w:r>
            <w:r>
              <w:rPr>
                <w:rFonts w:hint="eastAsia" w:asciiTheme="majorEastAsia" w:hAnsiTheme="majorEastAsia" w:eastAsiaTheme="majorEastAsia" w:cstheme="majorEastAsia"/>
                <w:color w:val="000000"/>
                <w:sz w:val="24"/>
              </w:rPr>
              <w:t>金补助，</w:t>
            </w:r>
            <w:r>
              <w:rPr>
                <w:rFonts w:hint="eastAsia" w:asciiTheme="majorEastAsia" w:hAnsiTheme="majorEastAsia" w:eastAsiaTheme="majorEastAsia" w:cstheme="majorEastAsia"/>
                <w:color w:val="000000"/>
                <w:sz w:val="24"/>
                <w:lang w:eastAsia="zh-CN"/>
              </w:rPr>
              <w:t>减轻民众经济负担，提高疫苗普及率，提高整体的免疫水平，有效控制新冠疫情发展，恢复经济发展水平。</w:t>
            </w:r>
          </w:p>
        </w:tc>
      </w:tr>
      <w:tr>
        <w:tblPrEx>
          <w:tblCellMar>
            <w:top w:w="0" w:type="dxa"/>
            <w:left w:w="0" w:type="dxa"/>
            <w:bottom w:w="0" w:type="dxa"/>
            <w:right w:w="0" w:type="dxa"/>
          </w:tblCellMar>
        </w:tblPrEx>
        <w:trPr>
          <w:trHeight w:val="1092" w:hRule="atLeast"/>
          <w:jc w:val="center"/>
        </w:trPr>
        <w:tc>
          <w:tcPr>
            <w:tcW w:w="589" w:type="dxa"/>
            <w:vMerge w:val="restart"/>
            <w:tcBorders>
              <w:top w:val="single" w:color="000000" w:sz="4" w:space="0"/>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绩效指标完成情况</w:t>
            </w:r>
          </w:p>
        </w:tc>
        <w:tc>
          <w:tcPr>
            <w:tcW w:w="98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一级指标</w:t>
            </w:r>
          </w:p>
        </w:tc>
        <w:tc>
          <w:tcPr>
            <w:tcW w:w="9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二级指标</w:t>
            </w:r>
          </w:p>
        </w:tc>
        <w:tc>
          <w:tcPr>
            <w:tcW w:w="2071"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三级指标</w:t>
            </w:r>
          </w:p>
        </w:tc>
        <w:tc>
          <w:tcPr>
            <w:tcW w:w="214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预期指标值（包含数字及文字描述）</w:t>
            </w:r>
          </w:p>
        </w:tc>
        <w:tc>
          <w:tcPr>
            <w:tcW w:w="1874"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实际完成指标值（包含数字及文字描述）</w:t>
            </w:r>
          </w:p>
        </w:tc>
      </w:tr>
      <w:tr>
        <w:tblPrEx>
          <w:tblCellMar>
            <w:top w:w="0" w:type="dxa"/>
            <w:left w:w="0" w:type="dxa"/>
            <w:bottom w:w="0" w:type="dxa"/>
            <w:right w:w="0" w:type="dxa"/>
          </w:tblCellMar>
        </w:tblPrEx>
        <w:trPr>
          <w:trHeight w:val="858" w:hRule="atLeast"/>
          <w:jc w:val="center"/>
        </w:trPr>
        <w:tc>
          <w:tcPr>
            <w:tcW w:w="589"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8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项目完成指标</w:t>
            </w:r>
          </w:p>
        </w:tc>
        <w:tc>
          <w:tcPr>
            <w:tcW w:w="9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数量指标</w:t>
            </w:r>
          </w:p>
        </w:tc>
        <w:tc>
          <w:tcPr>
            <w:tcW w:w="2071"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lang w:eastAsia="zh-CN"/>
              </w:rPr>
              <w:t>疫苗接种室</w:t>
            </w:r>
            <w:r>
              <w:rPr>
                <w:rFonts w:hint="eastAsia" w:asciiTheme="majorEastAsia" w:hAnsiTheme="majorEastAsia" w:eastAsiaTheme="majorEastAsia" w:cstheme="majorEastAsia"/>
                <w:color w:val="000000"/>
                <w:sz w:val="24"/>
              </w:rPr>
              <w:t>改造（个）</w:t>
            </w:r>
          </w:p>
        </w:tc>
        <w:tc>
          <w:tcPr>
            <w:tcW w:w="214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eastAsia="zh-CN"/>
              </w:rPr>
            </w:pPr>
            <w:r>
              <w:rPr>
                <w:rFonts w:hint="eastAsia" w:asciiTheme="majorEastAsia" w:hAnsiTheme="majorEastAsia" w:eastAsiaTheme="majorEastAsia" w:cstheme="majorEastAsia"/>
                <w:color w:val="000000"/>
                <w:sz w:val="24"/>
                <w:lang w:val="en-US" w:eastAsia="zh-CN"/>
              </w:rPr>
              <w:t>7</w:t>
            </w:r>
          </w:p>
        </w:tc>
        <w:tc>
          <w:tcPr>
            <w:tcW w:w="1874"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eastAsia="zh-CN"/>
              </w:rPr>
            </w:pPr>
            <w:r>
              <w:rPr>
                <w:rFonts w:hint="eastAsia" w:asciiTheme="majorEastAsia" w:hAnsiTheme="majorEastAsia" w:eastAsiaTheme="majorEastAsia" w:cstheme="majorEastAsia"/>
                <w:color w:val="000000"/>
                <w:sz w:val="24"/>
                <w:lang w:val="en-US" w:eastAsia="zh-CN"/>
              </w:rPr>
              <w:t>7</w:t>
            </w:r>
          </w:p>
        </w:tc>
      </w:tr>
      <w:tr>
        <w:tblPrEx>
          <w:tblCellMar>
            <w:top w:w="0" w:type="dxa"/>
            <w:left w:w="0" w:type="dxa"/>
            <w:bottom w:w="0" w:type="dxa"/>
            <w:right w:w="0" w:type="dxa"/>
          </w:tblCellMar>
        </w:tblPrEx>
        <w:trPr>
          <w:trHeight w:val="767" w:hRule="atLeast"/>
          <w:jc w:val="center"/>
        </w:trPr>
        <w:tc>
          <w:tcPr>
            <w:tcW w:w="589"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8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项目完成指标</w:t>
            </w:r>
          </w:p>
        </w:tc>
        <w:tc>
          <w:tcPr>
            <w:tcW w:w="9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数量指标</w:t>
            </w:r>
          </w:p>
        </w:tc>
        <w:tc>
          <w:tcPr>
            <w:tcW w:w="2071"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lang w:eastAsia="zh-CN"/>
              </w:rPr>
              <w:t>接种人数</w:t>
            </w:r>
            <w:r>
              <w:rPr>
                <w:rFonts w:hint="eastAsia" w:asciiTheme="majorEastAsia" w:hAnsiTheme="majorEastAsia" w:eastAsiaTheme="majorEastAsia" w:cstheme="majorEastAsia"/>
                <w:color w:val="000000"/>
                <w:sz w:val="24"/>
              </w:rPr>
              <w:t>（人）</w:t>
            </w:r>
          </w:p>
        </w:tc>
        <w:tc>
          <w:tcPr>
            <w:tcW w:w="214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val="en-US" w:eastAsia="zh-CN"/>
              </w:rPr>
            </w:pPr>
            <w:r>
              <w:rPr>
                <w:rFonts w:hint="eastAsia" w:asciiTheme="majorEastAsia" w:hAnsiTheme="majorEastAsia" w:eastAsiaTheme="majorEastAsia" w:cstheme="majorEastAsia"/>
                <w:color w:val="000000"/>
                <w:sz w:val="24"/>
                <w:lang w:val="en-US" w:eastAsia="zh-CN"/>
              </w:rPr>
              <w:t>55000</w:t>
            </w:r>
          </w:p>
        </w:tc>
        <w:tc>
          <w:tcPr>
            <w:tcW w:w="1874"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val="en-US" w:eastAsia="zh-CN"/>
              </w:rPr>
            </w:pPr>
            <w:r>
              <w:rPr>
                <w:rFonts w:hint="eastAsia" w:asciiTheme="majorEastAsia" w:hAnsiTheme="majorEastAsia" w:eastAsiaTheme="majorEastAsia" w:cstheme="majorEastAsia"/>
                <w:color w:val="000000"/>
                <w:sz w:val="24"/>
                <w:lang w:val="en-US" w:eastAsia="zh-CN"/>
              </w:rPr>
              <w:t>55000</w:t>
            </w:r>
          </w:p>
        </w:tc>
      </w:tr>
      <w:tr>
        <w:tblPrEx>
          <w:tblCellMar>
            <w:top w:w="0" w:type="dxa"/>
            <w:left w:w="0" w:type="dxa"/>
            <w:bottom w:w="0" w:type="dxa"/>
            <w:right w:w="0" w:type="dxa"/>
          </w:tblCellMar>
        </w:tblPrEx>
        <w:trPr>
          <w:trHeight w:val="812" w:hRule="atLeast"/>
          <w:jc w:val="center"/>
        </w:trPr>
        <w:tc>
          <w:tcPr>
            <w:tcW w:w="589"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8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项目完成指标</w:t>
            </w:r>
          </w:p>
        </w:tc>
        <w:tc>
          <w:tcPr>
            <w:tcW w:w="9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数量指标</w:t>
            </w:r>
          </w:p>
        </w:tc>
        <w:tc>
          <w:tcPr>
            <w:tcW w:w="2071"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lang w:eastAsia="zh-CN"/>
              </w:rPr>
              <w:t>防护</w:t>
            </w:r>
            <w:r>
              <w:rPr>
                <w:rFonts w:hint="eastAsia" w:asciiTheme="majorEastAsia" w:hAnsiTheme="majorEastAsia" w:eastAsiaTheme="majorEastAsia" w:cstheme="majorEastAsia"/>
                <w:color w:val="000000"/>
                <w:sz w:val="24"/>
              </w:rPr>
              <w:t>物资（元）</w:t>
            </w:r>
          </w:p>
        </w:tc>
        <w:tc>
          <w:tcPr>
            <w:tcW w:w="214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val="en-US" w:eastAsia="zh-CN"/>
              </w:rPr>
            </w:pPr>
            <w:r>
              <w:rPr>
                <w:rFonts w:hint="eastAsia" w:asciiTheme="majorEastAsia" w:hAnsiTheme="majorEastAsia" w:eastAsiaTheme="majorEastAsia" w:cstheme="majorEastAsia"/>
                <w:color w:val="000000"/>
                <w:sz w:val="24"/>
                <w:lang w:val="en-US" w:eastAsia="zh-CN"/>
              </w:rPr>
              <w:t>52800</w:t>
            </w:r>
          </w:p>
        </w:tc>
        <w:tc>
          <w:tcPr>
            <w:tcW w:w="1874"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val="en-US" w:eastAsia="zh-CN"/>
              </w:rPr>
            </w:pPr>
            <w:r>
              <w:rPr>
                <w:rFonts w:hint="eastAsia" w:asciiTheme="majorEastAsia" w:hAnsiTheme="majorEastAsia" w:eastAsiaTheme="majorEastAsia" w:cstheme="majorEastAsia"/>
                <w:color w:val="000000"/>
                <w:sz w:val="24"/>
                <w:lang w:val="en-US" w:eastAsia="zh-CN"/>
              </w:rPr>
              <w:t>52800</w:t>
            </w:r>
          </w:p>
        </w:tc>
      </w:tr>
      <w:tr>
        <w:tblPrEx>
          <w:tblCellMar>
            <w:top w:w="0" w:type="dxa"/>
            <w:left w:w="0" w:type="dxa"/>
            <w:bottom w:w="0" w:type="dxa"/>
            <w:right w:w="0" w:type="dxa"/>
          </w:tblCellMar>
        </w:tblPrEx>
        <w:trPr>
          <w:trHeight w:val="812" w:hRule="atLeast"/>
          <w:jc w:val="center"/>
        </w:trPr>
        <w:tc>
          <w:tcPr>
            <w:tcW w:w="589"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8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项目完成指标</w:t>
            </w:r>
          </w:p>
        </w:tc>
        <w:tc>
          <w:tcPr>
            <w:tcW w:w="9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数量指标</w:t>
            </w:r>
          </w:p>
        </w:tc>
        <w:tc>
          <w:tcPr>
            <w:tcW w:w="2071"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rPr>
              <w:t>协助医院管理公共卫生服务（人次）</w:t>
            </w:r>
          </w:p>
        </w:tc>
        <w:tc>
          <w:tcPr>
            <w:tcW w:w="214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2150</w:t>
            </w:r>
          </w:p>
        </w:tc>
        <w:tc>
          <w:tcPr>
            <w:tcW w:w="1874"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2000</w:t>
            </w:r>
          </w:p>
        </w:tc>
      </w:tr>
      <w:tr>
        <w:tblPrEx>
          <w:tblCellMar>
            <w:top w:w="0" w:type="dxa"/>
            <w:left w:w="0" w:type="dxa"/>
            <w:bottom w:w="0" w:type="dxa"/>
            <w:right w:w="0" w:type="dxa"/>
          </w:tblCellMar>
        </w:tblPrEx>
        <w:trPr>
          <w:trHeight w:val="936" w:hRule="atLeast"/>
          <w:jc w:val="center"/>
        </w:trPr>
        <w:tc>
          <w:tcPr>
            <w:tcW w:w="589"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8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kern w:val="0"/>
                <w:sz w:val="24"/>
              </w:rPr>
            </w:pPr>
            <w:r>
              <w:rPr>
                <w:rFonts w:hint="eastAsia" w:asciiTheme="majorEastAsia" w:hAnsiTheme="majorEastAsia" w:eastAsiaTheme="majorEastAsia" w:cstheme="majorEastAsia"/>
                <w:color w:val="000000"/>
                <w:kern w:val="0"/>
                <w:sz w:val="24"/>
              </w:rPr>
              <w:t>项目完成指标</w:t>
            </w:r>
          </w:p>
        </w:tc>
        <w:tc>
          <w:tcPr>
            <w:tcW w:w="9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社会效益指标</w:t>
            </w:r>
          </w:p>
        </w:tc>
        <w:tc>
          <w:tcPr>
            <w:tcW w:w="2071"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诊疗能力提升人次（人次）</w:t>
            </w:r>
          </w:p>
        </w:tc>
        <w:tc>
          <w:tcPr>
            <w:tcW w:w="214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1500</w:t>
            </w:r>
          </w:p>
        </w:tc>
        <w:tc>
          <w:tcPr>
            <w:tcW w:w="1874"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1500</w:t>
            </w:r>
          </w:p>
        </w:tc>
      </w:tr>
      <w:tr>
        <w:tblPrEx>
          <w:tblCellMar>
            <w:top w:w="0" w:type="dxa"/>
            <w:left w:w="0" w:type="dxa"/>
            <w:bottom w:w="0" w:type="dxa"/>
            <w:right w:w="0" w:type="dxa"/>
          </w:tblCellMar>
        </w:tblPrEx>
        <w:trPr>
          <w:trHeight w:val="767" w:hRule="atLeast"/>
          <w:jc w:val="center"/>
        </w:trPr>
        <w:tc>
          <w:tcPr>
            <w:tcW w:w="589"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8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项目完成指标</w:t>
            </w:r>
          </w:p>
        </w:tc>
        <w:tc>
          <w:tcPr>
            <w:tcW w:w="9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社会效益指标</w:t>
            </w:r>
          </w:p>
        </w:tc>
        <w:tc>
          <w:tcPr>
            <w:tcW w:w="2071"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受益人数（人）</w:t>
            </w:r>
          </w:p>
        </w:tc>
        <w:tc>
          <w:tcPr>
            <w:tcW w:w="214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≥9</w:t>
            </w:r>
            <w:r>
              <w:rPr>
                <w:rFonts w:hint="eastAsia" w:asciiTheme="majorEastAsia" w:hAnsiTheme="majorEastAsia" w:eastAsiaTheme="majorEastAsia" w:cstheme="majorEastAsia"/>
                <w:color w:val="000000"/>
                <w:sz w:val="24"/>
                <w:lang w:val="en-US" w:eastAsia="zh-CN"/>
              </w:rPr>
              <w:t>5</w:t>
            </w:r>
            <w:r>
              <w:rPr>
                <w:rFonts w:hint="eastAsia" w:asciiTheme="majorEastAsia" w:hAnsiTheme="majorEastAsia" w:eastAsiaTheme="majorEastAsia" w:cstheme="majorEastAsia"/>
                <w:color w:val="000000"/>
                <w:sz w:val="24"/>
              </w:rPr>
              <w:t>%</w:t>
            </w:r>
          </w:p>
        </w:tc>
        <w:tc>
          <w:tcPr>
            <w:tcW w:w="1874"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≥9</w:t>
            </w:r>
            <w:r>
              <w:rPr>
                <w:rFonts w:hint="eastAsia" w:asciiTheme="majorEastAsia" w:hAnsiTheme="majorEastAsia" w:eastAsiaTheme="majorEastAsia" w:cstheme="majorEastAsia"/>
                <w:color w:val="000000"/>
                <w:sz w:val="24"/>
                <w:lang w:val="en-US" w:eastAsia="zh-CN"/>
              </w:rPr>
              <w:t>5</w:t>
            </w:r>
            <w:r>
              <w:rPr>
                <w:rFonts w:hint="eastAsia" w:asciiTheme="majorEastAsia" w:hAnsiTheme="majorEastAsia" w:eastAsiaTheme="majorEastAsia" w:cstheme="majorEastAsia"/>
                <w:color w:val="000000"/>
                <w:sz w:val="24"/>
              </w:rPr>
              <w:t>%</w:t>
            </w:r>
          </w:p>
        </w:tc>
      </w:tr>
      <w:tr>
        <w:tblPrEx>
          <w:tblCellMar>
            <w:top w:w="0" w:type="dxa"/>
            <w:left w:w="0" w:type="dxa"/>
            <w:bottom w:w="0" w:type="dxa"/>
            <w:right w:w="0" w:type="dxa"/>
          </w:tblCellMar>
        </w:tblPrEx>
        <w:trPr>
          <w:trHeight w:val="1120" w:hRule="atLeast"/>
          <w:jc w:val="center"/>
        </w:trPr>
        <w:tc>
          <w:tcPr>
            <w:tcW w:w="589"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8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满意度指标</w:t>
            </w:r>
          </w:p>
        </w:tc>
        <w:tc>
          <w:tcPr>
            <w:tcW w:w="9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服务对象</w:t>
            </w:r>
          </w:p>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满意度指标</w:t>
            </w:r>
          </w:p>
        </w:tc>
        <w:tc>
          <w:tcPr>
            <w:tcW w:w="2071"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社会群体满意度</w:t>
            </w:r>
          </w:p>
        </w:tc>
        <w:tc>
          <w:tcPr>
            <w:tcW w:w="2140"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lang w:val="en-US" w:eastAsia="zh-CN"/>
              </w:rPr>
              <w:t>100</w:t>
            </w:r>
            <w:r>
              <w:rPr>
                <w:rFonts w:hint="eastAsia" w:asciiTheme="majorEastAsia" w:hAnsiTheme="majorEastAsia" w:eastAsiaTheme="majorEastAsia" w:cstheme="majorEastAsia"/>
                <w:color w:val="000000"/>
                <w:sz w:val="24"/>
              </w:rPr>
              <w:t>%</w:t>
            </w:r>
          </w:p>
        </w:tc>
        <w:tc>
          <w:tcPr>
            <w:tcW w:w="1874"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ind w:firstLine="960" w:firstLineChars="400"/>
              <w:jc w:val="both"/>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lang w:val="en-US" w:eastAsia="zh-CN"/>
              </w:rPr>
              <w:t>100</w:t>
            </w:r>
            <w:r>
              <w:rPr>
                <w:rFonts w:hint="eastAsia" w:asciiTheme="majorEastAsia" w:hAnsiTheme="majorEastAsia" w:eastAsiaTheme="majorEastAsia" w:cstheme="majorEastAsia"/>
                <w:color w:val="000000"/>
                <w:sz w:val="24"/>
              </w:rPr>
              <w:t>%</w:t>
            </w:r>
          </w:p>
        </w:tc>
      </w:tr>
    </w:tbl>
    <w:p>
      <w:pPr>
        <w:pStyle w:val="2"/>
        <w:spacing w:before="93"/>
        <w:rPr>
          <w:rFonts w:hint="eastAsia" w:asciiTheme="majorEastAsia" w:hAnsiTheme="majorEastAsia" w:eastAsiaTheme="majorEastAsia" w:cstheme="majorEastAsia"/>
        </w:rPr>
      </w:pPr>
    </w:p>
    <w:tbl>
      <w:tblPr>
        <w:tblStyle w:val="16"/>
        <w:tblpPr w:leftFromText="180" w:rightFromText="180" w:vertAnchor="text" w:horzAnchor="page" w:tblpXSpec="center" w:tblpY="423"/>
        <w:tblOverlap w:val="never"/>
        <w:tblW w:w="8220" w:type="dxa"/>
        <w:jc w:val="center"/>
        <w:tblLayout w:type="fixed"/>
        <w:tblCellMar>
          <w:top w:w="0" w:type="dxa"/>
          <w:left w:w="0" w:type="dxa"/>
          <w:bottom w:w="0" w:type="dxa"/>
          <w:right w:w="0" w:type="dxa"/>
        </w:tblCellMar>
      </w:tblPr>
      <w:tblGrid>
        <w:gridCol w:w="561"/>
        <w:gridCol w:w="932"/>
        <w:gridCol w:w="937"/>
        <w:gridCol w:w="1969"/>
        <w:gridCol w:w="2035"/>
        <w:gridCol w:w="1786"/>
      </w:tblGrid>
      <w:tr>
        <w:tblPrEx>
          <w:tblCellMar>
            <w:top w:w="0" w:type="dxa"/>
            <w:left w:w="0" w:type="dxa"/>
            <w:bottom w:w="0" w:type="dxa"/>
            <w:right w:w="0" w:type="dxa"/>
          </w:tblCellMar>
        </w:tblPrEx>
        <w:trPr>
          <w:trHeight w:val="1095" w:hRule="atLeast"/>
          <w:jc w:val="center"/>
        </w:trPr>
        <w:tc>
          <w:tcPr>
            <w:tcW w:w="8220" w:type="dxa"/>
            <w:gridSpan w:val="6"/>
            <w:tcBorders>
              <w:top w:val="nil"/>
              <w:left w:val="nil"/>
              <w:bottom w:val="nil"/>
              <w:right w:val="nil"/>
            </w:tcBorders>
            <w:noWrap w:val="0"/>
            <w:tcMar>
              <w:top w:w="15" w:type="dxa"/>
              <w:left w:w="15" w:type="dxa"/>
              <w:bottom w:w="0" w:type="dxa"/>
              <w:right w:w="15" w:type="dxa"/>
            </w:tcMar>
            <w:vAlign w:val="center"/>
          </w:tcPr>
          <w:p>
            <w:pPr>
              <w:widowControl/>
              <w:jc w:val="both"/>
              <w:textAlignment w:val="center"/>
              <w:rPr>
                <w:rFonts w:hint="eastAsia" w:asciiTheme="majorEastAsia" w:hAnsiTheme="majorEastAsia" w:eastAsiaTheme="majorEastAsia" w:cstheme="majorEastAsia"/>
                <w:color w:val="000000"/>
                <w:sz w:val="36"/>
                <w:szCs w:val="36"/>
              </w:rPr>
            </w:pPr>
          </w:p>
        </w:tc>
      </w:tr>
      <w:tr>
        <w:tblPrEx>
          <w:tblCellMar>
            <w:top w:w="0" w:type="dxa"/>
            <w:left w:w="0" w:type="dxa"/>
            <w:bottom w:w="0" w:type="dxa"/>
            <w:right w:w="0" w:type="dxa"/>
          </w:tblCellMar>
        </w:tblPrEx>
        <w:trPr>
          <w:trHeight w:val="372" w:hRule="atLeast"/>
          <w:jc w:val="center"/>
        </w:trPr>
        <w:tc>
          <w:tcPr>
            <w:tcW w:w="243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项目名称</w:t>
            </w:r>
          </w:p>
        </w:tc>
        <w:tc>
          <w:tcPr>
            <w:tcW w:w="579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公共卫生体系建设</w:t>
            </w:r>
          </w:p>
        </w:tc>
      </w:tr>
      <w:tr>
        <w:tblPrEx>
          <w:tblCellMar>
            <w:top w:w="0" w:type="dxa"/>
            <w:left w:w="0" w:type="dxa"/>
            <w:bottom w:w="0" w:type="dxa"/>
            <w:right w:w="0" w:type="dxa"/>
          </w:tblCellMar>
        </w:tblPrEx>
        <w:trPr>
          <w:trHeight w:val="372" w:hRule="atLeast"/>
          <w:jc w:val="center"/>
        </w:trPr>
        <w:tc>
          <w:tcPr>
            <w:tcW w:w="243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预算单位</w:t>
            </w:r>
          </w:p>
        </w:tc>
        <w:tc>
          <w:tcPr>
            <w:tcW w:w="579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广元市昭化区中医医院</w:t>
            </w:r>
          </w:p>
        </w:tc>
      </w:tr>
      <w:tr>
        <w:tblPrEx>
          <w:tblCellMar>
            <w:top w:w="0" w:type="dxa"/>
            <w:left w:w="0" w:type="dxa"/>
            <w:bottom w:w="0" w:type="dxa"/>
            <w:right w:w="0" w:type="dxa"/>
          </w:tblCellMar>
        </w:tblPrEx>
        <w:trPr>
          <w:trHeight w:val="372" w:hRule="atLeast"/>
          <w:jc w:val="center"/>
        </w:trPr>
        <w:tc>
          <w:tcPr>
            <w:tcW w:w="56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预算执行情况（万元）</w:t>
            </w:r>
          </w:p>
        </w:tc>
        <w:tc>
          <w:tcPr>
            <w:tcW w:w="186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预算数：</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eastAsia="zh-CN"/>
              </w:rPr>
            </w:pPr>
            <w:r>
              <w:rPr>
                <w:rFonts w:hint="eastAsia" w:asciiTheme="majorEastAsia" w:hAnsiTheme="majorEastAsia" w:eastAsiaTheme="majorEastAsia" w:cstheme="majorEastAsia"/>
                <w:color w:val="000000"/>
                <w:sz w:val="24"/>
                <w:lang w:val="en-US" w:eastAsia="zh-CN"/>
              </w:rPr>
              <w:t>5</w:t>
            </w:r>
          </w:p>
        </w:tc>
        <w:tc>
          <w:tcPr>
            <w:tcW w:w="203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执行数：</w:t>
            </w:r>
          </w:p>
        </w:tc>
        <w:tc>
          <w:tcPr>
            <w:tcW w:w="17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eastAsia="zh-CN"/>
              </w:rPr>
            </w:pPr>
            <w:r>
              <w:rPr>
                <w:rFonts w:hint="eastAsia" w:asciiTheme="majorEastAsia" w:hAnsiTheme="majorEastAsia" w:eastAsiaTheme="majorEastAsia" w:cstheme="majorEastAsia"/>
                <w:color w:val="000000"/>
                <w:sz w:val="24"/>
                <w:lang w:val="en-US" w:eastAsia="zh-CN"/>
              </w:rPr>
              <w:t>5</w:t>
            </w:r>
          </w:p>
        </w:tc>
      </w:tr>
      <w:tr>
        <w:tblPrEx>
          <w:tblCellMar>
            <w:top w:w="0" w:type="dxa"/>
            <w:left w:w="0" w:type="dxa"/>
            <w:bottom w:w="0" w:type="dxa"/>
            <w:right w:w="0" w:type="dxa"/>
          </w:tblCellMar>
        </w:tblPrEx>
        <w:trPr>
          <w:trHeight w:val="65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jc w:val="center"/>
              <w:rPr>
                <w:rFonts w:hint="eastAsia" w:asciiTheme="majorEastAsia" w:hAnsiTheme="majorEastAsia" w:eastAsiaTheme="majorEastAsia" w:cstheme="majorEastAsia"/>
                <w:color w:val="000000"/>
                <w:sz w:val="24"/>
              </w:rPr>
            </w:pPr>
          </w:p>
        </w:tc>
        <w:tc>
          <w:tcPr>
            <w:tcW w:w="186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其中－财政拨款：</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eastAsia="zh-CN"/>
              </w:rPr>
            </w:pPr>
            <w:r>
              <w:rPr>
                <w:rFonts w:hint="eastAsia" w:asciiTheme="majorEastAsia" w:hAnsiTheme="majorEastAsia" w:eastAsiaTheme="majorEastAsia" w:cstheme="majorEastAsia"/>
                <w:color w:val="000000"/>
                <w:sz w:val="24"/>
                <w:lang w:val="en-US" w:eastAsia="zh-CN"/>
              </w:rPr>
              <w:t>5</w:t>
            </w:r>
          </w:p>
        </w:tc>
        <w:tc>
          <w:tcPr>
            <w:tcW w:w="203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其中－财政拨款：</w:t>
            </w:r>
          </w:p>
        </w:tc>
        <w:tc>
          <w:tcPr>
            <w:tcW w:w="17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eastAsia="zh-CN"/>
              </w:rPr>
            </w:pPr>
            <w:r>
              <w:rPr>
                <w:rFonts w:hint="eastAsia" w:asciiTheme="majorEastAsia" w:hAnsiTheme="majorEastAsia" w:eastAsiaTheme="majorEastAsia" w:cstheme="majorEastAsia"/>
                <w:color w:val="000000"/>
                <w:sz w:val="24"/>
                <w:lang w:val="en-US" w:eastAsia="zh-CN"/>
              </w:rPr>
              <w:t>5</w:t>
            </w:r>
          </w:p>
        </w:tc>
      </w:tr>
      <w:tr>
        <w:tblPrEx>
          <w:tblCellMar>
            <w:top w:w="0" w:type="dxa"/>
            <w:left w:w="0" w:type="dxa"/>
            <w:bottom w:w="0" w:type="dxa"/>
            <w:right w:w="0" w:type="dxa"/>
          </w:tblCellMar>
        </w:tblPrEx>
        <w:trPr>
          <w:trHeight w:val="1221"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jc w:val="center"/>
              <w:rPr>
                <w:rFonts w:hint="eastAsia" w:asciiTheme="majorEastAsia" w:hAnsiTheme="majorEastAsia" w:eastAsiaTheme="majorEastAsia" w:cstheme="majorEastAsia"/>
                <w:color w:val="000000"/>
                <w:sz w:val="24"/>
              </w:rPr>
            </w:pPr>
          </w:p>
        </w:tc>
        <w:tc>
          <w:tcPr>
            <w:tcW w:w="186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其他资金：</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无</w:t>
            </w:r>
          </w:p>
        </w:tc>
        <w:tc>
          <w:tcPr>
            <w:tcW w:w="203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其他资金：</w:t>
            </w:r>
          </w:p>
        </w:tc>
        <w:tc>
          <w:tcPr>
            <w:tcW w:w="17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jc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无</w:t>
            </w:r>
          </w:p>
        </w:tc>
      </w:tr>
      <w:tr>
        <w:tblPrEx>
          <w:tblCellMar>
            <w:top w:w="0" w:type="dxa"/>
            <w:left w:w="0" w:type="dxa"/>
            <w:bottom w:w="0" w:type="dxa"/>
            <w:right w:w="0" w:type="dxa"/>
          </w:tblCellMar>
        </w:tblPrEx>
        <w:trPr>
          <w:trHeight w:val="372" w:hRule="atLeast"/>
          <w:jc w:val="center"/>
        </w:trPr>
        <w:tc>
          <w:tcPr>
            <w:tcW w:w="56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年度目标完成情况</w:t>
            </w:r>
          </w:p>
        </w:tc>
        <w:tc>
          <w:tcPr>
            <w:tcW w:w="383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预期目标</w:t>
            </w:r>
          </w:p>
        </w:tc>
        <w:tc>
          <w:tcPr>
            <w:tcW w:w="382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实际完成目标</w:t>
            </w:r>
          </w:p>
        </w:tc>
      </w:tr>
      <w:tr>
        <w:tblPrEx>
          <w:tblCellMar>
            <w:top w:w="0" w:type="dxa"/>
            <w:left w:w="0" w:type="dxa"/>
            <w:bottom w:w="0" w:type="dxa"/>
            <w:right w:w="0" w:type="dxa"/>
          </w:tblCellMar>
        </w:tblPrEx>
        <w:trPr>
          <w:trHeight w:val="3272" w:hRule="atLeast"/>
          <w:jc w:val="center"/>
        </w:trPr>
        <w:tc>
          <w:tcPr>
            <w:tcW w:w="5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jc w:val="center"/>
              <w:rPr>
                <w:rFonts w:hint="eastAsia" w:asciiTheme="majorEastAsia" w:hAnsiTheme="majorEastAsia" w:eastAsiaTheme="majorEastAsia" w:cstheme="majorEastAsia"/>
                <w:color w:val="000000"/>
                <w:sz w:val="24"/>
              </w:rPr>
            </w:pPr>
          </w:p>
        </w:tc>
        <w:tc>
          <w:tcPr>
            <w:tcW w:w="383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left"/>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支持基层医疗卫生服务机构完善公共卫生服务体系，加强实施设备配备和人才培训，提升重大疫情救治能力和突发公共卫生事件应对能力等</w:t>
            </w:r>
          </w:p>
        </w:tc>
        <w:tc>
          <w:tcPr>
            <w:tcW w:w="382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left"/>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通过设备购置、人员培训，提高了全区重大疫情防控救治能力、医疗服务能力、公共卫生防控和疾病预防控制能力，保障群众健康服务需求。</w:t>
            </w:r>
          </w:p>
          <w:p>
            <w:pPr>
              <w:widowControl/>
              <w:jc w:val="left"/>
              <w:textAlignment w:val="center"/>
              <w:rPr>
                <w:rFonts w:hint="eastAsia" w:asciiTheme="majorEastAsia" w:hAnsiTheme="majorEastAsia" w:eastAsiaTheme="majorEastAsia" w:cstheme="majorEastAsia"/>
                <w:color w:val="000000"/>
                <w:sz w:val="24"/>
              </w:rPr>
            </w:pPr>
          </w:p>
        </w:tc>
      </w:tr>
      <w:tr>
        <w:tblPrEx>
          <w:tblCellMar>
            <w:top w:w="0" w:type="dxa"/>
            <w:left w:w="0" w:type="dxa"/>
            <w:bottom w:w="0" w:type="dxa"/>
            <w:right w:w="0" w:type="dxa"/>
          </w:tblCellMar>
        </w:tblPrEx>
        <w:trPr>
          <w:trHeight w:val="1123" w:hRule="atLeast"/>
          <w:jc w:val="center"/>
        </w:trPr>
        <w:tc>
          <w:tcPr>
            <w:tcW w:w="561" w:type="dxa"/>
            <w:vMerge w:val="restart"/>
            <w:tcBorders>
              <w:top w:val="single" w:color="000000" w:sz="4" w:space="0"/>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绩效指标完成情况</w:t>
            </w:r>
          </w:p>
        </w:tc>
        <w:tc>
          <w:tcPr>
            <w:tcW w:w="932"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一级指标</w:t>
            </w:r>
          </w:p>
        </w:tc>
        <w:tc>
          <w:tcPr>
            <w:tcW w:w="93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二级指标</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三级指标</w:t>
            </w:r>
          </w:p>
        </w:tc>
        <w:tc>
          <w:tcPr>
            <w:tcW w:w="203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预期指标值（包含数字及文字描述）</w:t>
            </w:r>
          </w:p>
        </w:tc>
        <w:tc>
          <w:tcPr>
            <w:tcW w:w="17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实际完成指标值（包含数字及文字描述）</w:t>
            </w:r>
          </w:p>
        </w:tc>
      </w:tr>
      <w:tr>
        <w:tblPrEx>
          <w:tblCellMar>
            <w:top w:w="0" w:type="dxa"/>
            <w:left w:w="0" w:type="dxa"/>
            <w:bottom w:w="0" w:type="dxa"/>
            <w:right w:w="0" w:type="dxa"/>
          </w:tblCellMar>
        </w:tblPrEx>
        <w:trPr>
          <w:trHeight w:val="882" w:hRule="atLeast"/>
          <w:jc w:val="center"/>
        </w:trPr>
        <w:tc>
          <w:tcPr>
            <w:tcW w:w="561"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32"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项目完成指标</w:t>
            </w:r>
          </w:p>
        </w:tc>
        <w:tc>
          <w:tcPr>
            <w:tcW w:w="93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数量指标</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lang w:eastAsia="zh-CN"/>
              </w:rPr>
              <w:t>发热门诊</w:t>
            </w:r>
            <w:r>
              <w:rPr>
                <w:rFonts w:hint="eastAsia" w:asciiTheme="majorEastAsia" w:hAnsiTheme="majorEastAsia" w:eastAsiaTheme="majorEastAsia" w:cstheme="majorEastAsia"/>
                <w:color w:val="000000"/>
                <w:sz w:val="24"/>
              </w:rPr>
              <w:t>改造（个）</w:t>
            </w:r>
          </w:p>
        </w:tc>
        <w:tc>
          <w:tcPr>
            <w:tcW w:w="203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1</w:t>
            </w:r>
          </w:p>
        </w:tc>
        <w:tc>
          <w:tcPr>
            <w:tcW w:w="17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1</w:t>
            </w:r>
          </w:p>
        </w:tc>
      </w:tr>
      <w:tr>
        <w:tblPrEx>
          <w:tblCellMar>
            <w:top w:w="0" w:type="dxa"/>
            <w:left w:w="0" w:type="dxa"/>
            <w:bottom w:w="0" w:type="dxa"/>
            <w:right w:w="0" w:type="dxa"/>
          </w:tblCellMar>
        </w:tblPrEx>
        <w:trPr>
          <w:trHeight w:val="788" w:hRule="atLeast"/>
          <w:jc w:val="center"/>
        </w:trPr>
        <w:tc>
          <w:tcPr>
            <w:tcW w:w="561"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32"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项目完成指标</w:t>
            </w:r>
          </w:p>
        </w:tc>
        <w:tc>
          <w:tcPr>
            <w:tcW w:w="93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数量指标</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公共卫生人员培训（人）</w:t>
            </w:r>
          </w:p>
        </w:tc>
        <w:tc>
          <w:tcPr>
            <w:tcW w:w="203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eastAsia="zh-CN"/>
              </w:rPr>
            </w:pPr>
            <w:r>
              <w:rPr>
                <w:rFonts w:hint="eastAsia" w:asciiTheme="majorEastAsia" w:hAnsiTheme="majorEastAsia" w:eastAsiaTheme="majorEastAsia" w:cstheme="majorEastAsia"/>
                <w:color w:val="000000"/>
                <w:sz w:val="24"/>
                <w:lang w:val="en-US" w:eastAsia="zh-CN"/>
              </w:rPr>
              <w:t>8</w:t>
            </w:r>
          </w:p>
        </w:tc>
        <w:tc>
          <w:tcPr>
            <w:tcW w:w="17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val="en-US" w:eastAsia="zh-CN"/>
              </w:rPr>
            </w:pPr>
            <w:r>
              <w:rPr>
                <w:rFonts w:hint="eastAsia" w:asciiTheme="majorEastAsia" w:hAnsiTheme="majorEastAsia" w:eastAsiaTheme="majorEastAsia" w:cstheme="majorEastAsia"/>
                <w:color w:val="000000"/>
                <w:sz w:val="24"/>
                <w:lang w:val="en-US" w:eastAsia="zh-CN"/>
              </w:rPr>
              <w:t>8</w:t>
            </w:r>
          </w:p>
        </w:tc>
      </w:tr>
      <w:tr>
        <w:tblPrEx>
          <w:tblCellMar>
            <w:top w:w="0" w:type="dxa"/>
            <w:left w:w="0" w:type="dxa"/>
            <w:bottom w:w="0" w:type="dxa"/>
            <w:right w:w="0" w:type="dxa"/>
          </w:tblCellMar>
        </w:tblPrEx>
        <w:trPr>
          <w:trHeight w:val="966" w:hRule="atLeast"/>
          <w:jc w:val="center"/>
        </w:trPr>
        <w:tc>
          <w:tcPr>
            <w:tcW w:w="561"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32"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项目完成指标</w:t>
            </w:r>
          </w:p>
        </w:tc>
        <w:tc>
          <w:tcPr>
            <w:tcW w:w="93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数量指标</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物资（血糖试剂、口罩）采购数量（元）</w:t>
            </w:r>
          </w:p>
        </w:tc>
        <w:tc>
          <w:tcPr>
            <w:tcW w:w="203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val="en-US" w:eastAsia="zh-CN"/>
              </w:rPr>
            </w:pPr>
            <w:r>
              <w:rPr>
                <w:rFonts w:hint="eastAsia" w:asciiTheme="majorEastAsia" w:hAnsiTheme="majorEastAsia" w:eastAsiaTheme="majorEastAsia" w:cstheme="majorEastAsia"/>
                <w:color w:val="000000"/>
                <w:sz w:val="24"/>
                <w:lang w:val="en-US" w:eastAsia="zh-CN"/>
              </w:rPr>
              <w:t>50000</w:t>
            </w:r>
          </w:p>
        </w:tc>
        <w:tc>
          <w:tcPr>
            <w:tcW w:w="17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val="en-US" w:eastAsia="zh-CN"/>
              </w:rPr>
            </w:pPr>
            <w:r>
              <w:rPr>
                <w:rFonts w:hint="eastAsia" w:asciiTheme="majorEastAsia" w:hAnsiTheme="majorEastAsia" w:eastAsiaTheme="majorEastAsia" w:cstheme="majorEastAsia"/>
                <w:color w:val="000000"/>
                <w:sz w:val="24"/>
                <w:lang w:val="en-US" w:eastAsia="zh-CN"/>
              </w:rPr>
              <w:t>50000</w:t>
            </w:r>
          </w:p>
        </w:tc>
      </w:tr>
      <w:tr>
        <w:tblPrEx>
          <w:tblCellMar>
            <w:top w:w="0" w:type="dxa"/>
            <w:left w:w="0" w:type="dxa"/>
            <w:bottom w:w="0" w:type="dxa"/>
            <w:right w:w="0" w:type="dxa"/>
          </w:tblCellMar>
        </w:tblPrEx>
        <w:trPr>
          <w:trHeight w:val="834" w:hRule="atLeast"/>
          <w:jc w:val="center"/>
        </w:trPr>
        <w:tc>
          <w:tcPr>
            <w:tcW w:w="561"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32"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项目完成指标</w:t>
            </w:r>
          </w:p>
        </w:tc>
        <w:tc>
          <w:tcPr>
            <w:tcW w:w="93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数量指标</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rPr>
              <w:t>看病检测人次（次）</w:t>
            </w:r>
          </w:p>
        </w:tc>
        <w:tc>
          <w:tcPr>
            <w:tcW w:w="203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val="en-US" w:eastAsia="zh-CN"/>
              </w:rPr>
            </w:pPr>
            <w:r>
              <w:rPr>
                <w:rFonts w:hint="eastAsia" w:asciiTheme="majorEastAsia" w:hAnsiTheme="majorEastAsia" w:eastAsiaTheme="majorEastAsia" w:cstheme="majorEastAsia"/>
                <w:color w:val="000000"/>
                <w:sz w:val="24"/>
                <w:lang w:val="en-US" w:eastAsia="zh-CN"/>
              </w:rPr>
              <w:t>5600</w:t>
            </w:r>
          </w:p>
        </w:tc>
        <w:tc>
          <w:tcPr>
            <w:tcW w:w="17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val="en-US" w:eastAsia="zh-CN"/>
              </w:rPr>
            </w:pPr>
            <w:r>
              <w:rPr>
                <w:rFonts w:hint="eastAsia" w:asciiTheme="majorEastAsia" w:hAnsiTheme="majorEastAsia" w:eastAsiaTheme="majorEastAsia" w:cstheme="majorEastAsia"/>
                <w:color w:val="000000"/>
                <w:sz w:val="24"/>
                <w:lang w:val="en-US" w:eastAsia="zh-CN"/>
              </w:rPr>
              <w:t>5600</w:t>
            </w:r>
          </w:p>
        </w:tc>
      </w:tr>
      <w:tr>
        <w:tblPrEx>
          <w:tblCellMar>
            <w:top w:w="0" w:type="dxa"/>
            <w:left w:w="0" w:type="dxa"/>
            <w:bottom w:w="0" w:type="dxa"/>
            <w:right w:w="0" w:type="dxa"/>
          </w:tblCellMar>
        </w:tblPrEx>
        <w:trPr>
          <w:trHeight w:val="966" w:hRule="atLeast"/>
          <w:jc w:val="center"/>
        </w:trPr>
        <w:tc>
          <w:tcPr>
            <w:tcW w:w="561"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32"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项目完成指标</w:t>
            </w:r>
          </w:p>
        </w:tc>
        <w:tc>
          <w:tcPr>
            <w:tcW w:w="93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质量指标</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项目基层医疗机构配备设备使用率</w:t>
            </w:r>
          </w:p>
        </w:tc>
        <w:tc>
          <w:tcPr>
            <w:tcW w:w="203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≥95%</w:t>
            </w:r>
          </w:p>
        </w:tc>
        <w:tc>
          <w:tcPr>
            <w:tcW w:w="17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100%</w:t>
            </w:r>
          </w:p>
        </w:tc>
      </w:tr>
      <w:tr>
        <w:tblPrEx>
          <w:tblCellMar>
            <w:top w:w="0" w:type="dxa"/>
            <w:left w:w="0" w:type="dxa"/>
            <w:bottom w:w="0" w:type="dxa"/>
            <w:right w:w="0" w:type="dxa"/>
          </w:tblCellMar>
        </w:tblPrEx>
        <w:trPr>
          <w:trHeight w:val="1013" w:hRule="atLeast"/>
          <w:jc w:val="center"/>
        </w:trPr>
        <w:tc>
          <w:tcPr>
            <w:tcW w:w="561"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32"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kern w:val="0"/>
                <w:sz w:val="24"/>
              </w:rPr>
            </w:pPr>
            <w:r>
              <w:rPr>
                <w:rFonts w:hint="eastAsia" w:asciiTheme="majorEastAsia" w:hAnsiTheme="majorEastAsia" w:eastAsiaTheme="majorEastAsia" w:cstheme="majorEastAsia"/>
                <w:color w:val="000000"/>
                <w:kern w:val="0"/>
                <w:sz w:val="24"/>
              </w:rPr>
              <w:t>项目完成指标</w:t>
            </w:r>
          </w:p>
        </w:tc>
        <w:tc>
          <w:tcPr>
            <w:tcW w:w="93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质量指标</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县级疾控机构、接种单位疫苗扫码设备配备达标率</w:t>
            </w:r>
          </w:p>
        </w:tc>
        <w:tc>
          <w:tcPr>
            <w:tcW w:w="203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≥90%</w:t>
            </w:r>
          </w:p>
        </w:tc>
        <w:tc>
          <w:tcPr>
            <w:tcW w:w="17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100%</w:t>
            </w:r>
          </w:p>
        </w:tc>
      </w:tr>
      <w:tr>
        <w:tblPrEx>
          <w:tblCellMar>
            <w:top w:w="0" w:type="dxa"/>
            <w:left w:w="0" w:type="dxa"/>
            <w:bottom w:w="0" w:type="dxa"/>
            <w:right w:w="0" w:type="dxa"/>
          </w:tblCellMar>
        </w:tblPrEx>
        <w:trPr>
          <w:trHeight w:val="963" w:hRule="atLeast"/>
          <w:jc w:val="center"/>
        </w:trPr>
        <w:tc>
          <w:tcPr>
            <w:tcW w:w="561"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32"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kern w:val="0"/>
                <w:sz w:val="24"/>
              </w:rPr>
            </w:pPr>
            <w:r>
              <w:rPr>
                <w:rFonts w:hint="eastAsia" w:asciiTheme="majorEastAsia" w:hAnsiTheme="majorEastAsia" w:eastAsiaTheme="majorEastAsia" w:cstheme="majorEastAsia"/>
                <w:color w:val="000000"/>
                <w:kern w:val="0"/>
                <w:sz w:val="24"/>
              </w:rPr>
              <w:t>项目完成指标</w:t>
            </w:r>
          </w:p>
        </w:tc>
        <w:tc>
          <w:tcPr>
            <w:tcW w:w="93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质量指标</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基层人才培训合格率</w:t>
            </w:r>
          </w:p>
        </w:tc>
        <w:tc>
          <w:tcPr>
            <w:tcW w:w="203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≥90%</w:t>
            </w:r>
          </w:p>
        </w:tc>
        <w:tc>
          <w:tcPr>
            <w:tcW w:w="17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≥98%</w:t>
            </w:r>
          </w:p>
        </w:tc>
      </w:tr>
      <w:tr>
        <w:tblPrEx>
          <w:tblCellMar>
            <w:top w:w="0" w:type="dxa"/>
            <w:left w:w="0" w:type="dxa"/>
            <w:bottom w:w="0" w:type="dxa"/>
            <w:right w:w="0" w:type="dxa"/>
          </w:tblCellMar>
        </w:tblPrEx>
        <w:trPr>
          <w:trHeight w:val="1280" w:hRule="atLeast"/>
          <w:jc w:val="center"/>
        </w:trPr>
        <w:tc>
          <w:tcPr>
            <w:tcW w:w="561"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32"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kern w:val="0"/>
                <w:sz w:val="24"/>
              </w:rPr>
            </w:pPr>
            <w:r>
              <w:rPr>
                <w:rFonts w:hint="eastAsia" w:asciiTheme="majorEastAsia" w:hAnsiTheme="majorEastAsia" w:eastAsiaTheme="majorEastAsia" w:cstheme="majorEastAsia"/>
                <w:color w:val="000000"/>
                <w:kern w:val="0"/>
                <w:sz w:val="24"/>
              </w:rPr>
              <w:t>项目完成指标</w:t>
            </w:r>
          </w:p>
        </w:tc>
        <w:tc>
          <w:tcPr>
            <w:tcW w:w="93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质量指标</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项目县区公立医院医务人员医防结合能力培训合格率</w:t>
            </w:r>
          </w:p>
        </w:tc>
        <w:tc>
          <w:tcPr>
            <w:tcW w:w="203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100%</w:t>
            </w:r>
          </w:p>
        </w:tc>
        <w:tc>
          <w:tcPr>
            <w:tcW w:w="17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100%</w:t>
            </w:r>
          </w:p>
        </w:tc>
      </w:tr>
      <w:tr>
        <w:tblPrEx>
          <w:tblCellMar>
            <w:top w:w="0" w:type="dxa"/>
            <w:left w:w="0" w:type="dxa"/>
            <w:bottom w:w="0" w:type="dxa"/>
            <w:right w:w="0" w:type="dxa"/>
          </w:tblCellMar>
        </w:tblPrEx>
        <w:trPr>
          <w:trHeight w:val="1594" w:hRule="atLeast"/>
          <w:jc w:val="center"/>
        </w:trPr>
        <w:tc>
          <w:tcPr>
            <w:tcW w:w="561"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32"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kern w:val="0"/>
                <w:sz w:val="24"/>
              </w:rPr>
            </w:pPr>
            <w:r>
              <w:rPr>
                <w:rFonts w:hint="eastAsia" w:asciiTheme="majorEastAsia" w:hAnsiTheme="majorEastAsia" w:eastAsiaTheme="majorEastAsia" w:cstheme="majorEastAsia"/>
                <w:color w:val="000000"/>
                <w:kern w:val="0"/>
                <w:sz w:val="24"/>
              </w:rPr>
              <w:t>项目完成指标</w:t>
            </w:r>
          </w:p>
        </w:tc>
        <w:tc>
          <w:tcPr>
            <w:tcW w:w="93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质量指标</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医院发热门诊、实验室检测、传染病救治、</w:t>
            </w:r>
            <w:r>
              <w:rPr>
                <w:rFonts w:hint="eastAsia" w:asciiTheme="majorEastAsia" w:hAnsiTheme="majorEastAsia" w:eastAsiaTheme="majorEastAsia" w:cstheme="majorEastAsia"/>
                <w:color w:val="000000"/>
                <w:sz w:val="24"/>
                <w:lang w:eastAsia="zh-CN"/>
              </w:rPr>
              <w:t>预</w:t>
            </w:r>
            <w:r>
              <w:rPr>
                <w:rFonts w:hint="eastAsia" w:asciiTheme="majorEastAsia" w:hAnsiTheme="majorEastAsia" w:eastAsiaTheme="majorEastAsia" w:cstheme="majorEastAsia"/>
                <w:color w:val="000000"/>
                <w:sz w:val="24"/>
              </w:rPr>
              <w:t>防结合信息化设备及院感防控物资补充率</w:t>
            </w:r>
          </w:p>
        </w:tc>
        <w:tc>
          <w:tcPr>
            <w:tcW w:w="203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较上年提升</w:t>
            </w:r>
          </w:p>
        </w:tc>
        <w:tc>
          <w:tcPr>
            <w:tcW w:w="17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较上年提升10%</w:t>
            </w:r>
          </w:p>
        </w:tc>
      </w:tr>
      <w:tr>
        <w:tblPrEx>
          <w:tblCellMar>
            <w:top w:w="0" w:type="dxa"/>
            <w:left w:w="0" w:type="dxa"/>
            <w:bottom w:w="0" w:type="dxa"/>
            <w:right w:w="0" w:type="dxa"/>
          </w:tblCellMar>
        </w:tblPrEx>
        <w:trPr>
          <w:trHeight w:val="976" w:hRule="atLeast"/>
          <w:jc w:val="center"/>
        </w:trPr>
        <w:tc>
          <w:tcPr>
            <w:tcW w:w="561" w:type="dxa"/>
            <w:vMerge w:val="continue"/>
            <w:tcBorders>
              <w:left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p>
        </w:tc>
        <w:tc>
          <w:tcPr>
            <w:tcW w:w="932"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项目完成指标</w:t>
            </w:r>
          </w:p>
        </w:tc>
        <w:tc>
          <w:tcPr>
            <w:tcW w:w="93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社会效益指标</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基层医疗卫生机构肺功能仪使用率</w:t>
            </w:r>
          </w:p>
        </w:tc>
        <w:tc>
          <w:tcPr>
            <w:tcW w:w="2035"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≥90%</w:t>
            </w:r>
          </w:p>
        </w:tc>
        <w:tc>
          <w:tcPr>
            <w:tcW w:w="1786"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≥95%</w:t>
            </w:r>
          </w:p>
        </w:tc>
      </w:tr>
    </w:tbl>
    <w:p>
      <w:pPr>
        <w:pStyle w:val="8"/>
        <w:ind w:left="0" w:leftChars="0" w:firstLine="0" w:firstLineChars="0"/>
        <w:rPr>
          <w:rFonts w:hint="eastAsia" w:asciiTheme="majorEastAsia" w:hAnsiTheme="majorEastAsia" w:eastAsiaTheme="majorEastAsia" w:cstheme="majorEastAsia"/>
          <w:szCs w:val="32"/>
        </w:rPr>
      </w:pPr>
    </w:p>
    <w:p>
      <w:pPr>
        <w:pStyle w:val="8"/>
        <w:ind w:firstLine="641"/>
        <w:rPr>
          <w:rFonts w:hint="eastAsia" w:asciiTheme="majorEastAsia" w:hAnsiTheme="majorEastAsia" w:eastAsiaTheme="majorEastAsia" w:cstheme="majorEastAsia"/>
          <w:szCs w:val="32"/>
        </w:rPr>
      </w:pPr>
    </w:p>
    <w:tbl>
      <w:tblPr>
        <w:tblStyle w:val="16"/>
        <w:tblpPr w:leftFromText="180" w:rightFromText="180" w:vertAnchor="text" w:horzAnchor="page" w:tblpXSpec="center" w:tblpY="423"/>
        <w:tblOverlap w:val="never"/>
        <w:tblW w:w="8280" w:type="dxa"/>
        <w:tblInd w:w="0" w:type="dxa"/>
        <w:tblLayout w:type="fixed"/>
        <w:tblCellMar>
          <w:top w:w="0" w:type="dxa"/>
          <w:left w:w="0" w:type="dxa"/>
          <w:bottom w:w="0" w:type="dxa"/>
          <w:right w:w="0" w:type="dxa"/>
        </w:tblCellMar>
      </w:tblPr>
      <w:tblGrid>
        <w:gridCol w:w="565"/>
        <w:gridCol w:w="1883"/>
        <w:gridCol w:w="2307"/>
        <w:gridCol w:w="1727"/>
        <w:gridCol w:w="1798"/>
      </w:tblGrid>
      <w:tr>
        <w:tblPrEx>
          <w:tblCellMar>
            <w:top w:w="0" w:type="dxa"/>
            <w:left w:w="0" w:type="dxa"/>
            <w:bottom w:w="0" w:type="dxa"/>
            <w:right w:w="0" w:type="dxa"/>
          </w:tblCellMar>
        </w:tblPrEx>
        <w:trPr>
          <w:trHeight w:val="1106" w:hRule="atLeast"/>
        </w:trPr>
        <w:tc>
          <w:tcPr>
            <w:tcW w:w="8280" w:type="dxa"/>
            <w:gridSpan w:val="5"/>
            <w:tcBorders>
              <w:top w:val="nil"/>
              <w:left w:val="nil"/>
              <w:bottom w:val="nil"/>
              <w:right w:val="nil"/>
            </w:tcBorders>
            <w:noWrap w:val="0"/>
            <w:tcMar>
              <w:top w:w="15" w:type="dxa"/>
              <w:left w:w="15" w:type="dxa"/>
              <w:bottom w:w="0" w:type="dxa"/>
              <w:right w:w="15" w:type="dxa"/>
            </w:tcMar>
            <w:vAlign w:val="center"/>
          </w:tcPr>
          <w:p>
            <w:pPr>
              <w:widowControl/>
              <w:jc w:val="both"/>
              <w:textAlignment w:val="center"/>
              <w:rPr>
                <w:rFonts w:hint="eastAsia" w:asciiTheme="majorEastAsia" w:hAnsiTheme="majorEastAsia" w:eastAsiaTheme="majorEastAsia" w:cstheme="majorEastAsia"/>
                <w:color w:val="000000"/>
                <w:sz w:val="36"/>
                <w:szCs w:val="36"/>
              </w:rPr>
            </w:pPr>
          </w:p>
        </w:tc>
      </w:tr>
      <w:tr>
        <w:tblPrEx>
          <w:tblCellMar>
            <w:top w:w="0" w:type="dxa"/>
            <w:left w:w="0" w:type="dxa"/>
            <w:bottom w:w="0" w:type="dxa"/>
            <w:right w:w="0" w:type="dxa"/>
          </w:tblCellMar>
        </w:tblPrEx>
        <w:trPr>
          <w:trHeight w:val="395" w:hRule="atLeast"/>
        </w:trPr>
        <w:tc>
          <w:tcPr>
            <w:tcW w:w="244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项目名称</w:t>
            </w:r>
          </w:p>
        </w:tc>
        <w:tc>
          <w:tcPr>
            <w:tcW w:w="583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rPr>
              <w:t>医疗服务与保障能力提升补助资金</w:t>
            </w:r>
          </w:p>
        </w:tc>
      </w:tr>
      <w:tr>
        <w:tblPrEx>
          <w:tblCellMar>
            <w:top w:w="0" w:type="dxa"/>
            <w:left w:w="0" w:type="dxa"/>
            <w:bottom w:w="0" w:type="dxa"/>
            <w:right w:w="0" w:type="dxa"/>
          </w:tblCellMar>
        </w:tblPrEx>
        <w:trPr>
          <w:trHeight w:val="716" w:hRule="atLeast"/>
        </w:trPr>
        <w:tc>
          <w:tcPr>
            <w:tcW w:w="244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预算单位</w:t>
            </w:r>
          </w:p>
        </w:tc>
        <w:tc>
          <w:tcPr>
            <w:tcW w:w="583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sz w:val="28"/>
                <w:szCs w:val="28"/>
              </w:rPr>
              <w:t>广元市昭化区中医医院</w:t>
            </w:r>
          </w:p>
        </w:tc>
      </w:tr>
      <w:tr>
        <w:tblPrEx>
          <w:tblCellMar>
            <w:top w:w="0" w:type="dxa"/>
            <w:left w:w="0" w:type="dxa"/>
            <w:bottom w:w="0" w:type="dxa"/>
            <w:right w:w="0" w:type="dxa"/>
          </w:tblCellMar>
        </w:tblPrEx>
        <w:trPr>
          <w:trHeight w:val="395" w:hRule="atLeast"/>
        </w:trPr>
        <w:tc>
          <w:tcPr>
            <w:tcW w:w="56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预算执行情况（万元）</w:t>
            </w:r>
          </w:p>
        </w:tc>
        <w:tc>
          <w:tcPr>
            <w:tcW w:w="1883"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预算数：</w:t>
            </w:r>
          </w:p>
        </w:tc>
        <w:tc>
          <w:tcPr>
            <w:tcW w:w="230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lang w:val="en-US" w:eastAsia="zh-CN"/>
              </w:rPr>
            </w:pPr>
            <w:r>
              <w:rPr>
                <w:rFonts w:hint="eastAsia" w:asciiTheme="majorEastAsia" w:hAnsiTheme="majorEastAsia" w:eastAsiaTheme="majorEastAsia" w:cstheme="majorEastAsia"/>
                <w:color w:val="000000"/>
                <w:sz w:val="24"/>
                <w:lang w:val="en-US" w:eastAsia="zh-CN"/>
              </w:rPr>
              <w:t>35.83</w:t>
            </w:r>
          </w:p>
        </w:tc>
        <w:tc>
          <w:tcPr>
            <w:tcW w:w="172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执行数：</w:t>
            </w:r>
          </w:p>
        </w:tc>
        <w:tc>
          <w:tcPr>
            <w:tcW w:w="1798"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lang w:val="en-US" w:eastAsia="zh-CN"/>
              </w:rPr>
              <w:t>35.83</w:t>
            </w:r>
          </w:p>
        </w:tc>
      </w:tr>
      <w:tr>
        <w:tblPrEx>
          <w:tblCellMar>
            <w:top w:w="0" w:type="dxa"/>
            <w:left w:w="0" w:type="dxa"/>
            <w:bottom w:w="0" w:type="dxa"/>
            <w:right w:w="0" w:type="dxa"/>
          </w:tblCellMar>
        </w:tblPrEx>
        <w:trPr>
          <w:trHeight w:val="659" w:hRule="atLeast"/>
        </w:trPr>
        <w:tc>
          <w:tcPr>
            <w:tcW w:w="5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rPr>
                <w:rFonts w:hint="eastAsia" w:asciiTheme="majorEastAsia" w:hAnsiTheme="majorEastAsia" w:eastAsiaTheme="majorEastAsia" w:cstheme="majorEastAsia"/>
              </w:rPr>
            </w:pPr>
          </w:p>
        </w:tc>
        <w:tc>
          <w:tcPr>
            <w:tcW w:w="1883"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其中－财政拨款：</w:t>
            </w:r>
          </w:p>
        </w:tc>
        <w:tc>
          <w:tcPr>
            <w:tcW w:w="230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lang w:val="en-US" w:eastAsia="zh-CN"/>
              </w:rPr>
              <w:t>35.83</w:t>
            </w:r>
          </w:p>
        </w:tc>
        <w:tc>
          <w:tcPr>
            <w:tcW w:w="172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其中－财政拨款：</w:t>
            </w:r>
          </w:p>
        </w:tc>
        <w:tc>
          <w:tcPr>
            <w:tcW w:w="1798"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lang w:val="en-US" w:eastAsia="zh-CN"/>
              </w:rPr>
              <w:t>35.83</w:t>
            </w:r>
          </w:p>
        </w:tc>
      </w:tr>
      <w:tr>
        <w:tblPrEx>
          <w:tblCellMar>
            <w:top w:w="0" w:type="dxa"/>
            <w:left w:w="0" w:type="dxa"/>
            <w:bottom w:w="0" w:type="dxa"/>
            <w:right w:w="0" w:type="dxa"/>
          </w:tblCellMar>
        </w:tblPrEx>
        <w:trPr>
          <w:trHeight w:val="1243" w:hRule="atLeast"/>
        </w:trPr>
        <w:tc>
          <w:tcPr>
            <w:tcW w:w="5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rPr>
                <w:rFonts w:hint="eastAsia" w:asciiTheme="majorEastAsia" w:hAnsiTheme="majorEastAsia" w:eastAsiaTheme="majorEastAsia" w:cstheme="majorEastAsia"/>
              </w:rPr>
            </w:pPr>
          </w:p>
        </w:tc>
        <w:tc>
          <w:tcPr>
            <w:tcW w:w="1883"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其他资金：</w:t>
            </w:r>
          </w:p>
        </w:tc>
        <w:tc>
          <w:tcPr>
            <w:tcW w:w="230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无</w:t>
            </w:r>
          </w:p>
        </w:tc>
        <w:tc>
          <w:tcPr>
            <w:tcW w:w="1727"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其他资金：</w:t>
            </w:r>
          </w:p>
        </w:tc>
        <w:tc>
          <w:tcPr>
            <w:tcW w:w="1798" w:type="dxa"/>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jc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无</w:t>
            </w:r>
          </w:p>
        </w:tc>
      </w:tr>
      <w:tr>
        <w:tblPrEx>
          <w:tblCellMar>
            <w:top w:w="0" w:type="dxa"/>
            <w:left w:w="0" w:type="dxa"/>
            <w:bottom w:w="0" w:type="dxa"/>
            <w:right w:w="0" w:type="dxa"/>
          </w:tblCellMar>
        </w:tblPrEx>
        <w:trPr>
          <w:trHeight w:val="395" w:hRule="atLeast"/>
        </w:trPr>
        <w:tc>
          <w:tcPr>
            <w:tcW w:w="56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年度目标完成情况</w:t>
            </w:r>
          </w:p>
        </w:tc>
        <w:tc>
          <w:tcPr>
            <w:tcW w:w="419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预期目标</w:t>
            </w:r>
          </w:p>
        </w:tc>
        <w:tc>
          <w:tcPr>
            <w:tcW w:w="352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center"/>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kern w:val="0"/>
                <w:sz w:val="24"/>
              </w:rPr>
              <w:t>实际完成目标</w:t>
            </w:r>
          </w:p>
        </w:tc>
      </w:tr>
      <w:tr>
        <w:tblPrEx>
          <w:tblCellMar>
            <w:top w:w="0" w:type="dxa"/>
            <w:left w:w="0" w:type="dxa"/>
            <w:bottom w:w="0" w:type="dxa"/>
            <w:right w:w="0" w:type="dxa"/>
          </w:tblCellMar>
        </w:tblPrEx>
        <w:trPr>
          <w:trHeight w:val="2792" w:hRule="atLeast"/>
        </w:trPr>
        <w:tc>
          <w:tcPr>
            <w:tcW w:w="5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rPr>
                <w:rFonts w:hint="eastAsia" w:asciiTheme="majorEastAsia" w:hAnsiTheme="majorEastAsia" w:eastAsiaTheme="majorEastAsia" w:cstheme="majorEastAsia"/>
              </w:rPr>
            </w:pPr>
          </w:p>
        </w:tc>
        <w:tc>
          <w:tcPr>
            <w:tcW w:w="419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numPr>
                <w:ilvl w:val="0"/>
                <w:numId w:val="4"/>
              </w:numPr>
              <w:jc w:val="left"/>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开展贫困地区县级中医医院服务能力建设，支持贫困县县级中医院，提升贫困县县级中医医院中医药服务能力。</w:t>
            </w:r>
          </w:p>
          <w:p>
            <w:pPr>
              <w:widowControl/>
              <w:numPr>
                <w:ilvl w:val="0"/>
                <w:numId w:val="4"/>
              </w:numPr>
              <w:jc w:val="left"/>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开展提升县中医医院服务能力急诊急救能力提升。</w:t>
            </w:r>
          </w:p>
          <w:p>
            <w:pPr>
              <w:widowControl/>
              <w:numPr>
                <w:ilvl w:val="0"/>
                <w:numId w:val="4"/>
              </w:numPr>
              <w:jc w:val="left"/>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对口帮扶乡镇卫生院，提升中医药适宜技术服务能力</w:t>
            </w:r>
          </w:p>
        </w:tc>
        <w:tc>
          <w:tcPr>
            <w:tcW w:w="352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0" w:type="dxa"/>
              <w:right w:w="15" w:type="dxa"/>
            </w:tcMar>
            <w:vAlign w:val="center"/>
          </w:tcPr>
          <w:p>
            <w:pPr>
              <w:widowControl/>
              <w:jc w:val="left"/>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color w:val="000000"/>
                <w:sz w:val="24"/>
              </w:rPr>
              <w:t>通过设备购置、人员培训，提高了全区重大疫情防控救治能力、医疗服务能力、公共卫生</w:t>
            </w:r>
            <w:r>
              <w:rPr>
                <w:rFonts w:hint="eastAsia" w:asciiTheme="majorEastAsia" w:hAnsiTheme="majorEastAsia" w:eastAsiaTheme="majorEastAsia" w:cstheme="majorEastAsia"/>
                <w:color w:val="000000"/>
                <w:sz w:val="24"/>
                <w:lang w:eastAsia="zh-CN"/>
              </w:rPr>
              <w:t>防疫</w:t>
            </w:r>
            <w:r>
              <w:rPr>
                <w:rFonts w:hint="eastAsia" w:asciiTheme="majorEastAsia" w:hAnsiTheme="majorEastAsia" w:eastAsiaTheme="majorEastAsia" w:cstheme="majorEastAsia"/>
                <w:color w:val="000000"/>
                <w:sz w:val="24"/>
              </w:rPr>
              <w:t>和疾病预防控制能力，保障群众健康服务需求。</w:t>
            </w:r>
          </w:p>
          <w:p>
            <w:pPr>
              <w:widowControl/>
              <w:jc w:val="left"/>
              <w:textAlignment w:val="center"/>
              <w:rPr>
                <w:rFonts w:hint="eastAsia" w:asciiTheme="majorEastAsia" w:hAnsiTheme="majorEastAsia" w:eastAsiaTheme="majorEastAsia" w:cstheme="majorEastAsia"/>
                <w:color w:val="000000"/>
                <w:sz w:val="24"/>
              </w:rPr>
            </w:pPr>
          </w:p>
        </w:tc>
      </w:tr>
    </w:tbl>
    <w:tbl>
      <w:tblPr>
        <w:tblStyle w:val="16"/>
        <w:tblpPr w:leftFromText="180" w:rightFromText="180" w:vertAnchor="text" w:horzAnchor="page" w:tblpX="1922" w:tblpY="610"/>
        <w:tblOverlap w:val="never"/>
        <w:tblW w:w="82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497"/>
        <w:gridCol w:w="914"/>
        <w:gridCol w:w="2923"/>
        <w:gridCol w:w="1225"/>
        <w:gridCol w:w="18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7" w:hRule="atLeast"/>
        </w:trPr>
        <w:tc>
          <w:tcPr>
            <w:tcW w:w="24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绩效指标</w:t>
            </w:r>
          </w:p>
        </w:tc>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一级</w:t>
            </w:r>
            <w:r>
              <w:rPr>
                <w:rFonts w:hint="eastAsia" w:asciiTheme="majorEastAsia" w:hAnsiTheme="majorEastAsia" w:eastAsiaTheme="majorEastAsia" w:cstheme="majorEastAsia"/>
                <w:b w:val="0"/>
                <w:bCs w:val="0"/>
                <w:i w:val="0"/>
                <w:iCs w:val="0"/>
                <w:color w:val="000000"/>
                <w:kern w:val="0"/>
                <w:sz w:val="24"/>
                <w:szCs w:val="24"/>
                <w:u w:val="none"/>
                <w:lang w:val="en-US" w:eastAsia="zh-CN"/>
              </w:rPr>
              <w:br w:type="textWrapping"/>
            </w: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二级指标</w:t>
            </w: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三级指标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指标值</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全年实际完成值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产</w:t>
            </w:r>
            <w:r>
              <w:rPr>
                <w:rFonts w:hint="eastAsia" w:asciiTheme="majorEastAsia" w:hAnsiTheme="majorEastAsia" w:eastAsiaTheme="majorEastAsia" w:cstheme="majorEastAsia"/>
                <w:b w:val="0"/>
                <w:bCs w:val="0"/>
                <w:i w:val="0"/>
                <w:iCs w:val="0"/>
                <w:color w:val="000000"/>
                <w:kern w:val="0"/>
                <w:sz w:val="24"/>
                <w:szCs w:val="24"/>
                <w:u w:val="none"/>
                <w:lang w:val="en-US" w:eastAsia="zh-CN"/>
              </w:rPr>
              <w:br w:type="textWrapping"/>
            </w:r>
            <w:r>
              <w:rPr>
                <w:rFonts w:hint="eastAsia" w:asciiTheme="majorEastAsia" w:hAnsiTheme="majorEastAsia" w:eastAsiaTheme="majorEastAsia" w:cstheme="majorEastAsia"/>
                <w:b w:val="0"/>
                <w:bCs w:val="0"/>
                <w:i w:val="0"/>
                <w:iCs w:val="0"/>
                <w:color w:val="000000"/>
                <w:kern w:val="0"/>
                <w:sz w:val="24"/>
                <w:szCs w:val="24"/>
                <w:u w:val="none"/>
                <w:lang w:val="en-US" w:eastAsia="zh-CN"/>
              </w:rPr>
              <w:t>出</w:t>
            </w:r>
            <w:r>
              <w:rPr>
                <w:rFonts w:hint="eastAsia" w:asciiTheme="majorEastAsia" w:hAnsiTheme="majorEastAsia" w:eastAsiaTheme="majorEastAsia" w:cstheme="majorEastAsia"/>
                <w:b w:val="0"/>
                <w:bCs w:val="0"/>
                <w:i w:val="0"/>
                <w:iCs w:val="0"/>
                <w:color w:val="000000"/>
                <w:kern w:val="0"/>
                <w:sz w:val="24"/>
                <w:szCs w:val="24"/>
                <w:u w:val="none"/>
                <w:lang w:val="en-US" w:eastAsia="zh-CN"/>
              </w:rPr>
              <w:br w:type="textWrapping"/>
            </w:r>
            <w:r>
              <w:rPr>
                <w:rFonts w:hint="eastAsia" w:asciiTheme="majorEastAsia" w:hAnsiTheme="majorEastAsia" w:eastAsiaTheme="majorEastAsia" w:cstheme="majorEastAsia"/>
                <w:b w:val="0"/>
                <w:bCs w:val="0"/>
                <w:i w:val="0"/>
                <w:iCs w:val="0"/>
                <w:color w:val="000000"/>
                <w:kern w:val="0"/>
                <w:sz w:val="24"/>
                <w:szCs w:val="24"/>
                <w:u w:val="none"/>
                <w:lang w:val="en-US" w:eastAsia="zh-CN"/>
              </w:rPr>
              <w:t>指</w:t>
            </w:r>
            <w:r>
              <w:rPr>
                <w:rFonts w:hint="eastAsia" w:asciiTheme="majorEastAsia" w:hAnsiTheme="majorEastAsia" w:eastAsiaTheme="majorEastAsia" w:cstheme="majorEastAsia"/>
                <w:b w:val="0"/>
                <w:bCs w:val="0"/>
                <w:i w:val="0"/>
                <w:iCs w:val="0"/>
                <w:color w:val="000000"/>
                <w:kern w:val="0"/>
                <w:sz w:val="24"/>
                <w:szCs w:val="24"/>
                <w:u w:val="none"/>
                <w:lang w:val="en-US" w:eastAsia="zh-CN"/>
              </w:rPr>
              <w:br w:type="textWrapping"/>
            </w:r>
            <w:r>
              <w:rPr>
                <w:rFonts w:hint="eastAsia" w:asciiTheme="majorEastAsia" w:hAnsiTheme="majorEastAsia" w:eastAsiaTheme="majorEastAsia" w:cstheme="majorEastAsia"/>
                <w:b w:val="0"/>
                <w:bCs w:val="0"/>
                <w:i w:val="0"/>
                <w:iCs w:val="0"/>
                <w:color w:val="000000"/>
                <w:kern w:val="0"/>
                <w:sz w:val="24"/>
                <w:szCs w:val="24"/>
                <w:u w:val="none"/>
                <w:lang w:val="en-US" w:eastAsia="zh-CN"/>
              </w:rPr>
              <w:t>标</w:t>
            </w:r>
          </w:p>
        </w:tc>
        <w:tc>
          <w:tcPr>
            <w:tcW w:w="976"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数量指标</w:t>
            </w: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指标1：改造住院病区</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500</w:t>
            </w:r>
            <w:r>
              <w:rPr>
                <w:rStyle w:val="37"/>
                <w:rFonts w:hint="eastAsia" w:asciiTheme="majorEastAsia" w:hAnsiTheme="majorEastAsia" w:eastAsiaTheme="majorEastAsia" w:cstheme="majorEastAsia"/>
                <w:b w:val="0"/>
                <w:bCs w:val="0"/>
                <w:sz w:val="24"/>
                <w:szCs w:val="24"/>
                <w:lang w:val="en-US" w:eastAsia="zh-CN"/>
              </w:rPr>
              <w:t>㎡</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500</w:t>
            </w:r>
            <w:r>
              <w:rPr>
                <w:rStyle w:val="37"/>
                <w:rFonts w:hint="eastAsia" w:asciiTheme="majorEastAsia" w:hAnsiTheme="majorEastAsia" w:eastAsiaTheme="majorEastAsia" w:cstheme="majorEastAsia"/>
                <w:b w:val="0"/>
                <w:bCs w:val="0"/>
                <w:sz w:val="24"/>
                <w:szCs w:val="24"/>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97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指标2：采购病床、设施设备可收治精神病患者37名</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60个</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60个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97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指标3：通道电动大门</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1个</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9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质量指标</w:t>
            </w: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指标1：按照精神专科病区标准改造患者休息区、就餐区、娱乐区、洗浴区</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100%</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指标2：改建资金拨付资金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17万元</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17万元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9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时效指标</w:t>
            </w: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指标1：2022年11月底完成病区改造</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100%</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指标2：2022年12月底完成病区病床、设施设备采购</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100%</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9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成本指标</w:t>
            </w: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指标1：编制招标控制价、采取竞争性谈判方式确定施工方，竣工决算不超预算资金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100%</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指标2：改建资金拨付率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100%</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效</w:t>
            </w:r>
            <w:r>
              <w:rPr>
                <w:rFonts w:hint="eastAsia" w:asciiTheme="majorEastAsia" w:hAnsiTheme="majorEastAsia" w:eastAsiaTheme="majorEastAsia" w:cstheme="majorEastAsia"/>
                <w:b w:val="0"/>
                <w:bCs w:val="0"/>
                <w:i w:val="0"/>
                <w:iCs w:val="0"/>
                <w:color w:val="000000"/>
                <w:kern w:val="0"/>
                <w:sz w:val="24"/>
                <w:szCs w:val="24"/>
                <w:u w:val="none"/>
                <w:lang w:val="en-US" w:eastAsia="zh-CN"/>
              </w:rPr>
              <w:br w:type="textWrapping"/>
            </w:r>
            <w:r>
              <w:rPr>
                <w:rFonts w:hint="eastAsia" w:asciiTheme="majorEastAsia" w:hAnsiTheme="majorEastAsia" w:eastAsiaTheme="majorEastAsia" w:cstheme="majorEastAsia"/>
                <w:b w:val="0"/>
                <w:bCs w:val="0"/>
                <w:i w:val="0"/>
                <w:iCs w:val="0"/>
                <w:color w:val="000000"/>
                <w:kern w:val="0"/>
                <w:sz w:val="24"/>
                <w:szCs w:val="24"/>
                <w:u w:val="none"/>
                <w:lang w:val="en-US" w:eastAsia="zh-CN"/>
              </w:rPr>
              <w:t>益</w:t>
            </w:r>
            <w:r>
              <w:rPr>
                <w:rFonts w:hint="eastAsia" w:asciiTheme="majorEastAsia" w:hAnsiTheme="majorEastAsia" w:eastAsiaTheme="majorEastAsia" w:cstheme="majorEastAsia"/>
                <w:b w:val="0"/>
                <w:bCs w:val="0"/>
                <w:i w:val="0"/>
                <w:iCs w:val="0"/>
                <w:color w:val="000000"/>
                <w:kern w:val="0"/>
                <w:sz w:val="24"/>
                <w:szCs w:val="24"/>
                <w:u w:val="none"/>
                <w:lang w:val="en-US" w:eastAsia="zh-CN"/>
              </w:rPr>
              <w:br w:type="textWrapping"/>
            </w:r>
            <w:r>
              <w:rPr>
                <w:rFonts w:hint="eastAsia" w:asciiTheme="majorEastAsia" w:hAnsiTheme="majorEastAsia" w:eastAsiaTheme="majorEastAsia" w:cstheme="majorEastAsia"/>
                <w:b w:val="0"/>
                <w:bCs w:val="0"/>
                <w:i w:val="0"/>
                <w:iCs w:val="0"/>
                <w:color w:val="000000"/>
                <w:kern w:val="0"/>
                <w:sz w:val="24"/>
                <w:szCs w:val="24"/>
                <w:u w:val="none"/>
                <w:lang w:val="en-US" w:eastAsia="zh-CN"/>
              </w:rPr>
              <w:t>指</w:t>
            </w:r>
            <w:r>
              <w:rPr>
                <w:rFonts w:hint="eastAsia" w:asciiTheme="majorEastAsia" w:hAnsiTheme="majorEastAsia" w:eastAsiaTheme="majorEastAsia" w:cstheme="majorEastAsia"/>
                <w:b w:val="0"/>
                <w:bCs w:val="0"/>
                <w:i w:val="0"/>
                <w:iCs w:val="0"/>
                <w:color w:val="000000"/>
                <w:kern w:val="0"/>
                <w:sz w:val="24"/>
                <w:szCs w:val="24"/>
                <w:u w:val="none"/>
                <w:lang w:val="en-US" w:eastAsia="zh-CN"/>
              </w:rPr>
              <w:br w:type="textWrapping"/>
            </w:r>
            <w:r>
              <w:rPr>
                <w:rFonts w:hint="eastAsia" w:asciiTheme="majorEastAsia" w:hAnsiTheme="majorEastAsia" w:eastAsiaTheme="majorEastAsia" w:cstheme="majorEastAsia"/>
                <w:b w:val="0"/>
                <w:bCs w:val="0"/>
                <w:i w:val="0"/>
                <w:iCs w:val="0"/>
                <w:color w:val="000000"/>
                <w:kern w:val="0"/>
                <w:sz w:val="24"/>
                <w:szCs w:val="24"/>
                <w:u w:val="none"/>
                <w:lang w:val="en-US" w:eastAsia="zh-CN"/>
              </w:rPr>
              <w:t>标</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经济效益</w:t>
            </w:r>
            <w:r>
              <w:rPr>
                <w:rFonts w:hint="eastAsia" w:asciiTheme="majorEastAsia" w:hAnsiTheme="majorEastAsia" w:eastAsiaTheme="majorEastAsia" w:cstheme="majorEastAsia"/>
                <w:b w:val="0"/>
                <w:bCs w:val="0"/>
                <w:i w:val="0"/>
                <w:iCs w:val="0"/>
                <w:color w:val="000000"/>
                <w:kern w:val="0"/>
                <w:sz w:val="24"/>
                <w:szCs w:val="24"/>
                <w:u w:val="none"/>
                <w:lang w:val="en-US" w:eastAsia="zh-CN"/>
              </w:rPr>
              <w:br w:type="textWrapping"/>
            </w: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w:t>
            </w: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指标1：改造完成后区内精神病患者医疗费用支出减少30%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92%</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9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社会效益</w:t>
            </w:r>
            <w:r>
              <w:rPr>
                <w:rFonts w:hint="eastAsia" w:asciiTheme="majorEastAsia" w:hAnsiTheme="majorEastAsia" w:eastAsiaTheme="majorEastAsia" w:cstheme="majorEastAsia"/>
                <w:b w:val="0"/>
                <w:bCs w:val="0"/>
                <w:i w:val="0"/>
                <w:iCs w:val="0"/>
                <w:color w:val="000000"/>
                <w:kern w:val="0"/>
                <w:sz w:val="24"/>
                <w:szCs w:val="24"/>
                <w:u w:val="none"/>
                <w:lang w:val="en-US" w:eastAsia="zh-CN"/>
              </w:rPr>
              <w:br w:type="textWrapping"/>
            </w: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w:t>
            </w: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指标1：改造完成后填补区内精神病专科缺项，区内精神病患者就医更方便</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完成</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指标2：建成后能容纳昭化区精神病人就医</w:t>
            </w:r>
            <w:bookmarkStart w:id="183" w:name="_GoBack"/>
            <w:bookmarkEnd w:id="183"/>
            <w:r>
              <w:rPr>
                <w:rFonts w:hint="eastAsia" w:asciiTheme="majorEastAsia" w:hAnsiTheme="majorEastAsia" w:eastAsiaTheme="majorEastAsia" w:cstheme="majorEastAsia"/>
                <w:b w:val="0"/>
                <w:bCs w:val="0"/>
                <w:i w:val="0"/>
                <w:iCs w:val="0"/>
                <w:color w:val="000000"/>
                <w:kern w:val="0"/>
                <w:sz w:val="24"/>
                <w:szCs w:val="24"/>
                <w:u w:val="none"/>
                <w:lang w:val="en-US" w:eastAsia="zh-CN"/>
              </w:rPr>
              <w:t>60人</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基本完成</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基本完成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指标3：缓解政府社会压力</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90%</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生态效益</w:t>
            </w:r>
            <w:r>
              <w:rPr>
                <w:rFonts w:hint="eastAsia" w:asciiTheme="majorEastAsia" w:hAnsiTheme="majorEastAsia" w:eastAsiaTheme="majorEastAsia" w:cstheme="majorEastAsia"/>
                <w:b w:val="0"/>
                <w:bCs w:val="0"/>
                <w:i w:val="0"/>
                <w:iCs w:val="0"/>
                <w:color w:val="000000"/>
                <w:kern w:val="0"/>
                <w:sz w:val="24"/>
                <w:szCs w:val="24"/>
                <w:u w:val="none"/>
                <w:lang w:val="en-US" w:eastAsia="zh-CN"/>
              </w:rPr>
              <w:br w:type="textWrapping"/>
            </w: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w:t>
            </w: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指标1：医废、污水、噪音处理按照医院建设标准，达环保标准要求</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95%</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可持续影响指标</w:t>
            </w: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指标1：按照总体规划，绿色可持续发展，预留后期病区扩建空间</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 xml:space="preserve">进一步保障 </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 xml:space="preserve">进一步保障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满意度指标</w:t>
            </w:r>
          </w:p>
        </w:tc>
        <w:tc>
          <w:tcPr>
            <w:tcW w:w="9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服务对象</w:t>
            </w:r>
            <w:r>
              <w:rPr>
                <w:rFonts w:hint="eastAsia" w:asciiTheme="majorEastAsia" w:hAnsiTheme="majorEastAsia" w:eastAsiaTheme="majorEastAsia" w:cstheme="majorEastAsia"/>
                <w:b w:val="0"/>
                <w:bCs w:val="0"/>
                <w:i w:val="0"/>
                <w:iCs w:val="0"/>
                <w:color w:val="000000"/>
                <w:kern w:val="0"/>
                <w:sz w:val="24"/>
                <w:szCs w:val="24"/>
                <w:u w:val="none"/>
                <w:lang w:val="en-US" w:eastAsia="zh-CN"/>
              </w:rPr>
              <w:br w:type="textWrapping"/>
            </w:r>
            <w:r>
              <w:rPr>
                <w:rFonts w:hint="eastAsia" w:asciiTheme="majorEastAsia" w:hAnsiTheme="majorEastAsia" w:eastAsiaTheme="majorEastAsia" w:cstheme="majorEastAsia"/>
                <w:b w:val="0"/>
                <w:bCs w:val="0"/>
                <w:i w:val="0"/>
                <w:iCs w:val="0"/>
                <w:color w:val="000000"/>
                <w:kern w:val="0"/>
                <w:sz w:val="24"/>
                <w:szCs w:val="24"/>
                <w:u w:val="none"/>
                <w:lang w:val="en-US" w:eastAsia="zh-CN"/>
              </w:rPr>
              <w:t>满意度指标</w:t>
            </w: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指标1:受益方（精神病患者及家属）满意度</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95%</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24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ajorEastAsia" w:hAnsiTheme="majorEastAsia" w:eastAsiaTheme="majorEastAsia" w:cstheme="majorEastAsia"/>
                <w:b w:val="0"/>
                <w:bCs w:val="0"/>
                <w:i w:val="0"/>
                <w:iCs w:val="0"/>
                <w:color w:val="000000"/>
                <w:sz w:val="24"/>
                <w:szCs w:val="24"/>
                <w:u w:val="none"/>
              </w:rPr>
            </w:pPr>
          </w:p>
        </w:tc>
        <w:tc>
          <w:tcPr>
            <w:tcW w:w="3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指标2：社会影响力满意度</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90%</w:t>
            </w:r>
          </w:p>
        </w:tc>
        <w:tc>
          <w:tcPr>
            <w:tcW w:w="2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val="0"/>
                <w:bCs w:val="0"/>
                <w:i w:val="0"/>
                <w:iCs w:val="0"/>
                <w:color w:val="000000"/>
                <w:sz w:val="24"/>
                <w:szCs w:val="24"/>
                <w:u w:val="none"/>
              </w:rPr>
            </w:pPr>
            <w:r>
              <w:rPr>
                <w:rFonts w:hint="eastAsia" w:asciiTheme="majorEastAsia" w:hAnsiTheme="majorEastAsia" w:eastAsiaTheme="majorEastAsia" w:cstheme="majorEastAsia"/>
                <w:b w:val="0"/>
                <w:bCs w:val="0"/>
                <w:i w:val="0"/>
                <w:iCs w:val="0"/>
                <w:color w:val="000000"/>
                <w:kern w:val="0"/>
                <w:sz w:val="24"/>
                <w:szCs w:val="24"/>
                <w:u w:val="none"/>
                <w:lang w:val="en-US" w:eastAsia="zh-CN"/>
              </w:rPr>
              <w:t>90%</w:t>
            </w:r>
          </w:p>
        </w:tc>
      </w:tr>
      <w:bookmarkEnd w:id="118"/>
    </w:tbl>
    <w:p>
      <w:pPr>
        <w:rPr>
          <w:rFonts w:ascii="宋体"/>
          <w:b/>
          <w:color w:val="auto"/>
          <w:sz w:val="44"/>
          <w:szCs w:val="44"/>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0"/>
        <w:rPr>
          <w:rStyle w:val="30"/>
          <w:rFonts w:hint="eastAsia" w:ascii="黑体" w:hAnsi="黑体" w:eastAsia="黑体"/>
          <w:b w:val="0"/>
          <w:color w:val="auto"/>
          <w:sz w:val="48"/>
          <w:szCs w:val="48"/>
          <w:highlight w:val="none"/>
          <w:lang w:eastAsia="zh-CN"/>
        </w:rPr>
      </w:pPr>
      <w:bookmarkStart w:id="127" w:name="_Toc15396618"/>
      <w:bookmarkStart w:id="128" w:name="_Toc10215"/>
      <w:bookmarkStart w:id="129" w:name="_Toc23572"/>
      <w:bookmarkStart w:id="130" w:name="_Toc858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0"/>
        <w:rPr>
          <w:rStyle w:val="30"/>
          <w:rFonts w:hint="eastAsia" w:ascii="黑体" w:hAnsi="黑体" w:eastAsia="黑体"/>
          <w:b w:val="0"/>
          <w:color w:val="auto"/>
          <w:sz w:val="48"/>
          <w:szCs w:val="48"/>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0"/>
        <w:rPr>
          <w:rStyle w:val="30"/>
          <w:rFonts w:hint="eastAsia" w:ascii="黑体" w:hAnsi="黑体" w:eastAsia="黑体"/>
          <w:b w:val="0"/>
          <w:color w:val="auto"/>
          <w:sz w:val="48"/>
          <w:szCs w:val="48"/>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0"/>
        <w:rPr>
          <w:rStyle w:val="30"/>
          <w:rFonts w:hint="eastAsia" w:ascii="黑体" w:hAnsi="黑体" w:eastAsia="黑体"/>
          <w:b w:val="0"/>
          <w:color w:val="auto"/>
          <w:sz w:val="48"/>
          <w:szCs w:val="48"/>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0"/>
        <w:rPr>
          <w:rStyle w:val="30"/>
          <w:rFonts w:hint="eastAsia" w:ascii="黑体" w:hAnsi="黑体" w:eastAsia="黑体"/>
          <w:b w:val="0"/>
          <w:color w:val="auto"/>
          <w:sz w:val="48"/>
          <w:szCs w:val="48"/>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0"/>
        <w:rPr>
          <w:rStyle w:val="30"/>
          <w:rFonts w:hint="eastAsia" w:ascii="黑体" w:hAnsi="黑体" w:eastAsia="黑体"/>
          <w:b w:val="0"/>
          <w:color w:val="auto"/>
          <w:sz w:val="48"/>
          <w:szCs w:val="48"/>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0"/>
        <w:rPr>
          <w:rStyle w:val="30"/>
          <w:rFonts w:hint="eastAsia" w:ascii="黑体" w:hAnsi="黑体" w:eastAsia="黑体"/>
          <w:b w:val="0"/>
          <w:color w:val="auto"/>
          <w:sz w:val="48"/>
          <w:szCs w:val="48"/>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0"/>
        <w:rPr>
          <w:rStyle w:val="30"/>
          <w:rFonts w:hint="eastAsia" w:ascii="黑体" w:hAnsi="黑体" w:eastAsia="黑体"/>
          <w:b w:val="0"/>
          <w:color w:val="auto"/>
          <w:sz w:val="48"/>
          <w:szCs w:val="48"/>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0"/>
        <w:rPr>
          <w:rStyle w:val="30"/>
          <w:rFonts w:hint="eastAsia" w:ascii="黑体" w:hAnsi="黑体" w:eastAsia="黑体"/>
          <w:b w:val="0"/>
          <w:color w:val="auto"/>
          <w:sz w:val="48"/>
          <w:szCs w:val="48"/>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0"/>
        <w:rPr>
          <w:rStyle w:val="30"/>
          <w:rFonts w:hint="eastAsia" w:ascii="黑体" w:hAnsi="黑体" w:eastAsia="黑体"/>
          <w:b w:val="0"/>
          <w:color w:val="auto"/>
          <w:sz w:val="48"/>
          <w:szCs w:val="48"/>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0"/>
        <w:rPr>
          <w:rStyle w:val="30"/>
          <w:rFonts w:hint="eastAsia" w:ascii="黑体" w:hAnsi="黑体" w:eastAsia="黑体"/>
          <w:b w:val="0"/>
          <w:color w:val="auto"/>
          <w:sz w:val="48"/>
          <w:szCs w:val="48"/>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0"/>
        <w:rPr>
          <w:rStyle w:val="30"/>
          <w:rFonts w:hint="eastAsia" w:ascii="黑体" w:hAnsi="黑体" w:eastAsia="黑体"/>
          <w:b w:val="0"/>
          <w:color w:val="auto"/>
          <w:sz w:val="48"/>
          <w:szCs w:val="48"/>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0"/>
        <w:rPr>
          <w:rStyle w:val="30"/>
          <w:rFonts w:hint="eastAsia" w:ascii="黑体" w:hAnsi="黑体" w:eastAsia="黑体"/>
          <w:b w:val="0"/>
          <w:color w:val="auto"/>
          <w:sz w:val="48"/>
          <w:szCs w:val="48"/>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0"/>
        <w:rPr>
          <w:rStyle w:val="30"/>
          <w:rFonts w:hint="eastAsia" w:ascii="黑体" w:hAnsi="黑体" w:eastAsia="黑体"/>
          <w:b w:val="0"/>
          <w:color w:val="auto"/>
          <w:sz w:val="48"/>
          <w:szCs w:val="48"/>
          <w:highlight w:val="none"/>
        </w:rPr>
      </w:pPr>
      <w:r>
        <w:rPr>
          <w:rStyle w:val="30"/>
          <w:rFonts w:hint="eastAsia" w:ascii="黑体" w:hAnsi="黑体" w:eastAsia="黑体"/>
          <w:b w:val="0"/>
          <w:color w:val="auto"/>
          <w:sz w:val="48"/>
          <w:szCs w:val="48"/>
          <w:highlight w:val="none"/>
          <w:lang w:eastAsia="zh-CN"/>
        </w:rPr>
        <w:t>第五部分</w:t>
      </w:r>
      <w:r>
        <w:rPr>
          <w:rStyle w:val="30"/>
          <w:rFonts w:hint="eastAsia" w:ascii="黑体" w:hAnsi="黑体" w:eastAsia="黑体"/>
          <w:b w:val="0"/>
          <w:color w:val="auto"/>
          <w:sz w:val="48"/>
          <w:szCs w:val="48"/>
          <w:highlight w:val="none"/>
          <w:lang w:val="en-US" w:eastAsia="zh-CN"/>
        </w:rPr>
        <w:t xml:space="preserve"> </w:t>
      </w:r>
      <w:r>
        <w:rPr>
          <w:rStyle w:val="30"/>
          <w:rFonts w:hint="eastAsia" w:ascii="黑体" w:hAnsi="黑体" w:eastAsia="黑体"/>
          <w:b w:val="0"/>
          <w:color w:val="auto"/>
          <w:sz w:val="48"/>
          <w:szCs w:val="48"/>
          <w:highlight w:val="none"/>
        </w:rPr>
        <w:t>附表</w:t>
      </w:r>
      <w:bookmarkEnd w:id="117"/>
      <w:bookmarkEnd w:id="127"/>
      <w:bookmarkEnd w:id="128"/>
      <w:bookmarkEnd w:id="129"/>
      <w:bookmarkEnd w:id="130"/>
      <w:bookmarkStart w:id="131" w:name="_Toc15396619"/>
    </w:p>
    <w:p>
      <w:pPr>
        <w:pStyle w:val="2"/>
        <w:rPr>
          <w:rFonts w:hint="eastAsia"/>
        </w:rPr>
      </w:pPr>
    </w:p>
    <w:p>
      <w:pPr>
        <w:pStyle w:val="4"/>
        <w:keepNext/>
        <w:keepLines/>
        <w:pageBreakBefore w:val="0"/>
        <w:widowControl w:val="0"/>
        <w:kinsoku/>
        <w:wordWrap/>
        <w:overflowPunct/>
        <w:topLinePunct w:val="0"/>
        <w:autoSpaceDE/>
        <w:autoSpaceDN/>
        <w:bidi w:val="0"/>
        <w:adjustRightInd/>
        <w:snapToGrid/>
        <w:spacing w:line="416" w:lineRule="auto"/>
        <w:textAlignment w:val="auto"/>
        <w:rPr>
          <w:rStyle w:val="31"/>
          <w:rFonts w:hint="eastAsia" w:ascii="仿宋" w:hAnsi="仿宋" w:eastAsia="仿宋"/>
          <w:b w:val="0"/>
          <w:bCs w:val="0"/>
          <w:color w:val="auto"/>
          <w:highlight w:val="none"/>
        </w:rPr>
      </w:pPr>
      <w:bookmarkStart w:id="132" w:name="_Toc10628"/>
      <w:bookmarkStart w:id="133" w:name="_Toc2574"/>
      <w:bookmarkStart w:id="134" w:name="_Toc27409"/>
      <w:r>
        <w:rPr>
          <w:rStyle w:val="31"/>
          <w:rFonts w:hint="eastAsia" w:ascii="仿宋" w:hAnsi="仿宋" w:eastAsia="仿宋"/>
          <w:b w:val="0"/>
          <w:bCs w:val="0"/>
          <w:color w:val="auto"/>
          <w:highlight w:val="none"/>
        </w:rPr>
        <w:t>一、收入支出决算总表</w:t>
      </w:r>
      <w:bookmarkEnd w:id="131"/>
      <w:bookmarkEnd w:id="132"/>
      <w:bookmarkEnd w:id="133"/>
      <w:bookmarkEnd w:id="134"/>
    </w:p>
    <w:p>
      <w:pPr>
        <w:pStyle w:val="4"/>
        <w:keepNext/>
        <w:keepLines/>
        <w:pageBreakBefore w:val="0"/>
        <w:widowControl w:val="0"/>
        <w:kinsoku/>
        <w:wordWrap/>
        <w:overflowPunct/>
        <w:topLinePunct w:val="0"/>
        <w:autoSpaceDE/>
        <w:autoSpaceDN/>
        <w:bidi w:val="0"/>
        <w:adjustRightInd/>
        <w:snapToGrid/>
        <w:spacing w:line="416" w:lineRule="auto"/>
        <w:textAlignment w:val="auto"/>
        <w:rPr>
          <w:rFonts w:ascii="仿宋" w:hAnsi="仿宋" w:eastAsia="仿宋"/>
          <w:color w:val="auto"/>
          <w:highlight w:val="none"/>
        </w:rPr>
      </w:pPr>
      <w:bookmarkStart w:id="135" w:name="_Toc4036"/>
      <w:bookmarkStart w:id="136" w:name="_Toc30576"/>
      <w:bookmarkStart w:id="137" w:name="_Toc29765"/>
      <w:bookmarkStart w:id="138" w:name="_Toc15396620"/>
      <w:r>
        <w:rPr>
          <w:rFonts w:hint="eastAsia" w:ascii="仿宋" w:hAnsi="仿宋" w:eastAsia="仿宋"/>
          <w:b w:val="0"/>
          <w:color w:val="auto"/>
          <w:highlight w:val="none"/>
        </w:rPr>
        <w:t>二、收</w:t>
      </w:r>
      <w:r>
        <w:rPr>
          <w:rStyle w:val="31"/>
          <w:rFonts w:hint="eastAsia" w:ascii="仿宋" w:hAnsi="仿宋" w:eastAsia="仿宋"/>
          <w:b w:val="0"/>
          <w:bCs w:val="0"/>
          <w:color w:val="auto"/>
          <w:highlight w:val="none"/>
        </w:rPr>
        <w:t>入决算表</w:t>
      </w:r>
      <w:bookmarkEnd w:id="135"/>
      <w:bookmarkEnd w:id="136"/>
      <w:bookmarkEnd w:id="137"/>
      <w:bookmarkEnd w:id="138"/>
    </w:p>
    <w:p>
      <w:pPr>
        <w:pStyle w:val="4"/>
        <w:keepNext/>
        <w:keepLines/>
        <w:pageBreakBefore w:val="0"/>
        <w:widowControl w:val="0"/>
        <w:kinsoku/>
        <w:wordWrap/>
        <w:overflowPunct/>
        <w:topLinePunct w:val="0"/>
        <w:autoSpaceDE/>
        <w:autoSpaceDN/>
        <w:bidi w:val="0"/>
        <w:adjustRightInd/>
        <w:snapToGrid/>
        <w:spacing w:line="416" w:lineRule="auto"/>
        <w:textAlignment w:val="auto"/>
        <w:rPr>
          <w:rFonts w:ascii="仿宋" w:hAnsi="仿宋" w:eastAsia="仿宋"/>
          <w:color w:val="auto"/>
          <w:highlight w:val="none"/>
        </w:rPr>
      </w:pPr>
      <w:bookmarkStart w:id="139" w:name="_Toc11726"/>
      <w:bookmarkStart w:id="140" w:name="_Toc28090"/>
      <w:bookmarkStart w:id="141" w:name="_Toc15396621"/>
      <w:bookmarkStart w:id="142" w:name="_Toc20419"/>
      <w:r>
        <w:rPr>
          <w:rStyle w:val="31"/>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1"/>
          <w:rFonts w:hint="eastAsia" w:ascii="仿宋" w:hAnsi="仿宋" w:eastAsia="仿宋"/>
          <w:b w:val="0"/>
          <w:bCs w:val="0"/>
          <w:color w:val="auto"/>
          <w:highlight w:val="none"/>
        </w:rPr>
        <w:t>出决算表</w:t>
      </w:r>
      <w:bookmarkEnd w:id="139"/>
      <w:bookmarkEnd w:id="140"/>
      <w:bookmarkEnd w:id="141"/>
      <w:bookmarkEnd w:id="142"/>
    </w:p>
    <w:p>
      <w:pPr>
        <w:pStyle w:val="4"/>
        <w:keepNext/>
        <w:keepLines/>
        <w:pageBreakBefore w:val="0"/>
        <w:widowControl w:val="0"/>
        <w:kinsoku/>
        <w:wordWrap/>
        <w:overflowPunct/>
        <w:topLinePunct w:val="0"/>
        <w:autoSpaceDE/>
        <w:autoSpaceDN/>
        <w:bidi w:val="0"/>
        <w:adjustRightInd/>
        <w:snapToGrid/>
        <w:spacing w:line="416" w:lineRule="auto"/>
        <w:textAlignment w:val="auto"/>
        <w:rPr>
          <w:rFonts w:ascii="仿宋" w:hAnsi="仿宋" w:eastAsia="仿宋"/>
          <w:b w:val="0"/>
          <w:color w:val="auto"/>
          <w:highlight w:val="none"/>
        </w:rPr>
      </w:pPr>
      <w:bookmarkStart w:id="143" w:name="_Toc16425"/>
      <w:bookmarkStart w:id="144" w:name="_Toc8660"/>
      <w:bookmarkStart w:id="145" w:name="_Toc19051"/>
      <w:bookmarkStart w:id="146" w:name="_Toc15396622"/>
      <w:r>
        <w:rPr>
          <w:rStyle w:val="31"/>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1"/>
          <w:rFonts w:hint="eastAsia" w:ascii="仿宋" w:hAnsi="仿宋" w:eastAsia="仿宋"/>
          <w:b w:val="0"/>
          <w:bCs w:val="0"/>
          <w:color w:val="auto"/>
          <w:highlight w:val="none"/>
        </w:rPr>
        <w:t>政拨款收入支出决算总表</w:t>
      </w:r>
      <w:bookmarkEnd w:id="143"/>
      <w:bookmarkEnd w:id="144"/>
      <w:bookmarkEnd w:id="145"/>
      <w:bookmarkEnd w:id="146"/>
    </w:p>
    <w:p>
      <w:pPr>
        <w:pStyle w:val="4"/>
        <w:keepNext/>
        <w:keepLines/>
        <w:pageBreakBefore w:val="0"/>
        <w:widowControl w:val="0"/>
        <w:kinsoku/>
        <w:wordWrap/>
        <w:overflowPunct/>
        <w:topLinePunct w:val="0"/>
        <w:autoSpaceDE/>
        <w:autoSpaceDN/>
        <w:bidi w:val="0"/>
        <w:adjustRightInd/>
        <w:snapToGrid/>
        <w:spacing w:line="416" w:lineRule="auto"/>
        <w:textAlignment w:val="auto"/>
        <w:rPr>
          <w:rStyle w:val="31"/>
          <w:rFonts w:ascii="仿宋" w:hAnsi="仿宋" w:eastAsia="仿宋"/>
          <w:b w:val="0"/>
          <w:bCs w:val="0"/>
          <w:color w:val="auto"/>
          <w:highlight w:val="none"/>
        </w:rPr>
      </w:pPr>
      <w:bookmarkStart w:id="147" w:name="_Toc15396623"/>
      <w:bookmarkStart w:id="148" w:name="_Toc2127"/>
      <w:bookmarkStart w:id="149" w:name="_Toc26776"/>
      <w:bookmarkStart w:id="150" w:name="_Toc7100"/>
      <w:r>
        <w:rPr>
          <w:rStyle w:val="31"/>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1"/>
          <w:rFonts w:hint="eastAsia" w:ascii="仿宋" w:hAnsi="仿宋" w:eastAsia="仿宋"/>
          <w:b w:val="0"/>
          <w:bCs w:val="0"/>
          <w:color w:val="auto"/>
          <w:highlight w:val="none"/>
        </w:rPr>
        <w:t>政拨款支出决算明细表</w:t>
      </w:r>
      <w:bookmarkEnd w:id="147"/>
      <w:bookmarkEnd w:id="148"/>
      <w:bookmarkEnd w:id="149"/>
      <w:bookmarkEnd w:id="150"/>
      <w:bookmarkStart w:id="151" w:name="_Toc15396624"/>
    </w:p>
    <w:p>
      <w:pPr>
        <w:pStyle w:val="4"/>
        <w:keepNext/>
        <w:keepLines/>
        <w:pageBreakBefore w:val="0"/>
        <w:widowControl w:val="0"/>
        <w:kinsoku/>
        <w:wordWrap/>
        <w:overflowPunct/>
        <w:topLinePunct w:val="0"/>
        <w:autoSpaceDE/>
        <w:autoSpaceDN/>
        <w:bidi w:val="0"/>
        <w:adjustRightInd/>
        <w:snapToGrid/>
        <w:spacing w:line="416" w:lineRule="auto"/>
        <w:textAlignment w:val="auto"/>
        <w:rPr>
          <w:rFonts w:ascii="仿宋" w:hAnsi="仿宋" w:eastAsia="仿宋"/>
          <w:color w:val="auto"/>
          <w:highlight w:val="none"/>
        </w:rPr>
      </w:pPr>
      <w:bookmarkStart w:id="152" w:name="_Toc13673"/>
      <w:bookmarkStart w:id="153" w:name="_Toc8712"/>
      <w:bookmarkStart w:id="154" w:name="_Toc27102"/>
      <w:r>
        <w:rPr>
          <w:rStyle w:val="31"/>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般公共预算财政拨款支出决算表</w:t>
      </w:r>
      <w:bookmarkEnd w:id="151"/>
      <w:bookmarkEnd w:id="152"/>
      <w:bookmarkEnd w:id="153"/>
      <w:bookmarkEnd w:id="154"/>
    </w:p>
    <w:p>
      <w:pPr>
        <w:pStyle w:val="4"/>
        <w:keepNext/>
        <w:keepLines/>
        <w:pageBreakBefore w:val="0"/>
        <w:widowControl w:val="0"/>
        <w:kinsoku/>
        <w:wordWrap/>
        <w:overflowPunct/>
        <w:topLinePunct w:val="0"/>
        <w:autoSpaceDE/>
        <w:autoSpaceDN/>
        <w:bidi w:val="0"/>
        <w:adjustRightInd/>
        <w:snapToGrid/>
        <w:spacing w:line="416" w:lineRule="auto"/>
        <w:textAlignment w:val="auto"/>
        <w:rPr>
          <w:rFonts w:ascii="仿宋" w:hAnsi="仿宋" w:eastAsia="仿宋"/>
          <w:color w:val="auto"/>
          <w:highlight w:val="none"/>
        </w:rPr>
      </w:pPr>
      <w:bookmarkStart w:id="155" w:name="_Toc26469"/>
      <w:bookmarkStart w:id="156" w:name="_Toc26546"/>
      <w:bookmarkStart w:id="157" w:name="_Toc21482"/>
      <w:bookmarkStart w:id="158" w:name="_Toc15396625"/>
      <w:r>
        <w:rPr>
          <w:rStyle w:val="31"/>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般公共预算财政拨款支出决算明细表</w:t>
      </w:r>
      <w:bookmarkEnd w:id="155"/>
      <w:bookmarkEnd w:id="156"/>
      <w:bookmarkEnd w:id="157"/>
      <w:bookmarkEnd w:id="158"/>
    </w:p>
    <w:p>
      <w:pPr>
        <w:pStyle w:val="4"/>
        <w:keepNext/>
        <w:keepLines/>
        <w:pageBreakBefore w:val="0"/>
        <w:widowControl w:val="0"/>
        <w:kinsoku/>
        <w:wordWrap/>
        <w:overflowPunct/>
        <w:topLinePunct w:val="0"/>
        <w:autoSpaceDE/>
        <w:autoSpaceDN/>
        <w:bidi w:val="0"/>
        <w:adjustRightInd/>
        <w:snapToGrid/>
        <w:spacing w:line="416" w:lineRule="auto"/>
        <w:textAlignment w:val="auto"/>
        <w:rPr>
          <w:rFonts w:ascii="仿宋" w:hAnsi="仿宋" w:eastAsia="仿宋"/>
          <w:color w:val="auto"/>
          <w:highlight w:val="none"/>
        </w:rPr>
      </w:pPr>
      <w:bookmarkStart w:id="159" w:name="_Toc15396626"/>
      <w:bookmarkStart w:id="160" w:name="_Toc28843"/>
      <w:bookmarkStart w:id="161" w:name="_Toc25141"/>
      <w:bookmarkStart w:id="162" w:name="_Toc27765"/>
      <w:r>
        <w:rPr>
          <w:rStyle w:val="31"/>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般公共预算财政拨款基本支出决算表</w:t>
      </w:r>
      <w:bookmarkEnd w:id="159"/>
      <w:bookmarkEnd w:id="160"/>
      <w:bookmarkEnd w:id="161"/>
      <w:bookmarkEnd w:id="162"/>
    </w:p>
    <w:p>
      <w:pPr>
        <w:pStyle w:val="4"/>
        <w:keepNext/>
        <w:keepLines/>
        <w:pageBreakBefore w:val="0"/>
        <w:widowControl w:val="0"/>
        <w:kinsoku/>
        <w:wordWrap/>
        <w:overflowPunct/>
        <w:topLinePunct w:val="0"/>
        <w:autoSpaceDE/>
        <w:autoSpaceDN/>
        <w:bidi w:val="0"/>
        <w:adjustRightInd/>
        <w:snapToGrid/>
        <w:spacing w:line="416" w:lineRule="auto"/>
        <w:textAlignment w:val="auto"/>
        <w:rPr>
          <w:rFonts w:ascii="仿宋" w:hAnsi="仿宋" w:eastAsia="仿宋"/>
          <w:color w:val="auto"/>
          <w:highlight w:val="none"/>
        </w:rPr>
      </w:pPr>
      <w:bookmarkStart w:id="163" w:name="_Toc27603"/>
      <w:bookmarkStart w:id="164" w:name="_Toc13451"/>
      <w:bookmarkStart w:id="165" w:name="_Toc1034"/>
      <w:bookmarkStart w:id="166" w:name="_Toc15396627"/>
      <w:r>
        <w:rPr>
          <w:rStyle w:val="31"/>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般公共预算财政拨款项目支出决算表</w:t>
      </w:r>
      <w:bookmarkEnd w:id="163"/>
      <w:bookmarkEnd w:id="164"/>
      <w:bookmarkEnd w:id="165"/>
      <w:bookmarkEnd w:id="166"/>
    </w:p>
    <w:p>
      <w:pPr>
        <w:pStyle w:val="4"/>
        <w:keepNext/>
        <w:keepLines/>
        <w:pageBreakBefore w:val="0"/>
        <w:widowControl w:val="0"/>
        <w:kinsoku/>
        <w:wordWrap/>
        <w:overflowPunct/>
        <w:topLinePunct w:val="0"/>
        <w:autoSpaceDE/>
        <w:autoSpaceDN/>
        <w:bidi w:val="0"/>
        <w:adjustRightInd/>
        <w:snapToGrid/>
        <w:spacing w:line="416" w:lineRule="auto"/>
        <w:textAlignment w:val="auto"/>
        <w:rPr>
          <w:rFonts w:ascii="仿宋" w:hAnsi="仿宋" w:eastAsia="仿宋"/>
          <w:color w:val="auto"/>
          <w:highlight w:val="none"/>
        </w:rPr>
      </w:pPr>
      <w:bookmarkStart w:id="167" w:name="_Toc15396628"/>
      <w:bookmarkStart w:id="168" w:name="_Toc4213"/>
      <w:bookmarkStart w:id="169" w:name="_Toc20910"/>
      <w:bookmarkStart w:id="170" w:name="_Toc10737"/>
      <w:r>
        <w:rPr>
          <w:rStyle w:val="31"/>
          <w:rFonts w:hint="eastAsia" w:ascii="仿宋" w:hAnsi="仿宋" w:eastAsia="仿宋"/>
          <w:b w:val="0"/>
          <w:bCs w:val="0"/>
          <w:color w:val="auto"/>
          <w:highlight w:val="none"/>
        </w:rPr>
        <w:t>十、</w:t>
      </w:r>
      <w:bookmarkEnd w:id="167"/>
      <w:r>
        <w:rPr>
          <w:rFonts w:hint="eastAsia" w:ascii="仿宋" w:hAnsi="仿宋" w:eastAsia="仿宋"/>
          <w:b w:val="0"/>
          <w:color w:val="auto"/>
          <w:highlight w:val="none"/>
        </w:rPr>
        <w:t>政</w:t>
      </w:r>
      <w:r>
        <w:rPr>
          <w:rStyle w:val="31"/>
          <w:rFonts w:hint="eastAsia" w:ascii="仿宋" w:hAnsi="仿宋" w:eastAsia="仿宋"/>
          <w:b w:val="0"/>
          <w:bCs w:val="0"/>
          <w:color w:val="auto"/>
          <w:highlight w:val="none"/>
        </w:rPr>
        <w:t>府性基金预算财政拨款收入支出决算表</w:t>
      </w:r>
      <w:bookmarkEnd w:id="168"/>
      <w:bookmarkEnd w:id="169"/>
      <w:bookmarkEnd w:id="170"/>
    </w:p>
    <w:p>
      <w:pPr>
        <w:pStyle w:val="4"/>
        <w:keepNext/>
        <w:keepLines/>
        <w:pageBreakBefore w:val="0"/>
        <w:widowControl w:val="0"/>
        <w:kinsoku/>
        <w:wordWrap/>
        <w:overflowPunct/>
        <w:topLinePunct w:val="0"/>
        <w:autoSpaceDE/>
        <w:autoSpaceDN/>
        <w:bidi w:val="0"/>
        <w:adjustRightInd/>
        <w:snapToGrid/>
        <w:spacing w:line="416" w:lineRule="auto"/>
        <w:textAlignment w:val="auto"/>
        <w:rPr>
          <w:rFonts w:ascii="仿宋" w:hAnsi="仿宋" w:eastAsia="仿宋"/>
          <w:color w:val="auto"/>
          <w:highlight w:val="none"/>
        </w:rPr>
      </w:pPr>
      <w:bookmarkStart w:id="171" w:name="_Toc15396629"/>
      <w:bookmarkStart w:id="172" w:name="_Toc23146"/>
      <w:bookmarkStart w:id="173" w:name="_Toc5962"/>
      <w:bookmarkStart w:id="174" w:name="_Toc3964"/>
      <w:r>
        <w:rPr>
          <w:rStyle w:val="31"/>
          <w:rFonts w:hint="eastAsia" w:ascii="仿宋" w:hAnsi="仿宋" w:eastAsia="仿宋"/>
          <w:b w:val="0"/>
          <w:bCs w:val="0"/>
          <w:color w:val="auto"/>
          <w:highlight w:val="none"/>
        </w:rPr>
        <w:t>十一、</w:t>
      </w:r>
      <w:bookmarkEnd w:id="171"/>
      <w:r>
        <w:rPr>
          <w:rFonts w:hint="eastAsia" w:ascii="仿宋" w:hAnsi="仿宋" w:eastAsia="仿宋"/>
          <w:b w:val="0"/>
          <w:color w:val="auto"/>
          <w:highlight w:val="none"/>
        </w:rPr>
        <w:t>国</w:t>
      </w:r>
      <w:r>
        <w:rPr>
          <w:rStyle w:val="31"/>
          <w:rFonts w:hint="eastAsia" w:ascii="仿宋" w:hAnsi="仿宋" w:eastAsia="仿宋"/>
          <w:b w:val="0"/>
          <w:bCs w:val="0"/>
          <w:color w:val="auto"/>
          <w:highlight w:val="none"/>
        </w:rPr>
        <w:t>有资本经营预算</w:t>
      </w:r>
      <w:r>
        <w:rPr>
          <w:rStyle w:val="31"/>
          <w:rFonts w:hint="eastAsia" w:ascii="仿宋" w:hAnsi="仿宋" w:eastAsia="仿宋"/>
          <w:b w:val="0"/>
          <w:bCs w:val="0"/>
          <w:color w:val="auto"/>
          <w:highlight w:val="none"/>
          <w:lang w:eastAsia="zh-CN"/>
        </w:rPr>
        <w:t>财政拨款收入</w:t>
      </w:r>
      <w:r>
        <w:rPr>
          <w:rStyle w:val="31"/>
          <w:rFonts w:hint="eastAsia" w:ascii="仿宋" w:hAnsi="仿宋" w:eastAsia="仿宋"/>
          <w:b w:val="0"/>
          <w:bCs w:val="0"/>
          <w:color w:val="auto"/>
          <w:highlight w:val="none"/>
        </w:rPr>
        <w:t>支出决算表</w:t>
      </w:r>
      <w:bookmarkEnd w:id="172"/>
      <w:bookmarkEnd w:id="173"/>
      <w:bookmarkEnd w:id="174"/>
    </w:p>
    <w:p>
      <w:pPr>
        <w:pStyle w:val="4"/>
        <w:keepNext/>
        <w:keepLines/>
        <w:pageBreakBefore w:val="0"/>
        <w:widowControl w:val="0"/>
        <w:kinsoku/>
        <w:wordWrap/>
        <w:overflowPunct/>
        <w:topLinePunct w:val="0"/>
        <w:autoSpaceDE/>
        <w:autoSpaceDN/>
        <w:bidi w:val="0"/>
        <w:adjustRightInd/>
        <w:snapToGrid/>
        <w:spacing w:line="416" w:lineRule="auto"/>
        <w:textAlignment w:val="auto"/>
        <w:rPr>
          <w:rFonts w:ascii="仿宋" w:hAnsi="仿宋" w:eastAsia="仿宋"/>
          <w:color w:val="auto"/>
          <w:highlight w:val="none"/>
        </w:rPr>
      </w:pPr>
      <w:bookmarkStart w:id="175" w:name="_Toc15396630"/>
      <w:bookmarkStart w:id="176" w:name="_Toc14604"/>
      <w:bookmarkStart w:id="177" w:name="_Toc4218"/>
      <w:bookmarkStart w:id="178" w:name="_Toc16780"/>
      <w:r>
        <w:rPr>
          <w:rStyle w:val="31"/>
          <w:rFonts w:hint="eastAsia" w:ascii="仿宋" w:hAnsi="仿宋" w:eastAsia="仿宋"/>
          <w:b w:val="0"/>
          <w:bCs w:val="0"/>
          <w:color w:val="auto"/>
          <w:highlight w:val="none"/>
        </w:rPr>
        <w:t>十二、</w:t>
      </w:r>
      <w:bookmarkEnd w:id="175"/>
      <w:r>
        <w:rPr>
          <w:rStyle w:val="31"/>
          <w:rFonts w:hint="eastAsia" w:ascii="仿宋" w:hAnsi="仿宋" w:eastAsia="仿宋"/>
          <w:b w:val="0"/>
          <w:bCs w:val="0"/>
          <w:color w:val="auto"/>
          <w:highlight w:val="none"/>
          <w:lang w:eastAsia="zh-CN"/>
        </w:rPr>
        <w:t>国有资本经营预算财政拨款支出决算表</w:t>
      </w:r>
      <w:bookmarkEnd w:id="176"/>
      <w:bookmarkEnd w:id="177"/>
      <w:bookmarkEnd w:id="178"/>
    </w:p>
    <w:p>
      <w:pPr>
        <w:pStyle w:val="4"/>
        <w:keepNext/>
        <w:keepLines/>
        <w:pageBreakBefore w:val="0"/>
        <w:widowControl w:val="0"/>
        <w:kinsoku/>
        <w:wordWrap/>
        <w:overflowPunct/>
        <w:topLinePunct w:val="0"/>
        <w:autoSpaceDE/>
        <w:autoSpaceDN/>
        <w:bidi w:val="0"/>
        <w:adjustRightInd/>
        <w:snapToGrid/>
        <w:spacing w:line="416" w:lineRule="auto"/>
        <w:textAlignment w:val="auto"/>
        <w:rPr>
          <w:rFonts w:hint="eastAsia" w:eastAsia="仿宋"/>
          <w:color w:val="auto"/>
          <w:highlight w:val="none"/>
          <w:lang w:eastAsia="zh-CN"/>
        </w:rPr>
      </w:pPr>
      <w:bookmarkStart w:id="179" w:name="_Toc15396631"/>
      <w:bookmarkStart w:id="180" w:name="_Toc13235"/>
      <w:bookmarkStart w:id="181" w:name="_Toc27504"/>
      <w:bookmarkStart w:id="182" w:name="_Toc2550"/>
      <w:r>
        <w:rPr>
          <w:rStyle w:val="31"/>
          <w:rFonts w:hint="eastAsia" w:ascii="仿宋" w:hAnsi="仿宋" w:eastAsia="仿宋"/>
          <w:b w:val="0"/>
          <w:bCs w:val="0"/>
          <w:color w:val="auto"/>
          <w:highlight w:val="none"/>
        </w:rPr>
        <w:t>十三、</w:t>
      </w:r>
      <w:bookmarkEnd w:id="179"/>
      <w:r>
        <w:rPr>
          <w:rStyle w:val="31"/>
          <w:rFonts w:hint="eastAsia" w:ascii="仿宋" w:hAnsi="仿宋" w:eastAsia="仿宋"/>
          <w:b w:val="0"/>
          <w:bCs w:val="0"/>
          <w:color w:val="auto"/>
          <w:highlight w:val="none"/>
          <w:lang w:eastAsia="zh-CN"/>
        </w:rPr>
        <w:t>财政拨款“三公”经费支出决算表</w:t>
      </w:r>
      <w:bookmarkEnd w:id="180"/>
      <w:bookmarkEnd w:id="181"/>
      <w:bookmarkEnd w:id="182"/>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auto"/>
    <w:pitch w:val="default"/>
    <w:sig w:usb0="00000000" w:usb1="00000000" w:usb2="00000000" w:usb3="00000000" w:csb0="00000000" w:csb1="0000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chineseCounting"/>
      <w:suff w:val="nothing"/>
      <w:lvlText w:val="%1、"/>
      <w:lvlJc w:val="left"/>
      <w:rPr>
        <w:rFonts w:hint="eastAsia"/>
      </w:rPr>
    </w:lvl>
  </w:abstractNum>
  <w:abstractNum w:abstractNumId="1">
    <w:nsid w:val="CF092B84"/>
    <w:multiLevelType w:val="singleLevel"/>
    <w:tmpl w:val="CF092B84"/>
    <w:lvl w:ilvl="0" w:tentative="0">
      <w:start w:val="9"/>
      <w:numFmt w:val="chineseCounting"/>
      <w:suff w:val="nothing"/>
      <w:lvlText w:val="%1、"/>
      <w:lvlJc w:val="left"/>
      <w:rPr>
        <w:rFonts w:hint="eastAsia"/>
      </w:rPr>
    </w:lvl>
  </w:abstractNum>
  <w:abstractNum w:abstractNumId="2">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9ADCABA"/>
    <w:multiLevelType w:val="singleLevel"/>
    <w:tmpl w:val="59ADCABA"/>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751C7FB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7"/>
    <w:qFormat/>
    <w:uiPriority w:val="99"/>
    <w:pPr>
      <w:spacing w:beforeLines="30"/>
    </w:pPr>
    <w:rPr>
      <w:rFonts w:ascii="仿宋_GB2312" w:eastAsia="仿宋_GB2312"/>
      <w:kern w:val="0"/>
      <w:sz w:val="30"/>
    </w:rPr>
  </w:style>
  <w:style w:type="paragraph" w:styleId="6">
    <w:name w:val="Salutation"/>
    <w:basedOn w:val="1"/>
    <w:next w:val="1"/>
    <w:qFormat/>
    <w:uiPriority w:val="0"/>
    <w:rPr>
      <w:rFonts w:ascii="Times New Roman" w:hAnsi="Times New Roman"/>
      <w:szCs w:val="20"/>
    </w:r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next w:val="1"/>
    <w:unhideWhenUsed/>
    <w:qFormat/>
    <w:uiPriority w:val="99"/>
    <w:pPr>
      <w:keepNext w:val="0"/>
      <w:keepLines w:val="0"/>
      <w:widowControl w:val="0"/>
      <w:suppressLineNumbers w:val="0"/>
      <w:spacing w:after="120" w:afterAutospacing="0"/>
      <w:ind w:leftChars="200" w:firstLine="420" w:firstLineChars="200"/>
      <w:jc w:val="both"/>
    </w:pPr>
    <w:rPr>
      <w:rFonts w:hint="default" w:ascii="仿宋_GB2312" w:hAnsi="Times New Roman" w:eastAsia="宋体" w:cs="Times New Roman"/>
      <w:kern w:val="2"/>
      <w:sz w:val="21"/>
      <w:szCs w:val="21"/>
      <w:lang w:val="en-US" w:eastAsia="zh-CN"/>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3"/>
    <w:semiHidden/>
    <w:unhideWhenUsed/>
    <w:qFormat/>
    <w:uiPriority w:val="99"/>
    <w:rPr>
      <w:sz w:val="18"/>
      <w:szCs w:val="18"/>
    </w:rPr>
  </w:style>
  <w:style w:type="paragraph" w:styleId="11">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table" w:styleId="17">
    <w:name w:val="Table Grid"/>
    <w:basedOn w:val="1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paragraph" w:customStyle="1" w:styleId="21">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2">
    <w:name w:val="Header Char"/>
    <w:basedOn w:val="18"/>
    <w:semiHidden/>
    <w:qFormat/>
    <w:uiPriority w:val="99"/>
    <w:rPr>
      <w:rFonts w:ascii="Times New Roman" w:hAnsi="Times New Roman"/>
      <w:sz w:val="18"/>
      <w:szCs w:val="18"/>
    </w:rPr>
  </w:style>
  <w:style w:type="character" w:customStyle="1" w:styleId="23">
    <w:name w:val="页眉 Char"/>
    <w:link w:val="12"/>
    <w:semiHidden/>
    <w:qFormat/>
    <w:locked/>
    <w:uiPriority w:val="99"/>
    <w:rPr>
      <w:sz w:val="18"/>
    </w:rPr>
  </w:style>
  <w:style w:type="character" w:customStyle="1" w:styleId="24">
    <w:name w:val="Footer Char"/>
    <w:basedOn w:val="18"/>
    <w:semiHidden/>
    <w:qFormat/>
    <w:uiPriority w:val="99"/>
    <w:rPr>
      <w:rFonts w:ascii="Times New Roman" w:hAnsi="Times New Roman"/>
      <w:sz w:val="18"/>
      <w:szCs w:val="18"/>
    </w:rPr>
  </w:style>
  <w:style w:type="character" w:customStyle="1" w:styleId="25">
    <w:name w:val="页脚 Char"/>
    <w:link w:val="11"/>
    <w:qFormat/>
    <w:locked/>
    <w:uiPriority w:val="99"/>
    <w:rPr>
      <w:sz w:val="18"/>
    </w:rPr>
  </w:style>
  <w:style w:type="character" w:customStyle="1" w:styleId="26">
    <w:name w:val="Body Text Char"/>
    <w:basedOn w:val="18"/>
    <w:semiHidden/>
    <w:qFormat/>
    <w:uiPriority w:val="99"/>
    <w:rPr>
      <w:rFonts w:ascii="Times New Roman" w:hAnsi="Times New Roman"/>
      <w:szCs w:val="24"/>
    </w:rPr>
  </w:style>
  <w:style w:type="character" w:customStyle="1" w:styleId="27">
    <w:name w:val="正文文本 Char"/>
    <w:link w:val="2"/>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Char"/>
    <w:basedOn w:val="18"/>
    <w:link w:val="3"/>
    <w:qFormat/>
    <w:uiPriority w:val="9"/>
    <w:rPr>
      <w:rFonts w:ascii="Times New Roman" w:hAnsi="Times New Roman"/>
      <w:b/>
      <w:bCs/>
      <w:kern w:val="44"/>
      <w:sz w:val="44"/>
      <w:szCs w:val="44"/>
    </w:rPr>
  </w:style>
  <w:style w:type="character" w:customStyle="1" w:styleId="31">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8"/>
    <w:link w:val="10"/>
    <w:semiHidden/>
    <w:qFormat/>
    <w:uiPriority w:val="99"/>
    <w:rPr>
      <w:rFonts w:ascii="Times New Roman" w:hAnsi="Times New Roman"/>
      <w:kern w:val="2"/>
      <w:sz w:val="18"/>
      <w:szCs w:val="18"/>
    </w:rPr>
  </w:style>
  <w:style w:type="character" w:customStyle="1" w:styleId="34">
    <w:name w:val="标题 3 Char"/>
    <w:basedOn w:val="18"/>
    <w:link w:val="5"/>
    <w:qFormat/>
    <w:uiPriority w:val="9"/>
    <w:rPr>
      <w:rFonts w:ascii="Times New Roman" w:hAnsi="Times New Roman"/>
      <w:b/>
      <w:bCs/>
      <w:kern w:val="2"/>
      <w:sz w:val="32"/>
      <w:szCs w:val="32"/>
    </w:rPr>
  </w:style>
  <w:style w:type="paragraph" w:customStyle="1" w:styleId="35">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7">
    <w:name w:val="font41"/>
    <w:basedOn w:val="18"/>
    <w:qFormat/>
    <w:uiPriority w:val="0"/>
    <w:rPr>
      <w:rFonts w:ascii="宋体" w:hAnsi="宋体" w:eastAsia="宋体" w:cs="宋体"/>
      <w:color w:val="000000"/>
      <w:sz w:val="20"/>
      <w:szCs w:val="20"/>
      <w:u w:val="none"/>
    </w:rPr>
  </w:style>
  <w:style w:type="paragraph" w:customStyle="1" w:styleId="38">
    <w:name w:val="WPSOffice手动目录 1"/>
    <w:qFormat/>
    <w:uiPriority w:val="0"/>
    <w:pPr>
      <w:ind w:leftChars="0"/>
    </w:pPr>
    <w:rPr>
      <w:rFonts w:ascii="Times New Roman" w:hAnsi="Times New Roman" w:eastAsia="宋体" w:cs="Times New Roman"/>
      <w:sz w:val="20"/>
      <w:szCs w:val="20"/>
    </w:rPr>
  </w:style>
  <w:style w:type="paragraph" w:customStyle="1" w:styleId="39">
    <w:name w:val="WPSOffice手动目录 2"/>
    <w:qFormat/>
    <w:uiPriority w:val="0"/>
    <w:pPr>
      <w:ind w:leftChars="200"/>
    </w:pPr>
    <w:rPr>
      <w:rFonts w:ascii="Times New Roman" w:hAnsi="Times New Roman" w:eastAsia="宋体" w:cs="Times New Roman"/>
      <w:sz w:val="20"/>
      <w:szCs w:val="20"/>
    </w:rPr>
  </w:style>
  <w:style w:type="paragraph" w:customStyle="1" w:styleId="40">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Workbook1.xls"/><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chart" Target="charts/chart3.xml"/><Relationship Id="rId15" Type="http://schemas.openxmlformats.org/officeDocument/2006/relationships/image" Target="media/image3.emf"/><Relationship Id="rId14" Type="http://schemas.openxmlformats.org/officeDocument/2006/relationships/oleObject" Target="embeddings/Workbook3.xls"/><Relationship Id="rId13" Type="http://schemas.openxmlformats.org/officeDocument/2006/relationships/image" Target="media/image2.emf"/><Relationship Id="rId12" Type="http://schemas.openxmlformats.org/officeDocument/2006/relationships/oleObject" Target="embeddings/Workbook2.xls"/><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G:\&#39044;&#20915;&#31639;&#36164;&#26009;\&#39044;&#20915;&#31639;&#20844;&#24320;\&#26032;&#24314;%20&#27704;&#20013;&#34920;&#2668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39044;&#20915;&#31639;&#36164;&#26009;\&#39044;&#20915;&#31639;&#20844;&#24320;\&#26032;&#24314;%20&#27704;&#20013;&#34920;&#2668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G:\&#39044;&#20915;&#31639;&#36164;&#26009;\&#39044;&#20915;&#31639;&#20844;&#24320;\&#26032;&#24314;%20&#27704;&#20013;&#34920;&#266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100" b="0" i="0" u="none" strike="noStrike" kern="1200" baseline="0">
                <a:solidFill>
                  <a:srgbClr val="595959"/>
                </a:solidFill>
                <a:latin typeface="Times New Roman" panose="02020603050405020304"/>
                <a:ea typeface="宋体" panose="02010600030101010101" charset="-122"/>
                <a:cs typeface="Arial" panose="020B0604020202020204" pitchFamily="2"/>
              </a:defRPr>
            </a:pPr>
            <a:r>
              <a:rPr lang="zh-CN"/>
              <a:t>支出总计</a:t>
            </a:r>
            <a:endParaRPr lang="zh-CN"/>
          </a:p>
        </c:rich>
      </c:tx>
      <c:layout/>
      <c:overlay val="0"/>
      <c:spPr>
        <a:ln>
          <a:noFill/>
        </a:ln>
      </c:spPr>
    </c:title>
    <c:autoTitleDeleted val="0"/>
    <c:view3D>
      <c:rotX val="30"/>
      <c:rotY val="0"/>
      <c:depthPercent val="100"/>
      <c:rAngAx val="0"/>
      <c:hPercent val="100"/>
      <c:perspective val="0"/>
    </c:view3D>
    <c:floor>
      <c:thickness val="0"/>
      <c:spPr>
        <a:ln>
          <a:noFill/>
        </a:ln>
      </c:spPr>
    </c:floor>
    <c:sideWall>
      <c:thickness val="0"/>
      <c:spPr>
        <a:ln>
          <a:noFill/>
        </a:ln>
      </c:spPr>
    </c:sideWall>
    <c:backWall>
      <c:thickness val="0"/>
      <c:spPr>
        <a:noFill/>
        <a:ln>
          <a:noFill/>
        </a:ln>
      </c:spPr>
    </c:backWall>
    <c:plotArea>
      <c:layout>
        <c:manualLayout>
          <c:layoutTarget val="inner"/>
          <c:xMode val="edge"/>
          <c:yMode val="edge"/>
          <c:x val="0.0835766423357664"/>
          <c:y val="0.229824071488411"/>
          <c:w val="0.8330900243309"/>
          <c:h val="0.588941636414409"/>
        </c:manualLayout>
      </c:layout>
      <c:pie3DChart>
        <c:varyColors val="1"/>
        <c:ser>
          <c:idx val="0"/>
          <c:order val="0"/>
          <c:tx>
            <c:strRef>
              <c:f>'[新建 永中表格.xlsx]Sheet1'!$D$2</c:f>
              <c:strCache>
                <c:ptCount val="1"/>
                <c:pt idx="0">
                  <c:v>收入总计</c:v>
                </c:pt>
              </c:strCache>
            </c:strRef>
          </c:tx>
          <c:spPr>
            <a:ln w="12700">
              <a:solidFill>
                <a:srgbClr val="FFFFFF"/>
              </a:solidFill>
              <a:prstDash val="solid"/>
            </a:ln>
          </c:spPr>
          <c:explosion val="0"/>
          <c:dPt>
            <c:idx val="0"/>
            <c:bubble3D val="0"/>
            <c:explosion val="9"/>
            <c:spPr>
              <a:solidFill>
                <a:srgbClr val="5B9BD5"/>
              </a:solidFill>
              <a:ln w="12700">
                <a:solidFill>
                  <a:srgbClr val="FFFFFF"/>
                </a:solidFill>
                <a:prstDash val="solid"/>
              </a:ln>
            </c:spPr>
          </c:dPt>
          <c:dPt>
            <c:idx val="1"/>
            <c:bubble3D val="0"/>
            <c:spPr>
              <a:solidFill>
                <a:srgbClr val="ED7D31"/>
              </a:solidFill>
              <a:ln w="12700">
                <a:solidFill>
                  <a:srgbClr val="FFFFFF"/>
                </a:solidFill>
                <a:prstDash val="solid"/>
              </a:ln>
            </c:spPr>
          </c:dPt>
          <c:dPt>
            <c:idx val="2"/>
            <c:bubble3D val="0"/>
            <c:spPr>
              <a:ln w="12700">
                <a:solidFill>
                  <a:srgbClr val="FFFFFF"/>
                </a:solidFill>
                <a:prstDash val="solid"/>
              </a:ln>
            </c:spPr>
          </c:dPt>
          <c:dLbls>
            <c:dLbl>
              <c:idx val="0"/>
              <c:layout>
                <c:manualLayout>
                  <c:x val="-0.148975803389199"/>
                  <c:y val="-0.11499401487840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3F3F3F"/>
                      </a:solidFill>
                      <a:latin typeface="Times New Roman" panose="02020603050405020304"/>
                      <a:ea typeface="宋体" panose="02010600030101010101" charset="-122"/>
                      <a:cs typeface="Arial" panose="020B0604020202020204" pitchFamily="2"/>
                    </a:defRPr>
                  </a:pPr>
                </a:p>
              </c:txPr>
              <c:dLblPos val="bestFit"/>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0.129888263612663"/>
                  <c:y val="0.0382798524166969"/>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3F3F3F"/>
                      </a:solidFill>
                      <a:latin typeface="Times New Roman" panose="02020603050405020304"/>
                      <a:ea typeface="宋体" panose="02010600030101010101" charset="-122"/>
                      <a:cs typeface="Arial" panose="020B0604020202020204" pitchFamily="2"/>
                    </a:defRPr>
                  </a:pPr>
                </a:p>
              </c:txPr>
              <c:dLblPos val="bestFit"/>
              <c:showLegendKey val="0"/>
              <c:showVal val="1"/>
              <c:showCatName val="1"/>
              <c:showSerName val="0"/>
              <c:showPercent val="0"/>
              <c:showBubbleSize val="0"/>
              <c:extLst>
                <c:ext xmlns:c15="http://schemas.microsoft.com/office/drawing/2012/chart" uri="{CE6537A1-D6FC-4f65-9D91-7224C49458BB}">
                  <c15:layout/>
                </c:ext>
              </c:extLst>
            </c:dLbl>
            <c:dLbl>
              <c:idx val="2"/>
              <c:layout>
                <c:manualLayout>
                  <c:x val="0.0139664804469274"/>
                  <c:y val="0.0226860254083485"/>
                </c:manualLayout>
              </c:layout>
              <c:dLblPos val="bestFit"/>
              <c:showLegendKey val="0"/>
              <c:showVal val="1"/>
              <c:showCatName val="1"/>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3F3F3F"/>
                    </a:solidFill>
                    <a:latin typeface="Times New Roman" panose="02020603050405020304"/>
                    <a:ea typeface="宋体" panose="02010600030101010101" charset="-122"/>
                    <a:cs typeface="Arial" panose="020B0604020202020204" pitchFamily="2"/>
                  </a:defRPr>
                </a:pPr>
              </a:p>
            </c:txPr>
            <c:dLblPos val="out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'[新建 永中表格.xlsx]Sheet1'!$C$3:$C$5</c:f>
              <c:strCache>
                <c:ptCount val="3"/>
                <c:pt idx="0">
                  <c:v>一般公共预算财政拨款支出</c:v>
                </c:pt>
                <c:pt idx="1">
                  <c:v>事业支出</c:v>
                </c:pt>
                <c:pt idx="2">
                  <c:v>政府性基金支出</c:v>
                </c:pt>
              </c:strCache>
            </c:strRef>
          </c:cat>
          <c:val>
            <c:numRef>
              <c:f>'[新建 永中表格.xlsx]Sheet1'!$D$3:$D$5</c:f>
              <c:numCache>
                <c:formatCode>General</c:formatCode>
                <c:ptCount val="3"/>
                <c:pt idx="0">
                  <c:v>335.53</c:v>
                </c:pt>
                <c:pt idx="1">
                  <c:v>319.43</c:v>
                </c:pt>
                <c:pt idx="2">
                  <c:v>5.28</c:v>
                </c:pt>
              </c:numCache>
            </c:numRef>
          </c:val>
        </c:ser>
        <c:dLbls>
          <c:showLegendKey val="0"/>
          <c:showVal val="1"/>
          <c:showCatName val="1"/>
          <c:showSerName val="0"/>
          <c:showPercent val="0"/>
          <c:showBubbleSize val="0"/>
        </c:dLbls>
      </c:pie3DChart>
      <c:spPr>
        <a:noFill/>
        <a:ln>
          <a:noFill/>
        </a:ln>
      </c:spPr>
    </c:plotArea>
    <c:legend>
      <c:legendPos val="b"/>
      <c:layout/>
      <c:overlay val="0"/>
      <c:spPr>
        <a:noFill/>
        <a:ln>
          <a:noFill/>
        </a:ln>
      </c:spPr>
      <c:txPr>
        <a:bodyPr rot="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solidFill>
      <a:srgbClr val="FFFFFF"/>
    </a:solidFill>
    <a:ln w="12700" cap="flat" cmpd="sng" algn="ctr">
      <a:solidFill>
        <a:srgbClr val="D8D8D8"/>
      </a:solidFill>
      <a:prstDash val="solid"/>
      <a:round/>
    </a:ln>
  </c:spPr>
  <c:txPr>
    <a:bodyPr/>
    <a:lstStyle/>
    <a:p>
      <a:pPr>
        <a:defRPr lang="zh-CN" sz="9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100" b="0" i="0" u="none" strike="noStrike" kern="1200" baseline="0">
                <a:solidFill>
                  <a:srgbClr val="595959"/>
                </a:solidFill>
                <a:latin typeface="Times New Roman" panose="02020603050405020304"/>
                <a:ea typeface="宋体" panose="02010600030101010101" charset="-122"/>
                <a:cs typeface="Arial" panose="020B0604020202020204" pitchFamily="2"/>
              </a:defRPr>
            </a:pPr>
            <a:r>
              <a:rPr lang="zh-CN"/>
              <a:t>支出总计</a:t>
            </a:r>
            <a:endParaRPr lang="zh-CN"/>
          </a:p>
        </c:rich>
      </c:tx>
      <c:layout/>
      <c:overlay val="0"/>
      <c:spPr>
        <a:ln>
          <a:noFill/>
        </a:ln>
      </c:spPr>
    </c:title>
    <c:autoTitleDeleted val="0"/>
    <c:view3D>
      <c:rotX val="30"/>
      <c:rotY val="0"/>
      <c:depthPercent val="100"/>
      <c:rAngAx val="0"/>
      <c:hPercent val="100"/>
      <c:perspective val="0"/>
    </c:view3D>
    <c:floor>
      <c:thickness val="0"/>
      <c:spPr>
        <a:ln>
          <a:noFill/>
        </a:ln>
      </c:spPr>
    </c:floor>
    <c:sideWall>
      <c:thickness val="0"/>
      <c:spPr>
        <a:ln>
          <a:noFill/>
        </a:ln>
      </c:spPr>
    </c:sideWall>
    <c:backWall>
      <c:thickness val="0"/>
      <c:spPr>
        <a:noFill/>
        <a:ln>
          <a:noFill/>
        </a:ln>
      </c:spPr>
    </c:backWall>
    <c:plotArea>
      <c:layout/>
      <c:pie3DChart>
        <c:varyColors val="1"/>
        <c:ser>
          <c:idx val="0"/>
          <c:order val="0"/>
          <c:tx>
            <c:strRef>
              <c:f>'[新建 永中表格.xlsx]Sheet1 (2)'!$D$2</c:f>
              <c:strCache>
                <c:ptCount val="1"/>
                <c:pt idx="0">
                  <c:v>收入总计</c:v>
                </c:pt>
              </c:strCache>
            </c:strRef>
          </c:tx>
          <c:spPr>
            <a:ln w="12700">
              <a:solidFill>
                <a:srgbClr val="FFFFFF"/>
              </a:solidFill>
              <a:prstDash val="solid"/>
            </a:ln>
          </c:spPr>
          <c:explosion val="0"/>
          <c:dPt>
            <c:idx val="0"/>
            <c:bubble3D val="0"/>
            <c:explosion val="9"/>
            <c:spPr>
              <a:solidFill>
                <a:srgbClr val="5B9BD5"/>
              </a:solidFill>
              <a:ln w="12700">
                <a:solidFill>
                  <a:srgbClr val="FFFFFF"/>
                </a:solidFill>
                <a:prstDash val="solid"/>
              </a:ln>
            </c:spPr>
          </c:dPt>
          <c:dPt>
            <c:idx val="1"/>
            <c:bubble3D val="0"/>
            <c:spPr>
              <a:solidFill>
                <a:srgbClr val="ED7D31"/>
              </a:solidFill>
              <a:ln w="12700">
                <a:solidFill>
                  <a:srgbClr val="FFFFFF"/>
                </a:solidFill>
                <a:prstDash val="solid"/>
              </a:ln>
            </c:spPr>
          </c:dPt>
          <c:dLbls>
            <c:dLbl>
              <c:idx val="0"/>
              <c:layout>
                <c:manualLayout>
                  <c:x val="-0.148975803389199"/>
                  <c:y val="-0.11499401487840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3F3F3F"/>
                      </a:solidFill>
                      <a:latin typeface="Times New Roman" panose="02020603050405020304"/>
                      <a:ea typeface="宋体" panose="02010600030101010101" charset="-122"/>
                      <a:cs typeface="Arial" panose="020B0604020202020204" pitchFamily="2"/>
                    </a:defRPr>
                  </a:pPr>
                </a:p>
              </c:txPr>
              <c:dLblPos val="bestFit"/>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0.129888263612663"/>
                  <c:y val="0.0382798524166969"/>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3F3F3F"/>
                      </a:solidFill>
                      <a:latin typeface="Times New Roman" panose="02020603050405020304"/>
                      <a:ea typeface="宋体" panose="02010600030101010101" charset="-122"/>
                      <a:cs typeface="Arial" panose="020B0604020202020204" pitchFamily="2"/>
                    </a:defRPr>
                  </a:pPr>
                </a:p>
              </c:txPr>
              <c:dLblPos val="bestFit"/>
              <c:showLegendKey val="0"/>
              <c:showVal val="1"/>
              <c:showCatName val="1"/>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rgbClr val="3F3F3F"/>
                    </a:solidFill>
                    <a:latin typeface="Times New Roman" panose="02020603050405020304"/>
                    <a:ea typeface="宋体" panose="02010600030101010101" charset="-122"/>
                    <a:cs typeface="Arial" panose="020B0604020202020204" pitchFamily="2"/>
                  </a:defRPr>
                </a:pPr>
              </a:p>
            </c:txPr>
            <c:dLblPos val="out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'[新建 永中表格.xlsx]Sheet1 (2)'!$C$3:$C$4</c:f>
              <c:strCache>
                <c:ptCount val="2"/>
                <c:pt idx="0">
                  <c:v>基本支出</c:v>
                </c:pt>
                <c:pt idx="1">
                  <c:v>项目支出</c:v>
                </c:pt>
              </c:strCache>
            </c:strRef>
          </c:cat>
          <c:val>
            <c:numRef>
              <c:f>'[新建 永中表格.xlsx]Sheet1 (2)'!$D$3:$D$4</c:f>
              <c:numCache>
                <c:formatCode>General</c:formatCode>
                <c:ptCount val="2"/>
                <c:pt idx="0">
                  <c:v>614.13</c:v>
                </c:pt>
                <c:pt idx="1">
                  <c:v>46.11</c:v>
                </c:pt>
              </c:numCache>
            </c:numRef>
          </c:val>
        </c:ser>
        <c:dLbls>
          <c:showLegendKey val="0"/>
          <c:showVal val="1"/>
          <c:showCatName val="1"/>
          <c:showSerName val="0"/>
          <c:showPercent val="0"/>
          <c:showBubbleSize val="0"/>
        </c:dLbls>
      </c:pie3DChart>
      <c:spPr>
        <a:noFill/>
        <a:ln>
          <a:noFill/>
        </a:ln>
      </c:spPr>
    </c:plotArea>
    <c:legend>
      <c:legendPos val="b"/>
      <c:layout/>
      <c:overlay val="0"/>
      <c:spPr>
        <a:noFill/>
        <a:ln>
          <a:noFill/>
        </a:ln>
      </c:spPr>
      <c:txPr>
        <a:bodyPr rot="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solidFill>
      <a:srgbClr val="FFFFFF"/>
    </a:solidFill>
    <a:ln w="12700" cap="flat" cmpd="sng" algn="ctr">
      <a:solidFill>
        <a:srgbClr val="D8D8D8"/>
      </a:solidFill>
      <a:prstDash val="solid"/>
      <a:round/>
    </a:ln>
  </c:spPr>
  <c:txPr>
    <a:bodyPr/>
    <a:lstStyle/>
    <a:p>
      <a:pPr>
        <a:defRPr lang="zh-CN" sz="9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hPercent val="100"/>
      <c:perspective val="0"/>
    </c:view3D>
    <c:floor>
      <c:thickness val="0"/>
      <c:spPr>
        <a:noFill/>
        <a:ln>
          <a:noFill/>
        </a:ln>
      </c:spPr>
    </c:floor>
    <c:sideWall>
      <c:thickness val="0"/>
      <c:spPr>
        <a:noFill/>
        <a:ln>
          <a:noFill/>
        </a:ln>
      </c:spPr>
    </c:sideWall>
    <c:backWall>
      <c:thickness val="0"/>
      <c:spPr>
        <a:noFill/>
        <a:ln>
          <a:noFill/>
        </a:ln>
      </c:spPr>
    </c:backWall>
    <c:plotArea>
      <c:layout>
        <c:manualLayout>
          <c:xMode val="edge"/>
          <c:yMode val="edge"/>
          <c:x val="0.15668203"/>
          <c:y val="0.17446809"/>
          <c:w val="0.72119814"/>
          <c:h val="0.63829786"/>
        </c:manualLayout>
      </c:layout>
      <c:pie3DChart>
        <c:varyColors val="1"/>
        <c:ser>
          <c:idx val="0"/>
          <c:order val="0"/>
          <c:tx>
            <c:strRef>
              <c:f>'[新建 永中表格.xlsx]工作表2 (2)'!$E$2</c:f>
              <c:strCache>
                <c:ptCount val="1"/>
                <c:pt idx="0">
                  <c:v>支出</c:v>
                </c:pt>
              </c:strCache>
            </c:strRef>
          </c:tx>
          <c:spPr>
            <a:ln w="12700">
              <a:solidFill>
                <a:srgbClr val="FFFFFF"/>
              </a:solidFill>
              <a:prstDash val="solid"/>
            </a:ln>
          </c:spPr>
          <c:explosion val="0"/>
          <c:dPt>
            <c:idx val="0"/>
            <c:bubble3D val="0"/>
            <c:spPr>
              <a:solidFill>
                <a:srgbClr val="5B9BD5"/>
              </a:solidFill>
              <a:ln w="12700">
                <a:solidFill>
                  <a:srgbClr val="FFFFFF"/>
                </a:solidFill>
                <a:prstDash val="solid"/>
              </a:ln>
            </c:spPr>
          </c:dPt>
          <c:dPt>
            <c:idx val="1"/>
            <c:bubble3D val="0"/>
            <c:spPr>
              <a:solidFill>
                <a:srgbClr val="ED7D31"/>
              </a:solidFill>
              <a:ln w="12700">
                <a:solidFill>
                  <a:srgbClr val="FFFFFF"/>
                </a:solidFill>
                <a:prstDash val="solid"/>
              </a:ln>
            </c:spPr>
          </c:dPt>
          <c:dPt>
            <c:idx val="2"/>
            <c:bubble3D val="0"/>
            <c:spPr>
              <a:solidFill>
                <a:srgbClr val="A5A5A5"/>
              </a:solidFill>
              <a:ln w="12700">
                <a:solidFill>
                  <a:srgbClr val="FFFFFF"/>
                </a:solidFill>
                <a:prstDash val="solid"/>
              </a:ln>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3F3F3F"/>
                      </a:solidFill>
                      <a:latin typeface="Times New Roman" panose="02020603050405020304"/>
                      <a:ea typeface="宋体" panose="02010600030101010101" charset="-122"/>
                      <a:cs typeface="Arial" panose="020B0604020202020204" pitchFamily="2"/>
                    </a:defRPr>
                  </a:pPr>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3F3F3F"/>
                      </a:solidFill>
                      <a:latin typeface="Times New Roman" panose="02020603050405020304"/>
                      <a:ea typeface="宋体" panose="02010600030101010101" charset="-122"/>
                      <a:cs typeface="Arial" panose="020B0604020202020204" pitchFamily="2"/>
                    </a:defRPr>
                  </a:pPr>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3F3F3F"/>
                      </a:solidFill>
                      <a:latin typeface="Times New Roman" panose="02020603050405020304"/>
                      <a:ea typeface="宋体" panose="02010600030101010101" charset="-122"/>
                      <a:cs typeface="Arial" panose="020B0604020202020204" pitchFamily="2"/>
                    </a:defRPr>
                  </a:pPr>
                </a:p>
              </c:txPr>
              <c:dLblPos val="bestFit"/>
              <c:showLegendKey val="0"/>
              <c:showVal val="1"/>
              <c:showCatName val="1"/>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3F3F3F"/>
                    </a:solidFill>
                    <a:latin typeface="Times New Roman" panose="02020603050405020304"/>
                    <a:ea typeface="宋体" panose="02010600030101010101" charset="-122"/>
                    <a:cs typeface="Arial" panose="020B0604020202020204" pitchFamily="2"/>
                  </a:defRPr>
                </a:pPr>
              </a:p>
            </c:txPr>
            <c:dLblPos val="bestFit"/>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'[新建 永中表格.xlsx]工作表2 (2)'!$D$3:$D$5</c:f>
              <c:strCache>
                <c:ptCount val="3"/>
                <c:pt idx="0">
                  <c:v>社会保障和就业支出</c:v>
                </c:pt>
                <c:pt idx="1">
                  <c:v>卫生健康支出</c:v>
                </c:pt>
                <c:pt idx="2">
                  <c:v>住房保障支出</c:v>
                </c:pt>
              </c:strCache>
            </c:strRef>
          </c:cat>
          <c:val>
            <c:numRef>
              <c:f>'[新建 永中表格.xlsx]工作表2 (2)'!$E$3:$E$5</c:f>
              <c:numCache>
                <c:formatCode>General</c:formatCode>
                <c:ptCount val="3"/>
                <c:pt idx="0">
                  <c:v>54.92</c:v>
                </c:pt>
                <c:pt idx="1">
                  <c:v>256.25</c:v>
                </c:pt>
                <c:pt idx="2">
                  <c:v>24.37</c:v>
                </c:pt>
              </c:numCache>
            </c:numRef>
          </c:val>
        </c:ser>
        <c:dLbls>
          <c:showLegendKey val="0"/>
          <c:showVal val="1"/>
          <c:showCatName val="1"/>
          <c:showSerName val="0"/>
          <c:showPercent val="0"/>
          <c:showBubbleSize val="0"/>
        </c:dLbls>
      </c:pie3DChart>
      <c:spPr>
        <a:noFill/>
        <a:ln>
          <a:noFill/>
        </a:ln>
      </c:spPr>
    </c:plotArea>
    <c:legend>
      <c:legendPos val="b"/>
      <c:layout/>
      <c:overlay val="0"/>
      <c:txPr>
        <a:bodyPr rot="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solidFill>
      <a:srgbClr val="FFFFFF"/>
    </a:solidFill>
    <a:ln w="12700" cap="flat" cmpd="sng" algn="ctr">
      <a:solidFill>
        <a:srgbClr val="D8D8D8"/>
      </a:solidFill>
      <a:prstDash val="solid"/>
      <a:round/>
    </a:ln>
  </c:spPr>
  <c:txPr>
    <a:bodyPr/>
    <a:lstStyle/>
    <a:p>
      <a:pPr>
        <a:defRPr lang="zh-CN" sz="9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2353FEA09C564E1E92951A0738C0F221_13</vt:lpwstr>
  </property>
</Properties>
</file>

<file path=customXml/item2.xml><?xml version="1.0" encoding="utf-8"?>
<Properties xmlns="http://schemas.openxmlformats.org/officeDocument/2006/extended-properties" xmlns:vt="http://schemas.openxmlformats.org/officeDocument/2006/docPropsVTypes">
  <Template>Normal.dotm</Template>
  <Company>四川省财政厅</Company>
  <Pages>1</Pages>
  <Words>1299</Words>
  <Characters>7410</Characters>
  <Lines>1</Lines>
  <Paragraphs>1</Paragraphs>
  <TotalTime>129</TotalTime>
  <ScaleCrop>false</ScaleCrop>
  <LinksUpToDate>false</LinksUpToDate>
  <CharactersWithSpaces>8692</CharactersWithSpaces>
  <Application>WPS Office_12.1.0.16412_F1E327BC-269C-435d-A152-05C5408002CA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2024-07-26T08:31:27Z</dcterms:modified>
  <dc:title>四川省***</dc:title>
  <cp:revision>1</cp:revision>
</cp:coreProperties>
</file>

<file path=customXml/itemProps1.xml><?xml version="1.0" encoding="utf-8"?>
<ds:datastoreItem xmlns:ds="http://schemas.openxmlformats.org/officeDocument/2006/customXml" ds:itemID="{05859f88-125a-4f76-93f2-4dc4601d66e1}">
  <ds:schemaRefs/>
</ds:datastoreItem>
</file>

<file path=customXml/itemProps2.xml><?xml version="1.0" encoding="utf-8"?>
<ds:datastoreItem xmlns:ds="http://schemas.openxmlformats.org/officeDocument/2006/customXml" ds:itemID="{e9b426ff-7e96-406c-a8ce-c5ff5853b8c8}">
  <ds:schemaRefs/>
</ds:datastoreItem>
</file>

<file path=customXml/itemProps3.xml><?xml version="1.0" encoding="utf-8"?>
<ds:datastoreItem xmlns:ds="http://schemas.openxmlformats.org/officeDocument/2006/customXml" ds:itemID="{a6c2193b-ad76-478f-8d3f-1cfa9b098d2f}">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Pages>
  <Words>1299</Words>
  <Characters>7410</Characters>
  <Lines>1</Lines>
  <Paragraphs>1</Paragraphs>
  <TotalTime>131</TotalTime>
  <ScaleCrop>false</ScaleCrop>
  <LinksUpToDate>false</LinksUpToDate>
  <CharactersWithSpaces>8692</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2024-08-12T08:16:00Z</dcterms:modified>
  <dc:title>四川省_x002A__x002A__x002A_</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2353FEA09C564E1E92951A0738C0F221_13</vt:lpwstr>
  </property>
</Properties>
</file>