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outlineLvl w:val="9"/>
        <w:rPr>
          <w:rFonts w:ascii="方正小标宋简体" w:eastAsia="方正小标宋简体"/>
          <w:color w:val="auto"/>
          <w:sz w:val="21"/>
          <w:szCs w:val="21"/>
          <w:highlight w:val="none"/>
        </w:rPr>
      </w:pPr>
      <w:bookmarkStart w:id="0" w:name="_Toc15306267"/>
    </w:p>
    <w:p>
      <w:pPr>
        <w:spacing w:line="600" w:lineRule="exact"/>
        <w:jc w:val="center"/>
        <w:outlineLvl w:val="9"/>
        <w:rPr>
          <w:rFonts w:ascii="方正小标宋简体" w:eastAsia="方正小标宋简体"/>
          <w:color w:val="auto"/>
          <w:sz w:val="72"/>
          <w:szCs w:val="72"/>
          <w:highlight w:val="none"/>
        </w:rPr>
      </w:pPr>
    </w:p>
    <w:bookmarkEnd w:id="0"/>
    <w:p>
      <w:pPr>
        <w:spacing w:line="600" w:lineRule="exact"/>
        <w:jc w:val="center"/>
        <w:outlineLvl w:val="9"/>
        <w:rPr>
          <w:rFonts w:ascii="方正小标宋简体" w:eastAsia="方正小标宋简体"/>
          <w:color w:val="auto"/>
          <w:sz w:val="72"/>
          <w:szCs w:val="72"/>
          <w:highlight w:val="none"/>
        </w:rPr>
      </w:pPr>
    </w:p>
    <w:p>
      <w:pPr>
        <w:adjustRightInd w:val="0"/>
        <w:snapToGrid w:val="0"/>
        <w:spacing w:line="360" w:lineRule="auto"/>
        <w:jc w:val="center"/>
        <w:outlineLvl w:val="0"/>
        <w:rPr>
          <w:rFonts w:hint="eastAsia" w:ascii="方正小标宋简体" w:eastAsia="方正小标宋简体" w:cs="方正小标宋简体"/>
          <w:color w:val="auto"/>
          <w:sz w:val="72"/>
          <w:szCs w:val="72"/>
          <w:highlight w:val="none"/>
        </w:rPr>
      </w:pPr>
      <w:bookmarkStart w:id="1" w:name="_Toc15378441"/>
      <w:bookmarkStart w:id="2" w:name="_Toc22646"/>
      <w:bookmarkStart w:id="3" w:name="_Toc15377425"/>
      <w:bookmarkStart w:id="4" w:name="_Toc15396597"/>
      <w:bookmarkStart w:id="5" w:name="_Toc15377193"/>
      <w:bookmarkStart w:id="6" w:name="_Toc15396475"/>
      <w:bookmarkStart w:id="7" w:name="_Toc24615"/>
      <w:bookmarkStart w:id="8" w:name="_Toc17945"/>
      <w:bookmarkStart w:id="9" w:name="_Toc22287"/>
      <w:r>
        <w:rPr>
          <w:rFonts w:hint="eastAsia" w:ascii="方正小标宋简体" w:eastAsia="方正小标宋简体" w:cs="方正小标宋简体"/>
          <w:color w:val="auto"/>
          <w:sz w:val="72"/>
          <w:szCs w:val="72"/>
          <w:highlight w:val="none"/>
        </w:rPr>
        <w:t>20</w:t>
      </w:r>
      <w:r>
        <w:rPr>
          <w:rFonts w:hint="eastAsia" w:ascii="方正小标宋简体" w:eastAsia="方正小标宋简体" w:cs="方正小标宋简体"/>
          <w:color w:val="auto"/>
          <w:sz w:val="72"/>
          <w:szCs w:val="72"/>
          <w:highlight w:val="none"/>
          <w:lang w:val="en-US" w:eastAsia="zh-CN"/>
        </w:rPr>
        <w:t>22</w:t>
      </w:r>
      <w:r>
        <w:rPr>
          <w:rFonts w:hint="eastAsia" w:ascii="方正小标宋简体" w:eastAsia="方正小标宋简体" w:cs="方正小标宋简体"/>
          <w:color w:val="auto"/>
          <w:sz w:val="72"/>
          <w:szCs w:val="72"/>
          <w:highlight w:val="none"/>
        </w:rPr>
        <w:t>年度</w:t>
      </w:r>
      <w:bookmarkEnd w:id="1"/>
      <w:bookmarkEnd w:id="2"/>
      <w:bookmarkEnd w:id="3"/>
      <w:bookmarkEnd w:id="4"/>
      <w:bookmarkEnd w:id="5"/>
      <w:bookmarkEnd w:id="6"/>
      <w:bookmarkEnd w:id="7"/>
      <w:bookmarkEnd w:id="8"/>
      <w:bookmarkEnd w:id="9"/>
    </w:p>
    <w:p>
      <w:pPr>
        <w:adjustRightInd w:val="0"/>
        <w:snapToGrid w:val="0"/>
        <w:spacing w:line="360" w:lineRule="auto"/>
        <w:jc w:val="center"/>
        <w:outlineLvl w:val="0"/>
        <w:rPr>
          <w:rFonts w:hint="eastAsia" w:ascii="方正小标宋简体" w:eastAsia="方正小标宋简体" w:cs="方正小标宋简体"/>
          <w:color w:val="auto"/>
          <w:sz w:val="72"/>
          <w:szCs w:val="72"/>
          <w:highlight w:val="none"/>
        </w:rPr>
      </w:pPr>
      <w:bookmarkStart w:id="10" w:name="_Toc15377194"/>
      <w:bookmarkStart w:id="11" w:name="_Toc15377426"/>
      <w:bookmarkStart w:id="12" w:name="_Toc6976"/>
      <w:bookmarkStart w:id="13" w:name="_Toc15378442"/>
      <w:bookmarkStart w:id="14" w:name="_Toc28891"/>
      <w:bookmarkStart w:id="15" w:name="_Toc8525"/>
      <w:bookmarkStart w:id="16" w:name="_Toc22164"/>
      <w:bookmarkStart w:id="17" w:name="_Toc15396598"/>
      <w:bookmarkStart w:id="18" w:name="_Toc15396476"/>
      <w:r>
        <w:rPr>
          <w:rFonts w:hint="eastAsia" w:ascii="方正小标宋简体" w:eastAsia="方正小标宋简体" w:cs="方正小标宋简体"/>
          <w:color w:val="auto"/>
          <w:sz w:val="72"/>
          <w:szCs w:val="72"/>
          <w:highlight w:val="none"/>
        </w:rPr>
        <w:t>四川省</w:t>
      </w:r>
      <w:bookmarkStart w:id="19" w:name="_Toc15306268"/>
      <w:r>
        <w:rPr>
          <w:rFonts w:hint="eastAsia" w:ascii="方正小标宋简体" w:eastAsia="方正小标宋简体" w:cs="方正小标宋简体"/>
          <w:color w:val="auto"/>
          <w:sz w:val="72"/>
          <w:szCs w:val="72"/>
          <w:highlight w:val="none"/>
        </w:rPr>
        <w:t>广元市</w:t>
      </w:r>
      <w:r>
        <w:rPr>
          <w:rFonts w:hint="eastAsia" w:ascii="方正小标宋简体" w:eastAsia="方正小标宋简体" w:cs="方正小标宋简体"/>
          <w:color w:val="auto"/>
          <w:sz w:val="72"/>
          <w:szCs w:val="72"/>
          <w:highlight w:val="none"/>
          <w:lang w:eastAsia="zh-CN"/>
        </w:rPr>
        <w:t>昭化区太公</w:t>
      </w:r>
      <w:r>
        <w:rPr>
          <w:rFonts w:hint="eastAsia" w:ascii="方正小标宋简体" w:eastAsia="方正小标宋简体" w:cs="方正小标宋简体"/>
          <w:color w:val="auto"/>
          <w:sz w:val="72"/>
          <w:szCs w:val="72"/>
          <w:highlight w:val="none"/>
        </w:rPr>
        <w:t>镇中心卫生院</w:t>
      </w:r>
      <w:r>
        <w:rPr>
          <w:rFonts w:hint="eastAsia" w:ascii="方正小标宋简体" w:eastAsia="方正小标宋简体" w:cs="方正小标宋简体"/>
          <w:color w:val="auto"/>
          <w:sz w:val="72"/>
          <w:szCs w:val="72"/>
          <w:highlight w:val="none"/>
          <w:lang w:eastAsia="zh-CN"/>
        </w:rPr>
        <w:t>单位</w:t>
      </w:r>
      <w:r>
        <w:rPr>
          <w:rFonts w:hint="eastAsia" w:ascii="方正小标宋简体" w:eastAsia="方正小标宋简体" w:cs="方正小标宋简体"/>
          <w:color w:val="auto"/>
          <w:sz w:val="72"/>
          <w:szCs w:val="72"/>
          <w:highlight w:val="none"/>
        </w:rPr>
        <w:t>决算</w:t>
      </w:r>
      <w:bookmarkEnd w:id="10"/>
      <w:bookmarkEnd w:id="11"/>
      <w:bookmarkEnd w:id="12"/>
      <w:bookmarkEnd w:id="13"/>
      <w:bookmarkEnd w:id="14"/>
      <w:bookmarkEnd w:id="15"/>
      <w:bookmarkEnd w:id="16"/>
      <w:bookmarkEnd w:id="17"/>
      <w:bookmarkEnd w:id="18"/>
      <w:bookmarkEnd w:id="19"/>
    </w:p>
    <w:p>
      <w:pPr>
        <w:widowControl/>
        <w:jc w:val="center"/>
        <w:rPr>
          <w:rFonts w:hint="eastAsia" w:ascii="黑体" w:eastAsia="黑体"/>
          <w:color w:val="auto"/>
          <w:sz w:val="48"/>
          <w:szCs w:val="48"/>
          <w:highlight w:val="none"/>
        </w:rPr>
        <w:sectPr>
          <w:headerReference r:id="rId3" w:type="default"/>
          <w:footerReference r:id="rId4" w:type="default"/>
          <w:pgSz w:w="11906" w:h="16838"/>
          <w:pgMar w:top="1440" w:right="1800" w:bottom="1440" w:left="1800" w:header="851" w:footer="992" w:gutter="0"/>
          <w:pgNumType w:start="1"/>
          <w:cols w:space="720" w:num="1"/>
          <w:titlePg/>
          <w:docGrid w:type="lines" w:linePitch="312" w:charSpace="0"/>
        </w:sectPr>
      </w:pPr>
    </w:p>
    <w:p>
      <w:pPr>
        <w:widowControl/>
        <w:jc w:val="center"/>
        <w:rPr>
          <w:rFonts w:ascii="黑体" w:eastAsia="黑体" w:cs="Arial"/>
          <w:color w:val="auto"/>
          <w:sz w:val="28"/>
          <w:szCs w:val="28"/>
          <w:highlight w:val="none"/>
        </w:rPr>
      </w:pPr>
      <w:r>
        <w:rPr>
          <w:rFonts w:hint="eastAsia" w:ascii="黑体" w:eastAsia="黑体"/>
          <w:color w:val="auto"/>
          <w:sz w:val="48"/>
          <w:szCs w:val="48"/>
          <w:highlight w:val="none"/>
        </w:rPr>
        <w:t>目录</w:t>
      </w:r>
    </w:p>
    <w:p>
      <w:pPr>
        <w:pStyle w:val="10"/>
        <w:rPr>
          <w:color w:val="auto"/>
          <w:highlight w:val="none"/>
        </w:rPr>
      </w:pPr>
      <w:r>
        <w:rPr>
          <w:rFonts w:hint="eastAsia"/>
          <w:color w:val="auto"/>
          <w:highlight w:val="none"/>
        </w:rPr>
        <w:t>公开时间：20</w:t>
      </w:r>
      <w:r>
        <w:rPr>
          <w:rFonts w:hint="eastAsia"/>
          <w:color w:val="auto"/>
          <w:highlight w:val="none"/>
          <w:lang w:val="en-US" w:eastAsia="zh-CN"/>
        </w:rPr>
        <w:t>23</w:t>
      </w:r>
      <w:r>
        <w:rPr>
          <w:rFonts w:hint="eastAsia"/>
          <w:color w:val="auto"/>
          <w:highlight w:val="none"/>
        </w:rPr>
        <w:t>年</w:t>
      </w:r>
      <w:r>
        <w:rPr>
          <w:rFonts w:hint="eastAsia"/>
          <w:color w:val="auto"/>
          <w:highlight w:val="none"/>
          <w:lang w:val="en-US" w:eastAsia="zh-CN"/>
        </w:rPr>
        <w:t>9</w:t>
      </w:r>
      <w:r>
        <w:rPr>
          <w:rFonts w:hint="eastAsia"/>
          <w:color w:val="auto"/>
          <w:highlight w:val="none"/>
        </w:rPr>
        <w:t>月</w:t>
      </w:r>
      <w:r>
        <w:rPr>
          <w:rFonts w:hint="eastAsia"/>
          <w:color w:val="auto"/>
          <w:highlight w:val="none"/>
          <w:lang w:val="en-US" w:eastAsia="zh-CN"/>
        </w:rPr>
        <w:t>28</w:t>
      </w:r>
      <w:r>
        <w:rPr>
          <w:rFonts w:hint="eastAsia"/>
          <w:color w:val="auto"/>
          <w:highlight w:val="none"/>
        </w:rPr>
        <w:t>日</w:t>
      </w:r>
    </w:p>
    <w:sdt>
      <w:sdtPr>
        <w:rPr>
          <w:rFonts w:ascii="宋体" w:hAnsi="宋体" w:eastAsia="宋体" w:cs="Times New Roman"/>
          <w:kern w:val="2"/>
          <w:sz w:val="21"/>
          <w:szCs w:val="24"/>
          <w:lang w:val="en-US" w:eastAsia="zh-CN" w:bidi="ar-SA"/>
        </w:rPr>
        <w:id w:val="147469393"/>
        <w15:color w:val="DBDBDB"/>
        <w:docPartObj>
          <w:docPartGallery w:val="Table of Contents"/>
          <w:docPartUnique/>
        </w:docPartObj>
      </w:sdtPr>
      <w:sdtEndPr>
        <w:rPr>
          <w:rFonts w:hint="eastAsia" w:ascii="黑体" w:hAnsi="Times New Roman" w:eastAsia="黑体" w:cs="Times New Roman"/>
          <w:b/>
          <w:bCs/>
          <w:color w:val="auto"/>
          <w:kern w:val="44"/>
          <w:sz w:val="44"/>
          <w:szCs w:val="44"/>
          <w:highlight w:val="none"/>
          <w:lang w:val="en-US" w:eastAsia="zh-CN" w:bidi="ar-SA"/>
        </w:rPr>
      </w:sdtEndPr>
      <w:sdtContent>
        <w:p>
          <w:pPr>
            <w:spacing w:before="0" w:beforeLines="0" w:after="0" w:afterLines="0" w:line="240" w:lineRule="auto"/>
            <w:ind w:left="0" w:leftChars="0" w:right="0" w:rightChars="0" w:firstLine="0" w:firstLineChars="0"/>
            <w:jc w:val="center"/>
          </w:pPr>
          <w:r>
            <w:rPr>
              <w:rFonts w:hint="eastAsia" w:ascii="黑体" w:eastAsia="黑体"/>
              <w:b w:val="0"/>
              <w:color w:val="auto"/>
              <w:highlight w:val="none"/>
            </w:rPr>
            <w:fldChar w:fldCharType="begin"/>
          </w:r>
          <w:r>
            <w:rPr>
              <w:rFonts w:hint="eastAsia" w:ascii="黑体" w:eastAsia="黑体"/>
              <w:b w:val="0"/>
              <w:color w:val="auto"/>
              <w:highlight w:val="none"/>
            </w:rPr>
            <w:instrText xml:space="preserve">TOC \o "1-3" \h \u</w:instrText>
          </w:r>
          <w:r>
            <w:rPr>
              <w:rFonts w:hint="eastAsia" w:ascii="黑体" w:eastAsia="黑体"/>
              <w:b w:val="0"/>
              <w:color w:val="auto"/>
              <w:highlight w:val="none"/>
            </w:rPr>
            <w:fldChar w:fldCharType="separate"/>
          </w:r>
        </w:p>
        <w:p>
          <w:pPr>
            <w:pStyle w:val="33"/>
            <w:tabs>
              <w:tab w:val="right" w:leader="dot" w:pos="8306"/>
            </w:tabs>
          </w:pPr>
          <w:r>
            <w:fldChar w:fldCharType="begin"/>
          </w:r>
          <w:r>
            <w:instrText xml:space="preserve"> HYPERLINK \l "_Toc13762" </w:instrText>
          </w:r>
          <w:r>
            <w:fldChar w:fldCharType="separate"/>
          </w:r>
          <w:r>
            <w:rPr>
              <w:rFonts w:hint="eastAsia" w:ascii="黑体" w:eastAsia="黑体"/>
              <w:highlight w:val="none"/>
            </w:rPr>
            <w:t xml:space="preserve">第一部分 </w:t>
          </w:r>
          <w:r>
            <w:rPr>
              <w:rFonts w:hint="eastAsia" w:ascii="黑体" w:eastAsia="黑体"/>
              <w:highlight w:val="none"/>
              <w:lang w:eastAsia="zh-CN"/>
            </w:rPr>
            <w:t>单位</w:t>
          </w:r>
          <w:r>
            <w:rPr>
              <w:rFonts w:hint="eastAsia" w:ascii="黑体" w:eastAsia="黑体"/>
              <w:bCs w:val="0"/>
              <w:highlight w:val="none"/>
            </w:rPr>
            <w:t>概况</w:t>
          </w:r>
          <w:r>
            <w:tab/>
          </w:r>
          <w:r>
            <w:fldChar w:fldCharType="begin"/>
          </w:r>
          <w:r>
            <w:instrText xml:space="preserve"> PAGEREF _Toc13762 \h </w:instrText>
          </w:r>
          <w:r>
            <w:fldChar w:fldCharType="separate"/>
          </w:r>
          <w:r>
            <w:t>1</w:t>
          </w:r>
          <w:r>
            <w:fldChar w:fldCharType="end"/>
          </w:r>
          <w:r>
            <w:fldChar w:fldCharType="end"/>
          </w:r>
        </w:p>
        <w:p>
          <w:pPr>
            <w:pStyle w:val="34"/>
            <w:tabs>
              <w:tab w:val="right" w:leader="dot" w:pos="8306"/>
            </w:tabs>
          </w:pPr>
          <w:r>
            <w:fldChar w:fldCharType="begin"/>
          </w:r>
          <w:r>
            <w:instrText xml:space="preserve"> HYPERLINK \l "_Toc29736" </w:instrText>
          </w:r>
          <w:r>
            <w:fldChar w:fldCharType="separate"/>
          </w:r>
          <w:r>
            <w:rPr>
              <w:rFonts w:hint="eastAsia" w:ascii="黑体" w:eastAsia="黑体"/>
              <w:bCs w:val="0"/>
              <w:lang w:eastAsia="zh-CN"/>
            </w:rPr>
            <w:t>一、</w:t>
          </w:r>
          <w:r>
            <w:rPr>
              <w:rFonts w:hint="eastAsia" w:ascii="黑体" w:eastAsia="黑体"/>
              <w:bCs w:val="0"/>
              <w:highlight w:val="none"/>
              <w:lang w:eastAsia="zh-CN"/>
            </w:rPr>
            <w:t>主要职责</w:t>
          </w:r>
          <w:r>
            <w:tab/>
          </w:r>
          <w:r>
            <w:fldChar w:fldCharType="begin"/>
          </w:r>
          <w:r>
            <w:instrText xml:space="preserve"> PAGEREF _Toc29736 \h </w:instrText>
          </w:r>
          <w:r>
            <w:fldChar w:fldCharType="separate"/>
          </w:r>
          <w:r>
            <w:t>1</w:t>
          </w:r>
          <w:r>
            <w:fldChar w:fldCharType="end"/>
          </w:r>
          <w:r>
            <w:fldChar w:fldCharType="end"/>
          </w:r>
        </w:p>
        <w:p>
          <w:pPr>
            <w:pStyle w:val="34"/>
            <w:tabs>
              <w:tab w:val="right" w:leader="dot" w:pos="8306"/>
            </w:tabs>
          </w:pPr>
          <w:r>
            <w:fldChar w:fldCharType="begin"/>
          </w:r>
          <w:r>
            <w:instrText xml:space="preserve"> HYPERLINK \l "_Toc1444" </w:instrText>
          </w:r>
          <w:r>
            <w:fldChar w:fldCharType="separate"/>
          </w:r>
          <w:r>
            <w:rPr>
              <w:rFonts w:hint="eastAsia" w:ascii="黑体" w:eastAsia="黑体"/>
              <w:lang w:val="en-US" w:eastAsia="zh-CN"/>
            </w:rPr>
            <w:t>二、</w:t>
          </w:r>
          <w:r>
            <w:rPr>
              <w:rFonts w:hint="eastAsia" w:ascii="黑体" w:eastAsia="黑体"/>
              <w:highlight w:val="none"/>
              <w:lang w:val="en-US" w:eastAsia="zh-CN"/>
            </w:rPr>
            <w:t>机构设置</w:t>
          </w:r>
          <w:r>
            <w:tab/>
          </w:r>
          <w:r>
            <w:fldChar w:fldCharType="begin"/>
          </w:r>
          <w:r>
            <w:instrText xml:space="preserve"> PAGEREF _Toc1444 \h </w:instrText>
          </w:r>
          <w:r>
            <w:fldChar w:fldCharType="separate"/>
          </w:r>
          <w:r>
            <w:t>2</w:t>
          </w:r>
          <w:r>
            <w:fldChar w:fldCharType="end"/>
          </w:r>
          <w:r>
            <w:fldChar w:fldCharType="end"/>
          </w:r>
        </w:p>
        <w:p>
          <w:pPr>
            <w:pStyle w:val="34"/>
            <w:tabs>
              <w:tab w:val="right" w:leader="dot" w:pos="8306"/>
            </w:tabs>
            <w:ind w:left="0" w:leftChars="0" w:firstLine="0" w:firstLineChars="0"/>
          </w:pPr>
          <w:r>
            <w:fldChar w:fldCharType="begin"/>
          </w:r>
          <w:r>
            <w:instrText xml:space="preserve"> HYPERLINK \l "_Toc18256" </w:instrText>
          </w:r>
          <w:r>
            <w:fldChar w:fldCharType="separate"/>
          </w:r>
          <w:r>
            <w:rPr>
              <w:rFonts w:hint="eastAsia" w:ascii="黑体" w:hAnsi="Times New Roman" w:eastAsia="黑体" w:cs="Times New Roman"/>
              <w:bCs/>
              <w:highlight w:val="none"/>
            </w:rPr>
            <w:t xml:space="preserve">第二部分 </w:t>
          </w:r>
          <w:r>
            <w:rPr>
              <w:rFonts w:hint="eastAsia" w:ascii="黑体" w:hAnsi="Times New Roman" w:eastAsia="黑体" w:cs="Times New Roman"/>
              <w:bCs/>
              <w:highlight w:val="none"/>
              <w:lang w:val="en-US" w:eastAsia="zh-CN"/>
            </w:rPr>
            <w:t>2022年度</w:t>
          </w:r>
          <w:r>
            <w:rPr>
              <w:rFonts w:hint="eastAsia" w:ascii="黑体" w:hAnsi="Times New Roman" w:eastAsia="黑体" w:cs="Times New Roman"/>
              <w:bCs/>
              <w:highlight w:val="none"/>
              <w:lang w:eastAsia="zh-CN"/>
            </w:rPr>
            <w:t>单位</w:t>
          </w:r>
          <w:r>
            <w:rPr>
              <w:rFonts w:hint="eastAsia" w:ascii="黑体" w:hAnsi="Times New Roman" w:eastAsia="黑体" w:cs="Times New Roman"/>
              <w:bCs/>
              <w:highlight w:val="none"/>
            </w:rPr>
            <w:t>决算情况说明</w:t>
          </w:r>
          <w:r>
            <w:tab/>
          </w:r>
          <w:r>
            <w:fldChar w:fldCharType="begin"/>
          </w:r>
          <w:r>
            <w:instrText xml:space="preserve"> PAGEREF _Toc18256 \h </w:instrText>
          </w:r>
          <w:r>
            <w:fldChar w:fldCharType="separate"/>
          </w:r>
          <w:r>
            <w:t>3</w:t>
          </w:r>
          <w:r>
            <w:fldChar w:fldCharType="end"/>
          </w:r>
          <w:r>
            <w:fldChar w:fldCharType="end"/>
          </w:r>
        </w:p>
        <w:p>
          <w:pPr>
            <w:pStyle w:val="34"/>
            <w:tabs>
              <w:tab w:val="right" w:leader="dot" w:pos="8306"/>
            </w:tabs>
          </w:pPr>
          <w:r>
            <w:fldChar w:fldCharType="begin"/>
          </w:r>
          <w:r>
            <w:instrText xml:space="preserve"> HYPERLINK \l "_Toc14571" </w:instrText>
          </w:r>
          <w:r>
            <w:fldChar w:fldCharType="separate"/>
          </w:r>
          <w:r>
            <w:rPr>
              <w:rFonts w:hint="default" w:ascii="黑体" w:eastAsia="黑体"/>
            </w:rPr>
            <w:t>一、</w:t>
          </w:r>
          <w:r>
            <w:rPr>
              <w:rFonts w:hint="eastAsia" w:ascii="黑体" w:eastAsia="黑体"/>
              <w:szCs w:val="32"/>
              <w:highlight w:val="none"/>
            </w:rPr>
            <w:t>收</w:t>
          </w:r>
          <w:r>
            <w:rPr>
              <w:rFonts w:hint="eastAsia" w:ascii="黑体" w:eastAsia="黑体"/>
              <w:highlight w:val="none"/>
            </w:rPr>
            <w:t>入支出决算总体情况说明</w:t>
          </w:r>
          <w:r>
            <w:tab/>
          </w:r>
          <w:r>
            <w:fldChar w:fldCharType="begin"/>
          </w:r>
          <w:r>
            <w:instrText xml:space="preserve"> PAGEREF _Toc14571 \h </w:instrText>
          </w:r>
          <w:r>
            <w:fldChar w:fldCharType="separate"/>
          </w:r>
          <w:r>
            <w:t>3</w:t>
          </w:r>
          <w:r>
            <w:fldChar w:fldCharType="end"/>
          </w:r>
          <w:r>
            <w:fldChar w:fldCharType="end"/>
          </w:r>
        </w:p>
        <w:p>
          <w:pPr>
            <w:pStyle w:val="34"/>
            <w:tabs>
              <w:tab w:val="right" w:leader="dot" w:pos="8306"/>
            </w:tabs>
          </w:pPr>
          <w:r>
            <w:fldChar w:fldCharType="begin"/>
          </w:r>
          <w:r>
            <w:instrText xml:space="preserve"> HYPERLINK \l "_Toc3418" </w:instrText>
          </w:r>
          <w:r>
            <w:fldChar w:fldCharType="separate"/>
          </w:r>
          <w:r>
            <w:rPr>
              <w:rFonts w:hint="default" w:ascii="黑体" w:eastAsia="黑体"/>
            </w:rPr>
            <w:t>二、</w:t>
          </w:r>
          <w:r>
            <w:rPr>
              <w:rFonts w:hint="eastAsia" w:ascii="黑体" w:eastAsia="黑体"/>
              <w:szCs w:val="32"/>
              <w:highlight w:val="none"/>
            </w:rPr>
            <w:t>收</w:t>
          </w:r>
          <w:r>
            <w:rPr>
              <w:rFonts w:hint="eastAsia" w:ascii="黑体" w:eastAsia="黑体"/>
              <w:highlight w:val="none"/>
            </w:rPr>
            <w:t>入决算情况说明</w:t>
          </w:r>
          <w:r>
            <w:tab/>
          </w:r>
          <w:r>
            <w:fldChar w:fldCharType="begin"/>
          </w:r>
          <w:r>
            <w:instrText xml:space="preserve"> PAGEREF _Toc3418 \h </w:instrText>
          </w:r>
          <w:r>
            <w:fldChar w:fldCharType="separate"/>
          </w:r>
          <w:r>
            <w:t>3</w:t>
          </w:r>
          <w:r>
            <w:fldChar w:fldCharType="end"/>
          </w:r>
          <w:r>
            <w:fldChar w:fldCharType="end"/>
          </w:r>
        </w:p>
        <w:p>
          <w:pPr>
            <w:pStyle w:val="34"/>
            <w:tabs>
              <w:tab w:val="right" w:leader="dot" w:pos="8306"/>
            </w:tabs>
          </w:pPr>
          <w:r>
            <w:fldChar w:fldCharType="begin"/>
          </w:r>
          <w:r>
            <w:instrText xml:space="preserve"> HYPERLINK \l "_Toc18179" </w:instrText>
          </w:r>
          <w:r>
            <w:fldChar w:fldCharType="separate"/>
          </w:r>
          <w:r>
            <w:rPr>
              <w:rFonts w:hint="default" w:ascii="黑体" w:eastAsia="黑体"/>
            </w:rPr>
            <w:t>三、</w:t>
          </w:r>
          <w:r>
            <w:rPr>
              <w:rFonts w:hint="eastAsia" w:ascii="黑体" w:eastAsia="黑体"/>
              <w:szCs w:val="32"/>
              <w:highlight w:val="none"/>
            </w:rPr>
            <w:t>支</w:t>
          </w:r>
          <w:r>
            <w:rPr>
              <w:rFonts w:hint="eastAsia" w:ascii="黑体" w:eastAsia="黑体"/>
              <w:highlight w:val="none"/>
            </w:rPr>
            <w:t>出决算情况说明</w:t>
          </w:r>
          <w:r>
            <w:tab/>
          </w:r>
          <w:r>
            <w:fldChar w:fldCharType="begin"/>
          </w:r>
          <w:r>
            <w:instrText xml:space="preserve"> PAGEREF _Toc18179 \h </w:instrText>
          </w:r>
          <w:r>
            <w:fldChar w:fldCharType="separate"/>
          </w:r>
          <w:r>
            <w:t>4</w:t>
          </w:r>
          <w:r>
            <w:fldChar w:fldCharType="end"/>
          </w:r>
          <w:r>
            <w:fldChar w:fldCharType="end"/>
          </w:r>
        </w:p>
        <w:p>
          <w:pPr>
            <w:pStyle w:val="34"/>
            <w:tabs>
              <w:tab w:val="right" w:leader="dot" w:pos="8306"/>
            </w:tabs>
          </w:pPr>
          <w:r>
            <w:fldChar w:fldCharType="begin"/>
          </w:r>
          <w:r>
            <w:instrText xml:space="preserve"> HYPERLINK \l "_Toc12076" </w:instrText>
          </w:r>
          <w:r>
            <w:fldChar w:fldCharType="separate"/>
          </w:r>
          <w:r>
            <w:rPr>
              <w:rFonts w:hint="eastAsia" w:ascii="黑体" w:eastAsia="黑体"/>
              <w:szCs w:val="32"/>
              <w:highlight w:val="none"/>
            </w:rPr>
            <w:t>四、财</w:t>
          </w:r>
          <w:r>
            <w:rPr>
              <w:rFonts w:hint="eastAsia" w:ascii="黑体" w:eastAsia="黑体"/>
              <w:highlight w:val="none"/>
            </w:rPr>
            <w:t>政拨款收入支出决算总体情况说明</w:t>
          </w:r>
          <w:r>
            <w:tab/>
          </w:r>
          <w:r>
            <w:fldChar w:fldCharType="begin"/>
          </w:r>
          <w:r>
            <w:instrText xml:space="preserve"> PAGEREF _Toc12076 \h </w:instrText>
          </w:r>
          <w:r>
            <w:fldChar w:fldCharType="separate"/>
          </w:r>
          <w:r>
            <w:t>4</w:t>
          </w:r>
          <w:r>
            <w:fldChar w:fldCharType="end"/>
          </w:r>
          <w:r>
            <w:fldChar w:fldCharType="end"/>
          </w:r>
        </w:p>
        <w:p>
          <w:pPr>
            <w:pStyle w:val="34"/>
            <w:tabs>
              <w:tab w:val="right" w:leader="dot" w:pos="8306"/>
            </w:tabs>
          </w:pPr>
          <w:r>
            <w:fldChar w:fldCharType="begin"/>
          </w:r>
          <w:r>
            <w:instrText xml:space="preserve"> HYPERLINK \l "_Toc3975" </w:instrText>
          </w:r>
          <w:r>
            <w:fldChar w:fldCharType="separate"/>
          </w:r>
          <w:r>
            <w:rPr>
              <w:rFonts w:hint="eastAsia" w:ascii="黑体" w:eastAsia="黑体"/>
              <w:szCs w:val="32"/>
              <w:highlight w:val="none"/>
            </w:rPr>
            <w:t>五、一</w:t>
          </w:r>
          <w:r>
            <w:rPr>
              <w:rFonts w:hint="eastAsia" w:ascii="黑体" w:eastAsia="黑体"/>
              <w:highlight w:val="none"/>
            </w:rPr>
            <w:t>般公共预算财政拨款支出决算情况说明</w:t>
          </w:r>
          <w:r>
            <w:tab/>
          </w:r>
          <w:r>
            <w:fldChar w:fldCharType="begin"/>
          </w:r>
          <w:r>
            <w:instrText xml:space="preserve"> PAGEREF _Toc3975 \h </w:instrText>
          </w:r>
          <w:r>
            <w:fldChar w:fldCharType="separate"/>
          </w:r>
          <w:r>
            <w:t>5</w:t>
          </w:r>
          <w:r>
            <w:fldChar w:fldCharType="end"/>
          </w:r>
          <w:r>
            <w:fldChar w:fldCharType="end"/>
          </w:r>
        </w:p>
        <w:p>
          <w:pPr>
            <w:pStyle w:val="34"/>
            <w:tabs>
              <w:tab w:val="right" w:leader="dot" w:pos="8306"/>
            </w:tabs>
          </w:pPr>
          <w:r>
            <w:fldChar w:fldCharType="begin"/>
          </w:r>
          <w:r>
            <w:instrText xml:space="preserve"> HYPERLINK \l "_Toc23301" </w:instrText>
          </w:r>
          <w:r>
            <w:fldChar w:fldCharType="separate"/>
          </w:r>
          <w:r>
            <w:rPr>
              <w:rFonts w:hint="eastAsia" w:ascii="黑体" w:eastAsia="黑体"/>
              <w:szCs w:val="32"/>
              <w:highlight w:val="none"/>
            </w:rPr>
            <w:t>六、一</w:t>
          </w:r>
          <w:r>
            <w:rPr>
              <w:rFonts w:hint="eastAsia" w:ascii="黑体" w:eastAsia="黑体"/>
              <w:highlight w:val="none"/>
            </w:rPr>
            <w:t>般公共预算财政拨款基本支出决算情况说明</w:t>
          </w:r>
          <w:r>
            <w:tab/>
          </w:r>
          <w:r>
            <w:fldChar w:fldCharType="begin"/>
          </w:r>
          <w:r>
            <w:instrText xml:space="preserve"> PAGEREF _Toc23301 \h </w:instrText>
          </w:r>
          <w:r>
            <w:fldChar w:fldCharType="separate"/>
          </w:r>
          <w:r>
            <w:t>7</w:t>
          </w:r>
          <w:r>
            <w:fldChar w:fldCharType="end"/>
          </w:r>
          <w:r>
            <w:fldChar w:fldCharType="end"/>
          </w:r>
        </w:p>
        <w:p>
          <w:pPr>
            <w:pStyle w:val="34"/>
            <w:tabs>
              <w:tab w:val="right" w:leader="dot" w:pos="8306"/>
            </w:tabs>
          </w:pPr>
          <w:r>
            <w:fldChar w:fldCharType="begin"/>
          </w:r>
          <w:r>
            <w:instrText xml:space="preserve"> HYPERLINK \l "_Toc28217" </w:instrText>
          </w:r>
          <w:r>
            <w:fldChar w:fldCharType="separate"/>
          </w:r>
          <w:r>
            <w:rPr>
              <w:rFonts w:hint="eastAsia" w:ascii="黑体" w:eastAsia="黑体"/>
              <w:szCs w:val="32"/>
              <w:highlight w:val="none"/>
            </w:rPr>
            <w:t>七、</w:t>
          </w:r>
          <w:r>
            <w:rPr>
              <w:rFonts w:hint="eastAsia" w:ascii="黑体" w:eastAsia="黑体"/>
              <w:highlight w:val="none"/>
            </w:rPr>
            <w:t>财政拨款“三公”经费支出决算情况说明</w:t>
          </w:r>
          <w:r>
            <w:tab/>
          </w:r>
          <w:r>
            <w:fldChar w:fldCharType="begin"/>
          </w:r>
          <w:r>
            <w:instrText xml:space="preserve"> PAGEREF _Toc28217 \h </w:instrText>
          </w:r>
          <w:r>
            <w:fldChar w:fldCharType="separate"/>
          </w:r>
          <w:r>
            <w:t>8</w:t>
          </w:r>
          <w:r>
            <w:fldChar w:fldCharType="end"/>
          </w:r>
          <w:r>
            <w:fldChar w:fldCharType="end"/>
          </w:r>
        </w:p>
        <w:p>
          <w:pPr>
            <w:pStyle w:val="34"/>
            <w:tabs>
              <w:tab w:val="right" w:leader="dot" w:pos="8306"/>
            </w:tabs>
          </w:pPr>
          <w:r>
            <w:fldChar w:fldCharType="begin"/>
          </w:r>
          <w:r>
            <w:instrText xml:space="preserve"> HYPERLINK \l "_Toc21642" </w:instrText>
          </w:r>
          <w:r>
            <w:fldChar w:fldCharType="separate"/>
          </w:r>
          <w:r>
            <w:rPr>
              <w:rFonts w:hint="eastAsia" w:ascii="黑体" w:eastAsia="黑体"/>
              <w:szCs w:val="32"/>
              <w:highlight w:val="none"/>
            </w:rPr>
            <w:t>八、</w:t>
          </w:r>
          <w:r>
            <w:rPr>
              <w:rFonts w:hint="eastAsia" w:ascii="黑体" w:eastAsia="黑体"/>
              <w:highlight w:val="none"/>
            </w:rPr>
            <w:t>政府性基金预算支出决算情况说明</w:t>
          </w:r>
          <w:r>
            <w:tab/>
          </w:r>
          <w:r>
            <w:fldChar w:fldCharType="begin"/>
          </w:r>
          <w:r>
            <w:instrText xml:space="preserve"> PAGEREF _Toc21642 \h </w:instrText>
          </w:r>
          <w:r>
            <w:fldChar w:fldCharType="separate"/>
          </w:r>
          <w:r>
            <w:t>8</w:t>
          </w:r>
          <w:r>
            <w:fldChar w:fldCharType="end"/>
          </w:r>
          <w:r>
            <w:fldChar w:fldCharType="end"/>
          </w:r>
        </w:p>
        <w:p>
          <w:pPr>
            <w:pStyle w:val="34"/>
            <w:tabs>
              <w:tab w:val="right" w:leader="dot" w:pos="8306"/>
            </w:tabs>
          </w:pPr>
          <w:r>
            <w:fldChar w:fldCharType="begin"/>
          </w:r>
          <w:r>
            <w:instrText xml:space="preserve"> HYPERLINK \l "_Toc14636" </w:instrText>
          </w:r>
          <w:r>
            <w:fldChar w:fldCharType="separate"/>
          </w:r>
          <w:r>
            <w:rPr>
              <w:rFonts w:hint="eastAsia" w:ascii="黑体" w:eastAsia="黑体"/>
            </w:rPr>
            <w:t>九、</w:t>
          </w:r>
          <w:r>
            <w:rPr>
              <w:rFonts w:hint="eastAsia" w:ascii="黑体" w:eastAsia="黑体"/>
              <w:highlight w:val="none"/>
            </w:rPr>
            <w:t>国有资本经营预算支出决算情况说明</w:t>
          </w:r>
          <w:r>
            <w:tab/>
          </w:r>
          <w:r>
            <w:fldChar w:fldCharType="begin"/>
          </w:r>
          <w:r>
            <w:instrText xml:space="preserve"> PAGEREF _Toc14636 \h </w:instrText>
          </w:r>
          <w:r>
            <w:fldChar w:fldCharType="separate"/>
          </w:r>
          <w:r>
            <w:t>8</w:t>
          </w:r>
          <w:r>
            <w:fldChar w:fldCharType="end"/>
          </w:r>
          <w:r>
            <w:fldChar w:fldCharType="end"/>
          </w:r>
        </w:p>
        <w:p>
          <w:pPr>
            <w:pStyle w:val="34"/>
            <w:tabs>
              <w:tab w:val="right" w:leader="dot" w:pos="8306"/>
            </w:tabs>
          </w:pPr>
          <w:r>
            <w:fldChar w:fldCharType="begin"/>
          </w:r>
          <w:r>
            <w:instrText xml:space="preserve"> HYPERLINK \l "_Toc13687" </w:instrText>
          </w:r>
          <w:r>
            <w:fldChar w:fldCharType="separate"/>
          </w:r>
          <w:r>
            <w:rPr>
              <w:rFonts w:hint="eastAsia" w:ascii="黑体" w:eastAsia="黑体"/>
            </w:rPr>
            <w:t>十、</w:t>
          </w:r>
          <w:r>
            <w:rPr>
              <w:rFonts w:hint="eastAsia" w:ascii="黑体" w:eastAsia="黑体"/>
              <w:highlight w:val="none"/>
            </w:rPr>
            <w:t>其他重要事项的情况说明</w:t>
          </w:r>
          <w:r>
            <w:tab/>
          </w:r>
          <w:r>
            <w:fldChar w:fldCharType="begin"/>
          </w:r>
          <w:r>
            <w:instrText xml:space="preserve"> PAGEREF _Toc13687 \h </w:instrText>
          </w:r>
          <w:r>
            <w:fldChar w:fldCharType="separate"/>
          </w:r>
          <w:r>
            <w:t>8</w:t>
          </w:r>
          <w:r>
            <w:fldChar w:fldCharType="end"/>
          </w:r>
          <w:r>
            <w:fldChar w:fldCharType="end"/>
          </w:r>
        </w:p>
        <w:p>
          <w:pPr>
            <w:pStyle w:val="35"/>
            <w:tabs>
              <w:tab w:val="right" w:leader="dot" w:pos="8306"/>
            </w:tabs>
          </w:pPr>
          <w:r>
            <w:fldChar w:fldCharType="begin"/>
          </w:r>
          <w:r>
            <w:instrText xml:space="preserve"> HYPERLINK \l "_Toc21239" </w:instrText>
          </w:r>
          <w:r>
            <w:fldChar w:fldCharType="separate"/>
          </w:r>
          <w:r>
            <w:rPr>
              <w:rFonts w:hint="eastAsia" w:ascii="仿宋" w:eastAsia="仿宋"/>
              <w:szCs w:val="32"/>
              <w:highlight w:val="none"/>
            </w:rPr>
            <w:t>（一）机关运行经费支出情况</w:t>
          </w:r>
          <w:r>
            <w:tab/>
          </w:r>
          <w:r>
            <w:fldChar w:fldCharType="begin"/>
          </w:r>
          <w:r>
            <w:instrText xml:space="preserve"> PAGEREF _Toc21239 \h </w:instrText>
          </w:r>
          <w:r>
            <w:fldChar w:fldCharType="separate"/>
          </w:r>
          <w:r>
            <w:t>8</w:t>
          </w:r>
          <w:r>
            <w:fldChar w:fldCharType="end"/>
          </w:r>
          <w:r>
            <w:fldChar w:fldCharType="end"/>
          </w:r>
        </w:p>
        <w:p>
          <w:pPr>
            <w:pStyle w:val="35"/>
            <w:tabs>
              <w:tab w:val="right" w:leader="dot" w:pos="8306"/>
            </w:tabs>
          </w:pPr>
          <w:r>
            <w:fldChar w:fldCharType="begin"/>
          </w:r>
          <w:r>
            <w:instrText xml:space="preserve"> HYPERLINK \l "_Toc20610" </w:instrText>
          </w:r>
          <w:r>
            <w:fldChar w:fldCharType="separate"/>
          </w:r>
          <w:r>
            <w:rPr>
              <w:rFonts w:hint="eastAsia" w:ascii="仿宋" w:eastAsia="仿宋"/>
              <w:szCs w:val="32"/>
              <w:highlight w:val="none"/>
            </w:rPr>
            <w:t>（二）政府采购支出情况</w:t>
          </w:r>
          <w:r>
            <w:tab/>
          </w:r>
          <w:r>
            <w:fldChar w:fldCharType="begin"/>
          </w:r>
          <w:r>
            <w:instrText xml:space="preserve"> PAGEREF _Toc20610 \h </w:instrText>
          </w:r>
          <w:r>
            <w:fldChar w:fldCharType="separate"/>
          </w:r>
          <w:r>
            <w:t>8</w:t>
          </w:r>
          <w:r>
            <w:fldChar w:fldCharType="end"/>
          </w:r>
          <w:r>
            <w:fldChar w:fldCharType="end"/>
          </w:r>
        </w:p>
        <w:p>
          <w:pPr>
            <w:pStyle w:val="35"/>
            <w:tabs>
              <w:tab w:val="right" w:leader="dot" w:pos="8306"/>
            </w:tabs>
          </w:pPr>
          <w:r>
            <w:fldChar w:fldCharType="begin"/>
          </w:r>
          <w:r>
            <w:instrText xml:space="preserve"> HYPERLINK \l "_Toc28206" </w:instrText>
          </w:r>
          <w:r>
            <w:fldChar w:fldCharType="separate"/>
          </w:r>
          <w:r>
            <w:rPr>
              <w:rFonts w:hint="eastAsia" w:ascii="仿宋" w:eastAsia="仿宋"/>
              <w:szCs w:val="32"/>
            </w:rPr>
            <w:t xml:space="preserve">（三） </w:t>
          </w:r>
          <w:r>
            <w:rPr>
              <w:rFonts w:hint="eastAsia" w:ascii="仿宋" w:eastAsia="仿宋"/>
              <w:szCs w:val="32"/>
              <w:highlight w:val="none"/>
            </w:rPr>
            <w:t>国有资产占有使用情况</w:t>
          </w:r>
          <w:r>
            <w:tab/>
          </w:r>
          <w:r>
            <w:fldChar w:fldCharType="begin"/>
          </w:r>
          <w:r>
            <w:instrText xml:space="preserve"> PAGEREF _Toc28206 \h </w:instrText>
          </w:r>
          <w:r>
            <w:fldChar w:fldCharType="separate"/>
          </w:r>
          <w:r>
            <w:t>8</w:t>
          </w:r>
          <w:r>
            <w:fldChar w:fldCharType="end"/>
          </w:r>
          <w:r>
            <w:fldChar w:fldCharType="end"/>
          </w:r>
        </w:p>
        <w:p>
          <w:pPr>
            <w:pStyle w:val="35"/>
            <w:tabs>
              <w:tab w:val="right" w:leader="dot" w:pos="8306"/>
            </w:tabs>
          </w:pPr>
          <w:r>
            <w:fldChar w:fldCharType="begin"/>
          </w:r>
          <w:r>
            <w:instrText xml:space="preserve"> HYPERLINK \l "_Toc18674" </w:instrText>
          </w:r>
          <w:r>
            <w:fldChar w:fldCharType="separate"/>
          </w:r>
          <w:r>
            <w:rPr>
              <w:rFonts w:hint="eastAsia" w:ascii="仿宋" w:eastAsia="仿宋"/>
              <w:szCs w:val="32"/>
              <w:highlight w:val="none"/>
            </w:rPr>
            <w:t>（四）预算绩效管理情况</w:t>
          </w:r>
          <w:r>
            <w:tab/>
          </w:r>
          <w:r>
            <w:fldChar w:fldCharType="begin"/>
          </w:r>
          <w:r>
            <w:instrText xml:space="preserve"> PAGEREF _Toc18674 \h </w:instrText>
          </w:r>
          <w:r>
            <w:fldChar w:fldCharType="separate"/>
          </w:r>
          <w:r>
            <w:t>9</w:t>
          </w:r>
          <w:r>
            <w:fldChar w:fldCharType="end"/>
          </w:r>
          <w:r>
            <w:fldChar w:fldCharType="end"/>
          </w:r>
        </w:p>
        <w:p>
          <w:pPr>
            <w:pStyle w:val="33"/>
            <w:tabs>
              <w:tab w:val="right" w:leader="dot" w:pos="8306"/>
            </w:tabs>
          </w:pPr>
          <w:r>
            <w:fldChar w:fldCharType="begin"/>
          </w:r>
          <w:r>
            <w:instrText xml:space="preserve"> HYPERLINK \l "_Toc17121" </w:instrText>
          </w:r>
          <w:r>
            <w:fldChar w:fldCharType="separate"/>
          </w:r>
          <w:r>
            <w:rPr>
              <w:rFonts w:hint="eastAsia" w:ascii="黑体" w:hAnsi="黑体" w:eastAsia="黑体" w:cs="黑体"/>
              <w:szCs w:val="44"/>
            </w:rPr>
            <w:t xml:space="preserve">第三部分 </w:t>
          </w:r>
          <w:r>
            <w:rPr>
              <w:rFonts w:hint="eastAsia" w:ascii="黑体" w:eastAsia="黑体"/>
              <w:szCs w:val="44"/>
              <w:highlight w:val="none"/>
            </w:rPr>
            <w:t>名</w:t>
          </w:r>
          <w:r>
            <w:rPr>
              <w:rFonts w:hint="eastAsia" w:ascii="黑体" w:eastAsia="黑体"/>
              <w:highlight w:val="none"/>
            </w:rPr>
            <w:t>词解释</w:t>
          </w:r>
          <w:r>
            <w:tab/>
          </w:r>
          <w:r>
            <w:fldChar w:fldCharType="begin"/>
          </w:r>
          <w:r>
            <w:instrText xml:space="preserve"> PAGEREF _Toc17121 \h </w:instrText>
          </w:r>
          <w:r>
            <w:fldChar w:fldCharType="separate"/>
          </w:r>
          <w:r>
            <w:t>13</w:t>
          </w:r>
          <w:r>
            <w:fldChar w:fldCharType="end"/>
          </w:r>
          <w:r>
            <w:fldChar w:fldCharType="end"/>
          </w:r>
        </w:p>
        <w:p>
          <w:pPr>
            <w:pStyle w:val="33"/>
            <w:tabs>
              <w:tab w:val="right" w:leader="dot" w:pos="8306"/>
            </w:tabs>
          </w:pPr>
          <w:r>
            <w:fldChar w:fldCharType="begin"/>
          </w:r>
          <w:r>
            <w:instrText xml:space="preserve"> HYPERLINK \l "_Toc2734" </w:instrText>
          </w:r>
          <w:r>
            <w:fldChar w:fldCharType="separate"/>
          </w:r>
          <w:r>
            <w:rPr>
              <w:rFonts w:hint="eastAsia" w:ascii="黑体" w:eastAsia="黑体"/>
              <w:szCs w:val="44"/>
              <w:highlight w:val="none"/>
            </w:rPr>
            <w:t>第</w:t>
          </w:r>
          <w:r>
            <w:rPr>
              <w:rFonts w:hint="eastAsia" w:ascii="黑体" w:eastAsia="黑体"/>
              <w:highlight w:val="none"/>
            </w:rPr>
            <w:t>四部分 附件</w:t>
          </w:r>
          <w:r>
            <w:tab/>
          </w:r>
          <w:r>
            <w:fldChar w:fldCharType="begin"/>
          </w:r>
          <w:r>
            <w:instrText xml:space="preserve"> PAGEREF _Toc2734 \h </w:instrText>
          </w:r>
          <w:r>
            <w:fldChar w:fldCharType="separate"/>
          </w:r>
          <w:r>
            <w:t>16</w:t>
          </w:r>
          <w:r>
            <w:fldChar w:fldCharType="end"/>
          </w:r>
          <w:r>
            <w:fldChar w:fldCharType="end"/>
          </w:r>
        </w:p>
        <w:p>
          <w:pPr>
            <w:pStyle w:val="33"/>
            <w:tabs>
              <w:tab w:val="right" w:leader="dot" w:pos="8306"/>
            </w:tabs>
          </w:pPr>
          <w:r>
            <w:fldChar w:fldCharType="begin"/>
          </w:r>
          <w:r>
            <w:instrText xml:space="preserve"> HYPERLINK \l "_Toc12560" </w:instrText>
          </w:r>
          <w:r>
            <w:fldChar w:fldCharType="separate"/>
          </w:r>
          <w:r>
            <w:rPr>
              <w:rFonts w:hint="eastAsia" w:ascii="黑体" w:eastAsia="黑体"/>
              <w:szCs w:val="44"/>
              <w:highlight w:val="none"/>
            </w:rPr>
            <w:t>第</w:t>
          </w:r>
          <w:r>
            <w:rPr>
              <w:rFonts w:hint="eastAsia" w:ascii="黑体" w:eastAsia="黑体"/>
              <w:highlight w:val="none"/>
            </w:rPr>
            <w:t>五部分 附表</w:t>
          </w:r>
          <w:r>
            <w:tab/>
          </w:r>
          <w:r>
            <w:fldChar w:fldCharType="begin"/>
          </w:r>
          <w:r>
            <w:instrText xml:space="preserve"> PAGEREF _Toc12560 \h </w:instrText>
          </w:r>
          <w:r>
            <w:fldChar w:fldCharType="separate"/>
          </w:r>
          <w:r>
            <w:t>24</w:t>
          </w:r>
          <w:r>
            <w:fldChar w:fldCharType="end"/>
          </w:r>
          <w:r>
            <w:fldChar w:fldCharType="end"/>
          </w:r>
        </w:p>
        <w:p>
          <w:pPr>
            <w:pStyle w:val="34"/>
            <w:tabs>
              <w:tab w:val="right" w:leader="dot" w:pos="8306"/>
            </w:tabs>
          </w:pPr>
          <w:r>
            <w:fldChar w:fldCharType="begin"/>
          </w:r>
          <w:r>
            <w:instrText xml:space="preserve"> HYPERLINK \l "_Toc14035" </w:instrText>
          </w:r>
          <w:r>
            <w:fldChar w:fldCharType="separate"/>
          </w:r>
          <w:r>
            <w:rPr>
              <w:rFonts w:hint="eastAsia" w:ascii="仿宋" w:eastAsia="仿宋" w:cs="Times New Roman"/>
              <w:bCs w:val="0"/>
              <w:highlight w:val="none"/>
            </w:rPr>
            <w:t>一、收入支出决算总表</w:t>
          </w:r>
          <w:r>
            <w:tab/>
          </w:r>
          <w:r>
            <w:fldChar w:fldCharType="begin"/>
          </w:r>
          <w:r>
            <w:instrText xml:space="preserve"> PAGEREF _Toc14035 \h </w:instrText>
          </w:r>
          <w:r>
            <w:fldChar w:fldCharType="separate"/>
          </w:r>
          <w:r>
            <w:t>24</w:t>
          </w:r>
          <w:r>
            <w:fldChar w:fldCharType="end"/>
          </w:r>
          <w:r>
            <w:fldChar w:fldCharType="end"/>
          </w:r>
        </w:p>
        <w:p>
          <w:pPr>
            <w:pStyle w:val="34"/>
            <w:tabs>
              <w:tab w:val="right" w:leader="dot" w:pos="8306"/>
            </w:tabs>
          </w:pPr>
          <w:r>
            <w:fldChar w:fldCharType="begin"/>
          </w:r>
          <w:r>
            <w:instrText xml:space="preserve"> HYPERLINK \l "_Toc13970" </w:instrText>
          </w:r>
          <w:r>
            <w:fldChar w:fldCharType="separate"/>
          </w:r>
          <w:r>
            <w:rPr>
              <w:rFonts w:hint="eastAsia" w:ascii="仿宋" w:eastAsia="仿宋" w:cs="Times New Roman"/>
              <w:bCs w:val="0"/>
              <w:highlight w:val="none"/>
            </w:rPr>
            <w:t>二、收入决算表</w:t>
          </w:r>
          <w:r>
            <w:tab/>
          </w:r>
          <w:r>
            <w:fldChar w:fldCharType="begin"/>
          </w:r>
          <w:r>
            <w:instrText xml:space="preserve"> PAGEREF _Toc13970 \h </w:instrText>
          </w:r>
          <w:r>
            <w:fldChar w:fldCharType="separate"/>
          </w:r>
          <w:r>
            <w:t>24</w:t>
          </w:r>
          <w:r>
            <w:fldChar w:fldCharType="end"/>
          </w:r>
          <w:r>
            <w:fldChar w:fldCharType="end"/>
          </w:r>
        </w:p>
        <w:p>
          <w:pPr>
            <w:pStyle w:val="34"/>
            <w:tabs>
              <w:tab w:val="right" w:leader="dot" w:pos="8306"/>
            </w:tabs>
          </w:pPr>
          <w:r>
            <w:fldChar w:fldCharType="begin"/>
          </w:r>
          <w:r>
            <w:instrText xml:space="preserve"> HYPERLINK \l "_Toc17965" </w:instrText>
          </w:r>
          <w:r>
            <w:fldChar w:fldCharType="separate"/>
          </w:r>
          <w:r>
            <w:rPr>
              <w:rFonts w:hint="eastAsia" w:ascii="仿宋" w:eastAsia="仿宋" w:cs="Times New Roman"/>
              <w:bCs w:val="0"/>
              <w:highlight w:val="none"/>
            </w:rPr>
            <w:t>三、支出决算表</w:t>
          </w:r>
          <w:r>
            <w:tab/>
          </w:r>
          <w:r>
            <w:fldChar w:fldCharType="begin"/>
          </w:r>
          <w:r>
            <w:instrText xml:space="preserve"> PAGEREF _Toc17965 \h </w:instrText>
          </w:r>
          <w:r>
            <w:fldChar w:fldCharType="separate"/>
          </w:r>
          <w:r>
            <w:t>24</w:t>
          </w:r>
          <w:r>
            <w:fldChar w:fldCharType="end"/>
          </w:r>
          <w:r>
            <w:fldChar w:fldCharType="end"/>
          </w:r>
        </w:p>
        <w:p>
          <w:pPr>
            <w:pStyle w:val="34"/>
            <w:tabs>
              <w:tab w:val="right" w:leader="dot" w:pos="8306"/>
            </w:tabs>
          </w:pPr>
          <w:r>
            <w:fldChar w:fldCharType="begin"/>
          </w:r>
          <w:r>
            <w:instrText xml:space="preserve"> HYPERLINK \l "_Toc25859" </w:instrText>
          </w:r>
          <w:r>
            <w:fldChar w:fldCharType="separate"/>
          </w:r>
          <w:r>
            <w:rPr>
              <w:rFonts w:hint="eastAsia" w:ascii="仿宋" w:eastAsia="仿宋" w:cs="Times New Roman"/>
              <w:bCs w:val="0"/>
              <w:highlight w:val="none"/>
            </w:rPr>
            <w:t>四、财政拨款收入支出决算总表</w:t>
          </w:r>
          <w:r>
            <w:tab/>
          </w:r>
          <w:r>
            <w:fldChar w:fldCharType="begin"/>
          </w:r>
          <w:r>
            <w:instrText xml:space="preserve"> PAGEREF _Toc25859 \h </w:instrText>
          </w:r>
          <w:r>
            <w:fldChar w:fldCharType="separate"/>
          </w:r>
          <w:r>
            <w:t>24</w:t>
          </w:r>
          <w:r>
            <w:fldChar w:fldCharType="end"/>
          </w:r>
          <w:r>
            <w:fldChar w:fldCharType="end"/>
          </w:r>
        </w:p>
        <w:p>
          <w:pPr>
            <w:pStyle w:val="34"/>
            <w:tabs>
              <w:tab w:val="right" w:leader="dot" w:pos="8306"/>
            </w:tabs>
          </w:pPr>
          <w:r>
            <w:fldChar w:fldCharType="begin"/>
          </w:r>
          <w:r>
            <w:instrText xml:space="preserve"> HYPERLINK \l "_Toc28928" </w:instrText>
          </w:r>
          <w:r>
            <w:fldChar w:fldCharType="separate"/>
          </w:r>
          <w:r>
            <w:rPr>
              <w:rFonts w:hint="eastAsia" w:ascii="仿宋" w:eastAsia="仿宋" w:cs="Times New Roman"/>
              <w:bCs w:val="0"/>
              <w:highlight w:val="none"/>
            </w:rPr>
            <w:t>五、财政拨款支出决</w:t>
          </w:r>
          <w:r>
            <w:rPr>
              <w:rFonts w:hint="eastAsia" w:ascii="仿宋" w:eastAsia="仿宋"/>
              <w:bCs w:val="0"/>
              <w:highlight w:val="none"/>
            </w:rPr>
            <w:t>算明细表</w:t>
          </w:r>
          <w:r>
            <w:tab/>
          </w:r>
          <w:r>
            <w:fldChar w:fldCharType="begin"/>
          </w:r>
          <w:r>
            <w:instrText xml:space="preserve"> PAGEREF _Toc28928 \h </w:instrText>
          </w:r>
          <w:r>
            <w:fldChar w:fldCharType="separate"/>
          </w:r>
          <w:r>
            <w:t>24</w:t>
          </w:r>
          <w:r>
            <w:fldChar w:fldCharType="end"/>
          </w:r>
          <w:r>
            <w:fldChar w:fldCharType="end"/>
          </w:r>
        </w:p>
        <w:p>
          <w:pPr>
            <w:pStyle w:val="34"/>
            <w:tabs>
              <w:tab w:val="right" w:leader="dot" w:pos="8306"/>
            </w:tabs>
          </w:pPr>
          <w:r>
            <w:fldChar w:fldCharType="begin"/>
          </w:r>
          <w:r>
            <w:instrText xml:space="preserve"> HYPERLINK \l "_Toc24378" </w:instrText>
          </w:r>
          <w:r>
            <w:fldChar w:fldCharType="separate"/>
          </w:r>
          <w:r>
            <w:rPr>
              <w:rFonts w:hint="eastAsia" w:ascii="仿宋" w:eastAsia="仿宋"/>
              <w:bCs w:val="0"/>
              <w:highlight w:val="none"/>
            </w:rPr>
            <w:t>六、</w:t>
          </w:r>
          <w:r>
            <w:rPr>
              <w:rFonts w:hint="eastAsia" w:ascii="仿宋" w:eastAsia="仿宋"/>
              <w:highlight w:val="none"/>
            </w:rPr>
            <w:t>一</w:t>
          </w:r>
          <w:r>
            <w:rPr>
              <w:rFonts w:hint="eastAsia" w:ascii="仿宋" w:eastAsia="仿宋"/>
              <w:bCs w:val="0"/>
              <w:highlight w:val="none"/>
            </w:rPr>
            <w:t>般公共预算财政拨款支出决算表</w:t>
          </w:r>
          <w:r>
            <w:tab/>
          </w:r>
          <w:r>
            <w:fldChar w:fldCharType="begin"/>
          </w:r>
          <w:r>
            <w:instrText xml:space="preserve"> PAGEREF _Toc24378 \h </w:instrText>
          </w:r>
          <w:r>
            <w:fldChar w:fldCharType="separate"/>
          </w:r>
          <w:r>
            <w:t>24</w:t>
          </w:r>
          <w:r>
            <w:fldChar w:fldCharType="end"/>
          </w:r>
          <w:r>
            <w:fldChar w:fldCharType="end"/>
          </w:r>
        </w:p>
        <w:p>
          <w:pPr>
            <w:pStyle w:val="34"/>
            <w:tabs>
              <w:tab w:val="right" w:leader="dot" w:pos="8306"/>
            </w:tabs>
          </w:pPr>
          <w:r>
            <w:fldChar w:fldCharType="begin"/>
          </w:r>
          <w:r>
            <w:instrText xml:space="preserve"> HYPERLINK \l "_Toc15077" </w:instrText>
          </w:r>
          <w:r>
            <w:fldChar w:fldCharType="separate"/>
          </w:r>
          <w:r>
            <w:rPr>
              <w:rFonts w:hint="eastAsia" w:ascii="仿宋" w:eastAsia="仿宋"/>
              <w:bCs w:val="0"/>
              <w:highlight w:val="none"/>
            </w:rPr>
            <w:t>七、</w:t>
          </w:r>
          <w:r>
            <w:rPr>
              <w:rFonts w:hint="eastAsia" w:ascii="仿宋" w:eastAsia="仿宋"/>
              <w:highlight w:val="none"/>
            </w:rPr>
            <w:t>一</w:t>
          </w:r>
          <w:r>
            <w:rPr>
              <w:rFonts w:hint="eastAsia" w:ascii="仿宋" w:eastAsia="仿宋"/>
              <w:bCs w:val="0"/>
              <w:highlight w:val="none"/>
            </w:rPr>
            <w:t>般公共预算财政拨款支出决算明细表</w:t>
          </w:r>
          <w:r>
            <w:tab/>
          </w:r>
          <w:r>
            <w:fldChar w:fldCharType="begin"/>
          </w:r>
          <w:r>
            <w:instrText xml:space="preserve"> PAGEREF _Toc15077 \h </w:instrText>
          </w:r>
          <w:r>
            <w:fldChar w:fldCharType="separate"/>
          </w:r>
          <w:r>
            <w:t>24</w:t>
          </w:r>
          <w:r>
            <w:fldChar w:fldCharType="end"/>
          </w:r>
          <w:r>
            <w:fldChar w:fldCharType="end"/>
          </w:r>
        </w:p>
        <w:p>
          <w:pPr>
            <w:pStyle w:val="34"/>
            <w:tabs>
              <w:tab w:val="right" w:leader="dot" w:pos="8306"/>
            </w:tabs>
          </w:pPr>
          <w:r>
            <w:fldChar w:fldCharType="begin"/>
          </w:r>
          <w:r>
            <w:instrText xml:space="preserve"> HYPERLINK \l "_Toc24074" </w:instrText>
          </w:r>
          <w:r>
            <w:fldChar w:fldCharType="separate"/>
          </w:r>
          <w:r>
            <w:rPr>
              <w:rFonts w:hint="eastAsia" w:ascii="仿宋" w:eastAsia="仿宋"/>
              <w:bCs w:val="0"/>
              <w:highlight w:val="none"/>
            </w:rPr>
            <w:t>八、</w:t>
          </w:r>
          <w:r>
            <w:rPr>
              <w:rFonts w:hint="eastAsia" w:ascii="仿宋" w:eastAsia="仿宋"/>
              <w:highlight w:val="none"/>
            </w:rPr>
            <w:t>一</w:t>
          </w:r>
          <w:r>
            <w:rPr>
              <w:rFonts w:hint="eastAsia" w:ascii="仿宋" w:eastAsia="仿宋"/>
              <w:bCs w:val="0"/>
              <w:highlight w:val="none"/>
            </w:rPr>
            <w:t>般公共预算财政拨款基本支出决算表</w:t>
          </w:r>
          <w:r>
            <w:tab/>
          </w:r>
          <w:r>
            <w:fldChar w:fldCharType="begin"/>
          </w:r>
          <w:r>
            <w:instrText xml:space="preserve"> PAGEREF _Toc24074 \h </w:instrText>
          </w:r>
          <w:r>
            <w:fldChar w:fldCharType="separate"/>
          </w:r>
          <w:r>
            <w:t>24</w:t>
          </w:r>
          <w:r>
            <w:fldChar w:fldCharType="end"/>
          </w:r>
          <w:r>
            <w:fldChar w:fldCharType="end"/>
          </w:r>
        </w:p>
        <w:p>
          <w:pPr>
            <w:pStyle w:val="34"/>
            <w:tabs>
              <w:tab w:val="right" w:leader="dot" w:pos="8306"/>
            </w:tabs>
          </w:pPr>
          <w:r>
            <w:fldChar w:fldCharType="begin"/>
          </w:r>
          <w:r>
            <w:instrText xml:space="preserve"> HYPERLINK \l "_Toc5785" </w:instrText>
          </w:r>
          <w:r>
            <w:fldChar w:fldCharType="separate"/>
          </w:r>
          <w:r>
            <w:rPr>
              <w:rFonts w:hint="eastAsia" w:ascii="仿宋" w:eastAsia="仿宋"/>
              <w:bCs w:val="0"/>
              <w:highlight w:val="none"/>
            </w:rPr>
            <w:t>九、</w:t>
          </w:r>
          <w:r>
            <w:rPr>
              <w:rFonts w:hint="eastAsia" w:ascii="仿宋" w:eastAsia="仿宋"/>
              <w:highlight w:val="none"/>
            </w:rPr>
            <w:t>一</w:t>
          </w:r>
          <w:r>
            <w:rPr>
              <w:rFonts w:hint="eastAsia" w:ascii="仿宋" w:eastAsia="仿宋"/>
              <w:bCs w:val="0"/>
              <w:highlight w:val="none"/>
            </w:rPr>
            <w:t>般公共预算财政拨款项目支出决算表</w:t>
          </w:r>
          <w:r>
            <w:tab/>
          </w:r>
          <w:r>
            <w:fldChar w:fldCharType="begin"/>
          </w:r>
          <w:r>
            <w:instrText xml:space="preserve"> PAGEREF _Toc5785 \h </w:instrText>
          </w:r>
          <w:r>
            <w:fldChar w:fldCharType="separate"/>
          </w:r>
          <w:r>
            <w:t>24</w:t>
          </w:r>
          <w:r>
            <w:fldChar w:fldCharType="end"/>
          </w:r>
          <w:r>
            <w:fldChar w:fldCharType="end"/>
          </w:r>
        </w:p>
        <w:p>
          <w:pPr>
            <w:pStyle w:val="34"/>
            <w:tabs>
              <w:tab w:val="right" w:leader="dot" w:pos="8306"/>
            </w:tabs>
          </w:pPr>
          <w:r>
            <w:fldChar w:fldCharType="begin"/>
          </w:r>
          <w:r>
            <w:instrText xml:space="preserve"> HYPERLINK \l "_Toc31141" </w:instrText>
          </w:r>
          <w:r>
            <w:fldChar w:fldCharType="separate"/>
          </w:r>
          <w:r>
            <w:rPr>
              <w:rFonts w:hint="eastAsia" w:ascii="仿宋" w:eastAsia="仿宋"/>
              <w:bCs w:val="0"/>
              <w:highlight w:val="none"/>
            </w:rPr>
            <w:t>十、</w:t>
          </w:r>
          <w:r>
            <w:rPr>
              <w:rFonts w:hint="eastAsia" w:ascii="仿宋" w:eastAsia="仿宋"/>
              <w:highlight w:val="none"/>
            </w:rPr>
            <w:t>政</w:t>
          </w:r>
          <w:r>
            <w:rPr>
              <w:rFonts w:hint="eastAsia" w:ascii="仿宋" w:eastAsia="仿宋"/>
              <w:bCs w:val="0"/>
              <w:highlight w:val="none"/>
            </w:rPr>
            <w:t>府性基金预算财政拨款收入支出决算表</w:t>
          </w:r>
          <w:r>
            <w:tab/>
          </w:r>
          <w:r>
            <w:fldChar w:fldCharType="begin"/>
          </w:r>
          <w:r>
            <w:instrText xml:space="preserve"> PAGEREF _Toc31141 \h </w:instrText>
          </w:r>
          <w:r>
            <w:fldChar w:fldCharType="separate"/>
          </w:r>
          <w:r>
            <w:t>24</w:t>
          </w:r>
          <w:r>
            <w:fldChar w:fldCharType="end"/>
          </w:r>
          <w:r>
            <w:fldChar w:fldCharType="end"/>
          </w:r>
        </w:p>
        <w:p>
          <w:pPr>
            <w:pStyle w:val="34"/>
            <w:tabs>
              <w:tab w:val="right" w:leader="dot" w:pos="8306"/>
            </w:tabs>
          </w:pPr>
          <w:r>
            <w:fldChar w:fldCharType="begin"/>
          </w:r>
          <w:r>
            <w:instrText xml:space="preserve"> HYPERLINK \l "_Toc4677" </w:instrText>
          </w:r>
          <w:r>
            <w:fldChar w:fldCharType="separate"/>
          </w:r>
          <w:r>
            <w:rPr>
              <w:rFonts w:hint="eastAsia" w:ascii="仿宋" w:eastAsia="仿宋"/>
              <w:bCs w:val="0"/>
              <w:highlight w:val="none"/>
            </w:rPr>
            <w:t>十一、</w:t>
          </w:r>
          <w:r>
            <w:rPr>
              <w:rFonts w:hint="eastAsia" w:ascii="仿宋" w:eastAsia="仿宋"/>
              <w:highlight w:val="none"/>
            </w:rPr>
            <w:t>国</w:t>
          </w:r>
          <w:r>
            <w:rPr>
              <w:rFonts w:hint="eastAsia" w:ascii="仿宋" w:eastAsia="仿宋"/>
              <w:bCs w:val="0"/>
              <w:highlight w:val="none"/>
            </w:rPr>
            <w:t>有资本经营预算</w:t>
          </w:r>
          <w:r>
            <w:rPr>
              <w:rFonts w:hint="eastAsia" w:ascii="仿宋" w:eastAsia="仿宋"/>
              <w:bCs w:val="0"/>
              <w:highlight w:val="none"/>
              <w:lang w:eastAsia="zh-CN"/>
            </w:rPr>
            <w:t>财政拨款收入</w:t>
          </w:r>
          <w:r>
            <w:rPr>
              <w:rFonts w:hint="eastAsia" w:ascii="仿宋" w:eastAsia="仿宋"/>
              <w:bCs w:val="0"/>
              <w:highlight w:val="none"/>
            </w:rPr>
            <w:t>支出决算表</w:t>
          </w:r>
          <w:r>
            <w:tab/>
          </w:r>
          <w:r>
            <w:fldChar w:fldCharType="begin"/>
          </w:r>
          <w:r>
            <w:instrText xml:space="preserve"> PAGEREF _Toc4677 \h </w:instrText>
          </w:r>
          <w:r>
            <w:fldChar w:fldCharType="separate"/>
          </w:r>
          <w:r>
            <w:t>24</w:t>
          </w:r>
          <w:r>
            <w:fldChar w:fldCharType="end"/>
          </w:r>
          <w:r>
            <w:fldChar w:fldCharType="end"/>
          </w:r>
        </w:p>
        <w:p>
          <w:pPr>
            <w:pStyle w:val="34"/>
            <w:tabs>
              <w:tab w:val="right" w:leader="dot" w:pos="8306"/>
            </w:tabs>
          </w:pPr>
          <w:r>
            <w:fldChar w:fldCharType="begin"/>
          </w:r>
          <w:r>
            <w:instrText xml:space="preserve"> HYPERLINK \l "_Toc2889" </w:instrText>
          </w:r>
          <w:r>
            <w:fldChar w:fldCharType="separate"/>
          </w:r>
          <w:r>
            <w:rPr>
              <w:rFonts w:hint="eastAsia" w:ascii="仿宋" w:eastAsia="仿宋"/>
              <w:bCs w:val="0"/>
              <w:highlight w:val="none"/>
            </w:rPr>
            <w:t>十二、</w:t>
          </w:r>
          <w:r>
            <w:rPr>
              <w:rFonts w:hint="eastAsia" w:ascii="仿宋" w:eastAsia="仿宋"/>
              <w:bCs w:val="0"/>
              <w:highlight w:val="none"/>
              <w:lang w:eastAsia="zh-CN"/>
            </w:rPr>
            <w:t>国有资本经营预算财政拨款支出决算表</w:t>
          </w:r>
          <w:r>
            <w:tab/>
          </w:r>
          <w:r>
            <w:fldChar w:fldCharType="begin"/>
          </w:r>
          <w:r>
            <w:instrText xml:space="preserve"> PAGEREF _Toc2889 \h </w:instrText>
          </w:r>
          <w:r>
            <w:fldChar w:fldCharType="separate"/>
          </w:r>
          <w:r>
            <w:t>24</w:t>
          </w:r>
          <w:r>
            <w:fldChar w:fldCharType="end"/>
          </w:r>
          <w:r>
            <w:fldChar w:fldCharType="end"/>
          </w:r>
        </w:p>
        <w:p>
          <w:pPr>
            <w:pStyle w:val="34"/>
            <w:tabs>
              <w:tab w:val="right" w:leader="dot" w:pos="8306"/>
            </w:tabs>
          </w:pPr>
          <w:r>
            <w:fldChar w:fldCharType="begin"/>
          </w:r>
          <w:r>
            <w:instrText xml:space="preserve"> HYPERLINK \l "_Toc32516" </w:instrText>
          </w:r>
          <w:r>
            <w:fldChar w:fldCharType="separate"/>
          </w:r>
          <w:r>
            <w:rPr>
              <w:rFonts w:hint="eastAsia" w:ascii="仿宋" w:eastAsia="仿宋"/>
              <w:bCs w:val="0"/>
              <w:highlight w:val="none"/>
            </w:rPr>
            <w:t>十三、</w:t>
          </w:r>
          <w:r>
            <w:rPr>
              <w:rFonts w:hint="eastAsia" w:ascii="仿宋" w:eastAsia="仿宋"/>
              <w:bCs w:val="0"/>
              <w:highlight w:val="none"/>
              <w:lang w:eastAsia="zh-CN"/>
            </w:rPr>
            <w:t>财政拨款“三公”经费支出决算表</w:t>
          </w:r>
          <w:r>
            <w:tab/>
          </w:r>
          <w:r>
            <w:fldChar w:fldCharType="begin"/>
          </w:r>
          <w:r>
            <w:instrText xml:space="preserve"> PAGEREF _Toc32516 \h </w:instrText>
          </w:r>
          <w:r>
            <w:fldChar w:fldCharType="separate"/>
          </w:r>
          <w:r>
            <w:t>24</w:t>
          </w:r>
          <w:r>
            <w:fldChar w:fldCharType="end"/>
          </w:r>
          <w:r>
            <w:fldChar w:fldCharType="end"/>
          </w:r>
        </w:p>
        <w:p>
          <w:pPr>
            <w:pStyle w:val="3"/>
            <w:jc w:val="center"/>
            <w:outlineLvl w:val="9"/>
            <w:rPr>
              <w:rFonts w:hint="eastAsia" w:ascii="黑体" w:eastAsia="黑体"/>
              <w:b w:val="0"/>
              <w:color w:val="auto"/>
              <w:highlight w:val="none"/>
            </w:rPr>
            <w:sectPr>
              <w:footerReference r:id="rId6" w:type="first"/>
              <w:footerReference r:id="rId5" w:type="default"/>
              <w:pgSz w:w="11906" w:h="16838"/>
              <w:pgMar w:top="1440" w:right="1800" w:bottom="1440" w:left="1800" w:header="851" w:footer="992" w:gutter="0"/>
              <w:pgNumType w:start="1"/>
              <w:cols w:space="720" w:num="1"/>
              <w:docGrid w:type="lines" w:linePitch="312" w:charSpace="0"/>
            </w:sectPr>
          </w:pPr>
          <w:r>
            <w:rPr>
              <w:rFonts w:hint="eastAsia" w:ascii="黑体" w:eastAsia="黑体"/>
              <w:color w:val="auto"/>
              <w:highlight w:val="none"/>
            </w:rPr>
            <w:fldChar w:fldCharType="end"/>
          </w:r>
        </w:p>
      </w:sdtContent>
    </w:sdt>
    <w:p>
      <w:pPr>
        <w:pStyle w:val="3"/>
        <w:jc w:val="center"/>
        <w:rPr>
          <w:rStyle w:val="18"/>
          <w:rFonts w:ascii="黑体" w:eastAsia="黑体"/>
          <w:b/>
          <w:bCs w:val="0"/>
          <w:color w:val="auto"/>
          <w:highlight w:val="none"/>
        </w:rPr>
      </w:pPr>
      <w:bookmarkStart w:id="20" w:name="_Toc13762"/>
      <w:r>
        <w:rPr>
          <w:rFonts w:hint="eastAsia" w:ascii="黑体" w:eastAsia="黑体"/>
          <w:b w:val="0"/>
          <w:color w:val="auto"/>
          <w:highlight w:val="none"/>
        </w:rPr>
        <w:t xml:space="preserve">第一部分 </w:t>
      </w:r>
      <w:r>
        <w:rPr>
          <w:rFonts w:hint="eastAsia" w:ascii="黑体" w:eastAsia="黑体"/>
          <w:b w:val="0"/>
          <w:color w:val="auto"/>
          <w:highlight w:val="none"/>
          <w:lang w:eastAsia="zh-CN"/>
        </w:rPr>
        <w:t>单位</w:t>
      </w:r>
      <w:r>
        <w:rPr>
          <w:rStyle w:val="18"/>
          <w:rFonts w:hint="eastAsia" w:ascii="黑体" w:eastAsia="黑体"/>
          <w:b w:val="0"/>
          <w:bCs w:val="0"/>
          <w:color w:val="auto"/>
          <w:highlight w:val="none"/>
        </w:rPr>
        <w:t>概况</w:t>
      </w:r>
      <w:bookmarkEnd w:id="20"/>
    </w:p>
    <w:p>
      <w:pPr>
        <w:widowControl/>
        <w:jc w:val="left"/>
        <w:rPr>
          <w:rFonts w:ascii="黑体" w:eastAsia="黑体"/>
          <w:color w:val="auto"/>
          <w:sz w:val="32"/>
          <w:szCs w:val="32"/>
          <w:highlight w:val="none"/>
        </w:rPr>
      </w:pPr>
    </w:p>
    <w:p>
      <w:pPr>
        <w:pStyle w:val="4"/>
        <w:numPr>
          <w:ilvl w:val="0"/>
          <w:numId w:val="1"/>
        </w:numPr>
        <w:rPr>
          <w:rStyle w:val="19"/>
          <w:rFonts w:hint="eastAsia" w:ascii="黑体" w:eastAsia="黑体"/>
          <w:b w:val="0"/>
          <w:bCs w:val="0"/>
          <w:color w:val="auto"/>
          <w:highlight w:val="none"/>
          <w:lang w:eastAsia="zh-CN"/>
        </w:rPr>
      </w:pPr>
      <w:bookmarkStart w:id="21" w:name="_Toc29736"/>
      <w:bookmarkStart w:id="22" w:name="_Toc15396600"/>
      <w:bookmarkStart w:id="23" w:name="_Toc15377197"/>
      <w:r>
        <w:rPr>
          <w:rStyle w:val="19"/>
          <w:rFonts w:hint="eastAsia" w:ascii="黑体" w:eastAsia="黑体"/>
          <w:b w:val="0"/>
          <w:bCs w:val="0"/>
          <w:color w:val="auto"/>
          <w:highlight w:val="none"/>
          <w:lang w:eastAsia="zh-CN"/>
        </w:rPr>
        <w:t>主要职责</w:t>
      </w:r>
      <w:bookmarkEnd w:id="21"/>
    </w:p>
    <w:p>
      <w:pPr>
        <w:pStyle w:val="12"/>
        <w:shd w:val="clear" w:color="auto" w:fill="FFFFFF"/>
        <w:spacing w:line="330" w:lineRule="atLeast"/>
        <w:ind w:firstLine="643" w:firstLineChars="200"/>
        <w:rPr>
          <w:rFonts w:hint="eastAsia" w:ascii="仿宋" w:eastAsia="仿宋" w:cs="仿宋"/>
          <w:color w:val="auto"/>
          <w:kern w:val="2"/>
          <w:sz w:val="32"/>
          <w:szCs w:val="32"/>
          <w:lang w:val="en-US" w:eastAsia="zh-CN" w:bidi="ar-SA"/>
        </w:rPr>
      </w:pPr>
      <w:r>
        <w:rPr>
          <w:rFonts w:hint="eastAsia" w:ascii="仿宋" w:eastAsia="仿宋" w:cs="仿宋"/>
          <w:b/>
          <w:bCs/>
          <w:color w:val="auto"/>
          <w:kern w:val="2"/>
          <w:sz w:val="32"/>
          <w:szCs w:val="32"/>
          <w:lang w:val="en-US" w:eastAsia="zh-CN" w:bidi="ar-SA"/>
        </w:rPr>
        <w:t>一是基本公共卫生服务方面。</w:t>
      </w:r>
      <w:r>
        <w:rPr>
          <w:rFonts w:hint="eastAsia" w:ascii="仿宋" w:eastAsia="仿宋" w:cs="仿宋"/>
          <w:color w:val="auto"/>
          <w:kern w:val="2"/>
          <w:sz w:val="32"/>
          <w:szCs w:val="32"/>
          <w:lang w:val="en-US" w:eastAsia="zh-CN" w:bidi="ar-SA"/>
        </w:rPr>
        <w:t>落实农村居民健康档案管理及服务；普及卫生保健常识，指导开展爱国卫生工作；规范预防接种服务，执行国家免疫规划；及时发现、登记并报告辖区传染病病例和疑似病例，参与现场疫情处理，协助处理辖区内突发公共卫生事件；开展新生儿访视及儿童、孕产妇保健系统管理；对辖区65岁及以上老年人和糖尿病、精神病、高血压等慢性疾病登记管理；接受区卫生行政部门委托，对辖区内传染病防治、学校卫生、饮用水卫生、职业卫生以及村级预防保健工作进行指导、培训、考核与监督等。</w:t>
      </w:r>
    </w:p>
    <w:p>
      <w:pPr>
        <w:pStyle w:val="12"/>
        <w:shd w:val="clear" w:color="auto" w:fill="FFFFFF"/>
        <w:spacing w:line="330" w:lineRule="atLeast"/>
        <w:ind w:firstLine="643" w:firstLineChars="200"/>
        <w:rPr>
          <w:rFonts w:hint="eastAsia" w:ascii="仿宋" w:eastAsia="仿宋" w:cs="仿宋"/>
          <w:color w:val="auto"/>
          <w:kern w:val="2"/>
          <w:sz w:val="32"/>
          <w:szCs w:val="32"/>
          <w:lang w:val="en-US" w:eastAsia="zh-CN" w:bidi="ar-SA"/>
        </w:rPr>
      </w:pPr>
      <w:r>
        <w:rPr>
          <w:rFonts w:hint="eastAsia" w:ascii="仿宋" w:eastAsia="仿宋" w:cs="仿宋"/>
          <w:b/>
          <w:bCs/>
          <w:color w:val="auto"/>
          <w:kern w:val="2"/>
          <w:sz w:val="32"/>
          <w:szCs w:val="32"/>
          <w:lang w:val="en-US" w:eastAsia="zh-CN" w:bidi="ar-SA"/>
        </w:rPr>
        <w:t>二是基本医疗服务方面。</w:t>
      </w:r>
      <w:r>
        <w:rPr>
          <w:rFonts w:hint="eastAsia" w:ascii="仿宋" w:eastAsia="仿宋" w:cs="仿宋"/>
          <w:color w:val="auto"/>
          <w:kern w:val="2"/>
          <w:sz w:val="32"/>
          <w:szCs w:val="32"/>
          <w:lang w:val="en-US" w:eastAsia="zh-CN" w:bidi="ar-SA"/>
        </w:rPr>
        <w:t>正确处理常见病，多发病，对疑难杂症进行恰当的处理与转诊；加强急诊救护体系建设，承担本辖区及周边乡村现场应急救护，转诊和康复服务；认真执行国家基本药物制度，加强医疗质量管理及院感防控。</w:t>
      </w:r>
    </w:p>
    <w:p>
      <w:pPr>
        <w:pStyle w:val="12"/>
        <w:shd w:val="clear" w:color="auto" w:fill="FFFFFF"/>
        <w:spacing w:line="330" w:lineRule="atLeast"/>
        <w:ind w:firstLine="643" w:firstLineChars="200"/>
        <w:rPr>
          <w:rFonts w:hint="eastAsia" w:ascii="仿宋" w:eastAsia="仿宋" w:cs="仿宋"/>
          <w:color w:val="auto"/>
          <w:kern w:val="2"/>
          <w:sz w:val="32"/>
          <w:szCs w:val="32"/>
          <w:lang w:val="en-US" w:eastAsia="zh-CN" w:bidi="ar-SA"/>
        </w:rPr>
      </w:pPr>
      <w:r>
        <w:rPr>
          <w:rFonts w:hint="eastAsia" w:ascii="仿宋" w:eastAsia="仿宋" w:cs="仿宋"/>
          <w:b/>
          <w:bCs/>
          <w:color w:val="auto"/>
          <w:kern w:val="2"/>
          <w:sz w:val="32"/>
          <w:szCs w:val="32"/>
          <w:lang w:val="en-US" w:eastAsia="zh-CN" w:bidi="ar-SA"/>
        </w:rPr>
        <w:t>三是基本管理服务。</w:t>
      </w:r>
      <w:r>
        <w:rPr>
          <w:rFonts w:hint="eastAsia" w:ascii="仿宋" w:eastAsia="仿宋" w:cs="仿宋"/>
          <w:color w:val="auto"/>
          <w:kern w:val="2"/>
          <w:sz w:val="32"/>
          <w:szCs w:val="32"/>
          <w:lang w:val="en-US" w:eastAsia="zh-CN" w:bidi="ar-SA"/>
        </w:rPr>
        <w:t>规范卫生院财务管理工作，巩固农村公共卫生服务体系。履行定点医疗机构职责，严格执行国家基本医疗保险政策并做好有关的政策宣传，监督及服务工作。深入推进乡村卫生服务一体化管理，负责村卫生室的技术指导和医生培训等项工作。落实健康扶贫相关政策。</w:t>
      </w:r>
    </w:p>
    <w:p>
      <w:pPr>
        <w:pStyle w:val="4"/>
        <w:numPr>
          <w:ilvl w:val="0"/>
          <w:numId w:val="1"/>
        </w:numPr>
        <w:spacing w:after="0" w:afterAutospacing="0"/>
        <w:ind w:left="420" w:leftChars="200" w:firstLine="0" w:firstLineChars="0"/>
        <w:rPr>
          <w:rFonts w:hint="eastAsia" w:ascii="黑体" w:eastAsia="黑体"/>
          <w:b w:val="0"/>
          <w:color w:val="auto"/>
          <w:highlight w:val="none"/>
          <w:lang w:val="en-US" w:eastAsia="zh-CN"/>
        </w:rPr>
      </w:pPr>
      <w:bookmarkStart w:id="24" w:name="_Toc1444"/>
      <w:r>
        <w:rPr>
          <w:rFonts w:hint="eastAsia" w:ascii="黑体" w:eastAsia="黑体"/>
          <w:b w:val="0"/>
          <w:color w:val="auto"/>
          <w:highlight w:val="none"/>
          <w:lang w:val="en-US" w:eastAsia="zh-CN"/>
        </w:rPr>
        <w:t>机构设置</w:t>
      </w:r>
      <w:bookmarkEnd w:id="22"/>
      <w:bookmarkEnd w:id="23"/>
      <w:bookmarkEnd w:id="24"/>
    </w:p>
    <w:p>
      <w:pPr>
        <w:pStyle w:val="3"/>
        <w:pageBreakBefore w:val="0"/>
        <w:wordWrap/>
        <w:overflowPunct/>
        <w:topLinePunct w:val="0"/>
        <w:bidi w:val="0"/>
        <w:spacing w:before="0" w:beforeAutospacing="0" w:after="263" w:afterAutospacing="0" w:line="580" w:lineRule="exact"/>
        <w:ind w:right="0" w:rightChars="0" w:firstLine="640" w:firstLineChars="200"/>
        <w:jc w:val="left"/>
        <w:rPr>
          <w:rFonts w:hint="eastAsia" w:ascii="仿宋" w:hAnsi="仿宋" w:eastAsia="仿宋"/>
          <w:b w:val="0"/>
          <w:bCs w:val="0"/>
          <w:color w:val="auto"/>
          <w:sz w:val="32"/>
          <w:szCs w:val="32"/>
          <w:highlight w:val="none"/>
          <w:lang w:eastAsia="zh-CN"/>
        </w:rPr>
      </w:pPr>
      <w:bookmarkStart w:id="25" w:name="_Toc29008"/>
      <w:bookmarkStart w:id="26" w:name="_Toc23709"/>
      <w:bookmarkStart w:id="27" w:name="_Toc18387"/>
      <w:bookmarkStart w:id="28" w:name="_Toc2368"/>
      <w:bookmarkStart w:id="29" w:name="_Toc24467"/>
      <w:r>
        <w:rPr>
          <w:rFonts w:hint="eastAsia" w:ascii="仿宋" w:hAnsi="仿宋" w:eastAsia="仿宋"/>
          <w:b w:val="0"/>
          <w:bCs w:val="0"/>
          <w:color w:val="auto"/>
          <w:sz w:val="32"/>
          <w:szCs w:val="32"/>
          <w:highlight w:val="none"/>
          <w:lang w:eastAsia="zh-CN"/>
        </w:rPr>
        <w:t>太公镇中心卫生院卫生院属于主管部门下属单位，属于二级预算单位，无下属机构。</w:t>
      </w:r>
      <w:bookmarkEnd w:id="25"/>
      <w:bookmarkEnd w:id="26"/>
      <w:bookmarkEnd w:id="27"/>
      <w:bookmarkEnd w:id="28"/>
      <w:bookmarkEnd w:id="29"/>
    </w:p>
    <w:p>
      <w:pPr>
        <w:rPr>
          <w:rFonts w:hint="eastAsia" w:ascii="仿宋" w:hAnsi="仿宋" w:eastAsia="仿宋"/>
          <w:b w:val="0"/>
          <w:bCs w:val="0"/>
          <w:color w:val="auto"/>
          <w:sz w:val="32"/>
          <w:szCs w:val="32"/>
          <w:highlight w:val="none"/>
          <w:lang w:eastAsia="zh-CN"/>
        </w:rPr>
      </w:pPr>
    </w:p>
    <w:p>
      <w:pPr>
        <w:pStyle w:val="2"/>
        <w:rPr>
          <w:rFonts w:hint="eastAsia" w:ascii="仿宋" w:hAnsi="仿宋" w:eastAsia="仿宋"/>
          <w:b w:val="0"/>
          <w:bCs w:val="0"/>
          <w:color w:val="auto"/>
          <w:sz w:val="32"/>
          <w:szCs w:val="32"/>
          <w:highlight w:val="none"/>
          <w:lang w:eastAsia="zh-CN"/>
        </w:rPr>
      </w:pPr>
    </w:p>
    <w:p>
      <w:pPr>
        <w:rPr>
          <w:rFonts w:hint="eastAsia" w:ascii="仿宋" w:hAnsi="仿宋" w:eastAsia="仿宋"/>
          <w:b w:val="0"/>
          <w:bCs w:val="0"/>
          <w:color w:val="auto"/>
          <w:sz w:val="32"/>
          <w:szCs w:val="32"/>
          <w:highlight w:val="none"/>
          <w:lang w:eastAsia="zh-CN"/>
        </w:rPr>
      </w:pPr>
    </w:p>
    <w:p>
      <w:pPr>
        <w:pStyle w:val="2"/>
        <w:rPr>
          <w:rFonts w:hint="eastAsia" w:ascii="仿宋" w:hAnsi="仿宋" w:eastAsia="仿宋"/>
          <w:b w:val="0"/>
          <w:bCs w:val="0"/>
          <w:color w:val="auto"/>
          <w:sz w:val="32"/>
          <w:szCs w:val="32"/>
          <w:highlight w:val="none"/>
          <w:lang w:eastAsia="zh-CN"/>
        </w:rPr>
      </w:pPr>
    </w:p>
    <w:p>
      <w:pPr>
        <w:rPr>
          <w:rFonts w:hint="eastAsia" w:ascii="仿宋" w:hAnsi="仿宋" w:eastAsia="仿宋"/>
          <w:b w:val="0"/>
          <w:bCs w:val="0"/>
          <w:color w:val="auto"/>
          <w:sz w:val="32"/>
          <w:szCs w:val="32"/>
          <w:highlight w:val="none"/>
          <w:lang w:eastAsia="zh-CN"/>
        </w:rPr>
      </w:pPr>
    </w:p>
    <w:p>
      <w:pPr>
        <w:pStyle w:val="2"/>
        <w:rPr>
          <w:rFonts w:hint="eastAsia" w:ascii="仿宋" w:hAnsi="仿宋" w:eastAsia="仿宋"/>
          <w:b w:val="0"/>
          <w:bCs w:val="0"/>
          <w:color w:val="auto"/>
          <w:sz w:val="32"/>
          <w:szCs w:val="32"/>
          <w:highlight w:val="none"/>
          <w:lang w:eastAsia="zh-CN"/>
        </w:rPr>
      </w:pPr>
    </w:p>
    <w:p>
      <w:pPr>
        <w:rPr>
          <w:rFonts w:hint="eastAsia" w:ascii="仿宋" w:hAnsi="仿宋" w:eastAsia="仿宋"/>
          <w:b w:val="0"/>
          <w:bCs w:val="0"/>
          <w:color w:val="auto"/>
          <w:sz w:val="32"/>
          <w:szCs w:val="32"/>
          <w:highlight w:val="none"/>
          <w:lang w:eastAsia="zh-CN"/>
        </w:rPr>
      </w:pPr>
    </w:p>
    <w:p>
      <w:pPr>
        <w:pStyle w:val="2"/>
        <w:rPr>
          <w:rFonts w:hint="eastAsia" w:ascii="仿宋" w:hAnsi="仿宋" w:eastAsia="仿宋"/>
          <w:b w:val="0"/>
          <w:bCs w:val="0"/>
          <w:color w:val="auto"/>
          <w:sz w:val="32"/>
          <w:szCs w:val="32"/>
          <w:highlight w:val="none"/>
          <w:lang w:eastAsia="zh-CN"/>
        </w:rPr>
      </w:pPr>
    </w:p>
    <w:p>
      <w:pPr>
        <w:rPr>
          <w:rFonts w:hint="eastAsia" w:ascii="仿宋" w:hAnsi="仿宋" w:eastAsia="仿宋"/>
          <w:b w:val="0"/>
          <w:bCs w:val="0"/>
          <w:color w:val="auto"/>
          <w:sz w:val="32"/>
          <w:szCs w:val="32"/>
          <w:highlight w:val="none"/>
          <w:lang w:eastAsia="zh-CN"/>
        </w:rPr>
      </w:pPr>
    </w:p>
    <w:p>
      <w:pPr>
        <w:pStyle w:val="2"/>
        <w:rPr>
          <w:rFonts w:hint="eastAsia" w:ascii="仿宋" w:hAnsi="仿宋" w:eastAsia="仿宋"/>
          <w:b w:val="0"/>
          <w:bCs w:val="0"/>
          <w:color w:val="auto"/>
          <w:sz w:val="32"/>
          <w:szCs w:val="32"/>
          <w:highlight w:val="none"/>
          <w:lang w:eastAsia="zh-CN"/>
        </w:rPr>
      </w:pPr>
    </w:p>
    <w:p>
      <w:pPr>
        <w:rPr>
          <w:rFonts w:hint="eastAsia" w:ascii="仿宋" w:hAnsi="仿宋" w:eastAsia="仿宋"/>
          <w:b w:val="0"/>
          <w:bCs w:val="0"/>
          <w:color w:val="auto"/>
          <w:sz w:val="32"/>
          <w:szCs w:val="32"/>
          <w:highlight w:val="none"/>
          <w:lang w:eastAsia="zh-CN"/>
        </w:rPr>
      </w:pPr>
    </w:p>
    <w:p>
      <w:pPr>
        <w:pStyle w:val="2"/>
        <w:rPr>
          <w:rFonts w:hint="eastAsia" w:ascii="仿宋" w:hAnsi="仿宋" w:eastAsia="仿宋"/>
          <w:b w:val="0"/>
          <w:bCs w:val="0"/>
          <w:color w:val="auto"/>
          <w:sz w:val="32"/>
          <w:szCs w:val="32"/>
          <w:highlight w:val="none"/>
          <w:lang w:eastAsia="zh-CN"/>
        </w:rPr>
      </w:pPr>
    </w:p>
    <w:p>
      <w:pPr>
        <w:rPr>
          <w:rFonts w:hint="eastAsia" w:ascii="仿宋" w:hAnsi="仿宋" w:eastAsia="仿宋"/>
          <w:b w:val="0"/>
          <w:bCs w:val="0"/>
          <w:color w:val="auto"/>
          <w:sz w:val="32"/>
          <w:szCs w:val="32"/>
          <w:highlight w:val="none"/>
          <w:lang w:eastAsia="zh-CN"/>
        </w:rPr>
      </w:pPr>
    </w:p>
    <w:p>
      <w:pPr>
        <w:pStyle w:val="2"/>
        <w:rPr>
          <w:rFonts w:hint="eastAsia" w:ascii="仿宋" w:hAnsi="仿宋" w:eastAsia="仿宋"/>
          <w:b w:val="0"/>
          <w:bCs w:val="0"/>
          <w:color w:val="auto"/>
          <w:sz w:val="32"/>
          <w:szCs w:val="32"/>
          <w:highlight w:val="none"/>
          <w:lang w:eastAsia="zh-CN"/>
        </w:rPr>
      </w:pPr>
    </w:p>
    <w:p>
      <w:pPr>
        <w:rPr>
          <w:rFonts w:hint="eastAsia"/>
          <w:lang w:eastAsia="zh-CN"/>
        </w:rPr>
      </w:pPr>
    </w:p>
    <w:p>
      <w:pPr>
        <w:pStyle w:val="4"/>
        <w:spacing w:after="85" w:afterAutospacing="0"/>
        <w:jc w:val="center"/>
        <w:outlineLvl w:val="0"/>
        <w:rPr>
          <w:color w:val="auto"/>
          <w:highlight w:val="none"/>
        </w:rPr>
      </w:pPr>
      <w:bookmarkStart w:id="30" w:name="_Toc18256"/>
      <w:bookmarkStart w:id="31" w:name="_Toc15377204"/>
      <w:bookmarkStart w:id="32" w:name="_Toc15396602"/>
      <w:r>
        <w:rPr>
          <w:rStyle w:val="18"/>
          <w:rFonts w:hint="eastAsia" w:ascii="黑体" w:hAnsi="Times New Roman" w:eastAsia="黑体" w:cs="Times New Roman"/>
          <w:b w:val="0"/>
          <w:bCs/>
          <w:color w:val="auto"/>
          <w:highlight w:val="none"/>
        </w:rPr>
        <w:t xml:space="preserve">第二部分 </w:t>
      </w:r>
      <w:r>
        <w:rPr>
          <w:rStyle w:val="18"/>
          <w:rFonts w:hint="eastAsia" w:ascii="黑体" w:hAnsi="Times New Roman" w:eastAsia="黑体" w:cs="Times New Roman"/>
          <w:b w:val="0"/>
          <w:bCs/>
          <w:color w:val="auto"/>
          <w:highlight w:val="none"/>
          <w:lang w:val="en-US" w:eastAsia="zh-CN"/>
        </w:rPr>
        <w:t>2022年度</w:t>
      </w:r>
      <w:r>
        <w:rPr>
          <w:rStyle w:val="18"/>
          <w:rFonts w:hint="eastAsia" w:ascii="黑体" w:hAnsi="Times New Roman" w:eastAsia="黑体" w:cs="Times New Roman"/>
          <w:b w:val="0"/>
          <w:bCs/>
          <w:color w:val="auto"/>
          <w:highlight w:val="none"/>
          <w:lang w:eastAsia="zh-CN"/>
        </w:rPr>
        <w:t>单位</w:t>
      </w:r>
      <w:r>
        <w:rPr>
          <w:rStyle w:val="18"/>
          <w:rFonts w:hint="eastAsia" w:ascii="黑体" w:hAnsi="Times New Roman" w:eastAsia="黑体" w:cs="Times New Roman"/>
          <w:b w:val="0"/>
          <w:bCs/>
          <w:color w:val="auto"/>
          <w:highlight w:val="none"/>
        </w:rPr>
        <w:t>决算情况说明</w:t>
      </w:r>
      <w:bookmarkEnd w:id="30"/>
      <w:bookmarkEnd w:id="31"/>
      <w:bookmarkEnd w:id="32"/>
    </w:p>
    <w:p>
      <w:pPr>
        <w:pStyle w:val="24"/>
        <w:numPr>
          <w:ilvl w:val="0"/>
          <w:numId w:val="2"/>
        </w:numPr>
        <w:spacing w:line="600" w:lineRule="exact"/>
        <w:ind w:firstLineChars="0"/>
        <w:outlineLvl w:val="1"/>
        <w:rPr>
          <w:rStyle w:val="19"/>
          <w:rFonts w:ascii="黑体" w:eastAsia="黑体"/>
          <w:b w:val="0"/>
          <w:color w:val="auto"/>
          <w:highlight w:val="none"/>
        </w:rPr>
      </w:pPr>
      <w:bookmarkStart w:id="33" w:name="_Toc15377205"/>
      <w:bookmarkStart w:id="34" w:name="_Toc15396603"/>
      <w:bookmarkStart w:id="35" w:name="_Toc14571"/>
      <w:r>
        <w:rPr>
          <w:rFonts w:hint="eastAsia" w:ascii="黑体" w:eastAsia="黑体"/>
          <w:color w:val="auto"/>
          <w:sz w:val="32"/>
          <w:szCs w:val="32"/>
          <w:highlight w:val="none"/>
        </w:rPr>
        <w:t>收</w:t>
      </w:r>
      <w:r>
        <w:rPr>
          <w:rStyle w:val="19"/>
          <w:rFonts w:hint="eastAsia" w:ascii="黑体" w:eastAsia="黑体"/>
          <w:b w:val="0"/>
          <w:color w:val="auto"/>
          <w:highlight w:val="none"/>
        </w:rPr>
        <w:t>入支出决算总体情况说明</w:t>
      </w:r>
      <w:bookmarkEnd w:id="33"/>
      <w:bookmarkEnd w:id="34"/>
      <w:bookmarkEnd w:id="35"/>
    </w:p>
    <w:p>
      <w:pPr>
        <w:spacing w:line="600" w:lineRule="exact"/>
        <w:ind w:firstLine="640" w:firstLineChars="200"/>
        <w:rPr>
          <w:rFonts w:hint="eastAsia" w:ascii="仿宋" w:eastAsia="仿宋" w:cs="仿宋"/>
          <w:color w:val="auto"/>
          <w:sz w:val="32"/>
          <w:szCs w:val="32"/>
          <w:lang w:val="en-US" w:eastAsia="zh-CN"/>
        </w:rPr>
      </w:pPr>
      <w:r>
        <w:rPr>
          <w:rFonts w:hint="eastAsia"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年度收、支总计</w:t>
      </w:r>
      <w:r>
        <w:rPr>
          <w:rFonts w:hint="eastAsia" w:ascii="仿宋" w:eastAsia="仿宋"/>
          <w:color w:val="auto"/>
          <w:sz w:val="32"/>
          <w:szCs w:val="32"/>
          <w:highlight w:val="none"/>
          <w:lang w:val="en-US" w:eastAsia="zh-CN"/>
        </w:rPr>
        <w:t>753.23</w:t>
      </w:r>
      <w:r>
        <w:rPr>
          <w:rFonts w:hint="eastAsia" w:ascii="仿宋" w:eastAsia="仿宋"/>
          <w:color w:val="auto"/>
          <w:sz w:val="32"/>
          <w:szCs w:val="32"/>
          <w:highlight w:val="none"/>
        </w:rPr>
        <w:t>万元。与20</w:t>
      </w:r>
      <w:r>
        <w:rPr>
          <w:rFonts w:hint="eastAsia" w:ascii="仿宋" w:eastAsia="仿宋"/>
          <w:color w:val="auto"/>
          <w:sz w:val="32"/>
          <w:szCs w:val="32"/>
          <w:highlight w:val="none"/>
          <w:lang w:val="en-US" w:eastAsia="zh-CN"/>
        </w:rPr>
        <w:t>21</w:t>
      </w:r>
      <w:r>
        <w:rPr>
          <w:rFonts w:hint="eastAsia" w:ascii="仿宋" w:eastAsia="仿宋"/>
          <w:color w:val="auto"/>
          <w:sz w:val="32"/>
          <w:szCs w:val="32"/>
          <w:highlight w:val="none"/>
        </w:rPr>
        <w:t>年相比，收、支总计各增加</w:t>
      </w:r>
      <w:r>
        <w:rPr>
          <w:rFonts w:hint="eastAsia" w:ascii="仿宋" w:eastAsia="仿宋"/>
          <w:color w:val="auto"/>
          <w:sz w:val="32"/>
          <w:szCs w:val="32"/>
          <w:highlight w:val="none"/>
          <w:lang w:val="en-US" w:eastAsia="zh-CN"/>
        </w:rPr>
        <w:t>135.52</w:t>
      </w:r>
      <w:r>
        <w:rPr>
          <w:rFonts w:hint="eastAsia" w:ascii="仿宋" w:eastAsia="仿宋"/>
          <w:color w:val="auto"/>
          <w:sz w:val="32"/>
          <w:szCs w:val="32"/>
          <w:highlight w:val="none"/>
        </w:rPr>
        <w:t>万元，增长</w:t>
      </w:r>
      <w:r>
        <w:rPr>
          <w:rFonts w:hint="eastAsia" w:ascii="仿宋" w:eastAsia="仿宋"/>
          <w:color w:val="auto"/>
          <w:sz w:val="32"/>
          <w:szCs w:val="32"/>
          <w:highlight w:val="none"/>
          <w:lang w:val="en-US" w:eastAsia="zh-CN"/>
        </w:rPr>
        <w:t>21.93</w:t>
      </w:r>
      <w:r>
        <w:rPr>
          <w:rFonts w:ascii="仿宋" w:eastAsia="仿宋"/>
          <w:color w:val="auto"/>
          <w:sz w:val="32"/>
          <w:szCs w:val="32"/>
          <w:highlight w:val="none"/>
        </w:rPr>
        <w:t>%</w:t>
      </w:r>
      <w:r>
        <w:rPr>
          <w:rFonts w:hint="eastAsia" w:ascii="仿宋" w:eastAsia="仿宋"/>
          <w:color w:val="auto"/>
          <w:sz w:val="32"/>
          <w:szCs w:val="32"/>
          <w:highlight w:val="none"/>
        </w:rPr>
        <w:t>。</w:t>
      </w:r>
      <w:r>
        <w:rPr>
          <w:rFonts w:hint="eastAsia" w:ascii="仿宋" w:eastAsia="仿宋"/>
          <w:color w:val="auto"/>
          <w:sz w:val="32"/>
          <w:szCs w:val="32"/>
          <w:highlight w:val="none"/>
          <w:lang w:eastAsia="zh-CN"/>
        </w:rPr>
        <w:t>收入</w:t>
      </w:r>
      <w:r>
        <w:rPr>
          <w:rFonts w:hint="eastAsia" w:ascii="仿宋" w:eastAsia="仿宋"/>
          <w:color w:val="auto"/>
          <w:sz w:val="32"/>
          <w:szCs w:val="32"/>
          <w:highlight w:val="none"/>
        </w:rPr>
        <w:t>主要变动原因是</w:t>
      </w:r>
      <w:r>
        <w:rPr>
          <w:rFonts w:hint="eastAsia" w:ascii="仿宋" w:eastAsia="仿宋"/>
          <w:color w:val="auto"/>
          <w:sz w:val="32"/>
          <w:szCs w:val="32"/>
          <w:highlight w:val="none"/>
          <w:lang w:eastAsia="zh-CN"/>
        </w:rPr>
        <w:t>：</w:t>
      </w:r>
      <w:r>
        <w:rPr>
          <w:rFonts w:hint="eastAsia" w:ascii="仿宋" w:eastAsia="仿宋" w:cs="仿宋"/>
          <w:color w:val="auto"/>
          <w:sz w:val="32"/>
          <w:szCs w:val="32"/>
          <w:lang w:val="en-US" w:eastAsia="zh-CN"/>
        </w:rPr>
        <w:t>2022年一般公共预算财政拨款收入相比上年增加了69.59万元；政府性基金预算财政拨款收入相比上年增加了7.57万元；事业收入相比上年增加了58.36万元。2022年支出主要变动的原因是：社会保障和就业支出增加了2.65万元；城乡社区支出增加了7.57万元；卫生健康支出增加了125.82万元；住房保障支出减少了0.52万元。</w:t>
      </w:r>
    </w:p>
    <w:p>
      <w:pPr>
        <w:pStyle w:val="2"/>
        <w:ind w:firstLine="600" w:firstLineChars="200"/>
        <w:rPr>
          <w:rFonts w:ascii="仿宋_GB2312" w:eastAsia="仿宋_GB2312"/>
          <w:color w:val="auto"/>
          <w:sz w:val="32"/>
          <w:szCs w:val="32"/>
          <w:highlight w:val="none"/>
        </w:rPr>
      </w:pPr>
      <w:r>
        <w:drawing>
          <wp:anchor distT="13970" distB="0" distL="114935" distR="114935" simplePos="0" relativeHeight="251659264" behindDoc="0" locked="0" layoutInCell="1" allowOverlap="1">
            <wp:simplePos x="0" y="0"/>
            <wp:positionH relativeFrom="column">
              <wp:posOffset>774065</wp:posOffset>
            </wp:positionH>
            <wp:positionV relativeFrom="paragraph">
              <wp:posOffset>138430</wp:posOffset>
            </wp:positionV>
            <wp:extent cx="3636010" cy="2026920"/>
            <wp:effectExtent l="0" t="0" r="0" b="0"/>
            <wp:wrapTopAndBottom/>
            <wp:docPr id="238" name="图表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Pr>
          <w:rFonts w:hint="eastAsia" w:ascii="仿宋" w:eastAsia="仿宋"/>
          <w:color w:val="auto"/>
          <w:sz w:val="32"/>
          <w:szCs w:val="32"/>
          <w:highlight w:val="none"/>
        </w:rPr>
        <w:t>（图</w:t>
      </w:r>
      <w:r>
        <w:rPr>
          <w:rFonts w:ascii="仿宋" w:eastAsia="仿宋"/>
          <w:color w:val="auto"/>
          <w:sz w:val="32"/>
          <w:szCs w:val="32"/>
          <w:highlight w:val="none"/>
        </w:rPr>
        <w:t>1</w:t>
      </w:r>
      <w:r>
        <w:rPr>
          <w:rFonts w:hint="eastAsia" w:ascii="仿宋" w:eastAsia="仿宋"/>
          <w:color w:val="auto"/>
          <w:sz w:val="32"/>
          <w:szCs w:val="32"/>
          <w:highlight w:val="none"/>
        </w:rPr>
        <w:t>：收、支决算总计变动情况图）（柱状图）</w:t>
      </w:r>
    </w:p>
    <w:p>
      <w:pPr>
        <w:pStyle w:val="24"/>
        <w:numPr>
          <w:ilvl w:val="0"/>
          <w:numId w:val="2"/>
        </w:numPr>
        <w:spacing w:line="600" w:lineRule="exact"/>
        <w:ind w:firstLineChars="0"/>
        <w:outlineLvl w:val="1"/>
        <w:rPr>
          <w:rStyle w:val="19"/>
          <w:rFonts w:ascii="黑体" w:eastAsia="黑体"/>
          <w:b w:val="0"/>
          <w:color w:val="auto"/>
          <w:highlight w:val="none"/>
        </w:rPr>
      </w:pPr>
      <w:bookmarkStart w:id="36" w:name="_Toc3418"/>
      <w:bookmarkStart w:id="37" w:name="_Toc15396604"/>
      <w:bookmarkStart w:id="38" w:name="_Toc15377206"/>
      <w:r>
        <w:rPr>
          <w:rFonts w:hint="eastAsia" w:ascii="黑体" w:eastAsia="黑体"/>
          <w:color w:val="auto"/>
          <w:sz w:val="32"/>
          <w:szCs w:val="32"/>
          <w:highlight w:val="none"/>
        </w:rPr>
        <w:t>收</w:t>
      </w:r>
      <w:r>
        <w:rPr>
          <w:rStyle w:val="19"/>
          <w:rFonts w:hint="eastAsia" w:ascii="黑体" w:eastAsia="黑体"/>
          <w:b w:val="0"/>
          <w:color w:val="auto"/>
          <w:highlight w:val="none"/>
        </w:rPr>
        <w:t>入决算情况说明</w:t>
      </w:r>
      <w:bookmarkEnd w:id="36"/>
      <w:bookmarkEnd w:id="37"/>
      <w:bookmarkEnd w:id="38"/>
    </w:p>
    <w:p>
      <w:pPr>
        <w:spacing w:line="600" w:lineRule="exact"/>
        <w:ind w:firstLine="640" w:firstLineChars="200"/>
        <w:outlineLvl w:val="1"/>
        <w:rPr>
          <w:rFonts w:hint="eastAsia" w:ascii="仿宋" w:eastAsia="仿宋"/>
          <w:color w:val="auto"/>
          <w:sz w:val="32"/>
          <w:szCs w:val="32"/>
          <w:highlight w:val="none"/>
          <w:lang w:eastAsia="zh-CN"/>
        </w:rPr>
      </w:pPr>
      <w:bookmarkStart w:id="39" w:name="_Toc7672"/>
      <w:bookmarkStart w:id="40" w:name="_Toc26616"/>
      <w:r>
        <w:rPr>
          <w:rFonts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年本年收入合计</w:t>
      </w:r>
      <w:r>
        <w:rPr>
          <w:rFonts w:hint="eastAsia" w:ascii="仿宋" w:eastAsia="仿宋"/>
          <w:color w:val="auto"/>
          <w:sz w:val="32"/>
          <w:szCs w:val="32"/>
          <w:highlight w:val="none"/>
          <w:lang w:val="en-US" w:eastAsia="zh-CN"/>
        </w:rPr>
        <w:t>753.23</w:t>
      </w:r>
      <w:r>
        <w:rPr>
          <w:rFonts w:hint="eastAsia" w:ascii="仿宋" w:eastAsia="仿宋"/>
          <w:color w:val="auto"/>
          <w:sz w:val="32"/>
          <w:szCs w:val="32"/>
          <w:highlight w:val="none"/>
        </w:rPr>
        <w:t>万元，其中：财政拨款收入</w:t>
      </w:r>
      <w:r>
        <w:rPr>
          <w:rFonts w:hint="eastAsia" w:ascii="仿宋" w:eastAsia="仿宋"/>
          <w:color w:val="auto"/>
          <w:sz w:val="32"/>
          <w:szCs w:val="32"/>
          <w:highlight w:val="none"/>
          <w:lang w:val="en-US" w:eastAsia="zh-CN"/>
        </w:rPr>
        <w:t>394.71</w:t>
      </w:r>
      <w:r>
        <w:rPr>
          <w:rFonts w:hint="eastAsia" w:ascii="仿宋" w:eastAsia="仿宋"/>
          <w:color w:val="auto"/>
          <w:sz w:val="32"/>
          <w:szCs w:val="32"/>
          <w:highlight w:val="none"/>
        </w:rPr>
        <w:t>万元，占</w:t>
      </w:r>
      <w:r>
        <w:rPr>
          <w:rFonts w:hint="eastAsia" w:ascii="仿宋" w:eastAsia="仿宋"/>
          <w:color w:val="auto"/>
          <w:sz w:val="32"/>
          <w:szCs w:val="32"/>
          <w:highlight w:val="none"/>
          <w:lang w:val="en-US" w:eastAsia="zh-CN"/>
        </w:rPr>
        <w:t>52.4</w:t>
      </w:r>
      <w:r>
        <w:rPr>
          <w:rFonts w:ascii="仿宋" w:eastAsia="仿宋"/>
          <w:color w:val="auto"/>
          <w:sz w:val="32"/>
          <w:szCs w:val="32"/>
          <w:highlight w:val="none"/>
        </w:rPr>
        <w:t>%</w:t>
      </w:r>
      <w:r>
        <w:rPr>
          <w:rFonts w:hint="eastAsia" w:ascii="仿宋" w:eastAsia="仿宋"/>
          <w:color w:val="auto"/>
          <w:sz w:val="32"/>
          <w:szCs w:val="32"/>
          <w:highlight w:val="none"/>
        </w:rPr>
        <w:t>；事业收入358.52万元，占</w:t>
      </w:r>
      <w:r>
        <w:rPr>
          <w:rFonts w:hint="eastAsia" w:ascii="仿宋" w:eastAsia="仿宋"/>
          <w:color w:val="auto"/>
          <w:sz w:val="32"/>
          <w:szCs w:val="32"/>
          <w:highlight w:val="none"/>
          <w:lang w:val="en-US" w:eastAsia="zh-CN"/>
        </w:rPr>
        <w:t>47.6</w:t>
      </w:r>
      <w:r>
        <w:rPr>
          <w:rFonts w:ascii="仿宋" w:eastAsia="仿宋"/>
          <w:color w:val="auto"/>
          <w:sz w:val="32"/>
          <w:szCs w:val="32"/>
          <w:highlight w:val="none"/>
        </w:rPr>
        <w:t>%</w:t>
      </w:r>
      <w:r>
        <w:rPr>
          <w:rFonts w:hint="eastAsia" w:ascii="仿宋" w:eastAsia="仿宋"/>
          <w:color w:val="auto"/>
          <w:sz w:val="32"/>
          <w:szCs w:val="32"/>
          <w:highlight w:val="none"/>
          <w:lang w:eastAsia="zh-CN"/>
        </w:rPr>
        <w:t>。</w:t>
      </w:r>
      <w:bookmarkEnd w:id="39"/>
      <w:bookmarkEnd w:id="40"/>
    </w:p>
    <w:p>
      <w:pPr>
        <w:pStyle w:val="2"/>
        <w:rPr>
          <w:rFonts w:hint="eastAsia" w:ascii="仿宋" w:eastAsia="仿宋"/>
          <w:color w:val="auto"/>
          <w:sz w:val="32"/>
          <w:szCs w:val="32"/>
          <w:highlight w:val="none"/>
          <w:lang w:eastAsia="zh-CN"/>
        </w:rPr>
      </w:pPr>
    </w:p>
    <w:p>
      <w:pPr>
        <w:rPr>
          <w:rFonts w:hint="eastAsia" w:ascii="仿宋" w:eastAsia="仿宋"/>
          <w:color w:val="auto"/>
          <w:sz w:val="32"/>
          <w:szCs w:val="32"/>
          <w:highlight w:val="none"/>
          <w:lang w:eastAsia="zh-CN"/>
        </w:rPr>
      </w:pPr>
    </w:p>
    <w:p>
      <w:pPr>
        <w:pStyle w:val="2"/>
        <w:rPr>
          <w:rFonts w:hint="eastAsia" w:ascii="仿宋" w:eastAsia="仿宋"/>
          <w:color w:val="auto"/>
          <w:sz w:val="32"/>
          <w:szCs w:val="32"/>
          <w:highlight w:val="none"/>
          <w:lang w:eastAsia="zh-CN"/>
        </w:rPr>
      </w:pPr>
      <w:r>
        <w:drawing>
          <wp:anchor distT="0" distB="0" distL="114935" distR="114935" simplePos="0" relativeHeight="251659264" behindDoc="0" locked="0" layoutInCell="1" allowOverlap="1">
            <wp:simplePos x="0" y="0"/>
            <wp:positionH relativeFrom="column">
              <wp:posOffset>857885</wp:posOffset>
            </wp:positionH>
            <wp:positionV relativeFrom="paragraph">
              <wp:posOffset>480060</wp:posOffset>
            </wp:positionV>
            <wp:extent cx="3893185" cy="1858645"/>
            <wp:effectExtent l="0" t="0" r="0" b="0"/>
            <wp:wrapTopAndBottom/>
            <wp:docPr id="239" name="图表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pPr>
        <w:rPr>
          <w:rFonts w:hint="eastAsia"/>
          <w:lang w:eastAsia="zh-CN"/>
        </w:rPr>
      </w:pPr>
    </w:p>
    <w:p>
      <w:pPr>
        <w:spacing w:line="600" w:lineRule="exact"/>
        <w:outlineLvl w:val="1"/>
        <w:rPr>
          <w:rFonts w:ascii="仿宋_GB2312" w:eastAsia="仿宋_GB2312"/>
          <w:color w:val="auto"/>
          <w:sz w:val="32"/>
          <w:szCs w:val="32"/>
          <w:highlight w:val="none"/>
        </w:rPr>
      </w:pPr>
      <w:bookmarkStart w:id="41" w:name="_Toc14842"/>
      <w:bookmarkStart w:id="42" w:name="_Toc5450"/>
      <w:r>
        <w:rPr>
          <w:rFonts w:hint="eastAsia"/>
          <w:lang w:val="en-US" w:eastAsia="zh-CN"/>
        </w:rPr>
        <w:t xml:space="preserve">                 </w:t>
      </w:r>
      <w:r>
        <w:rPr>
          <w:rFonts w:hint="eastAsia" w:ascii="仿宋" w:eastAsia="仿宋"/>
          <w:color w:val="auto"/>
          <w:sz w:val="32"/>
          <w:szCs w:val="32"/>
          <w:highlight w:val="none"/>
        </w:rPr>
        <w:t>（图2：收入决算结构图）（饼状图）</w:t>
      </w:r>
      <w:bookmarkEnd w:id="41"/>
      <w:bookmarkEnd w:id="42"/>
    </w:p>
    <w:p>
      <w:pPr>
        <w:pStyle w:val="24"/>
        <w:numPr>
          <w:ilvl w:val="0"/>
          <w:numId w:val="2"/>
        </w:numPr>
        <w:spacing w:line="600" w:lineRule="exact"/>
        <w:ind w:firstLineChars="0"/>
        <w:outlineLvl w:val="1"/>
        <w:rPr>
          <w:rStyle w:val="19"/>
          <w:rFonts w:ascii="黑体" w:eastAsia="黑体"/>
          <w:b w:val="0"/>
          <w:color w:val="auto"/>
          <w:highlight w:val="none"/>
        </w:rPr>
      </w:pPr>
      <w:bookmarkStart w:id="43" w:name="_Toc15377207"/>
      <w:bookmarkStart w:id="44" w:name="_Toc15396605"/>
      <w:bookmarkStart w:id="45" w:name="_Toc18179"/>
      <w:r>
        <w:rPr>
          <w:rFonts w:hint="eastAsia" w:ascii="黑体" w:eastAsia="黑体"/>
          <w:color w:val="auto"/>
          <w:sz w:val="32"/>
          <w:szCs w:val="32"/>
          <w:highlight w:val="none"/>
        </w:rPr>
        <w:t>支</w:t>
      </w:r>
      <w:r>
        <w:rPr>
          <w:rStyle w:val="19"/>
          <w:rFonts w:hint="eastAsia" w:ascii="黑体" w:eastAsia="黑体"/>
          <w:b w:val="0"/>
          <w:color w:val="auto"/>
          <w:highlight w:val="none"/>
        </w:rPr>
        <w:t>出决算情况说明</w:t>
      </w:r>
      <w:bookmarkEnd w:id="43"/>
      <w:bookmarkEnd w:id="44"/>
      <w:bookmarkEnd w:id="45"/>
    </w:p>
    <w:p>
      <w:pPr>
        <w:spacing w:line="600" w:lineRule="exact"/>
        <w:ind w:firstLine="640" w:firstLineChars="200"/>
        <w:outlineLvl w:val="1"/>
        <w:rPr>
          <w:rFonts w:ascii="仿宋" w:eastAsia="仿宋"/>
          <w:color w:val="auto"/>
          <w:sz w:val="32"/>
          <w:szCs w:val="32"/>
          <w:highlight w:val="none"/>
        </w:rPr>
      </w:pPr>
      <w:bookmarkStart w:id="46" w:name="_Toc28984"/>
      <w:bookmarkStart w:id="47" w:name="_Toc10799"/>
      <w:r>
        <w:rPr>
          <w:rFonts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年本年支出合计</w:t>
      </w:r>
      <w:r>
        <w:rPr>
          <w:rFonts w:hint="eastAsia" w:ascii="仿宋" w:eastAsia="仿宋"/>
          <w:color w:val="auto"/>
          <w:sz w:val="32"/>
          <w:szCs w:val="32"/>
          <w:highlight w:val="none"/>
          <w:lang w:val="en-US" w:eastAsia="zh-CN"/>
        </w:rPr>
        <w:t>753.23</w:t>
      </w:r>
      <w:r>
        <w:rPr>
          <w:rFonts w:hint="eastAsia" w:ascii="仿宋" w:eastAsia="仿宋"/>
          <w:color w:val="auto"/>
          <w:sz w:val="32"/>
          <w:szCs w:val="32"/>
          <w:highlight w:val="none"/>
        </w:rPr>
        <w:t>万元，其中：基本支出628.54万元，占</w:t>
      </w:r>
      <w:r>
        <w:rPr>
          <w:rFonts w:hint="eastAsia" w:ascii="仿宋" w:eastAsia="仿宋"/>
          <w:color w:val="auto"/>
          <w:sz w:val="32"/>
          <w:szCs w:val="32"/>
          <w:highlight w:val="none"/>
          <w:lang w:val="en-US" w:eastAsia="zh-CN"/>
        </w:rPr>
        <w:t>83.45</w:t>
      </w:r>
      <w:r>
        <w:rPr>
          <w:rFonts w:ascii="仿宋" w:eastAsia="仿宋"/>
          <w:color w:val="auto"/>
          <w:sz w:val="32"/>
          <w:szCs w:val="32"/>
          <w:highlight w:val="none"/>
        </w:rPr>
        <w:t>%</w:t>
      </w:r>
      <w:r>
        <w:rPr>
          <w:rFonts w:hint="eastAsia" w:ascii="仿宋" w:eastAsia="仿宋"/>
          <w:color w:val="auto"/>
          <w:sz w:val="32"/>
          <w:szCs w:val="32"/>
          <w:highlight w:val="none"/>
        </w:rPr>
        <w:t>；项目支出124.69万元，占</w:t>
      </w:r>
      <w:r>
        <w:rPr>
          <w:rFonts w:hint="eastAsia" w:ascii="仿宋" w:eastAsia="仿宋"/>
          <w:color w:val="auto"/>
          <w:sz w:val="32"/>
          <w:szCs w:val="32"/>
          <w:highlight w:val="none"/>
          <w:lang w:val="en-US" w:eastAsia="zh-CN"/>
        </w:rPr>
        <w:t>16.55</w:t>
      </w:r>
      <w:r>
        <w:rPr>
          <w:rFonts w:ascii="仿宋" w:eastAsia="仿宋"/>
          <w:color w:val="auto"/>
          <w:sz w:val="32"/>
          <w:szCs w:val="32"/>
          <w:highlight w:val="none"/>
        </w:rPr>
        <w:t>%</w:t>
      </w:r>
      <w:r>
        <w:rPr>
          <w:rFonts w:hint="eastAsia" w:ascii="仿宋" w:eastAsia="仿宋"/>
          <w:color w:val="auto"/>
          <w:sz w:val="32"/>
          <w:szCs w:val="32"/>
          <w:highlight w:val="none"/>
        </w:rPr>
        <w:t>。</w:t>
      </w:r>
      <w:bookmarkEnd w:id="46"/>
      <w:bookmarkEnd w:id="47"/>
    </w:p>
    <w:p>
      <w:pPr>
        <w:spacing w:line="600" w:lineRule="exact"/>
        <w:ind w:firstLine="640"/>
        <w:rPr>
          <w:rFonts w:ascii="仿宋_GB2312" w:eastAsia="仿宋_GB2312"/>
          <w:color w:val="auto"/>
          <w:sz w:val="32"/>
          <w:szCs w:val="32"/>
          <w:highlight w:val="none"/>
        </w:rPr>
      </w:pPr>
      <w:r>
        <w:drawing>
          <wp:anchor distT="0" distB="0" distL="114935" distR="114935" simplePos="0" relativeHeight="251659264" behindDoc="0" locked="0" layoutInCell="1" allowOverlap="1">
            <wp:simplePos x="0" y="0"/>
            <wp:positionH relativeFrom="column">
              <wp:posOffset>890905</wp:posOffset>
            </wp:positionH>
            <wp:positionV relativeFrom="paragraph">
              <wp:posOffset>133985</wp:posOffset>
            </wp:positionV>
            <wp:extent cx="3924935" cy="2111375"/>
            <wp:effectExtent l="0" t="0" r="0" b="0"/>
            <wp:wrapTopAndBottom/>
            <wp:docPr id="240" name="图表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Pr>
          <w:rFonts w:hint="eastAsia"/>
          <w:lang w:val="en-US" w:eastAsia="zh-CN"/>
        </w:rPr>
        <w:t xml:space="preserve">            </w:t>
      </w:r>
      <w:r>
        <w:rPr>
          <w:rFonts w:hint="eastAsia" w:ascii="仿宋" w:eastAsia="仿宋"/>
          <w:color w:val="auto"/>
          <w:sz w:val="32"/>
          <w:szCs w:val="32"/>
          <w:highlight w:val="none"/>
        </w:rPr>
        <w:t>（图3：支出决算结构图）（饼状图）</w:t>
      </w:r>
    </w:p>
    <w:p>
      <w:pPr>
        <w:spacing w:line="600" w:lineRule="exact"/>
        <w:ind w:firstLine="640" w:firstLineChars="200"/>
        <w:outlineLvl w:val="1"/>
        <w:rPr>
          <w:rStyle w:val="19"/>
          <w:rFonts w:ascii="黑体" w:eastAsia="黑体"/>
          <w:b w:val="0"/>
          <w:color w:val="auto"/>
          <w:highlight w:val="none"/>
        </w:rPr>
      </w:pPr>
      <w:bookmarkStart w:id="48" w:name="_Toc15377208"/>
      <w:bookmarkStart w:id="49" w:name="_Toc12076"/>
      <w:bookmarkStart w:id="50" w:name="_Toc15396606"/>
      <w:r>
        <w:rPr>
          <w:rFonts w:hint="eastAsia" w:ascii="黑体" w:eastAsia="黑体"/>
          <w:color w:val="auto"/>
          <w:sz w:val="32"/>
          <w:szCs w:val="32"/>
          <w:highlight w:val="none"/>
        </w:rPr>
        <w:t>四、财</w:t>
      </w:r>
      <w:r>
        <w:rPr>
          <w:rStyle w:val="19"/>
          <w:rFonts w:hint="eastAsia" w:ascii="黑体" w:eastAsia="黑体"/>
          <w:b w:val="0"/>
          <w:color w:val="auto"/>
          <w:highlight w:val="none"/>
        </w:rPr>
        <w:t>政拨款收入支出决算总体情况说明</w:t>
      </w:r>
      <w:bookmarkEnd w:id="48"/>
      <w:bookmarkEnd w:id="49"/>
      <w:bookmarkEnd w:id="50"/>
    </w:p>
    <w:p>
      <w:pPr>
        <w:spacing w:line="600" w:lineRule="exact"/>
        <w:ind w:firstLine="640"/>
        <w:rPr>
          <w:rFonts w:hint="eastAsia" w:ascii="仿宋" w:eastAsia="仿宋" w:cs="仿宋"/>
          <w:color w:val="auto"/>
          <w:sz w:val="32"/>
          <w:szCs w:val="32"/>
          <w:lang w:val="en-US" w:eastAsia="zh-CN"/>
        </w:rPr>
      </w:pPr>
      <w:r>
        <w:rPr>
          <w:rFonts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年财政拨款收、支总计</w:t>
      </w:r>
      <w:r>
        <w:rPr>
          <w:rFonts w:hint="eastAsia" w:ascii="仿宋" w:eastAsia="仿宋"/>
          <w:color w:val="auto"/>
          <w:sz w:val="32"/>
          <w:szCs w:val="32"/>
          <w:highlight w:val="none"/>
          <w:lang w:val="en-US" w:eastAsia="zh-CN"/>
        </w:rPr>
        <w:t>394.71</w:t>
      </w:r>
      <w:r>
        <w:rPr>
          <w:rFonts w:hint="eastAsia" w:ascii="仿宋" w:eastAsia="仿宋"/>
          <w:color w:val="auto"/>
          <w:sz w:val="32"/>
          <w:szCs w:val="32"/>
          <w:highlight w:val="none"/>
        </w:rPr>
        <w:t>万元。与</w:t>
      </w:r>
      <w:r>
        <w:rPr>
          <w:rFonts w:ascii="仿宋" w:eastAsia="仿宋"/>
          <w:color w:val="auto"/>
          <w:sz w:val="32"/>
          <w:szCs w:val="32"/>
          <w:highlight w:val="none"/>
        </w:rPr>
        <w:t>20</w:t>
      </w:r>
      <w:r>
        <w:rPr>
          <w:rFonts w:hint="eastAsia" w:ascii="仿宋" w:eastAsia="仿宋"/>
          <w:color w:val="auto"/>
          <w:sz w:val="32"/>
          <w:szCs w:val="32"/>
          <w:highlight w:val="none"/>
          <w:lang w:val="en-US" w:eastAsia="zh-CN"/>
        </w:rPr>
        <w:t>21</w:t>
      </w:r>
      <w:r>
        <w:rPr>
          <w:rFonts w:hint="eastAsia" w:ascii="仿宋" w:eastAsia="仿宋"/>
          <w:color w:val="auto"/>
          <w:sz w:val="32"/>
          <w:szCs w:val="32"/>
          <w:highlight w:val="none"/>
        </w:rPr>
        <w:t>年相比，财政拨款收、支总计各增加</w:t>
      </w:r>
      <w:r>
        <w:rPr>
          <w:rFonts w:hint="eastAsia" w:ascii="仿宋" w:eastAsia="仿宋"/>
          <w:color w:val="auto"/>
          <w:sz w:val="32"/>
          <w:szCs w:val="32"/>
          <w:highlight w:val="none"/>
          <w:lang w:val="en-US" w:eastAsia="zh-CN"/>
        </w:rPr>
        <w:t>77.16</w:t>
      </w:r>
      <w:r>
        <w:rPr>
          <w:rFonts w:hint="eastAsia" w:ascii="仿宋" w:eastAsia="仿宋"/>
          <w:color w:val="auto"/>
          <w:sz w:val="32"/>
          <w:szCs w:val="32"/>
          <w:highlight w:val="none"/>
        </w:rPr>
        <w:t>万元，增长</w:t>
      </w:r>
      <w:r>
        <w:rPr>
          <w:rFonts w:hint="eastAsia" w:ascii="仿宋" w:eastAsia="仿宋"/>
          <w:color w:val="auto"/>
          <w:sz w:val="32"/>
          <w:szCs w:val="32"/>
          <w:highlight w:val="none"/>
          <w:lang w:val="en-US" w:eastAsia="zh-CN"/>
        </w:rPr>
        <w:t>24.3</w:t>
      </w:r>
      <w:r>
        <w:rPr>
          <w:rFonts w:ascii="仿宋" w:eastAsia="仿宋"/>
          <w:color w:val="auto"/>
          <w:sz w:val="32"/>
          <w:szCs w:val="32"/>
          <w:highlight w:val="none"/>
        </w:rPr>
        <w:t>%</w:t>
      </w:r>
      <w:r>
        <w:rPr>
          <w:rFonts w:hint="eastAsia" w:ascii="仿宋" w:eastAsia="仿宋"/>
          <w:color w:val="auto"/>
          <w:sz w:val="32"/>
          <w:szCs w:val="32"/>
          <w:highlight w:val="none"/>
        </w:rPr>
        <w:t>。</w:t>
      </w:r>
      <w:r>
        <w:rPr>
          <w:rFonts w:hint="eastAsia" w:ascii="仿宋" w:eastAsia="仿宋"/>
          <w:color w:val="auto"/>
          <w:sz w:val="32"/>
          <w:szCs w:val="32"/>
          <w:highlight w:val="none"/>
          <w:lang w:val="en-US" w:eastAsia="zh-CN"/>
        </w:rPr>
        <w:t>2022年收入</w:t>
      </w:r>
      <w:r>
        <w:rPr>
          <w:rFonts w:hint="eastAsia" w:ascii="仿宋" w:eastAsia="仿宋"/>
          <w:color w:val="auto"/>
          <w:sz w:val="32"/>
          <w:szCs w:val="32"/>
          <w:highlight w:val="none"/>
        </w:rPr>
        <w:t>主要变动原因</w:t>
      </w:r>
      <w:r>
        <w:rPr>
          <w:rFonts w:hint="eastAsia" w:ascii="仿宋" w:eastAsia="仿宋"/>
          <w:color w:val="auto"/>
          <w:sz w:val="32"/>
          <w:szCs w:val="32"/>
          <w:highlight w:val="none"/>
          <w:lang w:eastAsia="zh-CN"/>
        </w:rPr>
        <w:t>是：政府性基金预算财政拨款收入增加了</w:t>
      </w:r>
      <w:r>
        <w:rPr>
          <w:rFonts w:hint="eastAsia" w:ascii="仿宋" w:eastAsia="仿宋"/>
          <w:color w:val="auto"/>
          <w:sz w:val="32"/>
          <w:szCs w:val="32"/>
          <w:highlight w:val="none"/>
          <w:lang w:val="en-US" w:eastAsia="zh-CN"/>
        </w:rPr>
        <w:t>7.57万元，</w:t>
      </w:r>
      <w:r>
        <w:rPr>
          <w:rFonts w:hint="eastAsia" w:ascii="仿宋" w:eastAsia="仿宋"/>
          <w:color w:val="auto"/>
          <w:sz w:val="32"/>
          <w:szCs w:val="32"/>
          <w:highlight w:val="none"/>
          <w:lang w:eastAsia="zh-CN"/>
        </w:rPr>
        <w:t>一般公共预算财政拨款收入增加</w:t>
      </w:r>
      <w:r>
        <w:rPr>
          <w:rFonts w:hint="eastAsia" w:ascii="仿宋" w:eastAsia="仿宋" w:cs="仿宋"/>
          <w:color w:val="auto"/>
          <w:sz w:val="32"/>
          <w:szCs w:val="32"/>
          <w:lang w:val="en-US" w:eastAsia="zh-CN"/>
        </w:rPr>
        <w:t>了69.59万元。2022年支出变动主要原因是：社会保障和就业支出增加了2.65万元；卫生健康支出增加了67.46万元；住房保障支出减少了0.52万元；城乡社区支出增加了7.57万元。</w:t>
      </w:r>
    </w:p>
    <w:p>
      <w:pPr>
        <w:pStyle w:val="2"/>
        <w:rPr>
          <w:lang w:val="en-US"/>
        </w:rPr>
      </w:pPr>
      <w:r>
        <w:rPr>
          <w:sz w:val="20"/>
          <w:szCs w:val="22"/>
        </w:rPr>
        <w:drawing>
          <wp:anchor distT="0" distB="0" distL="114935" distR="114935" simplePos="0" relativeHeight="251659264" behindDoc="0" locked="0" layoutInCell="1" allowOverlap="1">
            <wp:simplePos x="0" y="0"/>
            <wp:positionH relativeFrom="column">
              <wp:posOffset>796290</wp:posOffset>
            </wp:positionH>
            <wp:positionV relativeFrom="paragraph">
              <wp:posOffset>114300</wp:posOffset>
            </wp:positionV>
            <wp:extent cx="3703320" cy="1943100"/>
            <wp:effectExtent l="0" t="0" r="0" b="0"/>
            <wp:wrapTopAndBottom/>
            <wp:docPr id="241" name="图表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p>
    <w:p>
      <w:pPr>
        <w:spacing w:line="600" w:lineRule="exact"/>
        <w:ind w:firstLine="560" w:firstLineChars="200"/>
        <w:rPr>
          <w:rFonts w:ascii="仿宋" w:eastAsia="仿宋"/>
          <w:b/>
          <w:color w:val="auto"/>
          <w:sz w:val="28"/>
          <w:szCs w:val="28"/>
          <w:highlight w:val="none"/>
        </w:rPr>
      </w:pPr>
      <w:r>
        <w:rPr>
          <w:rFonts w:hint="eastAsia" w:ascii="仿宋" w:eastAsia="仿宋"/>
          <w:color w:val="auto"/>
          <w:sz w:val="28"/>
          <w:szCs w:val="28"/>
          <w:highlight w:val="none"/>
        </w:rPr>
        <w:t>（图4：财政拨款收、支决算总计变动情况）（柱状图）</w:t>
      </w:r>
    </w:p>
    <w:p>
      <w:pPr>
        <w:spacing w:line="600" w:lineRule="exact"/>
        <w:ind w:firstLine="640" w:firstLineChars="200"/>
        <w:outlineLvl w:val="1"/>
        <w:rPr>
          <w:rStyle w:val="19"/>
          <w:rFonts w:ascii="黑体" w:eastAsia="黑体"/>
          <w:b w:val="0"/>
          <w:color w:val="auto"/>
          <w:highlight w:val="none"/>
        </w:rPr>
      </w:pPr>
      <w:bookmarkStart w:id="51" w:name="_Toc15377209"/>
      <w:bookmarkStart w:id="52" w:name="_Toc3975"/>
      <w:bookmarkStart w:id="53" w:name="_Toc15396607"/>
      <w:r>
        <w:rPr>
          <w:rFonts w:hint="eastAsia" w:ascii="黑体" w:eastAsia="黑体"/>
          <w:color w:val="auto"/>
          <w:sz w:val="32"/>
          <w:szCs w:val="32"/>
          <w:highlight w:val="none"/>
        </w:rPr>
        <w:t>五、</w:t>
      </w:r>
      <w:r>
        <w:rPr>
          <w:rFonts w:hint="eastAsia" w:ascii="黑体" w:eastAsia="黑体"/>
          <w:b/>
          <w:color w:val="auto"/>
          <w:sz w:val="32"/>
          <w:szCs w:val="32"/>
          <w:highlight w:val="none"/>
        </w:rPr>
        <w:t>一</w:t>
      </w:r>
      <w:r>
        <w:rPr>
          <w:rStyle w:val="19"/>
          <w:rFonts w:hint="eastAsia" w:ascii="黑体" w:eastAsia="黑体"/>
          <w:b w:val="0"/>
          <w:color w:val="auto"/>
          <w:highlight w:val="none"/>
        </w:rPr>
        <w:t>般公共预算财政拨款支出决算情况说明</w:t>
      </w:r>
      <w:bookmarkEnd w:id="51"/>
      <w:bookmarkEnd w:id="52"/>
      <w:bookmarkEnd w:id="53"/>
    </w:p>
    <w:p>
      <w:pPr>
        <w:spacing w:line="600" w:lineRule="exact"/>
        <w:ind w:firstLine="643" w:firstLineChars="200"/>
        <w:outlineLvl w:val="2"/>
        <w:rPr>
          <w:rFonts w:ascii="仿宋" w:eastAsia="仿宋"/>
          <w:b/>
          <w:color w:val="auto"/>
          <w:sz w:val="32"/>
          <w:szCs w:val="32"/>
          <w:highlight w:val="none"/>
        </w:rPr>
      </w:pPr>
      <w:bookmarkStart w:id="54" w:name="_Toc28674"/>
      <w:bookmarkStart w:id="55" w:name="_Toc15377210"/>
      <w:r>
        <w:rPr>
          <w:rFonts w:hint="eastAsia" w:ascii="仿宋" w:eastAsia="仿宋"/>
          <w:b/>
          <w:color w:val="auto"/>
          <w:sz w:val="32"/>
          <w:szCs w:val="32"/>
          <w:highlight w:val="none"/>
        </w:rPr>
        <w:t>（一）一般公共预算财政拨款支出决算总体情况</w:t>
      </w:r>
      <w:bookmarkEnd w:id="54"/>
      <w:bookmarkEnd w:id="55"/>
    </w:p>
    <w:p>
      <w:pPr>
        <w:spacing w:line="600" w:lineRule="exact"/>
        <w:ind w:firstLine="640" w:firstLineChars="200"/>
        <w:rPr>
          <w:rFonts w:ascii="仿宋" w:eastAsia="仿宋"/>
          <w:color w:val="auto"/>
          <w:sz w:val="32"/>
          <w:szCs w:val="32"/>
          <w:highlight w:val="none"/>
          <w:lang w:val="en-US" w:eastAsia="zh-CN"/>
        </w:rPr>
      </w:pPr>
      <w:r>
        <w:rPr>
          <w:rFonts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年一般公共预算财政拨款支出</w:t>
      </w:r>
      <w:r>
        <w:rPr>
          <w:rFonts w:hint="eastAsia" w:ascii="仿宋" w:eastAsia="仿宋"/>
          <w:color w:val="auto"/>
          <w:sz w:val="32"/>
          <w:szCs w:val="32"/>
          <w:highlight w:val="none"/>
          <w:lang w:val="en-US" w:eastAsia="zh-CN"/>
        </w:rPr>
        <w:t>387.14</w:t>
      </w:r>
      <w:r>
        <w:rPr>
          <w:rFonts w:hint="eastAsia" w:ascii="仿宋" w:eastAsia="仿宋"/>
          <w:color w:val="auto"/>
          <w:sz w:val="32"/>
          <w:szCs w:val="32"/>
          <w:highlight w:val="none"/>
        </w:rPr>
        <w:t>万元，占本年支出合计的</w:t>
      </w:r>
      <w:r>
        <w:rPr>
          <w:rFonts w:hint="eastAsia" w:ascii="仿宋" w:eastAsia="仿宋"/>
          <w:color w:val="auto"/>
          <w:sz w:val="32"/>
          <w:szCs w:val="32"/>
          <w:highlight w:val="none"/>
          <w:lang w:val="en-US" w:eastAsia="zh-CN"/>
        </w:rPr>
        <w:t>51.4</w:t>
      </w:r>
      <w:r>
        <w:rPr>
          <w:rFonts w:ascii="仿宋" w:eastAsia="仿宋"/>
          <w:color w:val="auto"/>
          <w:sz w:val="32"/>
          <w:szCs w:val="32"/>
          <w:highlight w:val="none"/>
        </w:rPr>
        <w:t>%</w:t>
      </w:r>
      <w:r>
        <w:rPr>
          <w:rFonts w:hint="eastAsia" w:ascii="仿宋" w:eastAsia="仿宋"/>
          <w:color w:val="auto"/>
          <w:sz w:val="32"/>
          <w:szCs w:val="32"/>
          <w:highlight w:val="none"/>
        </w:rPr>
        <w:t>。与</w:t>
      </w:r>
      <w:r>
        <w:rPr>
          <w:rFonts w:ascii="仿宋" w:eastAsia="仿宋"/>
          <w:color w:val="auto"/>
          <w:sz w:val="32"/>
          <w:szCs w:val="32"/>
          <w:highlight w:val="none"/>
        </w:rPr>
        <w:t>20</w:t>
      </w:r>
      <w:r>
        <w:rPr>
          <w:rFonts w:hint="eastAsia" w:ascii="仿宋" w:eastAsia="仿宋"/>
          <w:color w:val="auto"/>
          <w:sz w:val="32"/>
          <w:szCs w:val="32"/>
          <w:highlight w:val="none"/>
          <w:lang w:val="en-US" w:eastAsia="zh-CN"/>
        </w:rPr>
        <w:t>21</w:t>
      </w:r>
      <w:r>
        <w:rPr>
          <w:rFonts w:hint="eastAsia" w:ascii="仿宋" w:eastAsia="仿宋"/>
          <w:color w:val="auto"/>
          <w:sz w:val="32"/>
          <w:szCs w:val="32"/>
          <w:highlight w:val="none"/>
        </w:rPr>
        <w:t>年相比，一般公共预算财政拨款</w:t>
      </w:r>
      <w:r>
        <w:rPr>
          <w:rFonts w:hint="eastAsia" w:ascii="仿宋" w:eastAsia="仿宋"/>
          <w:color w:val="auto"/>
          <w:sz w:val="32"/>
          <w:szCs w:val="32"/>
          <w:highlight w:val="none"/>
          <w:lang w:eastAsia="zh-CN"/>
        </w:rPr>
        <w:t>支出</w:t>
      </w:r>
      <w:r>
        <w:rPr>
          <w:rFonts w:hint="eastAsia" w:ascii="仿宋" w:eastAsia="仿宋"/>
          <w:color w:val="auto"/>
          <w:sz w:val="32"/>
          <w:szCs w:val="32"/>
          <w:highlight w:val="none"/>
        </w:rPr>
        <w:t>增加</w:t>
      </w:r>
      <w:r>
        <w:rPr>
          <w:rFonts w:hint="eastAsia" w:ascii="仿宋" w:eastAsia="仿宋"/>
          <w:color w:val="auto"/>
          <w:sz w:val="32"/>
          <w:szCs w:val="32"/>
          <w:highlight w:val="none"/>
          <w:lang w:val="en-US" w:eastAsia="zh-CN"/>
        </w:rPr>
        <w:t>69.59</w:t>
      </w:r>
      <w:r>
        <w:rPr>
          <w:rFonts w:hint="eastAsia" w:ascii="仿宋" w:eastAsia="仿宋"/>
          <w:color w:val="auto"/>
          <w:sz w:val="32"/>
          <w:szCs w:val="32"/>
          <w:highlight w:val="none"/>
        </w:rPr>
        <w:t>万元，增长</w:t>
      </w:r>
      <w:r>
        <w:rPr>
          <w:rFonts w:hint="eastAsia" w:ascii="仿宋" w:eastAsia="仿宋"/>
          <w:color w:val="auto"/>
          <w:sz w:val="32"/>
          <w:szCs w:val="32"/>
          <w:highlight w:val="none"/>
          <w:lang w:val="en-US" w:eastAsia="zh-CN"/>
        </w:rPr>
        <w:t>21.91</w:t>
      </w:r>
      <w:r>
        <w:rPr>
          <w:rFonts w:ascii="仿宋" w:eastAsia="仿宋"/>
          <w:color w:val="auto"/>
          <w:sz w:val="32"/>
          <w:szCs w:val="32"/>
          <w:highlight w:val="none"/>
        </w:rPr>
        <w:t>%</w:t>
      </w:r>
      <w:r>
        <w:rPr>
          <w:rFonts w:hint="eastAsia" w:ascii="仿宋" w:eastAsia="仿宋"/>
          <w:color w:val="auto"/>
          <w:sz w:val="32"/>
          <w:szCs w:val="32"/>
          <w:highlight w:val="none"/>
        </w:rPr>
        <w:t>。主要变动原因是</w:t>
      </w:r>
      <w:r>
        <w:rPr>
          <w:rFonts w:hint="eastAsia" w:ascii="仿宋" w:eastAsia="仿宋"/>
          <w:color w:val="auto"/>
          <w:sz w:val="32"/>
          <w:szCs w:val="32"/>
          <w:highlight w:val="none"/>
          <w:lang w:eastAsia="zh-CN"/>
        </w:rPr>
        <w:t>基本支出增加了</w:t>
      </w:r>
      <w:r>
        <w:rPr>
          <w:rFonts w:hint="eastAsia" w:ascii="仿宋" w:eastAsia="仿宋"/>
          <w:color w:val="auto"/>
          <w:sz w:val="32"/>
          <w:szCs w:val="32"/>
          <w:highlight w:val="none"/>
          <w:lang w:val="en-US" w:eastAsia="zh-CN"/>
        </w:rPr>
        <w:t>32.89万元，项目支出增加了36.71万元</w:t>
      </w:r>
    </w:p>
    <w:p>
      <w:pPr>
        <w:spacing w:line="600" w:lineRule="exact"/>
        <w:ind w:firstLine="400" w:firstLineChars="200"/>
        <w:rPr>
          <w:rFonts w:ascii="仿宋" w:eastAsia="仿宋"/>
          <w:color w:val="auto"/>
          <w:sz w:val="28"/>
          <w:szCs w:val="28"/>
          <w:highlight w:val="none"/>
        </w:rPr>
      </w:pPr>
      <w:r>
        <w:rPr>
          <w:sz w:val="20"/>
          <w:szCs w:val="22"/>
        </w:rPr>
        <w:drawing>
          <wp:anchor distT="0" distB="0" distL="114935" distR="114935" simplePos="0" relativeHeight="251659264" behindDoc="0" locked="0" layoutInCell="1" allowOverlap="1">
            <wp:simplePos x="0" y="0"/>
            <wp:positionH relativeFrom="column">
              <wp:posOffset>956310</wp:posOffset>
            </wp:positionH>
            <wp:positionV relativeFrom="paragraph">
              <wp:posOffset>164465</wp:posOffset>
            </wp:positionV>
            <wp:extent cx="3398520" cy="1996440"/>
            <wp:effectExtent l="0" t="0" r="0" b="0"/>
            <wp:wrapTopAndBottom/>
            <wp:docPr id="242" name="图表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r>
        <w:rPr>
          <w:rFonts w:hint="eastAsia" w:ascii="仿宋" w:eastAsia="仿宋"/>
          <w:color w:val="auto"/>
          <w:sz w:val="28"/>
          <w:szCs w:val="28"/>
          <w:highlight w:val="none"/>
        </w:rPr>
        <w:t>（图5：一般公共预算财政拨款支出决算变动情况）（柱状图）</w:t>
      </w:r>
    </w:p>
    <w:p>
      <w:pPr>
        <w:spacing w:line="600" w:lineRule="exact"/>
        <w:ind w:firstLine="643" w:firstLineChars="200"/>
        <w:outlineLvl w:val="2"/>
        <w:rPr>
          <w:rFonts w:ascii="仿宋" w:eastAsia="仿宋"/>
          <w:b/>
          <w:color w:val="auto"/>
          <w:sz w:val="32"/>
          <w:szCs w:val="32"/>
          <w:highlight w:val="none"/>
        </w:rPr>
      </w:pPr>
      <w:bookmarkStart w:id="56" w:name="_Toc15377211"/>
      <w:bookmarkStart w:id="57" w:name="_Toc6490"/>
      <w:r>
        <w:rPr>
          <w:rFonts w:hint="eastAsia" w:ascii="仿宋" w:eastAsia="仿宋"/>
          <w:b/>
          <w:color w:val="auto"/>
          <w:sz w:val="32"/>
          <w:szCs w:val="32"/>
          <w:highlight w:val="none"/>
        </w:rPr>
        <w:t>（二）一般公共预算财政拨款支出决算结构情况</w:t>
      </w:r>
      <w:bookmarkEnd w:id="56"/>
      <w:bookmarkEnd w:id="57"/>
    </w:p>
    <w:p>
      <w:pPr>
        <w:spacing w:line="600" w:lineRule="exact"/>
        <w:ind w:firstLine="640"/>
        <w:rPr>
          <w:rFonts w:ascii="仿宋" w:eastAsia="仿宋"/>
          <w:color w:val="auto"/>
          <w:sz w:val="32"/>
          <w:szCs w:val="32"/>
          <w:highlight w:val="none"/>
        </w:rPr>
      </w:pPr>
      <w:r>
        <w:rPr>
          <w:rFonts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年一般公共预算财政拨款支出</w:t>
      </w:r>
      <w:r>
        <w:rPr>
          <w:rFonts w:hint="eastAsia" w:ascii="仿宋" w:eastAsia="仿宋"/>
          <w:color w:val="auto"/>
          <w:sz w:val="32"/>
          <w:szCs w:val="32"/>
          <w:highlight w:val="none"/>
          <w:lang w:val="en-US" w:eastAsia="zh-CN"/>
        </w:rPr>
        <w:t>387.14</w:t>
      </w:r>
      <w:r>
        <w:rPr>
          <w:rFonts w:hint="eastAsia" w:ascii="仿宋" w:eastAsia="仿宋"/>
          <w:color w:val="auto"/>
          <w:sz w:val="32"/>
          <w:szCs w:val="32"/>
          <w:highlight w:val="none"/>
        </w:rPr>
        <w:t>万元，主要用于以下方面</w:t>
      </w:r>
      <w:r>
        <w:rPr>
          <w:rFonts w:ascii="仿宋" w:eastAsia="仿宋"/>
          <w:color w:val="auto"/>
          <w:sz w:val="32"/>
          <w:szCs w:val="32"/>
          <w:highlight w:val="none"/>
        </w:rPr>
        <w:t>:</w:t>
      </w:r>
      <w:r>
        <w:rPr>
          <w:rFonts w:hint="eastAsia" w:ascii="仿宋" w:eastAsia="仿宋"/>
          <w:b/>
          <w:color w:val="auto"/>
          <w:sz w:val="32"/>
          <w:szCs w:val="32"/>
          <w:highlight w:val="none"/>
        </w:rPr>
        <w:t>社会保障和</w:t>
      </w:r>
      <w:r>
        <w:rPr>
          <w:rFonts w:hint="eastAsia" w:ascii="仿宋" w:eastAsia="仿宋" w:cs="Times New Roman"/>
          <w:b/>
          <w:color w:val="auto"/>
          <w:sz w:val="32"/>
          <w:szCs w:val="32"/>
          <w:highlight w:val="none"/>
        </w:rPr>
        <w:t>就业支出</w:t>
      </w:r>
      <w:r>
        <w:rPr>
          <w:rFonts w:hint="eastAsia" w:ascii="仿宋" w:eastAsia="仿宋"/>
          <w:color w:val="auto"/>
          <w:sz w:val="32"/>
          <w:szCs w:val="32"/>
          <w:highlight w:val="none"/>
          <w:lang w:val="en-US" w:eastAsia="zh-CN"/>
        </w:rPr>
        <w:t>34.75</w:t>
      </w:r>
      <w:r>
        <w:rPr>
          <w:rFonts w:hint="eastAsia" w:ascii="仿宋" w:eastAsia="仿宋"/>
          <w:color w:val="auto"/>
          <w:sz w:val="32"/>
          <w:szCs w:val="32"/>
          <w:highlight w:val="none"/>
        </w:rPr>
        <w:t>万元，占</w:t>
      </w:r>
      <w:r>
        <w:rPr>
          <w:rFonts w:hint="eastAsia" w:ascii="仿宋" w:eastAsia="仿宋"/>
          <w:color w:val="auto"/>
          <w:sz w:val="32"/>
          <w:szCs w:val="32"/>
          <w:highlight w:val="none"/>
          <w:lang w:val="en-US" w:eastAsia="zh-CN"/>
        </w:rPr>
        <w:t>9</w:t>
      </w:r>
      <w:r>
        <w:rPr>
          <w:rFonts w:ascii="仿宋" w:eastAsia="仿宋"/>
          <w:color w:val="auto"/>
          <w:sz w:val="32"/>
          <w:szCs w:val="32"/>
          <w:highlight w:val="none"/>
        </w:rPr>
        <w:t>%</w:t>
      </w:r>
      <w:r>
        <w:rPr>
          <w:rFonts w:hint="eastAsia" w:ascii="仿宋" w:eastAsia="仿宋"/>
          <w:color w:val="auto"/>
          <w:sz w:val="32"/>
          <w:szCs w:val="32"/>
          <w:highlight w:val="none"/>
        </w:rPr>
        <w:t>；</w:t>
      </w:r>
      <w:r>
        <w:rPr>
          <w:rFonts w:hint="eastAsia" w:ascii="仿宋" w:eastAsia="仿宋"/>
          <w:b/>
          <w:bCs/>
          <w:color w:val="auto"/>
          <w:sz w:val="32"/>
          <w:szCs w:val="32"/>
          <w:highlight w:val="none"/>
        </w:rPr>
        <w:t>卫生健康支出</w:t>
      </w:r>
      <w:r>
        <w:rPr>
          <w:rFonts w:hint="eastAsia" w:ascii="仿宋" w:eastAsia="仿宋"/>
          <w:color w:val="auto"/>
          <w:sz w:val="32"/>
          <w:szCs w:val="32"/>
          <w:highlight w:val="none"/>
          <w:lang w:val="en-US" w:eastAsia="zh-CN"/>
        </w:rPr>
        <w:t>330.6</w:t>
      </w:r>
      <w:r>
        <w:rPr>
          <w:rFonts w:hint="eastAsia" w:ascii="仿宋" w:eastAsia="仿宋"/>
          <w:color w:val="auto"/>
          <w:sz w:val="32"/>
          <w:szCs w:val="32"/>
          <w:highlight w:val="none"/>
        </w:rPr>
        <w:t>万元，占</w:t>
      </w:r>
      <w:r>
        <w:rPr>
          <w:rFonts w:hint="eastAsia" w:ascii="仿宋" w:eastAsia="仿宋"/>
          <w:color w:val="auto"/>
          <w:sz w:val="32"/>
          <w:szCs w:val="32"/>
          <w:highlight w:val="none"/>
          <w:lang w:val="en-US" w:eastAsia="zh-CN"/>
        </w:rPr>
        <w:t>85.4</w:t>
      </w:r>
      <w:r>
        <w:rPr>
          <w:rFonts w:ascii="仿宋" w:eastAsia="仿宋"/>
          <w:color w:val="auto"/>
          <w:sz w:val="32"/>
          <w:szCs w:val="32"/>
          <w:highlight w:val="none"/>
        </w:rPr>
        <w:t>%</w:t>
      </w:r>
      <w:r>
        <w:rPr>
          <w:rFonts w:hint="eastAsia" w:ascii="仿宋" w:eastAsia="仿宋"/>
          <w:color w:val="auto"/>
          <w:sz w:val="32"/>
          <w:szCs w:val="32"/>
          <w:highlight w:val="none"/>
        </w:rPr>
        <w:t>；</w:t>
      </w:r>
      <w:r>
        <w:rPr>
          <w:rFonts w:hint="eastAsia" w:ascii="仿宋" w:eastAsia="仿宋" w:cs="Times New Roman"/>
          <w:b/>
          <w:color w:val="auto"/>
          <w:sz w:val="32"/>
          <w:szCs w:val="32"/>
          <w:highlight w:val="none"/>
        </w:rPr>
        <w:t>住房保障支出</w:t>
      </w:r>
      <w:r>
        <w:rPr>
          <w:rFonts w:hint="eastAsia" w:ascii="仿宋" w:eastAsia="仿宋"/>
          <w:color w:val="auto"/>
          <w:sz w:val="32"/>
          <w:szCs w:val="32"/>
          <w:highlight w:val="none"/>
          <w:lang w:val="en-US" w:eastAsia="zh-CN"/>
        </w:rPr>
        <w:t>21.78</w:t>
      </w:r>
      <w:r>
        <w:rPr>
          <w:rFonts w:hint="eastAsia" w:ascii="仿宋" w:eastAsia="仿宋"/>
          <w:color w:val="auto"/>
          <w:sz w:val="32"/>
          <w:szCs w:val="32"/>
          <w:highlight w:val="none"/>
        </w:rPr>
        <w:t>万元，占</w:t>
      </w:r>
      <w:r>
        <w:rPr>
          <w:rFonts w:hint="eastAsia" w:ascii="仿宋" w:eastAsia="仿宋"/>
          <w:color w:val="auto"/>
          <w:sz w:val="32"/>
          <w:szCs w:val="32"/>
          <w:highlight w:val="none"/>
          <w:lang w:val="en-US" w:eastAsia="zh-CN"/>
        </w:rPr>
        <w:t>5.6</w:t>
      </w:r>
      <w:r>
        <w:rPr>
          <w:rFonts w:ascii="仿宋" w:eastAsia="仿宋"/>
          <w:color w:val="auto"/>
          <w:sz w:val="32"/>
          <w:szCs w:val="32"/>
          <w:highlight w:val="none"/>
        </w:rPr>
        <w:t>%</w:t>
      </w:r>
      <w:r>
        <w:rPr>
          <w:rFonts w:hint="eastAsia" w:ascii="仿宋" w:eastAsia="仿宋"/>
          <w:color w:val="auto"/>
          <w:sz w:val="32"/>
          <w:szCs w:val="32"/>
          <w:highlight w:val="none"/>
        </w:rPr>
        <w:t>。</w:t>
      </w:r>
    </w:p>
    <w:p>
      <w:pPr>
        <w:spacing w:line="600" w:lineRule="exact"/>
        <w:ind w:firstLine="640"/>
        <w:rPr>
          <w:rFonts w:ascii="仿宋" w:eastAsia="仿宋"/>
          <w:color w:val="auto"/>
          <w:sz w:val="28"/>
          <w:szCs w:val="28"/>
          <w:highlight w:val="none"/>
        </w:rPr>
      </w:pPr>
      <w:r>
        <w:rPr>
          <w:sz w:val="20"/>
          <w:szCs w:val="22"/>
        </w:rPr>
        <w:drawing>
          <wp:anchor distT="0" distB="0" distL="114935" distR="114935" simplePos="0" relativeHeight="251659264" behindDoc="0" locked="0" layoutInCell="1" allowOverlap="1">
            <wp:simplePos x="0" y="0"/>
            <wp:positionH relativeFrom="column">
              <wp:posOffset>806450</wp:posOffset>
            </wp:positionH>
            <wp:positionV relativeFrom="paragraph">
              <wp:posOffset>57785</wp:posOffset>
            </wp:positionV>
            <wp:extent cx="3633470" cy="2186940"/>
            <wp:effectExtent l="0" t="0" r="0" b="0"/>
            <wp:wrapTopAndBottom/>
            <wp:docPr id="243" name="图表 1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anchor>
        </w:drawing>
      </w:r>
      <w:r>
        <w:rPr>
          <w:rFonts w:hint="eastAsia" w:ascii="仿宋" w:eastAsia="仿宋"/>
          <w:color w:val="auto"/>
          <w:sz w:val="28"/>
          <w:szCs w:val="28"/>
          <w:highlight w:val="none"/>
        </w:rPr>
        <w:t>（图6：一般公共预算财政拨款支出决算结构）（饼状图）</w:t>
      </w:r>
    </w:p>
    <w:p>
      <w:pPr>
        <w:spacing w:line="600" w:lineRule="exact"/>
        <w:ind w:firstLine="643" w:firstLineChars="200"/>
        <w:outlineLvl w:val="2"/>
        <w:rPr>
          <w:rFonts w:ascii="仿宋" w:eastAsia="仿宋"/>
          <w:b/>
          <w:color w:val="auto"/>
          <w:sz w:val="32"/>
          <w:szCs w:val="32"/>
          <w:highlight w:val="none"/>
        </w:rPr>
      </w:pPr>
      <w:bookmarkStart w:id="58" w:name="_Toc15377212"/>
      <w:bookmarkStart w:id="59" w:name="_Toc3752"/>
      <w:r>
        <w:rPr>
          <w:rFonts w:hint="eastAsia" w:ascii="仿宋" w:eastAsia="仿宋"/>
          <w:b/>
          <w:color w:val="auto"/>
          <w:sz w:val="32"/>
          <w:szCs w:val="32"/>
          <w:highlight w:val="none"/>
        </w:rPr>
        <w:t>（三）一般公共预算财政拨款支出决算具体情况</w:t>
      </w:r>
      <w:bookmarkEnd w:id="58"/>
      <w:bookmarkEnd w:id="59"/>
    </w:p>
    <w:p>
      <w:pPr>
        <w:spacing w:line="600" w:lineRule="exact"/>
        <w:ind w:firstLine="643" w:firstLineChars="200"/>
        <w:outlineLvl w:val="1"/>
        <w:rPr>
          <w:rFonts w:ascii="仿宋" w:eastAsia="仿宋"/>
          <w:color w:val="auto"/>
          <w:sz w:val="32"/>
          <w:szCs w:val="32"/>
          <w:highlight w:val="none"/>
        </w:rPr>
      </w:pPr>
      <w:bookmarkStart w:id="60" w:name="_Toc15377213"/>
      <w:bookmarkStart w:id="61" w:name="_Toc15377444"/>
      <w:bookmarkStart w:id="62" w:name="_Toc15378460"/>
      <w:bookmarkStart w:id="63" w:name="_Toc12386"/>
      <w:bookmarkStart w:id="64" w:name="_Toc9644"/>
      <w:r>
        <w:rPr>
          <w:rFonts w:hint="eastAsia" w:ascii="仿宋" w:eastAsia="仿宋"/>
          <w:b/>
          <w:color w:val="auto"/>
          <w:sz w:val="32"/>
          <w:szCs w:val="32"/>
          <w:highlight w:val="none"/>
        </w:rPr>
        <w:t>20</w:t>
      </w:r>
      <w:r>
        <w:rPr>
          <w:rFonts w:hint="eastAsia" w:ascii="仿宋" w:eastAsia="仿宋"/>
          <w:b/>
          <w:color w:val="auto"/>
          <w:sz w:val="32"/>
          <w:szCs w:val="32"/>
          <w:highlight w:val="none"/>
          <w:lang w:val="en-US" w:eastAsia="zh-CN"/>
        </w:rPr>
        <w:t>22</w:t>
      </w:r>
      <w:r>
        <w:rPr>
          <w:rFonts w:hint="eastAsia" w:ascii="仿宋" w:eastAsia="仿宋"/>
          <w:b/>
          <w:color w:val="auto"/>
          <w:sz w:val="32"/>
          <w:szCs w:val="32"/>
          <w:highlight w:val="none"/>
        </w:rPr>
        <w:t>年</w:t>
      </w:r>
      <w:r>
        <w:rPr>
          <w:rFonts w:hint="eastAsia" w:ascii="仿宋" w:eastAsia="仿宋"/>
          <w:b/>
          <w:color w:val="auto"/>
          <w:sz w:val="32"/>
          <w:szCs w:val="32"/>
          <w:highlight w:val="none"/>
          <w:lang w:eastAsia="zh-CN"/>
        </w:rPr>
        <w:t>一</w:t>
      </w:r>
      <w:r>
        <w:rPr>
          <w:rFonts w:hint="eastAsia" w:ascii="仿宋" w:eastAsia="仿宋"/>
          <w:b/>
          <w:color w:val="auto"/>
          <w:sz w:val="32"/>
          <w:szCs w:val="32"/>
          <w:highlight w:val="none"/>
        </w:rPr>
        <w:t>般公共预算支出决算数为</w:t>
      </w:r>
      <w:r>
        <w:rPr>
          <w:rFonts w:hint="eastAsia" w:ascii="仿宋" w:eastAsia="仿宋"/>
          <w:b/>
          <w:color w:val="auto"/>
          <w:sz w:val="32"/>
          <w:szCs w:val="32"/>
          <w:highlight w:val="none"/>
          <w:lang w:val="en-US" w:eastAsia="zh-CN"/>
        </w:rPr>
        <w:t>387.14万元</w:t>
      </w:r>
      <w:r>
        <w:rPr>
          <w:rFonts w:hint="eastAsia" w:ascii="仿宋" w:eastAsia="仿宋"/>
          <w:color w:val="auto"/>
          <w:sz w:val="32"/>
          <w:szCs w:val="32"/>
          <w:highlight w:val="none"/>
        </w:rPr>
        <w:t>，</w:t>
      </w:r>
      <w:r>
        <w:rPr>
          <w:rStyle w:val="16"/>
          <w:rFonts w:hint="eastAsia" w:ascii="仿宋" w:eastAsia="仿宋"/>
          <w:bCs/>
          <w:color w:val="auto"/>
          <w:sz w:val="32"/>
          <w:szCs w:val="32"/>
          <w:highlight w:val="none"/>
        </w:rPr>
        <w:t>完成预算</w:t>
      </w:r>
      <w:r>
        <w:rPr>
          <w:rStyle w:val="16"/>
          <w:rFonts w:hint="eastAsia" w:ascii="仿宋" w:eastAsia="仿宋"/>
          <w:bCs/>
          <w:color w:val="auto"/>
          <w:sz w:val="32"/>
          <w:szCs w:val="32"/>
          <w:highlight w:val="none"/>
          <w:lang w:val="en-US" w:eastAsia="zh-CN"/>
        </w:rPr>
        <w:t>100</w:t>
      </w:r>
      <w:r>
        <w:rPr>
          <w:rStyle w:val="16"/>
          <w:rFonts w:ascii="仿宋" w:eastAsia="仿宋"/>
          <w:bCs/>
          <w:color w:val="auto"/>
          <w:sz w:val="32"/>
          <w:szCs w:val="32"/>
          <w:highlight w:val="none"/>
        </w:rPr>
        <w:t>%</w:t>
      </w:r>
      <w:r>
        <w:rPr>
          <w:rStyle w:val="16"/>
          <w:rFonts w:hint="eastAsia" w:ascii="仿宋" w:eastAsia="仿宋"/>
          <w:bCs/>
          <w:color w:val="auto"/>
          <w:sz w:val="32"/>
          <w:szCs w:val="32"/>
          <w:highlight w:val="none"/>
        </w:rPr>
        <w:t>。其中：</w:t>
      </w:r>
      <w:bookmarkEnd w:id="60"/>
      <w:bookmarkEnd w:id="61"/>
      <w:bookmarkEnd w:id="62"/>
      <w:bookmarkEnd w:id="63"/>
      <w:bookmarkEnd w:id="64"/>
    </w:p>
    <w:p>
      <w:pPr>
        <w:spacing w:line="600" w:lineRule="exact"/>
        <w:ind w:left="0" w:firstLine="643" w:firstLineChars="200"/>
        <w:rPr>
          <w:rStyle w:val="16"/>
          <w:rFonts w:hint="eastAsia" w:ascii="仿宋" w:eastAsia="仿宋"/>
          <w:b w:val="0"/>
          <w:bCs/>
          <w:color w:val="auto"/>
          <w:sz w:val="32"/>
          <w:szCs w:val="32"/>
          <w:highlight w:val="none"/>
          <w:lang w:eastAsia="zh-CN"/>
        </w:rPr>
      </w:pPr>
      <w:r>
        <w:rPr>
          <w:rStyle w:val="16"/>
          <w:rFonts w:hint="eastAsia" w:ascii="仿宋" w:eastAsia="仿宋"/>
          <w:bCs/>
          <w:color w:val="auto"/>
          <w:sz w:val="32"/>
          <w:szCs w:val="32"/>
          <w:highlight w:val="none"/>
          <w:lang w:val="en-US" w:eastAsia="zh-CN"/>
        </w:rPr>
        <w:t>1.</w:t>
      </w:r>
      <w:r>
        <w:rPr>
          <w:rStyle w:val="16"/>
          <w:rFonts w:hint="eastAsia" w:ascii="仿宋" w:eastAsia="仿宋"/>
          <w:bCs/>
          <w:color w:val="auto"/>
          <w:sz w:val="32"/>
          <w:szCs w:val="32"/>
          <w:highlight w:val="none"/>
        </w:rPr>
        <w:t>社会保障和就业（类）行政事业单位养老支出（款）机关事业单位基本养老保险缴费支出（项）</w:t>
      </w:r>
      <w:r>
        <w:rPr>
          <w:rStyle w:val="16"/>
          <w:rFonts w:ascii="仿宋" w:eastAsia="仿宋"/>
          <w:bCs/>
          <w:color w:val="auto"/>
          <w:sz w:val="32"/>
          <w:szCs w:val="32"/>
          <w:highlight w:val="none"/>
        </w:rPr>
        <w:t>:</w:t>
      </w:r>
      <w:r>
        <w:rPr>
          <w:rStyle w:val="16"/>
          <w:rFonts w:ascii="仿宋" w:eastAsia="仿宋"/>
          <w:b w:val="0"/>
          <w:bCs/>
          <w:color w:val="auto"/>
          <w:sz w:val="32"/>
          <w:szCs w:val="32"/>
          <w:highlight w:val="none"/>
        </w:rPr>
        <w:t xml:space="preserve"> </w:t>
      </w:r>
      <w:r>
        <w:rPr>
          <w:rStyle w:val="16"/>
          <w:rFonts w:hint="eastAsia" w:ascii="仿宋" w:eastAsia="仿宋"/>
          <w:b w:val="0"/>
          <w:bCs/>
          <w:color w:val="auto"/>
          <w:sz w:val="32"/>
          <w:szCs w:val="32"/>
          <w:highlight w:val="none"/>
        </w:rPr>
        <w:t>支出决算为</w:t>
      </w:r>
      <w:r>
        <w:rPr>
          <w:rStyle w:val="16"/>
          <w:rFonts w:hint="eastAsia" w:ascii="仿宋" w:eastAsia="仿宋"/>
          <w:b w:val="0"/>
          <w:bCs/>
          <w:color w:val="auto"/>
          <w:sz w:val="32"/>
          <w:szCs w:val="32"/>
          <w:highlight w:val="none"/>
          <w:lang w:val="en-US" w:eastAsia="zh-CN"/>
        </w:rPr>
        <w:t>24.52</w:t>
      </w:r>
      <w:r>
        <w:rPr>
          <w:rStyle w:val="16"/>
          <w:rFonts w:hint="eastAsia" w:ascii="仿宋" w:eastAsia="仿宋"/>
          <w:b w:val="0"/>
          <w:bCs/>
          <w:color w:val="auto"/>
          <w:sz w:val="32"/>
          <w:szCs w:val="32"/>
          <w:highlight w:val="none"/>
        </w:rPr>
        <w:t>万元，完成预算</w:t>
      </w:r>
      <w:r>
        <w:rPr>
          <w:rStyle w:val="16"/>
          <w:rFonts w:hint="eastAsia" w:ascii="仿宋" w:eastAsia="仿宋"/>
          <w:b w:val="0"/>
          <w:bCs/>
          <w:color w:val="auto"/>
          <w:sz w:val="32"/>
          <w:szCs w:val="32"/>
          <w:highlight w:val="none"/>
          <w:lang w:val="en-US" w:eastAsia="zh-CN"/>
        </w:rPr>
        <w:t>100</w:t>
      </w:r>
      <w:r>
        <w:rPr>
          <w:rStyle w:val="16"/>
          <w:rFonts w:ascii="仿宋" w:eastAsia="仿宋"/>
          <w:b w:val="0"/>
          <w:bCs/>
          <w:color w:val="auto"/>
          <w:sz w:val="32"/>
          <w:szCs w:val="32"/>
          <w:highlight w:val="none"/>
        </w:rPr>
        <w:t>%</w:t>
      </w:r>
      <w:r>
        <w:rPr>
          <w:rStyle w:val="16"/>
          <w:rFonts w:hint="eastAsia" w:ascii="仿宋" w:eastAsia="仿宋"/>
          <w:b w:val="0"/>
          <w:bCs/>
          <w:color w:val="auto"/>
          <w:sz w:val="32"/>
          <w:szCs w:val="32"/>
          <w:highlight w:val="none"/>
          <w:lang w:eastAsia="zh-CN"/>
        </w:rPr>
        <w:t>。</w:t>
      </w:r>
    </w:p>
    <w:p>
      <w:pPr>
        <w:spacing w:line="600" w:lineRule="exact"/>
        <w:ind w:left="0" w:firstLine="643" w:firstLineChars="200"/>
        <w:rPr>
          <w:rStyle w:val="16"/>
          <w:rFonts w:hint="eastAsia" w:ascii="仿宋" w:eastAsia="仿宋"/>
          <w:b w:val="0"/>
          <w:bCs/>
          <w:color w:val="auto"/>
          <w:sz w:val="32"/>
          <w:szCs w:val="32"/>
          <w:highlight w:val="none"/>
          <w:lang w:eastAsia="zh-CN"/>
        </w:rPr>
      </w:pPr>
      <w:r>
        <w:rPr>
          <w:rStyle w:val="16"/>
          <w:rFonts w:hint="eastAsia" w:ascii="仿宋" w:eastAsia="仿宋"/>
          <w:bCs/>
          <w:color w:val="auto"/>
          <w:sz w:val="32"/>
          <w:szCs w:val="32"/>
          <w:highlight w:val="none"/>
          <w:lang w:val="en-US" w:eastAsia="zh-CN"/>
        </w:rPr>
        <w:t>2.</w:t>
      </w:r>
      <w:r>
        <w:rPr>
          <w:rStyle w:val="16"/>
          <w:rFonts w:hint="eastAsia" w:ascii="仿宋" w:eastAsia="仿宋"/>
          <w:bCs/>
          <w:color w:val="auto"/>
          <w:sz w:val="32"/>
          <w:szCs w:val="32"/>
          <w:highlight w:val="none"/>
        </w:rPr>
        <w:t>社会保障和就业（类）行政事业单位养老支出（款）机关事业单位职业年金缴费支出（项）</w:t>
      </w:r>
      <w:r>
        <w:rPr>
          <w:rStyle w:val="16"/>
          <w:rFonts w:ascii="仿宋" w:eastAsia="仿宋"/>
          <w:bCs/>
          <w:color w:val="auto"/>
          <w:sz w:val="32"/>
          <w:szCs w:val="32"/>
          <w:highlight w:val="none"/>
        </w:rPr>
        <w:t>:</w:t>
      </w:r>
      <w:r>
        <w:rPr>
          <w:rStyle w:val="16"/>
          <w:rFonts w:ascii="仿宋" w:eastAsia="仿宋"/>
          <w:b w:val="0"/>
          <w:bCs/>
          <w:color w:val="auto"/>
          <w:sz w:val="32"/>
          <w:szCs w:val="32"/>
          <w:highlight w:val="none"/>
        </w:rPr>
        <w:t xml:space="preserve"> </w:t>
      </w:r>
      <w:r>
        <w:rPr>
          <w:rStyle w:val="16"/>
          <w:rFonts w:hint="eastAsia" w:ascii="仿宋" w:eastAsia="仿宋"/>
          <w:b w:val="0"/>
          <w:bCs/>
          <w:color w:val="auto"/>
          <w:sz w:val="32"/>
          <w:szCs w:val="32"/>
          <w:highlight w:val="none"/>
        </w:rPr>
        <w:t>支出决算为</w:t>
      </w:r>
      <w:r>
        <w:rPr>
          <w:rStyle w:val="16"/>
          <w:rFonts w:hint="eastAsia" w:ascii="仿宋" w:eastAsia="仿宋"/>
          <w:b w:val="0"/>
          <w:bCs/>
          <w:color w:val="auto"/>
          <w:sz w:val="32"/>
          <w:szCs w:val="32"/>
          <w:highlight w:val="none"/>
          <w:lang w:val="en-US" w:eastAsia="zh-CN"/>
        </w:rPr>
        <w:t>10.23</w:t>
      </w:r>
      <w:r>
        <w:rPr>
          <w:rStyle w:val="16"/>
          <w:rFonts w:hint="eastAsia" w:ascii="仿宋" w:eastAsia="仿宋"/>
          <w:b w:val="0"/>
          <w:bCs/>
          <w:color w:val="auto"/>
          <w:sz w:val="32"/>
          <w:szCs w:val="32"/>
          <w:highlight w:val="none"/>
        </w:rPr>
        <w:t>万元，完成预算</w:t>
      </w:r>
      <w:r>
        <w:rPr>
          <w:rStyle w:val="16"/>
          <w:rFonts w:hint="eastAsia" w:ascii="仿宋" w:eastAsia="仿宋"/>
          <w:b w:val="0"/>
          <w:bCs/>
          <w:color w:val="auto"/>
          <w:sz w:val="32"/>
          <w:szCs w:val="32"/>
          <w:highlight w:val="none"/>
          <w:lang w:val="en-US" w:eastAsia="zh-CN"/>
        </w:rPr>
        <w:t>100</w:t>
      </w:r>
      <w:r>
        <w:rPr>
          <w:rStyle w:val="16"/>
          <w:rFonts w:ascii="仿宋" w:eastAsia="仿宋"/>
          <w:b w:val="0"/>
          <w:bCs/>
          <w:color w:val="auto"/>
          <w:sz w:val="32"/>
          <w:szCs w:val="32"/>
          <w:highlight w:val="none"/>
        </w:rPr>
        <w:t>%</w:t>
      </w:r>
      <w:r>
        <w:rPr>
          <w:rStyle w:val="16"/>
          <w:rFonts w:hint="eastAsia" w:ascii="仿宋" w:eastAsia="仿宋"/>
          <w:b w:val="0"/>
          <w:bCs/>
          <w:color w:val="auto"/>
          <w:sz w:val="32"/>
          <w:szCs w:val="32"/>
          <w:highlight w:val="none"/>
          <w:lang w:eastAsia="zh-CN"/>
        </w:rPr>
        <w:t>。</w:t>
      </w:r>
    </w:p>
    <w:p>
      <w:pPr>
        <w:spacing w:line="600" w:lineRule="exact"/>
        <w:ind w:firstLine="643" w:firstLineChars="200"/>
        <w:rPr>
          <w:rFonts w:ascii="仿宋" w:eastAsia="仿宋"/>
          <w:b/>
          <w:color w:val="auto"/>
          <w:sz w:val="32"/>
          <w:szCs w:val="32"/>
          <w:highlight w:val="none"/>
        </w:rPr>
      </w:pPr>
      <w:r>
        <w:rPr>
          <w:rStyle w:val="16"/>
          <w:rFonts w:ascii="仿宋" w:eastAsia="仿宋"/>
          <w:bCs/>
          <w:color w:val="auto"/>
          <w:sz w:val="32"/>
          <w:szCs w:val="32"/>
          <w:highlight w:val="none"/>
        </w:rPr>
        <w:t>3.</w:t>
      </w:r>
      <w:r>
        <w:rPr>
          <w:rFonts w:hint="eastAsia" w:ascii="仿宋" w:eastAsia="仿宋"/>
          <w:b/>
          <w:bCs/>
          <w:color w:val="auto"/>
          <w:sz w:val="32"/>
          <w:szCs w:val="32"/>
          <w:highlight w:val="none"/>
        </w:rPr>
        <w:t>卫生健康</w:t>
      </w:r>
      <w:r>
        <w:rPr>
          <w:rStyle w:val="16"/>
          <w:rFonts w:hint="eastAsia" w:ascii="仿宋" w:eastAsia="仿宋"/>
          <w:bCs/>
          <w:color w:val="auto"/>
          <w:sz w:val="32"/>
          <w:szCs w:val="32"/>
          <w:highlight w:val="none"/>
        </w:rPr>
        <w:t>（类）基层医疗卫生机构（款）乡镇卫生院（项）</w:t>
      </w:r>
      <w:r>
        <w:rPr>
          <w:rStyle w:val="16"/>
          <w:rFonts w:ascii="仿宋" w:eastAsia="仿宋"/>
          <w:bCs/>
          <w:color w:val="auto"/>
          <w:sz w:val="32"/>
          <w:szCs w:val="32"/>
          <w:highlight w:val="none"/>
        </w:rPr>
        <w:t>:</w:t>
      </w:r>
      <w:r>
        <w:rPr>
          <w:rStyle w:val="16"/>
          <w:rFonts w:hint="eastAsia" w:ascii="仿宋" w:eastAsia="仿宋"/>
          <w:b w:val="0"/>
          <w:bCs/>
          <w:color w:val="auto"/>
          <w:sz w:val="32"/>
          <w:szCs w:val="32"/>
          <w:highlight w:val="none"/>
        </w:rPr>
        <w:t>支出决算为</w:t>
      </w:r>
      <w:r>
        <w:rPr>
          <w:rStyle w:val="16"/>
          <w:rFonts w:hint="eastAsia" w:ascii="仿宋" w:eastAsia="仿宋"/>
          <w:b w:val="0"/>
          <w:bCs/>
          <w:color w:val="auto"/>
          <w:sz w:val="32"/>
          <w:szCs w:val="32"/>
          <w:highlight w:val="none"/>
          <w:lang w:val="en-US" w:eastAsia="zh-CN"/>
        </w:rPr>
        <w:t>279.5</w:t>
      </w:r>
      <w:r>
        <w:rPr>
          <w:rStyle w:val="16"/>
          <w:rFonts w:hint="eastAsia" w:ascii="仿宋" w:eastAsia="仿宋"/>
          <w:b w:val="0"/>
          <w:bCs/>
          <w:color w:val="auto"/>
          <w:sz w:val="32"/>
          <w:szCs w:val="32"/>
          <w:highlight w:val="none"/>
        </w:rPr>
        <w:t>万元，完成预算</w:t>
      </w:r>
      <w:r>
        <w:rPr>
          <w:rStyle w:val="16"/>
          <w:rFonts w:hint="eastAsia" w:ascii="仿宋" w:eastAsia="仿宋"/>
          <w:b w:val="0"/>
          <w:bCs/>
          <w:color w:val="auto"/>
          <w:sz w:val="32"/>
          <w:szCs w:val="32"/>
          <w:highlight w:val="none"/>
          <w:lang w:val="en-US" w:eastAsia="zh-CN"/>
        </w:rPr>
        <w:t>100</w:t>
      </w:r>
      <w:r>
        <w:rPr>
          <w:rStyle w:val="16"/>
          <w:rFonts w:ascii="仿宋" w:eastAsia="仿宋"/>
          <w:b w:val="0"/>
          <w:bCs/>
          <w:color w:val="auto"/>
          <w:sz w:val="32"/>
          <w:szCs w:val="32"/>
          <w:highlight w:val="none"/>
        </w:rPr>
        <w:t>%</w:t>
      </w:r>
      <w:r>
        <w:rPr>
          <w:rStyle w:val="16"/>
          <w:rFonts w:hint="eastAsia" w:ascii="仿宋" w:eastAsia="仿宋"/>
          <w:b w:val="0"/>
          <w:bCs/>
          <w:color w:val="auto"/>
          <w:sz w:val="32"/>
          <w:szCs w:val="32"/>
          <w:highlight w:val="none"/>
        </w:rPr>
        <w:t>。</w:t>
      </w:r>
    </w:p>
    <w:p>
      <w:pPr>
        <w:spacing w:line="600" w:lineRule="exact"/>
        <w:ind w:firstLine="643" w:firstLineChars="200"/>
        <w:rPr>
          <w:rStyle w:val="16"/>
          <w:rFonts w:hint="eastAsia" w:ascii="仿宋" w:eastAsia="仿宋"/>
          <w:b w:val="0"/>
          <w:bCs/>
          <w:color w:val="auto"/>
          <w:sz w:val="32"/>
          <w:szCs w:val="32"/>
          <w:highlight w:val="none"/>
        </w:rPr>
      </w:pPr>
      <w:r>
        <w:rPr>
          <w:rStyle w:val="16"/>
          <w:rFonts w:ascii="仿宋" w:eastAsia="仿宋"/>
          <w:bCs/>
          <w:color w:val="auto"/>
          <w:sz w:val="32"/>
          <w:szCs w:val="32"/>
          <w:highlight w:val="none"/>
        </w:rPr>
        <w:t>4.</w:t>
      </w:r>
      <w:r>
        <w:rPr>
          <w:rFonts w:hint="eastAsia" w:ascii="仿宋" w:eastAsia="仿宋"/>
          <w:b/>
          <w:bCs/>
          <w:color w:val="auto"/>
          <w:sz w:val="32"/>
          <w:szCs w:val="32"/>
          <w:highlight w:val="none"/>
        </w:rPr>
        <w:t>卫生健康</w:t>
      </w:r>
      <w:r>
        <w:rPr>
          <w:rStyle w:val="16"/>
          <w:rFonts w:hint="eastAsia" w:ascii="仿宋" w:eastAsia="仿宋"/>
          <w:bCs/>
          <w:color w:val="auto"/>
          <w:sz w:val="32"/>
          <w:szCs w:val="32"/>
          <w:highlight w:val="none"/>
        </w:rPr>
        <w:t>（类）基层医疗卫生机构（款）其他基层医疗卫生机构支出（项）</w:t>
      </w:r>
      <w:r>
        <w:rPr>
          <w:rStyle w:val="16"/>
          <w:rFonts w:ascii="仿宋" w:eastAsia="仿宋"/>
          <w:bCs/>
          <w:color w:val="auto"/>
          <w:sz w:val="32"/>
          <w:szCs w:val="32"/>
          <w:highlight w:val="none"/>
        </w:rPr>
        <w:t>:</w:t>
      </w:r>
      <w:r>
        <w:rPr>
          <w:rStyle w:val="16"/>
          <w:rFonts w:hint="eastAsia" w:ascii="仿宋" w:eastAsia="仿宋"/>
          <w:b w:val="0"/>
          <w:bCs/>
          <w:color w:val="auto"/>
          <w:sz w:val="32"/>
          <w:szCs w:val="32"/>
          <w:highlight w:val="none"/>
        </w:rPr>
        <w:t>支出决算为</w:t>
      </w:r>
      <w:r>
        <w:rPr>
          <w:rStyle w:val="16"/>
          <w:rFonts w:hint="eastAsia" w:ascii="仿宋" w:eastAsia="仿宋"/>
          <w:b w:val="0"/>
          <w:bCs/>
          <w:color w:val="auto"/>
          <w:sz w:val="32"/>
          <w:szCs w:val="32"/>
          <w:highlight w:val="none"/>
          <w:lang w:val="en-US" w:eastAsia="zh-CN"/>
        </w:rPr>
        <w:t>28.19</w:t>
      </w:r>
      <w:r>
        <w:rPr>
          <w:rStyle w:val="16"/>
          <w:rFonts w:hint="eastAsia" w:ascii="仿宋" w:eastAsia="仿宋"/>
          <w:b w:val="0"/>
          <w:bCs/>
          <w:color w:val="auto"/>
          <w:sz w:val="32"/>
          <w:szCs w:val="32"/>
          <w:highlight w:val="none"/>
        </w:rPr>
        <w:t>万元，完成预算</w:t>
      </w:r>
      <w:r>
        <w:rPr>
          <w:rStyle w:val="16"/>
          <w:rFonts w:hint="eastAsia" w:ascii="仿宋" w:eastAsia="仿宋"/>
          <w:b w:val="0"/>
          <w:bCs/>
          <w:color w:val="auto"/>
          <w:sz w:val="32"/>
          <w:szCs w:val="32"/>
          <w:highlight w:val="none"/>
          <w:lang w:val="en-US" w:eastAsia="zh-CN"/>
        </w:rPr>
        <w:t>100</w:t>
      </w:r>
      <w:r>
        <w:rPr>
          <w:rStyle w:val="16"/>
          <w:rFonts w:ascii="仿宋" w:eastAsia="仿宋"/>
          <w:b w:val="0"/>
          <w:bCs/>
          <w:color w:val="auto"/>
          <w:sz w:val="32"/>
          <w:szCs w:val="32"/>
          <w:highlight w:val="none"/>
        </w:rPr>
        <w:t>%</w:t>
      </w:r>
      <w:r>
        <w:rPr>
          <w:rStyle w:val="16"/>
          <w:rFonts w:hint="eastAsia" w:ascii="仿宋" w:eastAsia="仿宋"/>
          <w:b w:val="0"/>
          <w:bCs/>
          <w:color w:val="auto"/>
          <w:sz w:val="32"/>
          <w:szCs w:val="32"/>
          <w:highlight w:val="none"/>
        </w:rPr>
        <w:t>。</w:t>
      </w:r>
    </w:p>
    <w:p>
      <w:pPr>
        <w:spacing w:line="600" w:lineRule="exact"/>
        <w:ind w:firstLine="643" w:firstLineChars="200"/>
        <w:rPr>
          <w:rStyle w:val="16"/>
          <w:rFonts w:hint="eastAsia" w:ascii="仿宋" w:eastAsia="仿宋"/>
          <w:b w:val="0"/>
          <w:bCs/>
          <w:color w:val="auto"/>
          <w:sz w:val="32"/>
          <w:szCs w:val="32"/>
          <w:highlight w:val="none"/>
        </w:rPr>
      </w:pPr>
      <w:r>
        <w:rPr>
          <w:rFonts w:hint="eastAsia" w:ascii="仿宋" w:eastAsia="仿宋"/>
          <w:b/>
          <w:bCs/>
          <w:color w:val="auto"/>
          <w:sz w:val="32"/>
          <w:szCs w:val="32"/>
          <w:highlight w:val="none"/>
          <w:lang w:val="en-US" w:eastAsia="zh-CN"/>
        </w:rPr>
        <w:t>5.</w:t>
      </w:r>
      <w:r>
        <w:rPr>
          <w:rFonts w:hint="eastAsia" w:ascii="仿宋" w:eastAsia="仿宋"/>
          <w:b/>
          <w:bCs/>
          <w:color w:val="auto"/>
          <w:sz w:val="32"/>
          <w:szCs w:val="32"/>
          <w:highlight w:val="none"/>
        </w:rPr>
        <w:t>卫生健康</w:t>
      </w:r>
      <w:r>
        <w:rPr>
          <w:rStyle w:val="16"/>
          <w:rFonts w:hint="eastAsia" w:ascii="仿宋" w:eastAsia="仿宋"/>
          <w:bCs/>
          <w:color w:val="auto"/>
          <w:sz w:val="32"/>
          <w:szCs w:val="32"/>
          <w:highlight w:val="none"/>
        </w:rPr>
        <w:t>（类）公共卫生（款）基本公共卫生服务（项）</w:t>
      </w:r>
      <w:r>
        <w:rPr>
          <w:rStyle w:val="16"/>
          <w:rFonts w:ascii="仿宋" w:eastAsia="仿宋"/>
          <w:bCs/>
          <w:color w:val="auto"/>
          <w:sz w:val="32"/>
          <w:szCs w:val="32"/>
          <w:highlight w:val="none"/>
        </w:rPr>
        <w:t>:</w:t>
      </w:r>
      <w:r>
        <w:rPr>
          <w:rStyle w:val="16"/>
          <w:rFonts w:hint="eastAsia" w:ascii="仿宋" w:eastAsia="仿宋"/>
          <w:b w:val="0"/>
          <w:bCs/>
          <w:color w:val="auto"/>
          <w:sz w:val="32"/>
          <w:szCs w:val="32"/>
          <w:highlight w:val="none"/>
        </w:rPr>
        <w:t>支出决算为</w:t>
      </w:r>
      <w:r>
        <w:rPr>
          <w:rStyle w:val="16"/>
          <w:rFonts w:hint="eastAsia" w:ascii="仿宋" w:eastAsia="仿宋"/>
          <w:b w:val="0"/>
          <w:bCs/>
          <w:color w:val="auto"/>
          <w:sz w:val="32"/>
          <w:szCs w:val="32"/>
          <w:highlight w:val="none"/>
          <w:lang w:val="en-US" w:eastAsia="zh-CN"/>
        </w:rPr>
        <w:t>9.12</w:t>
      </w:r>
      <w:r>
        <w:rPr>
          <w:rStyle w:val="16"/>
          <w:rFonts w:hint="eastAsia" w:ascii="仿宋" w:eastAsia="仿宋"/>
          <w:b w:val="0"/>
          <w:bCs/>
          <w:color w:val="auto"/>
          <w:sz w:val="32"/>
          <w:szCs w:val="32"/>
          <w:highlight w:val="none"/>
        </w:rPr>
        <w:t>万元，完成预算</w:t>
      </w:r>
      <w:r>
        <w:rPr>
          <w:rStyle w:val="16"/>
          <w:rFonts w:hint="eastAsia" w:ascii="仿宋" w:eastAsia="仿宋"/>
          <w:b w:val="0"/>
          <w:bCs/>
          <w:color w:val="auto"/>
          <w:sz w:val="32"/>
          <w:szCs w:val="32"/>
          <w:highlight w:val="none"/>
          <w:lang w:val="en-US" w:eastAsia="zh-CN"/>
        </w:rPr>
        <w:t>100</w:t>
      </w:r>
      <w:r>
        <w:rPr>
          <w:rStyle w:val="16"/>
          <w:rFonts w:ascii="仿宋" w:eastAsia="仿宋"/>
          <w:b w:val="0"/>
          <w:bCs/>
          <w:color w:val="auto"/>
          <w:sz w:val="32"/>
          <w:szCs w:val="32"/>
          <w:highlight w:val="none"/>
        </w:rPr>
        <w:t>%</w:t>
      </w:r>
      <w:r>
        <w:rPr>
          <w:rStyle w:val="16"/>
          <w:rFonts w:hint="eastAsia" w:ascii="仿宋" w:eastAsia="仿宋"/>
          <w:b w:val="0"/>
          <w:bCs/>
          <w:color w:val="auto"/>
          <w:sz w:val="32"/>
          <w:szCs w:val="32"/>
          <w:highlight w:val="none"/>
        </w:rPr>
        <w:t>。</w:t>
      </w:r>
    </w:p>
    <w:p>
      <w:pPr>
        <w:ind w:firstLine="643" w:firstLineChars="200"/>
        <w:rPr>
          <w:lang w:val="en-US" w:eastAsia="zh-CN"/>
        </w:rPr>
      </w:pPr>
      <w:r>
        <w:rPr>
          <w:rStyle w:val="16"/>
          <w:rFonts w:hint="eastAsia" w:ascii="仿宋" w:eastAsia="仿宋"/>
          <w:bCs/>
          <w:color w:val="auto"/>
          <w:sz w:val="32"/>
          <w:szCs w:val="32"/>
          <w:highlight w:val="none"/>
          <w:lang w:val="en-US" w:eastAsia="zh-CN"/>
        </w:rPr>
        <w:t>6</w:t>
      </w:r>
      <w:r>
        <w:rPr>
          <w:rStyle w:val="16"/>
          <w:rFonts w:ascii="仿宋" w:eastAsia="仿宋"/>
          <w:bCs/>
          <w:color w:val="auto"/>
          <w:sz w:val="32"/>
          <w:szCs w:val="32"/>
          <w:highlight w:val="none"/>
        </w:rPr>
        <w:t>.</w:t>
      </w:r>
      <w:r>
        <w:rPr>
          <w:rFonts w:hint="eastAsia" w:ascii="仿宋" w:eastAsia="仿宋"/>
          <w:b/>
          <w:bCs/>
          <w:color w:val="auto"/>
          <w:sz w:val="32"/>
          <w:szCs w:val="32"/>
          <w:highlight w:val="none"/>
        </w:rPr>
        <w:t>卫生健康</w:t>
      </w:r>
      <w:r>
        <w:rPr>
          <w:rStyle w:val="16"/>
          <w:rFonts w:hint="eastAsia" w:ascii="仿宋" w:eastAsia="仿宋"/>
          <w:bCs/>
          <w:color w:val="auto"/>
          <w:sz w:val="32"/>
          <w:szCs w:val="32"/>
          <w:highlight w:val="none"/>
        </w:rPr>
        <w:t>（类）行政事业单位医疗（款）事业单位医疗（项）</w:t>
      </w:r>
      <w:r>
        <w:rPr>
          <w:rStyle w:val="16"/>
          <w:rFonts w:ascii="仿宋" w:eastAsia="仿宋"/>
          <w:bCs/>
          <w:color w:val="auto"/>
          <w:sz w:val="32"/>
          <w:szCs w:val="32"/>
          <w:highlight w:val="none"/>
        </w:rPr>
        <w:t>:</w:t>
      </w:r>
      <w:r>
        <w:rPr>
          <w:rStyle w:val="16"/>
          <w:rFonts w:hint="eastAsia" w:ascii="仿宋" w:eastAsia="仿宋"/>
          <w:b w:val="0"/>
          <w:bCs/>
          <w:color w:val="auto"/>
          <w:sz w:val="32"/>
          <w:szCs w:val="32"/>
          <w:highlight w:val="none"/>
        </w:rPr>
        <w:t>支出决算为</w:t>
      </w:r>
      <w:r>
        <w:rPr>
          <w:rStyle w:val="16"/>
          <w:rFonts w:hint="eastAsia" w:ascii="仿宋" w:eastAsia="仿宋"/>
          <w:b w:val="0"/>
          <w:bCs/>
          <w:color w:val="auto"/>
          <w:sz w:val="32"/>
          <w:szCs w:val="32"/>
          <w:highlight w:val="none"/>
          <w:lang w:val="en-US" w:eastAsia="zh-CN"/>
        </w:rPr>
        <w:t>12.44</w:t>
      </w:r>
      <w:r>
        <w:rPr>
          <w:rStyle w:val="16"/>
          <w:rFonts w:hint="eastAsia" w:ascii="仿宋" w:eastAsia="仿宋"/>
          <w:b w:val="0"/>
          <w:bCs/>
          <w:color w:val="auto"/>
          <w:sz w:val="32"/>
          <w:szCs w:val="32"/>
          <w:highlight w:val="none"/>
        </w:rPr>
        <w:t>万元，完成预算</w:t>
      </w:r>
      <w:r>
        <w:rPr>
          <w:rStyle w:val="16"/>
          <w:rFonts w:hint="eastAsia" w:ascii="仿宋" w:eastAsia="仿宋"/>
          <w:b w:val="0"/>
          <w:bCs/>
          <w:color w:val="auto"/>
          <w:sz w:val="32"/>
          <w:szCs w:val="32"/>
          <w:highlight w:val="none"/>
          <w:lang w:val="en-US" w:eastAsia="zh-CN"/>
        </w:rPr>
        <w:t>100</w:t>
      </w:r>
      <w:r>
        <w:rPr>
          <w:rStyle w:val="16"/>
          <w:rFonts w:ascii="仿宋" w:eastAsia="仿宋"/>
          <w:b w:val="0"/>
          <w:bCs/>
          <w:color w:val="auto"/>
          <w:sz w:val="32"/>
          <w:szCs w:val="32"/>
          <w:highlight w:val="none"/>
        </w:rPr>
        <w:t>%</w:t>
      </w:r>
      <w:r>
        <w:rPr>
          <w:rStyle w:val="16"/>
          <w:rFonts w:hint="eastAsia" w:ascii="仿宋" w:eastAsia="仿宋"/>
          <w:b w:val="0"/>
          <w:bCs/>
          <w:color w:val="auto"/>
          <w:sz w:val="32"/>
          <w:szCs w:val="32"/>
          <w:highlight w:val="none"/>
        </w:rPr>
        <w:t>。</w:t>
      </w:r>
    </w:p>
    <w:p>
      <w:pPr>
        <w:spacing w:line="600" w:lineRule="exact"/>
        <w:ind w:firstLine="643" w:firstLineChars="200"/>
        <w:rPr>
          <w:rFonts w:ascii="仿宋" w:eastAsia="仿宋"/>
          <w:b/>
          <w:color w:val="auto"/>
          <w:sz w:val="32"/>
          <w:szCs w:val="32"/>
          <w:highlight w:val="none"/>
        </w:rPr>
      </w:pPr>
      <w:r>
        <w:rPr>
          <w:rStyle w:val="16"/>
          <w:rFonts w:hint="eastAsia" w:ascii="仿宋" w:eastAsia="仿宋"/>
          <w:bCs/>
          <w:color w:val="auto"/>
          <w:sz w:val="32"/>
          <w:szCs w:val="32"/>
          <w:highlight w:val="none"/>
          <w:lang w:val="en-US" w:eastAsia="zh-CN"/>
        </w:rPr>
        <w:t>7</w:t>
      </w:r>
      <w:r>
        <w:rPr>
          <w:rStyle w:val="16"/>
          <w:rFonts w:ascii="仿宋" w:eastAsia="仿宋"/>
          <w:bCs/>
          <w:color w:val="auto"/>
          <w:sz w:val="32"/>
          <w:szCs w:val="32"/>
          <w:highlight w:val="none"/>
        </w:rPr>
        <w:t>.</w:t>
      </w:r>
      <w:r>
        <w:rPr>
          <w:rStyle w:val="16"/>
          <w:rFonts w:hint="eastAsia" w:ascii="仿宋" w:eastAsia="仿宋"/>
          <w:bCs/>
          <w:color w:val="auto"/>
          <w:sz w:val="32"/>
          <w:szCs w:val="32"/>
          <w:highlight w:val="none"/>
        </w:rPr>
        <w:t>住房保障（类）住房改革支出（款）住房公积金（项）</w:t>
      </w:r>
      <w:r>
        <w:rPr>
          <w:rStyle w:val="16"/>
          <w:rFonts w:ascii="仿宋" w:eastAsia="仿宋"/>
          <w:bCs/>
          <w:color w:val="auto"/>
          <w:sz w:val="32"/>
          <w:szCs w:val="32"/>
          <w:highlight w:val="none"/>
        </w:rPr>
        <w:t>:</w:t>
      </w:r>
      <w:r>
        <w:rPr>
          <w:rStyle w:val="16"/>
          <w:rFonts w:ascii="仿宋" w:eastAsia="仿宋"/>
          <w:b w:val="0"/>
          <w:bCs/>
          <w:color w:val="auto"/>
          <w:sz w:val="32"/>
          <w:szCs w:val="32"/>
          <w:highlight w:val="none"/>
        </w:rPr>
        <w:t xml:space="preserve"> </w:t>
      </w:r>
      <w:r>
        <w:rPr>
          <w:rStyle w:val="16"/>
          <w:rFonts w:hint="eastAsia" w:ascii="仿宋" w:eastAsia="仿宋"/>
          <w:b w:val="0"/>
          <w:bCs/>
          <w:color w:val="auto"/>
          <w:sz w:val="32"/>
          <w:szCs w:val="32"/>
          <w:highlight w:val="none"/>
        </w:rPr>
        <w:t>支出决算为</w:t>
      </w:r>
      <w:r>
        <w:rPr>
          <w:rStyle w:val="16"/>
          <w:rFonts w:hint="eastAsia" w:ascii="仿宋" w:eastAsia="仿宋"/>
          <w:b w:val="0"/>
          <w:bCs/>
          <w:color w:val="auto"/>
          <w:sz w:val="32"/>
          <w:szCs w:val="32"/>
          <w:highlight w:val="none"/>
          <w:lang w:val="en-US" w:eastAsia="zh-CN"/>
        </w:rPr>
        <w:t>21.78</w:t>
      </w:r>
      <w:r>
        <w:rPr>
          <w:rStyle w:val="16"/>
          <w:rFonts w:hint="eastAsia" w:ascii="仿宋" w:eastAsia="仿宋"/>
          <w:b w:val="0"/>
          <w:bCs/>
          <w:color w:val="auto"/>
          <w:sz w:val="32"/>
          <w:szCs w:val="32"/>
          <w:highlight w:val="none"/>
        </w:rPr>
        <w:t>万元，完成预算</w:t>
      </w:r>
      <w:r>
        <w:rPr>
          <w:rStyle w:val="16"/>
          <w:rFonts w:hint="eastAsia" w:ascii="仿宋" w:eastAsia="仿宋"/>
          <w:b w:val="0"/>
          <w:bCs/>
          <w:color w:val="auto"/>
          <w:sz w:val="32"/>
          <w:szCs w:val="32"/>
          <w:highlight w:val="none"/>
          <w:lang w:val="en-US" w:eastAsia="zh-CN"/>
        </w:rPr>
        <w:t>100</w:t>
      </w:r>
      <w:r>
        <w:rPr>
          <w:rStyle w:val="16"/>
          <w:rFonts w:ascii="仿宋" w:eastAsia="仿宋"/>
          <w:b w:val="0"/>
          <w:bCs/>
          <w:color w:val="auto"/>
          <w:sz w:val="32"/>
          <w:szCs w:val="32"/>
          <w:highlight w:val="none"/>
        </w:rPr>
        <w:t>%</w:t>
      </w:r>
      <w:r>
        <w:rPr>
          <w:rStyle w:val="16"/>
          <w:rFonts w:hint="eastAsia" w:ascii="仿宋" w:eastAsia="仿宋"/>
          <w:b w:val="0"/>
          <w:bCs/>
          <w:color w:val="auto"/>
          <w:sz w:val="32"/>
          <w:szCs w:val="32"/>
          <w:highlight w:val="none"/>
        </w:rPr>
        <w:t>。</w:t>
      </w:r>
    </w:p>
    <w:p>
      <w:pPr>
        <w:tabs>
          <w:tab w:val="right" w:pos="8306"/>
        </w:tabs>
        <w:spacing w:line="600" w:lineRule="exact"/>
        <w:ind w:firstLine="640"/>
        <w:outlineLvl w:val="1"/>
        <w:rPr>
          <w:rStyle w:val="19"/>
          <w:color w:val="auto"/>
          <w:highlight w:val="none"/>
        </w:rPr>
      </w:pPr>
      <w:bookmarkStart w:id="65" w:name="_Toc15377214"/>
      <w:bookmarkStart w:id="66" w:name="_Toc15396608"/>
      <w:bookmarkStart w:id="67" w:name="_Toc23301"/>
      <w:r>
        <w:rPr>
          <w:rFonts w:hint="eastAsia" w:ascii="黑体" w:eastAsia="黑体"/>
          <w:color w:val="auto"/>
          <w:sz w:val="32"/>
          <w:szCs w:val="32"/>
          <w:highlight w:val="none"/>
        </w:rPr>
        <w:t>六</w:t>
      </w:r>
      <w:r>
        <w:rPr>
          <w:rFonts w:hint="eastAsia" w:ascii="黑体" w:eastAsia="黑体"/>
          <w:b/>
          <w:color w:val="auto"/>
          <w:sz w:val="32"/>
          <w:szCs w:val="32"/>
          <w:highlight w:val="none"/>
        </w:rPr>
        <w:t>、一</w:t>
      </w:r>
      <w:r>
        <w:rPr>
          <w:rStyle w:val="19"/>
          <w:rFonts w:hint="eastAsia" w:ascii="黑体" w:eastAsia="黑体"/>
          <w:b w:val="0"/>
          <w:color w:val="auto"/>
          <w:highlight w:val="none"/>
        </w:rPr>
        <w:t>般公共预算财政拨款基本支出决算情况说明</w:t>
      </w:r>
      <w:bookmarkEnd w:id="65"/>
      <w:bookmarkEnd w:id="66"/>
      <w:bookmarkEnd w:id="67"/>
      <w:r>
        <w:rPr>
          <w:rStyle w:val="19"/>
          <w:rFonts w:ascii="黑体" w:eastAsia="黑体"/>
          <w:b w:val="0"/>
          <w:color w:val="auto"/>
          <w:highlight w:val="none"/>
        </w:rPr>
        <w:tab/>
      </w:r>
    </w:p>
    <w:p>
      <w:pPr>
        <w:spacing w:line="600" w:lineRule="exact"/>
        <w:ind w:firstLine="645"/>
        <w:rPr>
          <w:rFonts w:hint="eastAsia" w:ascii="仿宋" w:eastAsia="仿宋"/>
          <w:color w:val="auto"/>
          <w:sz w:val="32"/>
          <w:szCs w:val="32"/>
          <w:highlight w:val="none"/>
        </w:rPr>
      </w:pPr>
      <w:r>
        <w:rPr>
          <w:rFonts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年一般公共预算财政拨款基本支出270.02万元，其中：</w:t>
      </w:r>
    </w:p>
    <w:p>
      <w:pPr>
        <w:spacing w:line="600" w:lineRule="exact"/>
        <w:ind w:firstLine="645"/>
        <w:rPr>
          <w:rFonts w:hint="eastAsia" w:ascii="仿宋" w:eastAsia="仿宋"/>
          <w:color w:val="auto"/>
          <w:sz w:val="32"/>
          <w:szCs w:val="32"/>
          <w:highlight w:val="none"/>
          <w:lang w:val="en-US" w:eastAsia="zh-CN"/>
        </w:rPr>
      </w:pPr>
      <w:r>
        <w:rPr>
          <w:rFonts w:hint="eastAsia" w:ascii="仿宋" w:eastAsia="仿宋"/>
          <w:color w:val="auto"/>
          <w:sz w:val="32"/>
          <w:szCs w:val="32"/>
          <w:highlight w:val="none"/>
        </w:rPr>
        <w:t>人员经费269.24万元，主要包括：基本工资</w:t>
      </w:r>
      <w:r>
        <w:rPr>
          <w:rFonts w:hint="eastAsia" w:ascii="仿宋" w:eastAsia="仿宋"/>
          <w:color w:val="auto"/>
          <w:sz w:val="32"/>
          <w:szCs w:val="32"/>
          <w:highlight w:val="none"/>
          <w:lang w:val="en-US" w:eastAsia="zh-CN"/>
        </w:rPr>
        <w:t>123.88万元</w:t>
      </w:r>
      <w:r>
        <w:rPr>
          <w:rFonts w:hint="eastAsia" w:ascii="仿宋" w:eastAsia="仿宋"/>
          <w:color w:val="auto"/>
          <w:sz w:val="32"/>
          <w:szCs w:val="32"/>
          <w:highlight w:val="none"/>
        </w:rPr>
        <w:t>、绩效工资</w:t>
      </w:r>
      <w:r>
        <w:rPr>
          <w:rFonts w:hint="eastAsia" w:ascii="仿宋" w:eastAsia="仿宋"/>
          <w:color w:val="auto"/>
          <w:sz w:val="32"/>
          <w:szCs w:val="32"/>
          <w:highlight w:val="none"/>
          <w:lang w:val="en-US" w:eastAsia="zh-CN"/>
        </w:rPr>
        <w:t>76.38万元</w:t>
      </w:r>
      <w:r>
        <w:rPr>
          <w:rFonts w:hint="eastAsia" w:ascii="仿宋" w:eastAsia="仿宋"/>
          <w:color w:val="auto"/>
          <w:sz w:val="32"/>
          <w:szCs w:val="32"/>
          <w:highlight w:val="none"/>
        </w:rPr>
        <w:t>、机关事业单位基本养老保险缴费</w:t>
      </w:r>
      <w:r>
        <w:rPr>
          <w:rFonts w:hint="eastAsia" w:ascii="仿宋" w:eastAsia="仿宋"/>
          <w:color w:val="auto"/>
          <w:sz w:val="32"/>
          <w:szCs w:val="32"/>
          <w:highlight w:val="none"/>
          <w:lang w:val="en-US" w:eastAsia="zh-CN"/>
        </w:rPr>
        <w:t>24.52万元</w:t>
      </w:r>
      <w:r>
        <w:rPr>
          <w:rFonts w:hint="eastAsia" w:ascii="仿宋" w:eastAsia="仿宋"/>
          <w:color w:val="auto"/>
          <w:sz w:val="32"/>
          <w:szCs w:val="32"/>
          <w:highlight w:val="none"/>
        </w:rPr>
        <w:t>、职业年金缴费</w:t>
      </w:r>
      <w:r>
        <w:rPr>
          <w:rFonts w:hint="eastAsia" w:ascii="仿宋" w:eastAsia="仿宋"/>
          <w:color w:val="auto"/>
          <w:sz w:val="32"/>
          <w:szCs w:val="32"/>
          <w:highlight w:val="none"/>
          <w:lang w:val="en-US" w:eastAsia="zh-CN"/>
        </w:rPr>
        <w:t>10.23万元</w:t>
      </w:r>
      <w:r>
        <w:rPr>
          <w:rFonts w:hint="eastAsia" w:ascii="仿宋" w:eastAsia="仿宋"/>
          <w:color w:val="auto"/>
          <w:sz w:val="32"/>
          <w:szCs w:val="32"/>
          <w:highlight w:val="none"/>
        </w:rPr>
        <w:t>、医疗</w:t>
      </w:r>
      <w:r>
        <w:rPr>
          <w:rFonts w:hint="eastAsia" w:ascii="仿宋" w:eastAsia="仿宋"/>
          <w:color w:val="auto"/>
          <w:sz w:val="32"/>
          <w:szCs w:val="32"/>
          <w:highlight w:val="none"/>
          <w:lang w:eastAsia="zh-CN"/>
        </w:rPr>
        <w:t>保险缴费</w:t>
      </w:r>
      <w:r>
        <w:rPr>
          <w:rFonts w:hint="eastAsia" w:ascii="仿宋" w:eastAsia="仿宋"/>
          <w:color w:val="auto"/>
          <w:sz w:val="32"/>
          <w:szCs w:val="32"/>
          <w:highlight w:val="none"/>
          <w:lang w:val="en-US" w:eastAsia="zh-CN"/>
        </w:rPr>
        <w:t>12.44万元</w:t>
      </w:r>
      <w:r>
        <w:rPr>
          <w:rFonts w:hint="eastAsia" w:ascii="仿宋" w:eastAsia="仿宋"/>
          <w:color w:val="auto"/>
          <w:sz w:val="32"/>
          <w:szCs w:val="32"/>
          <w:highlight w:val="none"/>
        </w:rPr>
        <w:t>、住房公积金</w:t>
      </w:r>
      <w:r>
        <w:rPr>
          <w:rFonts w:hint="eastAsia" w:ascii="仿宋" w:eastAsia="仿宋"/>
          <w:color w:val="auto"/>
          <w:sz w:val="32"/>
          <w:szCs w:val="32"/>
          <w:highlight w:val="none"/>
          <w:lang w:val="en-US" w:eastAsia="zh-CN"/>
        </w:rPr>
        <w:t>21.78万元。</w:t>
      </w:r>
    </w:p>
    <w:p>
      <w:pPr>
        <w:spacing w:line="600" w:lineRule="exact"/>
        <w:ind w:firstLine="645"/>
        <w:rPr>
          <w:rFonts w:ascii="仿宋" w:eastAsia="仿宋"/>
          <w:b/>
          <w:color w:val="auto"/>
          <w:sz w:val="32"/>
          <w:szCs w:val="32"/>
          <w:highlight w:val="none"/>
        </w:rPr>
      </w:pPr>
      <w:r>
        <w:rPr>
          <w:rFonts w:hint="eastAsia" w:ascii="仿宋" w:eastAsia="仿宋"/>
          <w:color w:val="auto"/>
          <w:sz w:val="32"/>
          <w:szCs w:val="32"/>
          <w:highlight w:val="none"/>
        </w:rPr>
        <w:t>公用经费0.78万元，主要包括：邮电费</w:t>
      </w:r>
      <w:r>
        <w:rPr>
          <w:rFonts w:hint="eastAsia" w:ascii="仿宋" w:eastAsia="仿宋"/>
          <w:color w:val="auto"/>
          <w:sz w:val="32"/>
          <w:szCs w:val="32"/>
          <w:highlight w:val="none"/>
          <w:lang w:val="en-US" w:eastAsia="zh-CN"/>
        </w:rPr>
        <w:t>0.78万元</w:t>
      </w:r>
      <w:r>
        <w:rPr>
          <w:rFonts w:hint="eastAsia" w:ascii="仿宋" w:eastAsia="仿宋"/>
          <w:color w:val="auto"/>
          <w:sz w:val="32"/>
          <w:szCs w:val="32"/>
          <w:highlight w:val="none"/>
        </w:rPr>
        <w:t>。</w:t>
      </w:r>
    </w:p>
    <w:p>
      <w:pPr>
        <w:spacing w:line="600" w:lineRule="exact"/>
        <w:ind w:firstLine="640"/>
        <w:outlineLvl w:val="1"/>
        <w:rPr>
          <w:rStyle w:val="19"/>
          <w:rFonts w:ascii="黑体" w:eastAsia="黑体"/>
          <w:b w:val="0"/>
          <w:color w:val="auto"/>
          <w:highlight w:val="none"/>
        </w:rPr>
      </w:pPr>
      <w:bookmarkStart w:id="68" w:name="_Toc15377215"/>
      <w:bookmarkStart w:id="69" w:name="_Toc15396609"/>
      <w:bookmarkStart w:id="70" w:name="_Toc28217"/>
      <w:r>
        <w:rPr>
          <w:rFonts w:hint="eastAsia" w:ascii="黑体" w:eastAsia="黑体"/>
          <w:color w:val="auto"/>
          <w:sz w:val="32"/>
          <w:szCs w:val="32"/>
          <w:highlight w:val="none"/>
        </w:rPr>
        <w:t>七、</w:t>
      </w:r>
      <w:r>
        <w:rPr>
          <w:rStyle w:val="19"/>
          <w:rFonts w:hint="eastAsia" w:ascii="黑体" w:eastAsia="黑体"/>
          <w:b w:val="0"/>
          <w:color w:val="auto"/>
          <w:highlight w:val="none"/>
        </w:rPr>
        <w:t>财政拨款</w:t>
      </w:r>
      <w:r>
        <w:rPr>
          <w:rStyle w:val="19"/>
          <w:rFonts w:hint="eastAsia" w:ascii="黑体" w:eastAsia="黑体"/>
          <w:color w:val="auto"/>
          <w:highlight w:val="none"/>
        </w:rPr>
        <w:t>“</w:t>
      </w:r>
      <w:r>
        <w:rPr>
          <w:rStyle w:val="19"/>
          <w:rFonts w:hint="eastAsia" w:ascii="黑体" w:eastAsia="黑体"/>
          <w:b w:val="0"/>
          <w:color w:val="auto"/>
          <w:highlight w:val="none"/>
        </w:rPr>
        <w:t>三公”经费支出决算情况说明</w:t>
      </w:r>
      <w:bookmarkEnd w:id="68"/>
      <w:bookmarkEnd w:id="69"/>
      <w:bookmarkEnd w:id="70"/>
    </w:p>
    <w:p>
      <w:pPr>
        <w:spacing w:line="600" w:lineRule="exact"/>
        <w:ind w:firstLine="640"/>
        <w:outlineLvl w:val="2"/>
        <w:rPr>
          <w:rFonts w:ascii="仿宋" w:eastAsia="仿宋"/>
          <w:b/>
          <w:color w:val="auto"/>
          <w:sz w:val="32"/>
          <w:szCs w:val="32"/>
          <w:highlight w:val="none"/>
        </w:rPr>
      </w:pPr>
      <w:bookmarkStart w:id="71" w:name="_Toc15377216"/>
      <w:bookmarkStart w:id="72" w:name="_Toc29587"/>
      <w:bookmarkStart w:id="73" w:name="_Toc15396610"/>
      <w:bookmarkStart w:id="74" w:name="_Toc15377218"/>
      <w:r>
        <w:rPr>
          <w:rFonts w:hint="eastAsia" w:ascii="仿宋" w:eastAsia="仿宋"/>
          <w:b/>
          <w:color w:val="auto"/>
          <w:sz w:val="32"/>
          <w:szCs w:val="32"/>
          <w:highlight w:val="none"/>
        </w:rPr>
        <w:t>（一）“三公”经费财政拨款支出决算总体情况说明</w:t>
      </w:r>
      <w:bookmarkEnd w:id="71"/>
      <w:bookmarkEnd w:id="72"/>
    </w:p>
    <w:p>
      <w:pPr>
        <w:spacing w:line="600" w:lineRule="exact"/>
        <w:ind w:firstLine="640"/>
        <w:rPr>
          <w:rFonts w:ascii="仿宋" w:eastAsia="仿宋"/>
          <w:b/>
          <w:color w:val="auto"/>
          <w:sz w:val="32"/>
          <w:szCs w:val="32"/>
          <w:highlight w:val="none"/>
        </w:rPr>
      </w:pPr>
      <w:r>
        <w:rPr>
          <w:rFonts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年“三公”经费财政拨款支出决算为</w:t>
      </w:r>
      <w:r>
        <w:rPr>
          <w:rFonts w:hint="eastAsia" w:ascii="仿宋" w:eastAsia="仿宋"/>
          <w:color w:val="auto"/>
          <w:sz w:val="32"/>
          <w:szCs w:val="32"/>
          <w:highlight w:val="none"/>
          <w:lang w:val="en-US" w:eastAsia="zh-CN"/>
        </w:rPr>
        <w:t>0</w:t>
      </w:r>
      <w:r>
        <w:rPr>
          <w:rFonts w:hint="eastAsia" w:ascii="仿宋" w:eastAsia="仿宋"/>
          <w:color w:val="auto"/>
          <w:sz w:val="32"/>
          <w:szCs w:val="32"/>
          <w:highlight w:val="none"/>
        </w:rPr>
        <w:t>万元，</w:t>
      </w:r>
      <w:r>
        <w:rPr>
          <w:rFonts w:hint="eastAsia" w:ascii="仿宋_GB2312" w:eastAsia="仿宋_GB2312"/>
          <w:color w:val="auto"/>
          <w:sz w:val="32"/>
          <w:szCs w:val="32"/>
          <w:highlight w:val="none"/>
          <w:lang w:val="en-US" w:eastAsia="zh-CN"/>
        </w:rPr>
        <w:t>年初未安排预算</w:t>
      </w:r>
      <w:r>
        <w:rPr>
          <w:rFonts w:hint="eastAsia" w:ascii="仿宋" w:eastAsia="仿宋"/>
          <w:color w:val="auto"/>
          <w:sz w:val="32"/>
          <w:szCs w:val="32"/>
          <w:highlight w:val="none"/>
        </w:rPr>
        <w:t>。</w:t>
      </w:r>
    </w:p>
    <w:p>
      <w:pPr>
        <w:spacing w:line="600" w:lineRule="exact"/>
        <w:ind w:firstLine="640"/>
        <w:outlineLvl w:val="2"/>
        <w:rPr>
          <w:rFonts w:ascii="仿宋" w:eastAsia="仿宋"/>
          <w:b/>
          <w:color w:val="auto"/>
          <w:sz w:val="32"/>
          <w:szCs w:val="32"/>
          <w:highlight w:val="none"/>
        </w:rPr>
      </w:pPr>
      <w:bookmarkStart w:id="75" w:name="_Toc15377217"/>
      <w:bookmarkStart w:id="76" w:name="_Toc23701"/>
      <w:r>
        <w:rPr>
          <w:rFonts w:hint="eastAsia" w:ascii="仿宋" w:eastAsia="仿宋"/>
          <w:b/>
          <w:color w:val="auto"/>
          <w:sz w:val="32"/>
          <w:szCs w:val="32"/>
          <w:highlight w:val="none"/>
        </w:rPr>
        <w:t>（二）“三公”经费财政拨款支出决算具体情况说明</w:t>
      </w:r>
      <w:bookmarkEnd w:id="75"/>
      <w:bookmarkEnd w:id="76"/>
    </w:p>
    <w:p>
      <w:pPr>
        <w:spacing w:line="600" w:lineRule="exact"/>
        <w:ind w:firstLine="640"/>
        <w:rPr>
          <w:rFonts w:hint="eastAsia" w:ascii="仿宋" w:eastAsia="仿宋"/>
          <w:color w:val="auto"/>
          <w:sz w:val="32"/>
          <w:szCs w:val="32"/>
          <w:highlight w:val="none"/>
          <w:lang w:eastAsia="zh-CN"/>
        </w:rPr>
      </w:pPr>
      <w:r>
        <w:rPr>
          <w:rFonts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年“三公”经费财政拨款支出决算中</w:t>
      </w:r>
      <w:r>
        <w:rPr>
          <w:rFonts w:hint="eastAsia" w:ascii="仿宋" w:eastAsia="仿宋"/>
          <w:color w:val="auto"/>
          <w:sz w:val="32"/>
          <w:szCs w:val="32"/>
          <w:highlight w:val="none"/>
          <w:lang w:eastAsia="zh-CN"/>
        </w:rPr>
        <w:t>：</w:t>
      </w:r>
    </w:p>
    <w:p>
      <w:pPr>
        <w:spacing w:line="600" w:lineRule="exact"/>
        <w:ind w:firstLine="640"/>
        <w:rPr>
          <w:rFonts w:hint="eastAsia" w:ascii="仿宋_GB2312" w:eastAsia="仿宋_GB2312"/>
          <w:color w:val="auto"/>
          <w:sz w:val="32"/>
          <w:szCs w:val="32"/>
          <w:highlight w:val="none"/>
        </w:rPr>
      </w:pPr>
      <w:r>
        <w:rPr>
          <w:rFonts w:ascii="仿宋_GB2312" w:eastAsia="仿宋_GB2312"/>
          <w:b/>
          <w:color w:val="auto"/>
          <w:sz w:val="32"/>
          <w:szCs w:val="32"/>
          <w:highlight w:val="none"/>
        </w:rPr>
        <w:t>1.</w:t>
      </w:r>
      <w:r>
        <w:rPr>
          <w:rFonts w:hint="eastAsia" w:ascii="仿宋_GB2312" w:eastAsia="仿宋_GB2312"/>
          <w:b/>
          <w:color w:val="auto"/>
          <w:sz w:val="32"/>
          <w:szCs w:val="32"/>
          <w:highlight w:val="none"/>
        </w:rPr>
        <w:t>因公出国（境）经费支出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年初未安排预算</w:t>
      </w:r>
      <w:r>
        <w:rPr>
          <w:rStyle w:val="16"/>
          <w:rFonts w:hint="eastAsia" w:ascii="仿宋" w:eastAsia="仿宋"/>
          <w:b w:val="0"/>
          <w:bCs/>
          <w:color w:val="auto"/>
          <w:sz w:val="32"/>
          <w:szCs w:val="32"/>
          <w:highlight w:val="none"/>
        </w:rPr>
        <w:t>。</w:t>
      </w:r>
    </w:p>
    <w:p>
      <w:pPr>
        <w:spacing w:line="600" w:lineRule="exact"/>
        <w:ind w:firstLine="640"/>
        <w:rPr>
          <w:rFonts w:ascii="仿宋_GB2312" w:eastAsia="仿宋_GB2312"/>
          <w:b/>
          <w:color w:val="auto"/>
          <w:sz w:val="32"/>
          <w:szCs w:val="32"/>
          <w:highlight w:val="none"/>
        </w:rPr>
      </w:pPr>
      <w:r>
        <w:rPr>
          <w:rFonts w:ascii="仿宋_GB2312" w:eastAsia="仿宋_GB2312"/>
          <w:b/>
          <w:color w:val="auto"/>
          <w:sz w:val="32"/>
          <w:szCs w:val="32"/>
          <w:highlight w:val="none"/>
        </w:rPr>
        <w:t>2.</w:t>
      </w:r>
      <w:r>
        <w:rPr>
          <w:rFonts w:hint="eastAsia" w:ascii="仿宋_GB2312" w:eastAsia="仿宋_GB2312"/>
          <w:b/>
          <w:color w:val="auto"/>
          <w:sz w:val="32"/>
          <w:szCs w:val="32"/>
          <w:highlight w:val="none"/>
        </w:rPr>
        <w:t>公务用车购置及运行维护费支出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年初未安排预算</w:t>
      </w:r>
      <w:r>
        <w:rPr>
          <w:rStyle w:val="16"/>
          <w:rFonts w:hint="eastAsia" w:ascii="仿宋" w:eastAsia="仿宋"/>
          <w:b w:val="0"/>
          <w:bCs/>
          <w:color w:val="auto"/>
          <w:sz w:val="32"/>
          <w:szCs w:val="32"/>
          <w:highlight w:val="none"/>
        </w:rPr>
        <w:t>。</w:t>
      </w:r>
    </w:p>
    <w:p>
      <w:pPr>
        <w:spacing w:line="600" w:lineRule="exact"/>
        <w:ind w:firstLine="640"/>
        <w:rPr>
          <w:rFonts w:ascii="黑体" w:eastAsia="黑体"/>
          <w:color w:val="auto"/>
          <w:sz w:val="32"/>
          <w:szCs w:val="32"/>
          <w:highlight w:val="none"/>
        </w:rPr>
      </w:pPr>
      <w:r>
        <w:rPr>
          <w:rFonts w:ascii="仿宋_GB2312" w:eastAsia="仿宋_GB2312"/>
          <w:b/>
          <w:color w:val="auto"/>
          <w:sz w:val="32"/>
          <w:szCs w:val="32"/>
          <w:highlight w:val="none"/>
        </w:rPr>
        <w:t>3.</w:t>
      </w:r>
      <w:r>
        <w:rPr>
          <w:rFonts w:hint="eastAsia" w:ascii="仿宋_GB2312" w:eastAsia="仿宋_GB2312"/>
          <w:b/>
          <w:color w:val="auto"/>
          <w:sz w:val="32"/>
          <w:szCs w:val="32"/>
          <w:highlight w:val="none"/>
        </w:rPr>
        <w:t>公务接待费支出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年初未安排预算</w:t>
      </w:r>
      <w:r>
        <w:rPr>
          <w:rStyle w:val="16"/>
          <w:rFonts w:hint="eastAsia" w:ascii="仿宋" w:eastAsia="仿宋"/>
          <w:b w:val="0"/>
          <w:bCs/>
          <w:color w:val="auto"/>
          <w:sz w:val="32"/>
          <w:szCs w:val="32"/>
          <w:highlight w:val="none"/>
        </w:rPr>
        <w:t>。</w:t>
      </w:r>
    </w:p>
    <w:p>
      <w:pPr>
        <w:spacing w:line="600" w:lineRule="exact"/>
        <w:ind w:firstLine="640"/>
        <w:outlineLvl w:val="1"/>
        <w:rPr>
          <w:rStyle w:val="19"/>
          <w:rFonts w:ascii="黑体" w:eastAsia="黑体"/>
          <w:color w:val="auto"/>
          <w:highlight w:val="none"/>
        </w:rPr>
      </w:pPr>
      <w:bookmarkStart w:id="77" w:name="_Toc21642"/>
      <w:r>
        <w:rPr>
          <w:rFonts w:hint="eastAsia" w:ascii="黑体" w:eastAsia="黑体"/>
          <w:color w:val="auto"/>
          <w:sz w:val="32"/>
          <w:szCs w:val="32"/>
          <w:highlight w:val="none"/>
        </w:rPr>
        <w:t>八、</w:t>
      </w:r>
      <w:r>
        <w:rPr>
          <w:rStyle w:val="19"/>
          <w:rFonts w:hint="eastAsia" w:ascii="黑体" w:eastAsia="黑体"/>
          <w:b w:val="0"/>
          <w:color w:val="auto"/>
          <w:highlight w:val="none"/>
        </w:rPr>
        <w:t>政府性基金预算支出决算情况说明</w:t>
      </w:r>
      <w:bookmarkEnd w:id="73"/>
      <w:bookmarkEnd w:id="74"/>
      <w:bookmarkEnd w:id="77"/>
    </w:p>
    <w:p>
      <w:pPr>
        <w:spacing w:line="600" w:lineRule="exact"/>
        <w:ind w:firstLine="64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7.57</w:t>
      </w:r>
      <w:r>
        <w:rPr>
          <w:rFonts w:hint="eastAsia" w:ascii="仿宋_GB2312" w:eastAsia="仿宋_GB2312"/>
          <w:color w:val="auto"/>
          <w:sz w:val="32"/>
          <w:szCs w:val="32"/>
          <w:highlight w:val="none"/>
        </w:rPr>
        <w:t>万元。</w:t>
      </w:r>
    </w:p>
    <w:p>
      <w:pPr>
        <w:numPr>
          <w:ilvl w:val="0"/>
          <w:numId w:val="3"/>
        </w:numPr>
        <w:spacing w:line="600" w:lineRule="exact"/>
        <w:ind w:left="0" w:firstLine="640"/>
        <w:outlineLvl w:val="1"/>
        <w:rPr>
          <w:rStyle w:val="19"/>
          <w:rFonts w:ascii="黑体" w:eastAsia="黑体"/>
          <w:b w:val="0"/>
          <w:color w:val="auto"/>
          <w:highlight w:val="none"/>
        </w:rPr>
      </w:pPr>
      <w:bookmarkStart w:id="78" w:name="_Toc14636"/>
      <w:bookmarkStart w:id="79" w:name="_Toc15377219"/>
      <w:bookmarkStart w:id="80" w:name="_Toc15396611"/>
      <w:r>
        <w:rPr>
          <w:rStyle w:val="19"/>
          <w:rFonts w:hint="eastAsia" w:ascii="黑体" w:eastAsia="黑体"/>
          <w:b w:val="0"/>
          <w:color w:val="auto"/>
          <w:highlight w:val="none"/>
        </w:rPr>
        <w:t>国有资本经营预算支出决算情况说明</w:t>
      </w:r>
      <w:bookmarkEnd w:id="78"/>
      <w:bookmarkEnd w:id="79"/>
      <w:bookmarkEnd w:id="80"/>
    </w:p>
    <w:p>
      <w:pPr>
        <w:spacing w:line="600" w:lineRule="exact"/>
        <w:ind w:firstLine="640"/>
        <w:rPr>
          <w:rFonts w:ascii="方正小标宋简体" w:eastAsia="方正小标宋简体" w:cs="方正小标宋简体"/>
          <w:color w:val="auto"/>
          <w:sz w:val="44"/>
          <w:szCs w:val="44"/>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numPr>
          <w:ilvl w:val="0"/>
          <w:numId w:val="3"/>
        </w:numPr>
        <w:spacing w:line="600" w:lineRule="exact"/>
        <w:ind w:left="0" w:firstLine="640"/>
        <w:outlineLvl w:val="1"/>
        <w:rPr>
          <w:rStyle w:val="19"/>
          <w:rFonts w:hint="eastAsia" w:ascii="黑体" w:eastAsia="黑体"/>
          <w:b w:val="0"/>
          <w:color w:val="auto"/>
          <w:highlight w:val="none"/>
        </w:rPr>
      </w:pPr>
      <w:bookmarkStart w:id="81" w:name="_Toc15377221"/>
      <w:bookmarkStart w:id="82" w:name="_Toc13687"/>
      <w:bookmarkStart w:id="83" w:name="_Toc15396612"/>
      <w:r>
        <w:rPr>
          <w:rStyle w:val="19"/>
          <w:rFonts w:hint="eastAsia" w:ascii="黑体" w:eastAsia="黑体"/>
          <w:b w:val="0"/>
          <w:color w:val="auto"/>
          <w:highlight w:val="none"/>
        </w:rPr>
        <w:t>其他重要事项的情况说明</w:t>
      </w:r>
      <w:bookmarkEnd w:id="81"/>
      <w:bookmarkEnd w:id="82"/>
      <w:bookmarkEnd w:id="83"/>
    </w:p>
    <w:p>
      <w:pPr>
        <w:spacing w:line="600" w:lineRule="exact"/>
        <w:ind w:firstLine="643" w:firstLineChars="200"/>
        <w:outlineLvl w:val="2"/>
        <w:rPr>
          <w:rFonts w:ascii="仿宋" w:eastAsia="仿宋"/>
          <w:color w:val="auto"/>
          <w:sz w:val="32"/>
          <w:szCs w:val="32"/>
          <w:highlight w:val="none"/>
        </w:rPr>
      </w:pPr>
      <w:bookmarkStart w:id="84" w:name="_Toc21239"/>
      <w:bookmarkStart w:id="85" w:name="_Toc15377222"/>
      <w:r>
        <w:rPr>
          <w:rFonts w:hint="eastAsia" w:ascii="仿宋" w:eastAsia="仿宋"/>
          <w:b/>
          <w:color w:val="auto"/>
          <w:sz w:val="32"/>
          <w:szCs w:val="32"/>
          <w:highlight w:val="none"/>
        </w:rPr>
        <w:t>（一）机关运行经费支出情况</w:t>
      </w:r>
      <w:bookmarkEnd w:id="84"/>
      <w:bookmarkEnd w:id="85"/>
    </w:p>
    <w:p>
      <w:pPr>
        <w:spacing w:line="600" w:lineRule="exact"/>
        <w:ind w:firstLine="640" w:firstLineChars="20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本单位未发生机关运行经费支出。</w:t>
      </w:r>
    </w:p>
    <w:p>
      <w:pPr>
        <w:autoSpaceDE w:val="0"/>
        <w:autoSpaceDN w:val="0"/>
        <w:adjustRightInd w:val="0"/>
        <w:spacing w:line="600" w:lineRule="exact"/>
        <w:ind w:firstLine="643" w:firstLineChars="200"/>
        <w:jc w:val="left"/>
        <w:outlineLvl w:val="2"/>
        <w:rPr>
          <w:rFonts w:ascii="仿宋" w:eastAsia="仿宋"/>
          <w:b/>
          <w:color w:val="auto"/>
          <w:sz w:val="32"/>
          <w:szCs w:val="32"/>
          <w:highlight w:val="none"/>
        </w:rPr>
      </w:pPr>
      <w:bookmarkStart w:id="86" w:name="_Toc15377223"/>
      <w:bookmarkStart w:id="87" w:name="_Toc20610"/>
      <w:r>
        <w:rPr>
          <w:rFonts w:hint="eastAsia" w:ascii="仿宋" w:eastAsia="仿宋"/>
          <w:b/>
          <w:color w:val="auto"/>
          <w:sz w:val="32"/>
          <w:szCs w:val="32"/>
          <w:highlight w:val="none"/>
        </w:rPr>
        <w:t>（二）政府采购支出情况</w:t>
      </w:r>
      <w:bookmarkEnd w:id="86"/>
      <w:bookmarkEnd w:id="87"/>
    </w:p>
    <w:p>
      <w:pPr>
        <w:spacing w:line="600" w:lineRule="exact"/>
        <w:ind w:firstLine="640" w:firstLineChars="20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本年未发生政府采购。</w:t>
      </w:r>
    </w:p>
    <w:p>
      <w:pPr>
        <w:numPr>
          <w:ilvl w:val="0"/>
          <w:numId w:val="4"/>
        </w:numPr>
        <w:autoSpaceDE w:val="0"/>
        <w:autoSpaceDN w:val="0"/>
        <w:adjustRightInd w:val="0"/>
        <w:spacing w:line="600" w:lineRule="exact"/>
        <w:ind w:left="0" w:firstLine="643" w:firstLineChars="200"/>
        <w:jc w:val="left"/>
        <w:outlineLvl w:val="2"/>
        <w:rPr>
          <w:rFonts w:hint="eastAsia" w:ascii="仿宋" w:eastAsia="仿宋"/>
          <w:b/>
          <w:color w:val="auto"/>
          <w:sz w:val="32"/>
          <w:szCs w:val="32"/>
          <w:highlight w:val="none"/>
        </w:rPr>
      </w:pPr>
      <w:bookmarkStart w:id="88" w:name="_Toc15377224"/>
      <w:bookmarkStart w:id="89" w:name="_Toc28206"/>
      <w:r>
        <w:rPr>
          <w:rFonts w:hint="eastAsia" w:ascii="仿宋" w:eastAsia="仿宋"/>
          <w:b/>
          <w:color w:val="auto"/>
          <w:sz w:val="32"/>
          <w:szCs w:val="32"/>
          <w:highlight w:val="none"/>
        </w:rPr>
        <w:t>国有资产占有使用情况</w:t>
      </w:r>
      <w:bookmarkEnd w:id="88"/>
      <w:bookmarkEnd w:id="89"/>
    </w:p>
    <w:p>
      <w:pPr>
        <w:pStyle w:val="2"/>
        <w:ind w:left="0" w:firstLine="600" w:firstLineChars="200"/>
        <w:rPr>
          <w:rFonts w:eastAsia="仿宋_GB2312"/>
          <w:lang w:val="en-US" w:eastAsia="zh-CN"/>
        </w:rPr>
      </w:pPr>
      <w:r>
        <w:rPr>
          <w:rFonts w:hint="eastAsia"/>
          <w:lang w:eastAsia="zh-CN"/>
        </w:rPr>
        <w:t>截至</w:t>
      </w:r>
      <w:r>
        <w:rPr>
          <w:rFonts w:hint="eastAsia"/>
          <w:lang w:val="en-US" w:eastAsia="zh-CN"/>
        </w:rPr>
        <w:t>2022年12月31日，太公镇中心卫生院共有车辆1辆，其中：主要领导干部用车0辆、机要通信车0辆、应急保障车0辆、其他用车1辆（救护车）。单价100万以上专用设备0台（套）。</w:t>
      </w:r>
    </w:p>
    <w:p>
      <w:pPr>
        <w:autoSpaceDE w:val="0"/>
        <w:autoSpaceDN w:val="0"/>
        <w:adjustRightInd w:val="0"/>
        <w:spacing w:line="600" w:lineRule="exact"/>
        <w:ind w:firstLine="643" w:firstLineChars="200"/>
        <w:jc w:val="left"/>
        <w:outlineLvl w:val="2"/>
        <w:rPr>
          <w:rFonts w:hint="eastAsia" w:ascii="仿宋" w:eastAsia="仿宋"/>
          <w:b/>
          <w:color w:val="auto"/>
          <w:sz w:val="32"/>
          <w:szCs w:val="32"/>
          <w:highlight w:val="none"/>
          <w:lang w:eastAsia="zh-CN"/>
        </w:rPr>
      </w:pPr>
      <w:bookmarkStart w:id="90" w:name="_Toc18674"/>
      <w:r>
        <w:rPr>
          <w:rFonts w:hint="eastAsia" w:ascii="仿宋" w:eastAsia="仿宋"/>
          <w:b/>
          <w:color w:val="auto"/>
          <w:sz w:val="32"/>
          <w:szCs w:val="32"/>
          <w:highlight w:val="none"/>
        </w:rPr>
        <w:t>（四）预算绩效管理情况</w:t>
      </w:r>
      <w:bookmarkEnd w:id="90"/>
    </w:p>
    <w:p>
      <w:pPr>
        <w:pStyle w:val="27"/>
        <w:keepNext w:val="0"/>
        <w:keepLines w:val="0"/>
        <w:pageBreakBefore w:val="0"/>
        <w:widowControl/>
        <w:kinsoku/>
        <w:wordWrap/>
        <w:overflowPunct/>
        <w:topLinePunct w:val="0"/>
        <w:autoSpaceDE/>
        <w:autoSpaceDN/>
        <w:bidi w:val="0"/>
        <w:adjustRightInd/>
        <w:spacing w:line="560" w:lineRule="exact"/>
        <w:ind w:firstLine="640"/>
        <w:textAlignment w:val="auto"/>
        <w:outlineLvl w:val="1"/>
        <w:rPr>
          <w:rFonts w:hint="eastAsia" w:ascii="仿宋" w:eastAsia="仿宋" w:cs="Times New Roman"/>
          <w:b/>
          <w:color w:val="auto"/>
          <w:kern w:val="2"/>
          <w:sz w:val="32"/>
          <w:szCs w:val="32"/>
          <w:highlight w:val="none"/>
          <w:lang w:val="en-US" w:eastAsia="zh-CN" w:bidi="ar-SA"/>
        </w:rPr>
      </w:pPr>
      <w:bookmarkStart w:id="91" w:name="_Toc32758"/>
      <w:bookmarkStart w:id="92" w:name="_Toc31043"/>
      <w:r>
        <w:rPr>
          <w:rFonts w:hint="eastAsia" w:ascii="仿宋" w:eastAsia="仿宋" w:cs="Times New Roman"/>
          <w:b/>
          <w:color w:val="auto"/>
          <w:kern w:val="2"/>
          <w:sz w:val="32"/>
          <w:szCs w:val="32"/>
          <w:highlight w:val="none"/>
          <w:lang w:val="en-US" w:eastAsia="zh-CN" w:bidi="ar-SA"/>
        </w:rPr>
        <w:t>1.主要工作完成情况</w:t>
      </w:r>
      <w:bookmarkEnd w:id="91"/>
      <w:bookmarkEnd w:id="92"/>
    </w:p>
    <w:p>
      <w:pPr>
        <w:pStyle w:val="27"/>
        <w:keepNext w:val="0"/>
        <w:keepLines w:val="0"/>
        <w:pageBreakBefore w:val="0"/>
        <w:widowControl/>
        <w:kinsoku/>
        <w:wordWrap/>
        <w:overflowPunct/>
        <w:topLinePunct w:val="0"/>
        <w:autoSpaceDE/>
        <w:autoSpaceDN/>
        <w:bidi w:val="0"/>
        <w:adjustRightInd/>
        <w:spacing w:line="560" w:lineRule="exact"/>
        <w:ind w:firstLine="630"/>
        <w:textAlignment w:val="auto"/>
        <w:rPr>
          <w:rFonts w:hint="eastAsia" w:ascii="仿宋" w:eastAsia="仿宋" w:cs="仿宋"/>
          <w:sz w:val="32"/>
          <w:szCs w:val="32"/>
          <w:lang w:val="en-US" w:eastAsia="zh-CN"/>
        </w:rPr>
      </w:pPr>
      <w:r>
        <w:rPr>
          <w:rFonts w:hint="eastAsia" w:ascii="仿宋" w:eastAsia="仿宋" w:cs="仿宋"/>
          <w:sz w:val="32"/>
          <w:szCs w:val="32"/>
          <w:lang w:eastAsia="zh-CN"/>
        </w:rPr>
        <w:t>（</w:t>
      </w:r>
      <w:r>
        <w:rPr>
          <w:rFonts w:hint="eastAsia" w:ascii="仿宋" w:eastAsia="仿宋" w:cs="仿宋"/>
          <w:sz w:val="32"/>
          <w:szCs w:val="32"/>
          <w:lang w:val="en-US" w:eastAsia="zh-CN"/>
        </w:rPr>
        <w:t>1</w:t>
      </w:r>
      <w:r>
        <w:rPr>
          <w:rFonts w:hint="eastAsia" w:ascii="仿宋" w:eastAsia="仿宋" w:cs="仿宋"/>
          <w:sz w:val="32"/>
          <w:szCs w:val="32"/>
          <w:lang w:eastAsia="zh-CN"/>
        </w:rPr>
        <w:t>）基本医疗</w:t>
      </w:r>
      <w:r>
        <w:rPr>
          <w:rFonts w:hint="eastAsia" w:ascii="仿宋" w:eastAsia="仿宋" w:cs="仿宋"/>
          <w:sz w:val="32"/>
          <w:szCs w:val="32"/>
        </w:rPr>
        <w:t>。</w:t>
      </w:r>
      <w:r>
        <w:rPr>
          <w:rFonts w:hint="eastAsia" w:ascii="仿宋" w:eastAsia="仿宋" w:cs="仿宋"/>
          <w:sz w:val="32"/>
          <w:szCs w:val="32"/>
          <w:lang w:val="en-US" w:eastAsia="zh-CN"/>
        </w:rPr>
        <w:t>全年</w:t>
      </w:r>
      <w:r>
        <w:rPr>
          <w:rFonts w:hint="eastAsia" w:ascii="仿宋" w:eastAsia="仿宋" w:cs="仿宋"/>
          <w:sz w:val="32"/>
          <w:szCs w:val="32"/>
          <w:lang w:eastAsia="zh-CN"/>
        </w:rPr>
        <w:t>实现业务总收入</w:t>
      </w:r>
      <w:r>
        <w:rPr>
          <w:rFonts w:hint="eastAsia" w:ascii="仿宋" w:eastAsia="仿宋" w:cs="仿宋"/>
          <w:sz w:val="32"/>
          <w:szCs w:val="32"/>
          <w:lang w:val="en-US" w:eastAsia="zh-CN"/>
        </w:rPr>
        <w:t>444.7万元，其中</w:t>
      </w:r>
      <w:r>
        <w:rPr>
          <w:rFonts w:hint="eastAsia" w:ascii="仿宋" w:eastAsia="仿宋" w:cs="仿宋"/>
          <w:sz w:val="32"/>
          <w:szCs w:val="32"/>
          <w:lang w:eastAsia="zh-CN"/>
        </w:rPr>
        <w:t>医疗收入</w:t>
      </w:r>
      <w:r>
        <w:rPr>
          <w:rFonts w:hint="eastAsia" w:ascii="仿宋" w:eastAsia="仿宋" w:cs="仿宋"/>
          <w:sz w:val="32"/>
          <w:szCs w:val="32"/>
          <w:lang w:val="en-US" w:eastAsia="zh-CN"/>
        </w:rPr>
        <w:t>150万元；较去年同比分别增长17.8 %和35.2%。住院780人次、门诊1.9万人次，较去年同比分别增长4.7%和1.8%。门诊药占58%、住院药占比56%，比较去年同比较低9%和5%；未发生医疗责任纠纷和安全事故。</w:t>
      </w:r>
    </w:p>
    <w:p>
      <w:pPr>
        <w:pStyle w:val="27"/>
        <w:keepNext w:val="0"/>
        <w:keepLines w:val="0"/>
        <w:pageBreakBefore w:val="0"/>
        <w:widowControl/>
        <w:kinsoku/>
        <w:wordWrap/>
        <w:overflowPunct/>
        <w:topLinePunct w:val="0"/>
        <w:autoSpaceDE/>
        <w:autoSpaceDN/>
        <w:bidi w:val="0"/>
        <w:adjustRightInd/>
        <w:spacing w:line="560" w:lineRule="exact"/>
        <w:ind w:firstLine="630"/>
        <w:textAlignment w:val="auto"/>
        <w:rPr>
          <w:rFonts w:hint="eastAsia" w:ascii="仿宋" w:eastAsia="仿宋" w:cs="仿宋"/>
          <w:sz w:val="32"/>
          <w:szCs w:val="32"/>
          <w:lang w:val="en-US" w:eastAsia="zh-CN"/>
        </w:rPr>
      </w:pPr>
      <w:r>
        <w:rPr>
          <w:rFonts w:hint="eastAsia" w:ascii="仿宋" w:eastAsia="仿宋" w:cs="仿宋"/>
          <w:sz w:val="32"/>
          <w:szCs w:val="32"/>
          <w:lang w:val="en-US" w:eastAsia="zh-CN"/>
        </w:rPr>
        <w:t>（2）</w:t>
      </w:r>
      <w:r>
        <w:rPr>
          <w:rFonts w:hint="eastAsia" w:ascii="仿宋" w:eastAsia="仿宋" w:cs="仿宋"/>
          <w:sz w:val="32"/>
          <w:szCs w:val="32"/>
        </w:rPr>
        <w:t>公卫工作。</w:t>
      </w:r>
      <w:r>
        <w:rPr>
          <w:rFonts w:hint="eastAsia" w:ascii="仿宋" w:eastAsia="仿宋" w:cs="仿宋"/>
          <w:sz w:val="32"/>
          <w:szCs w:val="32"/>
          <w:lang w:eastAsia="zh-CN"/>
        </w:rPr>
        <w:t>完成免费体检</w:t>
      </w:r>
      <w:r>
        <w:rPr>
          <w:rFonts w:hint="eastAsia" w:ascii="仿宋" w:eastAsia="仿宋" w:cs="仿宋"/>
          <w:sz w:val="32"/>
          <w:szCs w:val="32"/>
          <w:lang w:val="en-US" w:eastAsia="zh-CN"/>
        </w:rPr>
        <w:t>1694人，高血压病、糖尿病、重性精神病建档随访管理分别是1130人、184人、100人，慢阻肺病、类风湿病建档管理分别95人、51人；两癌筛查269人；艾滋病筛查3550人，艾滋病完成年度目标筛查任务的100%。</w:t>
      </w:r>
    </w:p>
    <w:p>
      <w:pPr>
        <w:pStyle w:val="27"/>
        <w:keepNext w:val="0"/>
        <w:keepLines w:val="0"/>
        <w:pageBreakBefore w:val="0"/>
        <w:widowControl/>
        <w:kinsoku/>
        <w:wordWrap/>
        <w:overflowPunct/>
        <w:topLinePunct w:val="0"/>
        <w:autoSpaceDE/>
        <w:autoSpaceDN/>
        <w:bidi w:val="0"/>
        <w:adjustRightInd/>
        <w:spacing w:line="560" w:lineRule="exact"/>
        <w:ind w:firstLine="630"/>
        <w:textAlignment w:val="auto"/>
        <w:rPr>
          <w:rFonts w:hint="eastAsia" w:ascii="仿宋" w:eastAsia="仿宋" w:cs="仿宋"/>
          <w:sz w:val="32"/>
          <w:szCs w:val="32"/>
          <w:lang w:val="en-US" w:eastAsia="zh-CN"/>
        </w:rPr>
      </w:pPr>
      <w:r>
        <w:rPr>
          <w:rFonts w:hint="eastAsia" w:ascii="仿宋" w:eastAsia="仿宋" w:cs="仿宋"/>
          <w:sz w:val="32"/>
          <w:szCs w:val="32"/>
          <w:lang w:val="en-US" w:eastAsia="zh-CN"/>
        </w:rPr>
        <w:t>（3）人才培养。区医保局挂职锻炼1人、基层业务骨干人员培训期4个月2人（含乡村医生1人）、中医药适宜技术短期培训7人次，党建学习短期成都培训学习1人，政协委员短期成都培训学习1人。院内月、周培训学习常态化、全覆盖持续开展，公共卫生专项线上学习全覆盖。</w:t>
      </w:r>
    </w:p>
    <w:p>
      <w:pPr>
        <w:pStyle w:val="27"/>
        <w:keepNext w:val="0"/>
        <w:keepLines w:val="0"/>
        <w:pageBreakBefore w:val="0"/>
        <w:widowControl/>
        <w:kinsoku/>
        <w:wordWrap/>
        <w:overflowPunct/>
        <w:topLinePunct w:val="0"/>
        <w:autoSpaceDE/>
        <w:autoSpaceDN/>
        <w:bidi w:val="0"/>
        <w:adjustRightInd/>
        <w:spacing w:line="560" w:lineRule="exact"/>
        <w:ind w:firstLine="630"/>
        <w:textAlignment w:val="auto"/>
        <w:rPr>
          <w:rFonts w:hint="eastAsia" w:ascii="仿宋" w:eastAsia="仿宋" w:cs="仿宋"/>
          <w:sz w:val="32"/>
          <w:szCs w:val="32"/>
          <w:lang w:val="en-US" w:eastAsia="zh-CN"/>
        </w:rPr>
      </w:pPr>
      <w:r>
        <w:rPr>
          <w:rFonts w:hint="eastAsia" w:ascii="仿宋" w:eastAsia="仿宋" w:cs="仿宋"/>
          <w:sz w:val="32"/>
          <w:szCs w:val="32"/>
          <w:lang w:val="en-US" w:eastAsia="zh-CN"/>
        </w:rPr>
        <w:t>（4）医疗新技术开展情况。我院进一步拓展中医适宜技术，在原单一针灸针刺和中药饮片口服基层上，增加了电针、小针刀、推拿、贴敷、牵引、艾灸、院内制方内服外用等治疗，增加了4名中医适宜技术治疗操作人员，中医药服务能力进一步增强。把原门诊牙科同医院医疗服务资源整合，做牙科口腔治疗前先行心电图、血常规等检查，牙科治疗后根据病情再安排必要口服、静脉药物治疗，规避门诊牙科治疗风险，带动医疗服务量增加。</w:t>
      </w:r>
    </w:p>
    <w:p>
      <w:pPr>
        <w:pStyle w:val="27"/>
        <w:keepNext w:val="0"/>
        <w:keepLines w:val="0"/>
        <w:pageBreakBefore w:val="0"/>
        <w:widowControl/>
        <w:kinsoku/>
        <w:wordWrap/>
        <w:overflowPunct/>
        <w:topLinePunct w:val="0"/>
        <w:autoSpaceDE/>
        <w:autoSpaceDN/>
        <w:bidi w:val="0"/>
        <w:adjustRightInd/>
        <w:spacing w:line="560" w:lineRule="exact"/>
        <w:ind w:firstLine="630"/>
        <w:textAlignment w:val="auto"/>
        <w:rPr>
          <w:rFonts w:hint="eastAsia" w:ascii="仿宋" w:eastAsia="仿宋" w:cs="仿宋"/>
          <w:color w:val="000000"/>
          <w:sz w:val="32"/>
          <w:szCs w:val="32"/>
          <w:lang w:val="en-US" w:eastAsia="zh-CN"/>
        </w:rPr>
      </w:pPr>
      <w:r>
        <w:rPr>
          <w:rFonts w:hint="eastAsia" w:ascii="仿宋" w:eastAsia="仿宋" w:cs="仿宋"/>
          <w:color w:val="000000"/>
          <w:sz w:val="32"/>
          <w:szCs w:val="32"/>
          <w:lang w:val="en-US" w:eastAsia="zh-CN"/>
        </w:rPr>
        <w:t>（5）党建和以案促改落实情况。我院及时组织全院职工学习昭卫健局党组文件，加强了院支部建设，根据文件精神，认真自查清理，完善了“三重一大”管理制度和流程；完善了财务、财务印章、资金支取和收入存行、公章使用等管理制度；完善了固定资产管理制度；完善药事委员会对药品耗材、检验试剂管理制度。各项制度得到有效实施执行。</w:t>
      </w:r>
    </w:p>
    <w:p>
      <w:pPr>
        <w:pStyle w:val="27"/>
        <w:keepNext w:val="0"/>
        <w:keepLines w:val="0"/>
        <w:pageBreakBefore w:val="0"/>
        <w:widowControl/>
        <w:kinsoku/>
        <w:wordWrap/>
        <w:overflowPunct/>
        <w:topLinePunct w:val="0"/>
        <w:autoSpaceDE/>
        <w:autoSpaceDN/>
        <w:bidi w:val="0"/>
        <w:adjustRightInd/>
        <w:spacing w:line="560" w:lineRule="exact"/>
        <w:ind w:firstLine="630"/>
        <w:textAlignment w:val="auto"/>
        <w:rPr>
          <w:rFonts w:hint="eastAsia" w:ascii="仿宋" w:eastAsia="仿宋" w:cs="仿宋"/>
          <w:color w:val="000000"/>
          <w:sz w:val="32"/>
          <w:szCs w:val="32"/>
          <w:lang w:val="en-US" w:eastAsia="zh-CN"/>
        </w:rPr>
      </w:pPr>
      <w:r>
        <w:rPr>
          <w:rFonts w:hint="eastAsia" w:ascii="仿宋" w:eastAsia="仿宋" w:cs="仿宋"/>
          <w:color w:val="000000"/>
          <w:sz w:val="32"/>
          <w:szCs w:val="32"/>
          <w:lang w:val="en-US" w:eastAsia="zh-CN"/>
        </w:rPr>
        <w:t>（6）临聘及借用人员清理情况。我院成了由分管人事副院长、廉勤委主任、财务科长、办公室主任组成临聘人员管理小组，小组负责对60岁以上、在院工作时间超过4年以上和机构改革后不需要设立岗位的临聘人员，实行一人一策协商解聘；负责对所有临聘人员进行前阶段工作进行协商完结后，启动昭化区招贤人力资源有限公司第三方劳务输出使用临聘人员。</w:t>
      </w:r>
    </w:p>
    <w:p>
      <w:pPr>
        <w:pStyle w:val="27"/>
        <w:keepNext w:val="0"/>
        <w:keepLines w:val="0"/>
        <w:pageBreakBefore w:val="0"/>
        <w:widowControl/>
        <w:kinsoku/>
        <w:wordWrap/>
        <w:overflowPunct/>
        <w:topLinePunct w:val="0"/>
        <w:autoSpaceDE/>
        <w:autoSpaceDN/>
        <w:bidi w:val="0"/>
        <w:adjustRightInd/>
        <w:spacing w:line="560" w:lineRule="exact"/>
        <w:ind w:firstLine="630"/>
        <w:textAlignment w:val="auto"/>
        <w:rPr>
          <w:rFonts w:hint="eastAsia" w:ascii="仿宋" w:eastAsia="仿宋" w:cs="仿宋"/>
          <w:color w:val="000000"/>
          <w:sz w:val="32"/>
          <w:szCs w:val="32"/>
          <w:lang w:val="en-US" w:eastAsia="zh-CN"/>
        </w:rPr>
      </w:pPr>
      <w:r>
        <w:rPr>
          <w:rFonts w:hint="eastAsia" w:ascii="仿宋" w:eastAsia="仿宋" w:cs="仿宋"/>
          <w:color w:val="000000"/>
          <w:sz w:val="32"/>
          <w:szCs w:val="32"/>
          <w:lang w:val="en-US" w:eastAsia="zh-CN"/>
        </w:rPr>
        <w:t>目前已经适当补偿协商解聘4人，其中最短工作年限4年、最长工作年限8年；谈妥待补偿需继续使用2人；1人强烈要补缴5年保险而未解决。前后因驾驶员、清洁工、检验、针灸康复、核酸采样和公共卫生等工作需要新进了5人临时劳务使用，在8月份根据医院工作需要使用临聘人员情况，报请局党组审核批准同意后，全部通过三方劳务输出公司签订用工合同，不直接与临聘人员发生劳务合同关系。</w:t>
      </w:r>
    </w:p>
    <w:p>
      <w:pPr>
        <w:pStyle w:val="27"/>
        <w:keepNext w:val="0"/>
        <w:keepLines w:val="0"/>
        <w:pageBreakBefore w:val="0"/>
        <w:widowControl/>
        <w:kinsoku/>
        <w:wordWrap/>
        <w:overflowPunct/>
        <w:topLinePunct w:val="0"/>
        <w:autoSpaceDE/>
        <w:autoSpaceDN/>
        <w:bidi w:val="0"/>
        <w:adjustRightInd/>
        <w:spacing w:line="560" w:lineRule="exact"/>
        <w:ind w:firstLine="630"/>
        <w:textAlignment w:val="auto"/>
        <w:rPr>
          <w:rFonts w:hint="eastAsia" w:ascii="仿宋" w:eastAsia="仿宋" w:cs="仿宋"/>
          <w:sz w:val="32"/>
          <w:szCs w:val="32"/>
          <w:lang w:val="en-US" w:eastAsia="zh-CN"/>
        </w:rPr>
      </w:pPr>
      <w:r>
        <w:rPr>
          <w:rFonts w:hint="eastAsia" w:ascii="仿宋" w:eastAsia="仿宋" w:cs="仿宋"/>
          <w:color w:val="000000"/>
          <w:sz w:val="32"/>
          <w:szCs w:val="32"/>
          <w:lang w:val="en-US" w:eastAsia="zh-CN"/>
        </w:rPr>
        <w:t>（7）财务管理情况。按照局里关于财务资金管理要求、财务管理会议精神和基层医疗机构财务管理制度、三重一大制度，加强了医院财务、资金、印章、支取审批、职能职责明确等管理，不断完善管理中薄弱环节，及时发现规避风险修补缺陷不足，充分发挥财务在医院高质量发展管理中有力促进作用。</w:t>
      </w:r>
    </w:p>
    <w:p>
      <w:pPr>
        <w:pStyle w:val="27"/>
        <w:keepNext w:val="0"/>
        <w:keepLines w:val="0"/>
        <w:pageBreakBefore w:val="0"/>
        <w:widowControl/>
        <w:kinsoku/>
        <w:wordWrap/>
        <w:overflowPunct/>
        <w:topLinePunct w:val="0"/>
        <w:autoSpaceDE/>
        <w:autoSpaceDN/>
        <w:bidi w:val="0"/>
        <w:adjustRightInd/>
        <w:snapToGrid w:val="0"/>
        <w:spacing w:line="560" w:lineRule="exact"/>
        <w:ind w:firstLine="640"/>
        <w:textAlignment w:val="auto"/>
        <w:rPr>
          <w:rFonts w:hint="eastAsia" w:ascii="仿宋" w:eastAsia="仿宋" w:cs="仿宋"/>
          <w:color w:val="000000"/>
          <w:sz w:val="32"/>
          <w:szCs w:val="32"/>
          <w:lang w:val="en-US" w:eastAsia="zh-CN"/>
        </w:rPr>
      </w:pPr>
      <w:r>
        <w:rPr>
          <w:rFonts w:hint="eastAsia" w:ascii="仿宋" w:eastAsia="仿宋" w:cs="仿宋"/>
          <w:color w:val="000000"/>
          <w:sz w:val="32"/>
          <w:szCs w:val="32"/>
          <w:lang w:val="en-US" w:eastAsia="zh-CN"/>
        </w:rPr>
        <w:t>（8）</w:t>
      </w:r>
      <w:r>
        <w:rPr>
          <w:rFonts w:hint="eastAsia" w:ascii="仿宋" w:eastAsia="仿宋" w:cs="仿宋"/>
          <w:color w:val="000000"/>
          <w:sz w:val="32"/>
          <w:szCs w:val="32"/>
          <w:lang w:eastAsia="zh-CN"/>
        </w:rPr>
        <w:t>基础</w:t>
      </w:r>
      <w:r>
        <w:rPr>
          <w:rFonts w:hint="eastAsia" w:ascii="仿宋" w:eastAsia="仿宋" w:cs="仿宋"/>
          <w:color w:val="000000"/>
          <w:sz w:val="32"/>
          <w:szCs w:val="32"/>
        </w:rPr>
        <w:t>建</w:t>
      </w:r>
      <w:r>
        <w:rPr>
          <w:rFonts w:hint="eastAsia" w:ascii="仿宋" w:eastAsia="仿宋" w:cs="仿宋"/>
          <w:color w:val="000000"/>
          <w:sz w:val="32"/>
          <w:szCs w:val="32"/>
          <w:lang w:eastAsia="zh-CN"/>
        </w:rPr>
        <w:t>设</w:t>
      </w:r>
      <w:r>
        <w:rPr>
          <w:rFonts w:hint="eastAsia" w:ascii="仿宋" w:eastAsia="仿宋" w:cs="仿宋"/>
          <w:color w:val="000000"/>
          <w:sz w:val="32"/>
          <w:szCs w:val="32"/>
        </w:rPr>
        <w:t>工作。</w:t>
      </w:r>
      <w:r>
        <w:rPr>
          <w:rFonts w:hint="eastAsia" w:ascii="仿宋" w:eastAsia="仿宋" w:cs="仿宋"/>
          <w:color w:val="000000"/>
          <w:sz w:val="32"/>
          <w:szCs w:val="32"/>
          <w:lang w:eastAsia="zh-CN"/>
        </w:rPr>
        <w:t>环境安全整治项目和屋漏处理项目，已基本完成。门诊住院综合楼规范化流程改造正在谋划筹备中。已完成项目将为我院发展升级、能力提升、环境美化、患者职工满意度获得感大幅增加和更好的服务群众方面发挥着更大作用，</w:t>
      </w:r>
      <w:r>
        <w:rPr>
          <w:rFonts w:hint="eastAsia" w:ascii="仿宋" w:eastAsia="仿宋" w:cs="仿宋"/>
          <w:color w:val="000000"/>
          <w:sz w:val="32"/>
          <w:szCs w:val="32"/>
          <w:lang w:val="en-US" w:eastAsia="zh-CN"/>
        </w:rPr>
        <w:t xml:space="preserve">    </w:t>
      </w:r>
    </w:p>
    <w:p>
      <w:pPr>
        <w:pStyle w:val="27"/>
        <w:keepNext w:val="0"/>
        <w:keepLines w:val="0"/>
        <w:pageBreakBefore w:val="0"/>
        <w:widowControl/>
        <w:kinsoku/>
        <w:wordWrap/>
        <w:overflowPunct/>
        <w:topLinePunct w:val="0"/>
        <w:autoSpaceDE/>
        <w:autoSpaceDN/>
        <w:bidi w:val="0"/>
        <w:adjustRightInd/>
        <w:snapToGrid w:val="0"/>
        <w:spacing w:line="560" w:lineRule="exact"/>
        <w:ind w:left="0" w:firstLine="640" w:firstLineChars="200"/>
        <w:textAlignment w:val="auto"/>
        <w:rPr>
          <w:rFonts w:hint="eastAsia" w:ascii="仿宋" w:eastAsia="仿宋" w:cs="仿宋"/>
          <w:sz w:val="32"/>
          <w:szCs w:val="32"/>
        </w:rPr>
      </w:pPr>
      <w:r>
        <w:rPr>
          <w:rFonts w:hint="eastAsia" w:ascii="仿宋" w:eastAsia="仿宋" w:cs="仿宋"/>
          <w:color w:val="000000"/>
          <w:sz w:val="32"/>
          <w:szCs w:val="32"/>
          <w:lang w:val="en-US" w:eastAsia="zh-CN"/>
        </w:rPr>
        <w:t>（9）</w:t>
      </w:r>
      <w:r>
        <w:rPr>
          <w:rFonts w:hint="eastAsia" w:ascii="仿宋" w:eastAsia="仿宋" w:cs="仿宋"/>
          <w:color w:val="000000"/>
          <w:sz w:val="32"/>
          <w:szCs w:val="32"/>
        </w:rPr>
        <w:t>积极完成了</w:t>
      </w:r>
      <w:r>
        <w:rPr>
          <w:rFonts w:hint="eastAsia" w:ascii="仿宋" w:eastAsia="仿宋" w:cs="仿宋"/>
          <w:color w:val="000000"/>
          <w:sz w:val="32"/>
          <w:szCs w:val="32"/>
          <w:lang w:eastAsia="zh-CN"/>
        </w:rPr>
        <w:t>局里</w:t>
      </w:r>
      <w:r>
        <w:rPr>
          <w:rFonts w:hint="eastAsia" w:ascii="仿宋" w:eastAsia="仿宋" w:cs="仿宋"/>
          <w:color w:val="000000"/>
          <w:sz w:val="32"/>
          <w:szCs w:val="32"/>
        </w:rPr>
        <w:t>和</w:t>
      </w:r>
      <w:r>
        <w:rPr>
          <w:rFonts w:hint="eastAsia" w:ascii="仿宋" w:eastAsia="仿宋" w:cs="仿宋"/>
          <w:color w:val="000000"/>
          <w:sz w:val="32"/>
          <w:szCs w:val="32"/>
          <w:lang w:eastAsia="zh-CN"/>
        </w:rPr>
        <w:t>镇党</w:t>
      </w:r>
      <w:r>
        <w:rPr>
          <w:rFonts w:hint="eastAsia" w:ascii="仿宋" w:eastAsia="仿宋" w:cs="仿宋"/>
          <w:color w:val="000000"/>
          <w:sz w:val="32"/>
          <w:szCs w:val="32"/>
        </w:rPr>
        <w:t>委政府安排的其他工作。</w:t>
      </w:r>
    </w:p>
    <w:p>
      <w:pPr>
        <w:pStyle w:val="27"/>
        <w:keepNext w:val="0"/>
        <w:keepLines w:val="0"/>
        <w:pageBreakBefore w:val="0"/>
        <w:widowControl/>
        <w:kinsoku/>
        <w:wordWrap/>
        <w:overflowPunct/>
        <w:topLinePunct w:val="0"/>
        <w:autoSpaceDE/>
        <w:autoSpaceDN/>
        <w:bidi w:val="0"/>
        <w:adjustRightInd/>
        <w:spacing w:line="560" w:lineRule="exact"/>
        <w:ind w:firstLine="640"/>
        <w:textAlignment w:val="auto"/>
        <w:outlineLvl w:val="1"/>
        <w:rPr>
          <w:rFonts w:hint="eastAsia" w:ascii="仿宋" w:eastAsia="仿宋" w:cs="Times New Roman"/>
          <w:b/>
          <w:color w:val="auto"/>
          <w:kern w:val="2"/>
          <w:sz w:val="32"/>
          <w:szCs w:val="32"/>
          <w:highlight w:val="none"/>
          <w:lang w:val="en-US" w:eastAsia="zh-CN" w:bidi="ar-SA"/>
        </w:rPr>
      </w:pPr>
      <w:bookmarkStart w:id="93" w:name="_Toc15092"/>
      <w:bookmarkStart w:id="94" w:name="_Toc21160"/>
      <w:r>
        <w:rPr>
          <w:rFonts w:hint="eastAsia" w:ascii="仿宋" w:eastAsia="仿宋" w:cs="Times New Roman"/>
          <w:b/>
          <w:color w:val="auto"/>
          <w:kern w:val="2"/>
          <w:sz w:val="32"/>
          <w:szCs w:val="32"/>
          <w:highlight w:val="none"/>
          <w:lang w:val="en-US" w:eastAsia="zh-CN" w:bidi="ar-SA"/>
        </w:rPr>
        <w:t>2.2023年工作安排</w:t>
      </w:r>
      <w:bookmarkEnd w:id="93"/>
      <w:bookmarkEnd w:id="94"/>
    </w:p>
    <w:p>
      <w:pPr>
        <w:pStyle w:val="27"/>
        <w:keepNext w:val="0"/>
        <w:keepLines w:val="0"/>
        <w:pageBreakBefore w:val="0"/>
        <w:widowControl/>
        <w:kinsoku/>
        <w:wordWrap/>
        <w:overflowPunct/>
        <w:topLinePunct w:val="0"/>
        <w:autoSpaceDE/>
        <w:autoSpaceDN/>
        <w:bidi w:val="0"/>
        <w:adjustRightInd/>
        <w:spacing w:line="560" w:lineRule="exact"/>
        <w:ind w:firstLine="640"/>
        <w:textAlignment w:val="auto"/>
        <w:rPr>
          <w:rFonts w:hint="eastAsia" w:ascii="仿宋" w:eastAsia="仿宋" w:cs="仿宋"/>
          <w:sz w:val="32"/>
          <w:szCs w:val="32"/>
          <w:lang w:eastAsia="zh-CN"/>
        </w:rPr>
      </w:pPr>
      <w:r>
        <w:rPr>
          <w:rFonts w:hint="eastAsia" w:ascii="仿宋" w:eastAsia="仿宋" w:cs="仿宋"/>
          <w:sz w:val="32"/>
          <w:szCs w:val="32"/>
          <w:lang w:val="en-US" w:eastAsia="zh-CN"/>
        </w:rPr>
        <w:t>2022年</w:t>
      </w:r>
      <w:r>
        <w:rPr>
          <w:rFonts w:hint="eastAsia" w:ascii="仿宋" w:eastAsia="仿宋" w:cs="仿宋"/>
          <w:sz w:val="32"/>
          <w:szCs w:val="32"/>
          <w:lang w:eastAsia="zh-CN"/>
        </w:rPr>
        <w:t>的</w:t>
      </w:r>
      <w:r>
        <w:rPr>
          <w:rFonts w:hint="eastAsia" w:ascii="仿宋" w:eastAsia="仿宋" w:cs="仿宋"/>
          <w:sz w:val="32"/>
          <w:szCs w:val="32"/>
        </w:rPr>
        <w:t>工作取得了一些的成绩，但也存在</w:t>
      </w:r>
      <w:r>
        <w:rPr>
          <w:rFonts w:hint="eastAsia" w:ascii="仿宋" w:eastAsia="仿宋" w:cs="仿宋"/>
          <w:sz w:val="32"/>
          <w:szCs w:val="32"/>
          <w:lang w:eastAsia="zh-CN"/>
        </w:rPr>
        <w:t>发展迟缓</w:t>
      </w:r>
      <w:r>
        <w:rPr>
          <w:rFonts w:hint="eastAsia" w:ascii="仿宋" w:eastAsia="仿宋" w:cs="仿宋"/>
          <w:sz w:val="32"/>
          <w:szCs w:val="32"/>
        </w:rPr>
        <w:t>，</w:t>
      </w:r>
      <w:r>
        <w:rPr>
          <w:rFonts w:hint="eastAsia" w:ascii="仿宋" w:eastAsia="仿宋" w:cs="仿宋"/>
          <w:sz w:val="32"/>
          <w:szCs w:val="32"/>
          <w:lang w:eastAsia="zh-CN"/>
        </w:rPr>
        <w:t>亮点创新不足等很</w:t>
      </w:r>
      <w:r>
        <w:rPr>
          <w:rFonts w:hint="eastAsia" w:ascii="仿宋" w:eastAsia="仿宋" w:cs="仿宋"/>
          <w:sz w:val="32"/>
          <w:szCs w:val="32"/>
        </w:rPr>
        <w:t>多不</w:t>
      </w:r>
      <w:r>
        <w:rPr>
          <w:rFonts w:hint="eastAsia" w:ascii="仿宋" w:eastAsia="仿宋" w:cs="仿宋"/>
          <w:sz w:val="32"/>
          <w:szCs w:val="32"/>
          <w:lang w:eastAsia="zh-CN"/>
        </w:rPr>
        <w:t>足，</w:t>
      </w:r>
      <w:r>
        <w:rPr>
          <w:rFonts w:hint="eastAsia" w:ascii="仿宋" w:eastAsia="仿宋" w:cs="仿宋"/>
          <w:sz w:val="32"/>
          <w:szCs w:val="32"/>
          <w:lang w:val="en-US" w:eastAsia="zh-CN"/>
        </w:rPr>
        <w:t>2023年</w:t>
      </w:r>
      <w:r>
        <w:rPr>
          <w:rFonts w:hint="eastAsia" w:ascii="仿宋" w:eastAsia="仿宋" w:cs="仿宋"/>
          <w:sz w:val="32"/>
          <w:szCs w:val="32"/>
          <w:lang w:eastAsia="zh-CN"/>
        </w:rPr>
        <w:t>我们将在局党组的坚强领导和支持下，盘活现有人员和乡村医生一道，调动一切积极因素，做好以下工作：</w:t>
      </w:r>
    </w:p>
    <w:p>
      <w:pPr>
        <w:pStyle w:val="27"/>
        <w:keepNext w:val="0"/>
        <w:keepLines w:val="0"/>
        <w:pageBreakBefore w:val="0"/>
        <w:widowControl/>
        <w:kinsoku/>
        <w:wordWrap/>
        <w:overflowPunct/>
        <w:topLinePunct w:val="0"/>
        <w:autoSpaceDE/>
        <w:autoSpaceDN/>
        <w:bidi w:val="0"/>
        <w:adjustRightInd/>
        <w:spacing w:line="560" w:lineRule="exact"/>
        <w:ind w:firstLine="640"/>
        <w:textAlignment w:val="auto"/>
        <w:rPr>
          <w:rFonts w:hint="eastAsia" w:ascii="仿宋" w:eastAsia="仿宋" w:cs="仿宋"/>
          <w:sz w:val="32"/>
          <w:szCs w:val="32"/>
          <w:lang w:val="en-US" w:eastAsia="zh-CN"/>
        </w:rPr>
      </w:pPr>
      <w:r>
        <w:rPr>
          <w:rFonts w:hint="eastAsia" w:ascii="仿宋" w:eastAsia="仿宋" w:cs="仿宋"/>
          <w:sz w:val="32"/>
          <w:szCs w:val="32"/>
          <w:lang w:val="en-US" w:eastAsia="zh-CN"/>
        </w:rPr>
        <w:t>（1）稳步发展好基本医疗服务工作，特别是分院工作，加强绩效考核，增强服务能力，确保医疗服务量增比、中医药服务量占比、药占比等目标任务完成</w:t>
      </w:r>
      <w:r>
        <w:rPr>
          <w:rFonts w:hint="eastAsia" w:ascii="仿宋" w:eastAsia="仿宋" w:cs="仿宋"/>
          <w:sz w:val="32"/>
          <w:szCs w:val="32"/>
          <w:lang w:eastAsia="zh-CN"/>
        </w:rPr>
        <w:t>；</w:t>
      </w:r>
    </w:p>
    <w:p>
      <w:pPr>
        <w:pStyle w:val="27"/>
        <w:keepNext w:val="0"/>
        <w:keepLines w:val="0"/>
        <w:pageBreakBefore w:val="0"/>
        <w:widowControl/>
        <w:kinsoku/>
        <w:wordWrap/>
        <w:overflowPunct/>
        <w:topLinePunct w:val="0"/>
        <w:autoSpaceDE/>
        <w:autoSpaceDN/>
        <w:bidi w:val="0"/>
        <w:adjustRightInd/>
        <w:spacing w:line="560" w:lineRule="exact"/>
        <w:ind w:firstLine="640"/>
        <w:textAlignment w:val="auto"/>
        <w:rPr>
          <w:rFonts w:hint="eastAsia" w:ascii="仿宋" w:eastAsia="仿宋" w:cs="仿宋"/>
          <w:sz w:val="32"/>
          <w:szCs w:val="32"/>
          <w:lang w:val="en-US" w:eastAsia="zh-CN"/>
        </w:rPr>
      </w:pPr>
      <w:r>
        <w:rPr>
          <w:rFonts w:hint="eastAsia" w:ascii="仿宋" w:eastAsia="仿宋" w:cs="仿宋"/>
          <w:sz w:val="32"/>
          <w:szCs w:val="32"/>
          <w:lang w:val="en-US" w:eastAsia="zh-CN"/>
        </w:rPr>
        <w:t>（2）全力做实做好2023年的公卫工作，把公卫和医疗深度融合，相互促进，协调发展；</w:t>
      </w:r>
    </w:p>
    <w:p>
      <w:pPr>
        <w:pStyle w:val="27"/>
        <w:keepNext w:val="0"/>
        <w:keepLines w:val="0"/>
        <w:pageBreakBefore w:val="0"/>
        <w:widowControl/>
        <w:kinsoku/>
        <w:wordWrap/>
        <w:overflowPunct/>
        <w:topLinePunct w:val="0"/>
        <w:autoSpaceDE/>
        <w:autoSpaceDN/>
        <w:bidi w:val="0"/>
        <w:adjustRightInd/>
        <w:spacing w:line="560" w:lineRule="exact"/>
        <w:ind w:firstLine="640"/>
        <w:textAlignment w:val="auto"/>
        <w:rPr>
          <w:rFonts w:hint="eastAsia" w:ascii="仿宋" w:eastAsia="仿宋" w:cs="仿宋"/>
          <w:sz w:val="32"/>
          <w:szCs w:val="32"/>
          <w:lang w:val="en-US" w:eastAsia="zh-CN"/>
        </w:rPr>
      </w:pPr>
      <w:r>
        <w:rPr>
          <w:rFonts w:hint="eastAsia" w:ascii="仿宋" w:eastAsia="仿宋" w:cs="仿宋"/>
          <w:sz w:val="32"/>
          <w:szCs w:val="32"/>
          <w:lang w:val="en-US" w:eastAsia="zh-CN"/>
        </w:rPr>
        <w:t>（3）全力做好以案促改工作，确保单位、职工、患者安全稳定，办好自己事、管好自己人，不给组织、领导增添负面影响和麻烦；</w:t>
      </w:r>
    </w:p>
    <w:p>
      <w:pPr>
        <w:pStyle w:val="27"/>
        <w:keepNext w:val="0"/>
        <w:keepLines w:val="0"/>
        <w:pageBreakBefore w:val="0"/>
        <w:widowControl/>
        <w:kinsoku/>
        <w:wordWrap/>
        <w:overflowPunct/>
        <w:topLinePunct w:val="0"/>
        <w:autoSpaceDE/>
        <w:autoSpaceDN/>
        <w:bidi w:val="0"/>
        <w:adjustRightInd/>
        <w:spacing w:line="560" w:lineRule="exact"/>
        <w:ind w:firstLine="640"/>
        <w:textAlignment w:val="auto"/>
        <w:rPr>
          <w:rFonts w:hint="eastAsia" w:ascii="仿宋" w:eastAsia="仿宋" w:cs="仿宋"/>
          <w:color w:val="000000"/>
          <w:sz w:val="32"/>
          <w:szCs w:val="32"/>
        </w:rPr>
      </w:pPr>
      <w:r>
        <w:rPr>
          <w:rFonts w:hint="eastAsia" w:ascii="仿宋" w:eastAsia="仿宋" w:cs="仿宋"/>
          <w:sz w:val="32"/>
          <w:szCs w:val="32"/>
          <w:lang w:val="en-US" w:eastAsia="zh-CN"/>
        </w:rPr>
        <w:t>（4）统筹做好疫情防控、卫生人才培养、村卫生室管理、医院文化氛围、安全稳定和党风廉政建设等各项的工作。</w:t>
      </w:r>
    </w:p>
    <w:p>
      <w:pPr>
        <w:widowControl/>
        <w:jc w:val="left"/>
        <w:rPr>
          <w:rFonts w:ascii="仿宋_GB2312" w:eastAsia="仿宋_GB2312"/>
          <w:b/>
          <w:color w:val="auto"/>
          <w:sz w:val="32"/>
          <w:szCs w:val="32"/>
          <w:highlight w:val="none"/>
        </w:rPr>
      </w:pPr>
      <w:r>
        <w:br w:type="page"/>
      </w:r>
    </w:p>
    <w:p>
      <w:pPr>
        <w:numPr>
          <w:ilvl w:val="0"/>
          <w:numId w:val="5"/>
        </w:numPr>
        <w:spacing w:line="600" w:lineRule="exact"/>
        <w:ind w:left="0" w:firstLine="660" w:firstLineChars="150"/>
        <w:jc w:val="center"/>
        <w:outlineLvl w:val="0"/>
        <w:rPr>
          <w:rStyle w:val="18"/>
          <w:rFonts w:ascii="黑体" w:eastAsia="黑体"/>
          <w:b w:val="0"/>
          <w:color w:val="auto"/>
          <w:highlight w:val="none"/>
        </w:rPr>
      </w:pPr>
      <w:bookmarkStart w:id="95" w:name="_Toc17121"/>
      <w:bookmarkStart w:id="96" w:name="_Toc15377225"/>
      <w:bookmarkStart w:id="97" w:name="_Toc15396613"/>
      <w:r>
        <w:rPr>
          <w:rFonts w:hint="eastAsia" w:ascii="黑体" w:eastAsia="黑体"/>
          <w:color w:val="auto"/>
          <w:sz w:val="44"/>
          <w:szCs w:val="44"/>
          <w:highlight w:val="none"/>
        </w:rPr>
        <w:t>名</w:t>
      </w:r>
      <w:r>
        <w:rPr>
          <w:rStyle w:val="18"/>
          <w:rFonts w:hint="eastAsia" w:ascii="黑体" w:eastAsia="黑体"/>
          <w:b w:val="0"/>
          <w:color w:val="auto"/>
          <w:highlight w:val="none"/>
        </w:rPr>
        <w:t>词解释</w:t>
      </w:r>
      <w:bookmarkEnd w:id="95"/>
      <w:bookmarkEnd w:id="96"/>
      <w:bookmarkEnd w:id="97"/>
    </w:p>
    <w:p>
      <w:pPr>
        <w:spacing w:line="600" w:lineRule="exact"/>
        <w:jc w:val="left"/>
        <w:rPr>
          <w:rFonts w:ascii="宋体"/>
          <w:b/>
          <w:color w:val="auto"/>
          <w:sz w:val="44"/>
          <w:szCs w:val="44"/>
          <w:highlight w:val="none"/>
        </w:rPr>
      </w:pPr>
    </w:p>
    <w:p>
      <w:pPr>
        <w:pStyle w:val="23"/>
        <w:pageBreakBefore w:val="0"/>
        <w:wordWrap/>
        <w:overflowPunct/>
        <w:topLinePunct w:val="0"/>
        <w:bidi w:val="0"/>
        <w:spacing w:beforeAutospacing="0" w:line="580" w:lineRule="exact"/>
        <w:ind w:firstLine="640" w:firstLineChars="200"/>
        <w:rPr>
          <w:rFonts w:ascii="仿宋_GB2312" w:eastAsia="仿宋_GB2312"/>
          <w:sz w:val="32"/>
          <w:szCs w:val="32"/>
        </w:rPr>
      </w:pPr>
      <w:bookmarkStart w:id="98" w:name="_Toc15377226"/>
      <w:r>
        <w:rPr>
          <w:rFonts w:ascii="仿宋_GB2312" w:eastAsia="仿宋_GB2312"/>
          <w:sz w:val="32"/>
          <w:szCs w:val="32"/>
        </w:rPr>
        <w:t>1.</w:t>
      </w:r>
      <w:r>
        <w:rPr>
          <w:rFonts w:hint="eastAsia" w:ascii="仿宋_GB2312" w:eastAsia="仿宋_GB2312"/>
          <w:sz w:val="32"/>
          <w:szCs w:val="32"/>
        </w:rPr>
        <w:t>财政拨款收入：指单位从同级财政</w:t>
      </w:r>
      <w:r>
        <w:rPr>
          <w:rFonts w:hint="eastAsia" w:ascii="仿宋_GB2312" w:eastAsia="仿宋_GB2312"/>
          <w:sz w:val="32"/>
          <w:szCs w:val="32"/>
          <w:lang w:eastAsia="zh-CN"/>
        </w:rPr>
        <w:t>单位</w:t>
      </w:r>
      <w:r>
        <w:rPr>
          <w:rFonts w:hint="eastAsia" w:ascii="仿宋_GB2312" w:eastAsia="仿宋_GB2312"/>
          <w:sz w:val="32"/>
          <w:szCs w:val="32"/>
        </w:rPr>
        <w:t>取得的</w:t>
      </w:r>
      <w:r>
        <w:rPr>
          <w:rFonts w:hint="eastAsia" w:ascii="仿宋_GB2312" w:eastAsia="仿宋_GB2312"/>
          <w:sz w:val="32"/>
          <w:szCs w:val="32"/>
          <w:lang w:eastAsia="zh-CN"/>
        </w:rPr>
        <w:t>各类拨款</w:t>
      </w:r>
      <w:r>
        <w:rPr>
          <w:rFonts w:hint="eastAsia" w:ascii="仿宋_GB2312" w:eastAsia="仿宋_GB2312"/>
          <w:sz w:val="32"/>
          <w:szCs w:val="32"/>
        </w:rPr>
        <w:t>。</w:t>
      </w:r>
    </w:p>
    <w:p>
      <w:pPr>
        <w:pStyle w:val="23"/>
        <w:pageBreakBefore w:val="0"/>
        <w:wordWrap/>
        <w:overflowPunct/>
        <w:topLinePunct w:val="0"/>
        <w:bidi w:val="0"/>
        <w:spacing w:line="580" w:lineRule="exact"/>
        <w:ind w:firstLine="640" w:firstLineChars="200"/>
        <w:rPr>
          <w:rFonts w:ascii="仿宋_GB2312" w:eastAsia="仿宋_GB2312"/>
          <w:sz w:val="32"/>
          <w:szCs w:val="32"/>
        </w:rPr>
      </w:pPr>
      <w:r>
        <w:rPr>
          <w:rFonts w:ascii="仿宋_GB2312" w:eastAsia="仿宋_GB2312"/>
          <w:sz w:val="32"/>
          <w:szCs w:val="32"/>
        </w:rPr>
        <w:t>2.</w:t>
      </w:r>
      <w:r>
        <w:rPr>
          <w:rFonts w:hint="eastAsia" w:ascii="仿宋_GB2312" w:eastAsia="仿宋_GB2312"/>
          <w:sz w:val="32"/>
          <w:szCs w:val="32"/>
        </w:rPr>
        <w:t>事业收入：指事业单位开展专业业务活动及辅助活动取得的收入。如</w:t>
      </w:r>
      <w:r>
        <w:rPr>
          <w:rFonts w:hint="eastAsia" w:ascii="仿宋_GB2312" w:eastAsia="仿宋_GB2312"/>
          <w:sz w:val="32"/>
          <w:szCs w:val="32"/>
          <w:lang w:eastAsia="zh-CN"/>
        </w:rPr>
        <w:t>区人民医院、区</w:t>
      </w:r>
      <w:r>
        <w:rPr>
          <w:rFonts w:hint="eastAsia" w:ascii="仿宋_GB2312" w:eastAsia="仿宋_GB2312"/>
          <w:sz w:val="32"/>
          <w:szCs w:val="32"/>
        </w:rPr>
        <w:t>妇幼保健计</w:t>
      </w:r>
      <w:r>
        <w:rPr>
          <w:rFonts w:hint="eastAsia" w:ascii="仿宋_GB2312" w:eastAsia="仿宋_GB2312"/>
          <w:sz w:val="32"/>
          <w:szCs w:val="32"/>
          <w:lang w:eastAsia="zh-CN"/>
        </w:rPr>
        <w:t>划生育</w:t>
      </w:r>
      <w:r>
        <w:rPr>
          <w:rFonts w:hint="eastAsia" w:ascii="仿宋_GB2312" w:eastAsia="仿宋_GB2312"/>
          <w:sz w:val="32"/>
          <w:szCs w:val="32"/>
        </w:rPr>
        <w:t>服务中心</w:t>
      </w:r>
      <w:r>
        <w:rPr>
          <w:rFonts w:hint="eastAsia" w:ascii="仿宋_GB2312" w:eastAsia="仿宋_GB2312"/>
          <w:sz w:val="32"/>
          <w:szCs w:val="32"/>
          <w:lang w:eastAsia="zh-CN"/>
        </w:rPr>
        <w:t>、区中医医院、乡镇卫生院医疗收入</w:t>
      </w:r>
      <w:r>
        <w:rPr>
          <w:rFonts w:hint="eastAsia" w:ascii="仿宋_GB2312" w:eastAsia="仿宋_GB2312"/>
          <w:sz w:val="32"/>
          <w:szCs w:val="32"/>
        </w:rPr>
        <w:t>等。</w:t>
      </w:r>
    </w:p>
    <w:p>
      <w:pPr>
        <w:pStyle w:val="23"/>
        <w:pageBreakBefore w:val="0"/>
        <w:wordWrap/>
        <w:overflowPunct/>
        <w:topLinePunct w:val="0"/>
        <w:bidi w:val="0"/>
        <w:spacing w:line="580" w:lineRule="exact"/>
        <w:ind w:firstLine="640" w:firstLineChars="200"/>
        <w:rPr>
          <w:rFonts w:ascii="仿宋_GB2312" w:eastAsia="仿宋_GB2312"/>
          <w:sz w:val="32"/>
          <w:szCs w:val="32"/>
        </w:rPr>
      </w:pPr>
      <w:r>
        <w:rPr>
          <w:rFonts w:hint="eastAsia" w:ascii="仿宋_GB2312" w:eastAsia="仿宋_GB2312"/>
          <w:sz w:val="32"/>
          <w:szCs w:val="32"/>
          <w:lang w:val="en-US" w:eastAsia="zh-CN"/>
        </w:rPr>
        <w:t>3</w:t>
      </w:r>
      <w:r>
        <w:rPr>
          <w:rFonts w:ascii="仿宋_GB2312" w:eastAsia="仿宋_GB2312"/>
          <w:sz w:val="32"/>
          <w:szCs w:val="32"/>
        </w:rPr>
        <w:t>.</w:t>
      </w:r>
      <w:r>
        <w:rPr>
          <w:rFonts w:hint="eastAsia" w:ascii="仿宋_GB2312" w:eastAsia="仿宋_GB2312"/>
          <w:sz w:val="32"/>
          <w:szCs w:val="32"/>
        </w:rPr>
        <w:t>其他收入：指单位取得的除上述收入以外的各项收入。主要是</w:t>
      </w:r>
      <w:r>
        <w:rPr>
          <w:rFonts w:hint="eastAsia" w:ascii="仿宋_GB2312" w:eastAsia="仿宋_GB2312"/>
          <w:sz w:val="32"/>
          <w:szCs w:val="32"/>
          <w:lang w:eastAsia="zh-CN"/>
        </w:rPr>
        <w:t>利息收入</w:t>
      </w:r>
      <w:r>
        <w:rPr>
          <w:rFonts w:hint="eastAsia" w:ascii="仿宋_GB2312" w:eastAsia="仿宋_GB2312"/>
          <w:sz w:val="32"/>
          <w:szCs w:val="32"/>
        </w:rPr>
        <w:t>等。</w:t>
      </w:r>
      <w:r>
        <w:rPr>
          <w:rFonts w:ascii="仿宋_GB2312" w:eastAsia="仿宋_GB2312"/>
          <w:sz w:val="32"/>
          <w:szCs w:val="32"/>
        </w:rPr>
        <w:t xml:space="preserve"> </w:t>
      </w:r>
    </w:p>
    <w:p>
      <w:pPr>
        <w:pStyle w:val="23"/>
        <w:pageBreakBefore w:val="0"/>
        <w:wordWrap/>
        <w:overflowPunct/>
        <w:topLinePunct w:val="0"/>
        <w:bidi w:val="0"/>
        <w:spacing w:line="580" w:lineRule="exact"/>
        <w:ind w:firstLine="640" w:firstLineChars="200"/>
        <w:rPr>
          <w:rFonts w:ascii="仿宋_GB2312" w:eastAsia="仿宋_GB2312"/>
          <w:sz w:val="32"/>
          <w:szCs w:val="32"/>
        </w:rPr>
      </w:pPr>
      <w:r>
        <w:rPr>
          <w:rFonts w:hint="eastAsia" w:ascii="仿宋_GB2312" w:eastAsia="仿宋_GB2312"/>
          <w:sz w:val="32"/>
          <w:szCs w:val="32"/>
          <w:lang w:val="en-US" w:eastAsia="zh-CN"/>
        </w:rPr>
        <w:t>4</w:t>
      </w:r>
      <w:r>
        <w:rPr>
          <w:rFonts w:ascii="仿宋_GB2312" w:eastAsia="仿宋_GB2312"/>
          <w:sz w:val="32"/>
          <w:szCs w:val="32"/>
        </w:rPr>
        <w:t>.</w:t>
      </w:r>
      <w:r>
        <w:rPr>
          <w:rFonts w:hint="eastAsia" w:ascii="仿宋_GB2312" w:eastAsia="仿宋_GB2312"/>
          <w:sz w:val="32"/>
          <w:szCs w:val="32"/>
        </w:rPr>
        <w:t>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23"/>
        <w:pageBreakBefore w:val="0"/>
        <w:wordWrap/>
        <w:overflowPunct/>
        <w:topLinePunct w:val="0"/>
        <w:bidi w:val="0"/>
        <w:spacing w:line="580" w:lineRule="exact"/>
        <w:ind w:firstLine="640" w:firstLineChars="200"/>
        <w:rPr>
          <w:rFonts w:ascii="仿宋_GB2312" w:eastAsia="仿宋_GB2312"/>
          <w:sz w:val="32"/>
          <w:szCs w:val="32"/>
        </w:rPr>
      </w:pPr>
      <w:r>
        <w:rPr>
          <w:rFonts w:hint="eastAsia" w:ascii="仿宋_GB2312" w:eastAsia="仿宋_GB2312"/>
          <w:sz w:val="32"/>
          <w:szCs w:val="32"/>
          <w:lang w:val="en-US" w:eastAsia="zh-CN"/>
        </w:rPr>
        <w:t>5</w:t>
      </w:r>
      <w:r>
        <w:rPr>
          <w:rFonts w:ascii="仿宋_GB2312" w:eastAsia="仿宋_GB2312"/>
          <w:sz w:val="32"/>
          <w:szCs w:val="32"/>
        </w:rPr>
        <w:t>.</w:t>
      </w:r>
      <w:r>
        <w:rPr>
          <w:rFonts w:hint="eastAsia" w:ascii="仿宋_GB2312" w:eastAsia="仿宋_GB2312"/>
          <w:sz w:val="32"/>
          <w:szCs w:val="32"/>
        </w:rPr>
        <w:t>年初结转和结余：指以前年度尚未完成、结转到本年按有关规定继续使用的资金。</w:t>
      </w:r>
    </w:p>
    <w:p>
      <w:pPr>
        <w:pStyle w:val="23"/>
        <w:pageBreakBefore w:val="0"/>
        <w:wordWrap/>
        <w:overflowPunct/>
        <w:topLinePunct w:val="0"/>
        <w:bidi w:val="0"/>
        <w:spacing w:line="580" w:lineRule="exact"/>
        <w:ind w:firstLine="640" w:firstLineChars="200"/>
        <w:rPr>
          <w:rFonts w:ascii="仿宋_GB2312" w:eastAsia="仿宋_GB2312"/>
          <w:sz w:val="32"/>
          <w:szCs w:val="32"/>
        </w:rPr>
      </w:pPr>
      <w:r>
        <w:rPr>
          <w:rFonts w:hint="eastAsia" w:ascii="仿宋_GB2312" w:eastAsia="仿宋_GB2312"/>
          <w:sz w:val="32"/>
          <w:szCs w:val="32"/>
          <w:lang w:val="en-US" w:eastAsia="zh-CN"/>
        </w:rPr>
        <w:t>6</w:t>
      </w:r>
      <w:r>
        <w:rPr>
          <w:rFonts w:ascii="仿宋_GB2312" w:eastAsia="仿宋_GB2312"/>
          <w:sz w:val="32"/>
          <w:szCs w:val="32"/>
        </w:rPr>
        <w:t>.</w:t>
      </w:r>
      <w:r>
        <w:rPr>
          <w:rFonts w:hint="eastAsia" w:ascii="仿宋_GB2312" w:eastAsia="仿宋_GB2312"/>
          <w:sz w:val="32"/>
          <w:szCs w:val="32"/>
          <w:lang w:eastAsia="zh-CN"/>
        </w:rPr>
        <w:t>本年盈余</w:t>
      </w:r>
      <w:r>
        <w:rPr>
          <w:rFonts w:hint="eastAsia" w:ascii="仿宋_GB2312" w:eastAsia="仿宋_GB2312"/>
          <w:sz w:val="32"/>
          <w:szCs w:val="32"/>
        </w:rPr>
        <w:t>分配：指事业单位按照</w:t>
      </w:r>
      <w:r>
        <w:rPr>
          <w:rFonts w:hint="eastAsia" w:ascii="仿宋_GB2312" w:eastAsia="仿宋_GB2312"/>
          <w:sz w:val="32"/>
          <w:szCs w:val="32"/>
          <w:lang w:eastAsia="zh-CN"/>
        </w:rPr>
        <w:t>政府</w:t>
      </w:r>
      <w:r>
        <w:rPr>
          <w:rFonts w:hint="eastAsia" w:ascii="仿宋_GB2312" w:eastAsia="仿宋_GB2312"/>
          <w:sz w:val="32"/>
          <w:szCs w:val="32"/>
        </w:rPr>
        <w:t>会计制度的规定从非财政</w:t>
      </w:r>
      <w:r>
        <w:rPr>
          <w:rFonts w:hint="eastAsia" w:ascii="仿宋_GB2312" w:eastAsia="仿宋_GB2312"/>
          <w:sz w:val="32"/>
          <w:szCs w:val="32"/>
          <w:lang w:eastAsia="zh-CN"/>
        </w:rPr>
        <w:t>拨款</w:t>
      </w:r>
      <w:r>
        <w:rPr>
          <w:rFonts w:hint="eastAsia" w:ascii="仿宋_GB2312" w:eastAsia="仿宋_GB2312"/>
          <w:sz w:val="32"/>
          <w:szCs w:val="32"/>
        </w:rPr>
        <w:t>结余</w:t>
      </w:r>
      <w:r>
        <w:rPr>
          <w:rFonts w:hint="eastAsia" w:ascii="仿宋_GB2312" w:eastAsia="仿宋_GB2312"/>
          <w:sz w:val="32"/>
          <w:szCs w:val="32"/>
          <w:lang w:eastAsia="zh-CN"/>
        </w:rPr>
        <w:t>或事业结余</w:t>
      </w:r>
      <w:r>
        <w:rPr>
          <w:rFonts w:hint="eastAsia" w:ascii="仿宋_GB2312" w:eastAsia="仿宋_GB2312"/>
          <w:sz w:val="32"/>
          <w:szCs w:val="32"/>
        </w:rPr>
        <w:t>中</w:t>
      </w:r>
      <w:r>
        <w:rPr>
          <w:rFonts w:hint="eastAsia" w:ascii="仿宋_GB2312" w:eastAsia="仿宋_GB2312"/>
          <w:sz w:val="32"/>
          <w:szCs w:val="32"/>
          <w:lang w:eastAsia="zh-CN"/>
        </w:rPr>
        <w:t>提取</w:t>
      </w:r>
      <w:r>
        <w:rPr>
          <w:rFonts w:hint="eastAsia" w:ascii="仿宋_GB2312" w:eastAsia="仿宋_GB2312"/>
          <w:sz w:val="32"/>
          <w:szCs w:val="32"/>
        </w:rPr>
        <w:t>的</w:t>
      </w:r>
      <w:r>
        <w:rPr>
          <w:rFonts w:hint="eastAsia" w:ascii="仿宋_GB2312" w:eastAsia="仿宋_GB2312"/>
          <w:sz w:val="32"/>
          <w:szCs w:val="32"/>
          <w:lang w:eastAsia="zh-CN"/>
        </w:rPr>
        <w:t>奖励</w:t>
      </w:r>
      <w:r>
        <w:rPr>
          <w:rFonts w:hint="eastAsia" w:ascii="仿宋_GB2312" w:eastAsia="仿宋_GB2312"/>
          <w:sz w:val="32"/>
          <w:szCs w:val="32"/>
        </w:rPr>
        <w:t>基金和职工福利基金等。</w:t>
      </w:r>
    </w:p>
    <w:p>
      <w:pPr>
        <w:pStyle w:val="23"/>
        <w:pageBreakBefore w:val="0"/>
        <w:wordWrap/>
        <w:overflowPunct/>
        <w:topLinePunct w:val="0"/>
        <w:bidi w:val="0"/>
        <w:spacing w:line="580" w:lineRule="exact"/>
        <w:ind w:firstLine="640" w:firstLineChars="200"/>
        <w:rPr>
          <w:rFonts w:ascii="仿宋_GB2312" w:eastAsia="仿宋_GB2312"/>
          <w:sz w:val="32"/>
          <w:szCs w:val="32"/>
        </w:rPr>
      </w:pPr>
      <w:r>
        <w:rPr>
          <w:rFonts w:hint="eastAsia" w:ascii="仿宋_GB2312" w:eastAsia="仿宋_GB2312"/>
          <w:sz w:val="32"/>
          <w:szCs w:val="32"/>
          <w:lang w:val="en-US" w:eastAsia="zh-CN"/>
        </w:rPr>
        <w:t>7.</w:t>
      </w:r>
      <w:r>
        <w:rPr>
          <w:rFonts w:hint="eastAsia" w:ascii="仿宋_GB2312" w:eastAsia="仿宋_GB2312"/>
          <w:sz w:val="32"/>
          <w:szCs w:val="32"/>
        </w:rPr>
        <w:t>年末结转和结余：指单位按有关规定结转到下年或以后年度继续使用的资金。</w:t>
      </w:r>
    </w:p>
    <w:p>
      <w:pPr>
        <w:pageBreakBefore w:val="0"/>
        <w:wordWrap/>
        <w:overflowPunct/>
        <w:topLinePunct w:val="0"/>
        <w:bidi w:val="0"/>
        <w:spacing w:line="580" w:lineRule="exact"/>
        <w:ind w:firstLine="640" w:firstLineChars="200"/>
        <w:rPr>
          <w:rStyle w:val="16"/>
          <w:rFonts w:hint="eastAsia" w:ascii="仿宋_GB2312" w:eastAsia="仿宋_GB2312"/>
          <w:b w:val="0"/>
          <w:color w:val="000000"/>
          <w:sz w:val="32"/>
          <w:szCs w:val="32"/>
        </w:rPr>
      </w:pPr>
      <w:r>
        <w:rPr>
          <w:rFonts w:hint="eastAsia" w:ascii="仿宋_GB2312" w:eastAsia="仿宋_GB2312"/>
          <w:color w:val="000000"/>
          <w:sz w:val="32"/>
          <w:szCs w:val="32"/>
        </w:rPr>
        <w:t>8.</w:t>
      </w:r>
      <w:r>
        <w:rPr>
          <w:rFonts w:hint="eastAsia" w:ascii="仿宋" w:eastAsia="仿宋"/>
          <w:color w:val="000000"/>
          <w:sz w:val="32"/>
          <w:szCs w:val="32"/>
        </w:rPr>
        <w:t>卫生健康支出</w:t>
      </w:r>
      <w:r>
        <w:rPr>
          <w:rFonts w:hint="eastAsia" w:ascii="仿宋_GB2312" w:eastAsia="仿宋_GB2312"/>
          <w:color w:val="000000"/>
          <w:sz w:val="32"/>
          <w:szCs w:val="32"/>
        </w:rPr>
        <w:t>（类）基层医疗卫生机构（款）</w:t>
      </w:r>
      <w:r>
        <w:rPr>
          <w:rStyle w:val="16"/>
          <w:rFonts w:hint="eastAsia" w:ascii="仿宋_GB2312" w:eastAsia="仿宋_GB2312"/>
          <w:b w:val="0"/>
          <w:color w:val="000000"/>
          <w:sz w:val="32"/>
          <w:szCs w:val="32"/>
        </w:rPr>
        <w:t>乡镇卫生院（项）</w:t>
      </w:r>
      <w:r>
        <w:rPr>
          <w:rFonts w:hint="eastAsia" w:ascii="仿宋_GB2312" w:eastAsia="仿宋_GB2312"/>
          <w:color w:val="000000"/>
          <w:sz w:val="32"/>
          <w:szCs w:val="32"/>
        </w:rPr>
        <w:t>：反映乡镇卫生院的支出；</w:t>
      </w:r>
      <w:r>
        <w:rPr>
          <w:rStyle w:val="16"/>
          <w:rFonts w:hint="eastAsia" w:ascii="仿宋_GB2312" w:eastAsia="仿宋_GB2312"/>
          <w:b w:val="0"/>
          <w:color w:val="000000"/>
          <w:sz w:val="32"/>
          <w:szCs w:val="32"/>
        </w:rPr>
        <w:t>卫生健康支出（类）公共卫生（款）基本公共卫生服务（项）</w:t>
      </w:r>
      <w:r>
        <w:rPr>
          <w:rFonts w:hint="eastAsia" w:ascii="仿宋_GB2312" w:eastAsia="仿宋_GB2312"/>
          <w:color w:val="000000"/>
          <w:sz w:val="32"/>
          <w:szCs w:val="32"/>
        </w:rPr>
        <w:t>：反映乡镇卫生院、社区卫生机构开展基本公共卫生服务的支出；</w:t>
      </w:r>
      <w:r>
        <w:rPr>
          <w:rStyle w:val="16"/>
          <w:rFonts w:hint="eastAsia" w:ascii="仿宋_GB2312" w:eastAsia="仿宋_GB2312"/>
          <w:b w:val="0"/>
          <w:color w:val="000000"/>
          <w:sz w:val="32"/>
          <w:szCs w:val="32"/>
        </w:rPr>
        <w:t>卫生健康支出</w:t>
      </w:r>
      <w:r>
        <w:rPr>
          <w:rFonts w:hint="eastAsia" w:ascii="仿宋_GB2312" w:eastAsia="仿宋_GB2312"/>
          <w:color w:val="000000"/>
          <w:sz w:val="32"/>
          <w:szCs w:val="32"/>
        </w:rPr>
        <w:t>（类）基层医疗卫生机构（款）其他基层医疗卫生机构支出（项）</w:t>
      </w:r>
      <w:r>
        <w:rPr>
          <w:rStyle w:val="16"/>
          <w:rFonts w:hint="eastAsia" w:ascii="仿宋_GB2312" w:eastAsia="仿宋_GB2312"/>
          <w:b w:val="0"/>
          <w:color w:val="000000"/>
          <w:sz w:val="32"/>
          <w:szCs w:val="32"/>
        </w:rPr>
        <w:t>：反映除乡镇卫生院、城市社区卫生机构以外的其他用于基层医疗卫生机构的支出；卫生健康支出（类）行政事业单位医疗</w:t>
      </w:r>
      <w:r>
        <w:rPr>
          <w:rFonts w:hint="eastAsia" w:ascii="仿宋_GB2312" w:eastAsia="仿宋_GB2312"/>
          <w:color w:val="000000"/>
          <w:sz w:val="32"/>
          <w:szCs w:val="32"/>
        </w:rPr>
        <w:t>（款）事业单位医疗（项）</w:t>
      </w:r>
      <w:r>
        <w:rPr>
          <w:rStyle w:val="16"/>
          <w:rFonts w:hint="eastAsia" w:ascii="仿宋_GB2312" w:eastAsia="仿宋_GB2312"/>
          <w:b w:val="0"/>
          <w:color w:val="000000"/>
          <w:sz w:val="32"/>
          <w:szCs w:val="32"/>
        </w:rPr>
        <w:t>:</w:t>
      </w:r>
      <w:r>
        <w:rPr>
          <w:rStyle w:val="16"/>
          <w:rFonts w:hint="eastAsia" w:ascii="仿宋_GB2312" w:eastAsia="仿宋_GB2312"/>
          <w:b w:val="0"/>
          <w:sz w:val="32"/>
          <w:szCs w:val="32"/>
        </w:rPr>
        <w:t>反映</w:t>
      </w:r>
      <w:r>
        <w:rPr>
          <w:rStyle w:val="16"/>
          <w:rFonts w:hint="eastAsia" w:ascii="仿宋_GB2312" w:eastAsia="仿宋_GB2312"/>
          <w:b w:val="0"/>
          <w:color w:val="000000"/>
          <w:sz w:val="32"/>
          <w:szCs w:val="32"/>
        </w:rPr>
        <w:t>卫生健康支出中的在职人员医疗保险。</w:t>
      </w:r>
    </w:p>
    <w:p>
      <w:pPr>
        <w:pageBreakBefore w:val="0"/>
        <w:wordWrap/>
        <w:overflowPunct/>
        <w:topLinePunct w:val="0"/>
        <w:bidi w:val="0"/>
        <w:spacing w:line="58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9.社会保障和就业支出：反映政府在社会保障和就业方面的支出。</w:t>
      </w:r>
    </w:p>
    <w:p>
      <w:pPr>
        <w:pageBreakBefore w:val="0"/>
        <w:wordWrap/>
        <w:overflowPunct/>
        <w:topLinePunct w:val="0"/>
        <w:bidi w:val="0"/>
        <w:spacing w:line="58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社会保障和就业支出-行政事业单位离退休-机关事业单位基本养老保险缴费支出：反映机关事业单位实施养老保险制度由单位缴纳的基本养老保险支出；</w:t>
      </w:r>
    </w:p>
    <w:p>
      <w:pPr>
        <w:pageBreakBefore w:val="0"/>
        <w:wordWrap/>
        <w:overflowPunct/>
        <w:topLinePunct w:val="0"/>
        <w:bidi w:val="0"/>
        <w:spacing w:line="580" w:lineRule="exact"/>
        <w:ind w:firstLine="640" w:firstLineChars="200"/>
        <w:rPr>
          <w:rStyle w:val="16"/>
          <w:rFonts w:hint="eastAsia" w:ascii="仿宋" w:hAnsi="仿宋" w:eastAsia="仿宋" w:cs="仿宋"/>
          <w:b w:val="0"/>
          <w:bCs w:val="0"/>
          <w:color w:val="000000"/>
          <w:sz w:val="32"/>
          <w:szCs w:val="32"/>
          <w:lang w:eastAsia="zh-CN"/>
        </w:rPr>
      </w:pPr>
      <w:r>
        <w:rPr>
          <w:rFonts w:hint="eastAsia" w:ascii="仿宋" w:hAnsi="仿宋" w:eastAsia="仿宋" w:cs="仿宋"/>
          <w:sz w:val="32"/>
          <w:szCs w:val="32"/>
          <w:lang w:val="en-US" w:eastAsia="zh-CN"/>
        </w:rPr>
        <w:t>10.住房保障支出：住房保障支出-住房改革支出-住房公积金：反映行政事业单位按人力资源和社会保障部、财政部规定的基本工资和津贴补贴以及规定比例为职工缴纳的住房公积金。</w:t>
      </w:r>
    </w:p>
    <w:p>
      <w:pPr>
        <w:pageBreakBefore w:val="0"/>
        <w:wordWrap/>
        <w:overflowPunct/>
        <w:topLinePunct w:val="0"/>
        <w:bidi w:val="0"/>
        <w:spacing w:line="580" w:lineRule="exact"/>
        <w:ind w:firstLine="640" w:firstLineChars="200"/>
        <w:rPr>
          <w:rFonts w:ascii="仿宋_GB2312" w:eastAsia="仿宋_GB2312"/>
          <w:color w:val="000000"/>
          <w:sz w:val="32"/>
          <w:szCs w:val="32"/>
        </w:rPr>
      </w:pPr>
      <w:r>
        <w:rPr>
          <w:rFonts w:hint="eastAsia" w:ascii="仿宋_GB2312" w:eastAsia="仿宋_GB2312"/>
          <w:color w:val="000000"/>
          <w:sz w:val="32"/>
          <w:szCs w:val="32"/>
          <w:lang w:val="en-US" w:eastAsia="zh-CN"/>
        </w:rPr>
        <w:t>11</w:t>
      </w:r>
      <w:r>
        <w:rPr>
          <w:rFonts w:ascii="仿宋_GB2312" w:eastAsia="仿宋_GB2312"/>
          <w:color w:val="000000"/>
          <w:sz w:val="32"/>
          <w:szCs w:val="32"/>
        </w:rPr>
        <w:t>.</w:t>
      </w:r>
      <w:r>
        <w:rPr>
          <w:rFonts w:hint="eastAsia" w:ascii="仿宋_GB2312" w:eastAsia="仿宋_GB2312"/>
          <w:color w:val="000000"/>
          <w:sz w:val="32"/>
          <w:szCs w:val="32"/>
        </w:rPr>
        <w:t>基本支出：指为保障机构正常运转、完成日常工作任务而发生的人员支出和公用支出。</w:t>
      </w:r>
    </w:p>
    <w:p>
      <w:pPr>
        <w:pageBreakBefore w:val="0"/>
        <w:wordWrap/>
        <w:overflowPunct/>
        <w:topLinePunct w:val="0"/>
        <w:bidi w:val="0"/>
        <w:spacing w:line="580" w:lineRule="exact"/>
        <w:ind w:firstLine="640" w:firstLineChars="200"/>
        <w:rPr>
          <w:rFonts w:ascii="仿宋_GB2312" w:eastAsia="仿宋_GB2312"/>
          <w:color w:val="000000"/>
          <w:sz w:val="32"/>
          <w:szCs w:val="32"/>
        </w:rPr>
      </w:pPr>
      <w:r>
        <w:rPr>
          <w:rFonts w:hint="eastAsia" w:ascii="仿宋_GB2312" w:eastAsia="仿宋_GB2312"/>
          <w:color w:val="000000"/>
          <w:sz w:val="32"/>
          <w:szCs w:val="32"/>
          <w:lang w:val="en-US" w:eastAsia="zh-CN"/>
        </w:rPr>
        <w:t>12</w:t>
      </w:r>
      <w:r>
        <w:rPr>
          <w:rFonts w:ascii="仿宋_GB2312" w:eastAsia="仿宋_GB2312"/>
          <w:color w:val="000000"/>
          <w:sz w:val="32"/>
          <w:szCs w:val="32"/>
        </w:rPr>
        <w:t>.</w:t>
      </w:r>
      <w:r>
        <w:rPr>
          <w:rFonts w:hint="eastAsia" w:ascii="仿宋_GB2312" w:eastAsia="仿宋_GB2312"/>
          <w:color w:val="000000"/>
          <w:sz w:val="32"/>
          <w:szCs w:val="32"/>
        </w:rPr>
        <w:t>项目支出：指在基本支出之外为完成特定行政任务和事业发展目标所发生的支出。</w:t>
      </w:r>
      <w:r>
        <w:rPr>
          <w:rFonts w:ascii="仿宋_GB2312" w:eastAsia="仿宋_GB2312"/>
          <w:color w:val="000000"/>
          <w:sz w:val="32"/>
          <w:szCs w:val="32"/>
        </w:rPr>
        <w:t xml:space="preserve"> </w:t>
      </w:r>
    </w:p>
    <w:p>
      <w:pPr>
        <w:pStyle w:val="23"/>
        <w:pageBreakBefore w:val="0"/>
        <w:wordWrap/>
        <w:overflowPunct/>
        <w:topLinePunct w:val="0"/>
        <w:bidi w:val="0"/>
        <w:spacing w:line="580" w:lineRule="exact"/>
        <w:ind w:firstLine="640" w:firstLineChars="200"/>
        <w:rPr>
          <w:rFonts w:hint="eastAsia" w:ascii="仿宋_GB2312" w:eastAsia="仿宋_GB2312"/>
          <w:sz w:val="32"/>
          <w:szCs w:val="32"/>
        </w:rPr>
      </w:pPr>
      <w:r>
        <w:rPr>
          <w:rFonts w:hint="eastAsia" w:ascii="仿宋_GB2312" w:eastAsia="仿宋_GB2312"/>
          <w:sz w:val="32"/>
          <w:szCs w:val="32"/>
          <w:lang w:val="en-US" w:eastAsia="zh-CN"/>
        </w:rPr>
        <w:t>13</w:t>
      </w:r>
      <w:r>
        <w:rPr>
          <w:rFonts w:ascii="仿宋_GB2312" w:eastAsia="仿宋_GB2312"/>
          <w:sz w:val="32"/>
          <w:szCs w:val="32"/>
        </w:rPr>
        <w:t>.</w:t>
      </w:r>
      <w:r>
        <w:rPr>
          <w:rFonts w:hint="eastAsia" w:ascii="仿宋_GB2312" w:eastAsia="仿宋_GB2312"/>
          <w:sz w:val="32"/>
          <w:szCs w:val="32"/>
        </w:rPr>
        <w:t>“三公”经费：指</w:t>
      </w:r>
      <w:r>
        <w:rPr>
          <w:rFonts w:hint="eastAsia" w:ascii="仿宋_GB2312" w:eastAsia="仿宋_GB2312"/>
          <w:sz w:val="32"/>
          <w:szCs w:val="32"/>
          <w:lang w:eastAsia="zh-CN"/>
        </w:rPr>
        <w:t>单位</w:t>
      </w:r>
      <w:r>
        <w:rPr>
          <w:rFonts w:hint="eastAsia" w:ascii="仿宋_GB2312" w:eastAsia="仿宋_GB2312"/>
          <w:sz w:val="32"/>
          <w:szCs w:val="32"/>
        </w:rPr>
        <w:t>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3"/>
        <w:pageBreakBefore w:val="0"/>
        <w:kinsoku/>
        <w:wordWrap/>
        <w:overflowPunct/>
        <w:topLinePunct w:val="0"/>
        <w:bidi w:val="0"/>
        <w:spacing w:afterAutospacing="0" w:line="580" w:lineRule="exact"/>
        <w:ind w:firstLine="640" w:firstLineChars="200"/>
        <w:rPr>
          <w:rFonts w:hint="eastAsia" w:ascii="仿宋_GB2312" w:eastAsia="仿宋_GB2312"/>
          <w:sz w:val="32"/>
          <w:szCs w:val="32"/>
        </w:rPr>
      </w:pPr>
      <w:r>
        <w:rPr>
          <w:rFonts w:hint="eastAsia" w:ascii="仿宋_GB2312" w:eastAsia="仿宋_GB2312"/>
          <w:sz w:val="32"/>
          <w:szCs w:val="32"/>
          <w:lang w:val="en-US" w:eastAsia="zh-CN"/>
        </w:rPr>
        <w:t>14</w:t>
      </w:r>
      <w:r>
        <w:rPr>
          <w:rFonts w:ascii="仿宋_GB2312" w:eastAsia="仿宋_GB2312"/>
          <w:sz w:val="32"/>
          <w:szCs w:val="32"/>
        </w:rPr>
        <w:t>.</w:t>
      </w: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23"/>
        <w:pageBreakBefore w:val="0"/>
        <w:kinsoku/>
        <w:wordWrap/>
        <w:overflowPunct/>
        <w:topLinePunct w:val="0"/>
        <w:bidi w:val="0"/>
        <w:spacing w:afterAutospacing="0" w:line="580" w:lineRule="exact"/>
        <w:ind w:firstLine="640" w:firstLineChars="200"/>
        <w:rPr>
          <w:rFonts w:hint="eastAsia" w:ascii="仿宋_GB2312" w:eastAsia="仿宋_GB2312"/>
          <w:sz w:val="32"/>
          <w:szCs w:val="32"/>
        </w:rPr>
      </w:pPr>
    </w:p>
    <w:p>
      <w:pPr>
        <w:pStyle w:val="23"/>
        <w:pageBreakBefore w:val="0"/>
        <w:kinsoku/>
        <w:wordWrap/>
        <w:overflowPunct/>
        <w:topLinePunct w:val="0"/>
        <w:bidi w:val="0"/>
        <w:spacing w:afterAutospacing="0" w:line="580" w:lineRule="exact"/>
        <w:ind w:firstLine="640" w:firstLineChars="200"/>
        <w:rPr>
          <w:rFonts w:hint="eastAsia" w:ascii="仿宋_GB2312" w:eastAsia="仿宋_GB2312"/>
          <w:sz w:val="32"/>
          <w:szCs w:val="32"/>
        </w:rPr>
      </w:pPr>
    </w:p>
    <w:p>
      <w:pPr>
        <w:pStyle w:val="23"/>
        <w:pageBreakBefore w:val="0"/>
        <w:kinsoku/>
        <w:wordWrap/>
        <w:overflowPunct/>
        <w:topLinePunct w:val="0"/>
        <w:bidi w:val="0"/>
        <w:spacing w:afterAutospacing="0" w:line="580" w:lineRule="exact"/>
        <w:ind w:firstLine="640" w:firstLineChars="200"/>
        <w:rPr>
          <w:rFonts w:hint="eastAsia" w:ascii="仿宋_GB2312" w:eastAsia="仿宋_GB2312"/>
          <w:sz w:val="32"/>
          <w:szCs w:val="32"/>
        </w:rPr>
      </w:pPr>
    </w:p>
    <w:p>
      <w:pPr>
        <w:pStyle w:val="23"/>
        <w:pageBreakBefore w:val="0"/>
        <w:kinsoku/>
        <w:wordWrap/>
        <w:overflowPunct/>
        <w:topLinePunct w:val="0"/>
        <w:bidi w:val="0"/>
        <w:spacing w:afterAutospacing="0" w:line="580" w:lineRule="exact"/>
        <w:ind w:firstLine="640" w:firstLineChars="200"/>
        <w:rPr>
          <w:rFonts w:hint="eastAsia" w:ascii="仿宋_GB2312" w:eastAsia="仿宋_GB2312"/>
          <w:sz w:val="32"/>
          <w:szCs w:val="32"/>
        </w:rPr>
      </w:pPr>
    </w:p>
    <w:p>
      <w:pPr>
        <w:pStyle w:val="23"/>
        <w:pageBreakBefore w:val="0"/>
        <w:kinsoku/>
        <w:wordWrap/>
        <w:overflowPunct/>
        <w:topLinePunct w:val="0"/>
        <w:bidi w:val="0"/>
        <w:spacing w:afterAutospacing="0" w:line="580" w:lineRule="exact"/>
        <w:ind w:firstLine="640" w:firstLineChars="200"/>
        <w:rPr>
          <w:rFonts w:hint="eastAsia" w:ascii="仿宋_GB2312" w:eastAsia="仿宋_GB2312"/>
          <w:sz w:val="32"/>
          <w:szCs w:val="32"/>
        </w:rPr>
      </w:pPr>
    </w:p>
    <w:p>
      <w:pPr>
        <w:pStyle w:val="23"/>
        <w:pageBreakBefore w:val="0"/>
        <w:kinsoku/>
        <w:wordWrap/>
        <w:overflowPunct/>
        <w:topLinePunct w:val="0"/>
        <w:bidi w:val="0"/>
        <w:spacing w:afterAutospacing="0" w:line="580" w:lineRule="exact"/>
        <w:ind w:firstLine="640" w:firstLineChars="200"/>
        <w:rPr>
          <w:rFonts w:hint="eastAsia" w:ascii="仿宋_GB2312" w:eastAsia="仿宋_GB2312"/>
          <w:sz w:val="32"/>
          <w:szCs w:val="32"/>
        </w:rPr>
      </w:pPr>
    </w:p>
    <w:p>
      <w:pPr>
        <w:pStyle w:val="23"/>
        <w:pageBreakBefore w:val="0"/>
        <w:kinsoku/>
        <w:wordWrap/>
        <w:overflowPunct/>
        <w:topLinePunct w:val="0"/>
        <w:bidi w:val="0"/>
        <w:spacing w:afterAutospacing="0" w:line="580" w:lineRule="exact"/>
        <w:ind w:firstLine="640" w:firstLineChars="200"/>
        <w:rPr>
          <w:rFonts w:hint="eastAsia" w:ascii="仿宋_GB2312" w:eastAsia="仿宋_GB2312"/>
          <w:sz w:val="32"/>
          <w:szCs w:val="32"/>
        </w:rPr>
      </w:pPr>
    </w:p>
    <w:p>
      <w:pPr>
        <w:pStyle w:val="23"/>
        <w:pageBreakBefore w:val="0"/>
        <w:kinsoku/>
        <w:wordWrap/>
        <w:overflowPunct/>
        <w:topLinePunct w:val="0"/>
        <w:bidi w:val="0"/>
        <w:spacing w:afterAutospacing="0" w:line="580" w:lineRule="exact"/>
        <w:ind w:firstLine="640" w:firstLineChars="200"/>
        <w:rPr>
          <w:rFonts w:hint="eastAsia" w:ascii="仿宋_GB2312" w:eastAsia="仿宋_GB2312"/>
          <w:sz w:val="32"/>
          <w:szCs w:val="32"/>
        </w:rPr>
      </w:pPr>
    </w:p>
    <w:p>
      <w:pPr>
        <w:pStyle w:val="23"/>
        <w:pageBreakBefore w:val="0"/>
        <w:kinsoku/>
        <w:wordWrap/>
        <w:overflowPunct/>
        <w:topLinePunct w:val="0"/>
        <w:bidi w:val="0"/>
        <w:spacing w:afterAutospacing="0" w:line="580" w:lineRule="exact"/>
        <w:ind w:firstLine="640" w:firstLineChars="200"/>
        <w:rPr>
          <w:rFonts w:hint="eastAsia" w:ascii="仿宋_GB2312" w:eastAsia="仿宋_GB2312"/>
          <w:sz w:val="32"/>
          <w:szCs w:val="32"/>
        </w:rPr>
      </w:pPr>
    </w:p>
    <w:p>
      <w:pPr>
        <w:pStyle w:val="23"/>
        <w:pageBreakBefore w:val="0"/>
        <w:kinsoku/>
        <w:wordWrap/>
        <w:overflowPunct/>
        <w:topLinePunct w:val="0"/>
        <w:bidi w:val="0"/>
        <w:spacing w:afterAutospacing="0" w:line="580" w:lineRule="exact"/>
        <w:ind w:firstLine="640" w:firstLineChars="200"/>
        <w:rPr>
          <w:rFonts w:hint="eastAsia" w:ascii="仿宋_GB2312" w:eastAsia="仿宋_GB2312"/>
          <w:sz w:val="32"/>
          <w:szCs w:val="32"/>
        </w:rPr>
      </w:pPr>
    </w:p>
    <w:p>
      <w:pPr>
        <w:pStyle w:val="23"/>
        <w:pageBreakBefore w:val="0"/>
        <w:kinsoku/>
        <w:wordWrap/>
        <w:overflowPunct/>
        <w:topLinePunct w:val="0"/>
        <w:bidi w:val="0"/>
        <w:spacing w:afterAutospacing="0" w:line="580" w:lineRule="exact"/>
        <w:ind w:firstLine="640" w:firstLineChars="200"/>
        <w:rPr>
          <w:rFonts w:hint="eastAsia" w:ascii="仿宋_GB2312" w:eastAsia="仿宋_GB2312"/>
          <w:sz w:val="32"/>
          <w:szCs w:val="32"/>
        </w:rPr>
      </w:pPr>
    </w:p>
    <w:p>
      <w:pPr>
        <w:pStyle w:val="23"/>
        <w:pageBreakBefore w:val="0"/>
        <w:kinsoku/>
        <w:wordWrap/>
        <w:overflowPunct/>
        <w:topLinePunct w:val="0"/>
        <w:bidi w:val="0"/>
        <w:spacing w:afterAutospacing="0" w:line="580" w:lineRule="exact"/>
        <w:ind w:firstLine="640" w:firstLineChars="200"/>
        <w:rPr>
          <w:rFonts w:hint="eastAsia" w:ascii="仿宋_GB2312" w:eastAsia="仿宋_GB2312"/>
          <w:sz w:val="32"/>
          <w:szCs w:val="32"/>
        </w:rPr>
      </w:pPr>
    </w:p>
    <w:p>
      <w:pPr>
        <w:pStyle w:val="23"/>
        <w:pageBreakBefore w:val="0"/>
        <w:kinsoku/>
        <w:wordWrap/>
        <w:overflowPunct/>
        <w:topLinePunct w:val="0"/>
        <w:bidi w:val="0"/>
        <w:spacing w:afterAutospacing="0" w:line="580" w:lineRule="exact"/>
        <w:ind w:firstLine="640" w:firstLineChars="200"/>
        <w:rPr>
          <w:rFonts w:hint="eastAsia" w:ascii="仿宋_GB2312" w:eastAsia="仿宋_GB2312"/>
          <w:sz w:val="32"/>
          <w:szCs w:val="32"/>
        </w:rPr>
      </w:pPr>
    </w:p>
    <w:p>
      <w:pPr>
        <w:pStyle w:val="23"/>
        <w:pageBreakBefore w:val="0"/>
        <w:kinsoku/>
        <w:wordWrap/>
        <w:overflowPunct/>
        <w:topLinePunct w:val="0"/>
        <w:bidi w:val="0"/>
        <w:spacing w:afterAutospacing="0" w:line="580" w:lineRule="exact"/>
        <w:ind w:firstLine="640" w:firstLineChars="200"/>
        <w:rPr>
          <w:rFonts w:hint="eastAsia" w:ascii="仿宋_GB2312" w:eastAsia="仿宋_GB2312"/>
          <w:sz w:val="32"/>
          <w:szCs w:val="32"/>
        </w:rPr>
      </w:pPr>
    </w:p>
    <w:p>
      <w:pPr>
        <w:spacing w:line="600" w:lineRule="exact"/>
        <w:ind w:firstLine="440" w:firstLineChars="100"/>
        <w:jc w:val="center"/>
        <w:outlineLvl w:val="0"/>
        <w:rPr>
          <w:rStyle w:val="18"/>
          <w:rFonts w:ascii="黑体" w:eastAsia="黑体"/>
          <w:b w:val="0"/>
          <w:color w:val="auto"/>
          <w:highlight w:val="none"/>
        </w:rPr>
      </w:pPr>
      <w:bookmarkStart w:id="99" w:name="_Toc15396614"/>
      <w:bookmarkStart w:id="100" w:name="_Toc2734"/>
      <w:r>
        <w:rPr>
          <w:rFonts w:hint="eastAsia" w:ascii="黑体" w:eastAsia="黑体"/>
          <w:color w:val="auto"/>
          <w:sz w:val="44"/>
          <w:szCs w:val="44"/>
          <w:highlight w:val="none"/>
        </w:rPr>
        <w:t>第</w:t>
      </w:r>
      <w:r>
        <w:rPr>
          <w:rStyle w:val="18"/>
          <w:rFonts w:hint="eastAsia" w:ascii="黑体" w:eastAsia="黑体"/>
          <w:b w:val="0"/>
          <w:color w:val="auto"/>
          <w:highlight w:val="none"/>
        </w:rPr>
        <w:t>四部分 附件</w:t>
      </w:r>
      <w:bookmarkEnd w:id="99"/>
      <w:bookmarkEnd w:id="100"/>
    </w:p>
    <w:tbl>
      <w:tblPr>
        <w:tblStyle w:val="13"/>
        <w:tblpPr w:leftFromText="180" w:rightFromText="180" w:vertAnchor="text" w:horzAnchor="page" w:tblpX="1976" w:tblpY="1065"/>
        <w:tblOverlap w:val="never"/>
        <w:tblW w:w="82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02"/>
        <w:gridCol w:w="466"/>
        <w:gridCol w:w="185"/>
        <w:gridCol w:w="170"/>
        <w:gridCol w:w="478"/>
        <w:gridCol w:w="45"/>
        <w:gridCol w:w="319"/>
        <w:gridCol w:w="1"/>
        <w:gridCol w:w="485"/>
        <w:gridCol w:w="1019"/>
        <w:gridCol w:w="534"/>
        <w:gridCol w:w="170"/>
        <w:gridCol w:w="775"/>
        <w:gridCol w:w="1"/>
        <w:gridCol w:w="384"/>
        <w:gridCol w:w="166"/>
        <w:gridCol w:w="526"/>
        <w:gridCol w:w="432"/>
        <w:gridCol w:w="176"/>
        <w:gridCol w:w="214"/>
        <w:gridCol w:w="115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3" w:hRule="atLeast"/>
        </w:trPr>
        <w:tc>
          <w:tcPr>
            <w:tcW w:w="8200" w:type="dxa"/>
            <w:gridSpan w:val="21"/>
            <w:tcBorders>
              <w:top w:val="nil"/>
              <w:left w:val="nil"/>
              <w:bottom w:val="nil"/>
              <w:right w:val="nil"/>
            </w:tcBorders>
            <w:noWrap w:val="0"/>
            <w:vAlign w:val="center"/>
          </w:tcPr>
          <w:p>
            <w:pPr>
              <w:keepNext w:val="0"/>
              <w:keepLines w:val="0"/>
              <w:widowControl/>
              <w:suppressLineNumbers w:val="0"/>
              <w:jc w:val="center"/>
              <w:textAlignment w:val="center"/>
              <w:rPr>
                <w:rFonts w:ascii="方正小标宋简体" w:hAnsi="方正小标宋简体" w:eastAsia="方正小标宋简体" w:cs="方正小标宋简体"/>
                <w:b/>
                <w:bCs/>
                <w:i w:val="0"/>
                <w:iCs w:val="0"/>
                <w:color w:val="000000"/>
                <w:sz w:val="36"/>
                <w:szCs w:val="36"/>
                <w:u w:val="none"/>
              </w:rPr>
            </w:pPr>
            <w:bookmarkStart w:id="101" w:name="_Hlk115001465"/>
            <w:r>
              <w:rPr>
                <w:rFonts w:hint="default" w:ascii="方正小标宋简体" w:hAnsi="方正小标宋简体" w:eastAsia="方正小标宋简体" w:cs="方正小标宋简体"/>
                <w:b/>
                <w:bCs/>
                <w:i w:val="0"/>
                <w:iCs w:val="0"/>
                <w:color w:val="000000"/>
                <w:kern w:val="0"/>
                <w:sz w:val="36"/>
                <w:szCs w:val="36"/>
                <w:u w:val="none"/>
                <w:lang w:val="en-US" w:eastAsia="zh-CN"/>
              </w:rPr>
              <w:t>2022年基本公共卫生服务项目补助资金转移支付项目绩效目标自评表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8200" w:type="dxa"/>
            <w:gridSpan w:val="21"/>
            <w:tcBorders>
              <w:top w:val="nil"/>
              <w:left w:val="nil"/>
              <w:bottom w:val="single" w:color="000000" w:sz="4" w:space="0"/>
              <w:right w:val="nil"/>
            </w:tcBorders>
            <w:noWrap w:val="0"/>
            <w:vAlign w:val="top"/>
          </w:tcPr>
          <w:p>
            <w:pPr>
              <w:keepNext w:val="0"/>
              <w:keepLines w:val="0"/>
              <w:widowControl/>
              <w:suppressLineNumbers w:val="0"/>
              <w:jc w:val="center"/>
              <w:textAlignment w:val="top"/>
              <w:rPr>
                <w:rFonts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7" w:hRule="atLeast"/>
        </w:trPr>
        <w:tc>
          <w:tcPr>
            <w:tcW w:w="132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转移支付（项目）名称</w:t>
            </w:r>
          </w:p>
        </w:tc>
        <w:tc>
          <w:tcPr>
            <w:tcW w:w="6877" w:type="dxa"/>
            <w:gridSpan w:val="1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2022年基本公共卫生服务项目补助资金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4" w:hRule="atLeast"/>
        </w:trPr>
        <w:tc>
          <w:tcPr>
            <w:tcW w:w="132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中央主管部门</w:t>
            </w:r>
          </w:p>
        </w:tc>
        <w:tc>
          <w:tcPr>
            <w:tcW w:w="6877" w:type="dxa"/>
            <w:gridSpan w:val="1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国家卫生健康委员会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32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地方主管部门</w:t>
            </w:r>
          </w:p>
        </w:tc>
        <w:tc>
          <w:tcPr>
            <w:tcW w:w="2881"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广元市昭化区卫生健康局</w:t>
            </w:r>
          </w:p>
        </w:tc>
        <w:tc>
          <w:tcPr>
            <w:tcW w:w="1330"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资金使用单位</w:t>
            </w:r>
          </w:p>
        </w:tc>
        <w:tc>
          <w:tcPr>
            <w:tcW w:w="2666"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广元市昭化区</w:t>
            </w:r>
            <w:r>
              <w:rPr>
                <w:rFonts w:hint="eastAsia" w:ascii="宋体" w:hAnsi="宋体" w:cs="宋体"/>
                <w:i w:val="0"/>
                <w:iCs w:val="0"/>
                <w:color w:val="000000"/>
                <w:kern w:val="0"/>
                <w:sz w:val="20"/>
                <w:szCs w:val="20"/>
                <w:u w:val="none"/>
                <w:lang w:val="en-US" w:eastAsia="zh-CN"/>
              </w:rPr>
              <w:t>青牛</w:t>
            </w:r>
            <w:r>
              <w:rPr>
                <w:rFonts w:hint="eastAsia" w:ascii="宋体" w:hAnsi="宋体" w:eastAsia="宋体" w:cs="宋体"/>
                <w:i w:val="0"/>
                <w:iCs w:val="0"/>
                <w:color w:val="000000"/>
                <w:kern w:val="0"/>
                <w:sz w:val="20"/>
                <w:szCs w:val="20"/>
                <w:u w:val="none"/>
                <w:lang w:val="en-US" w:eastAsia="zh-CN"/>
              </w:rPr>
              <w:t>镇卫生院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7" w:hRule="atLeast"/>
        </w:trPr>
        <w:tc>
          <w:tcPr>
            <w:tcW w:w="1323" w:type="dxa"/>
            <w:gridSpan w:val="4"/>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资金投入情况</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（万元）</w:t>
            </w:r>
          </w:p>
        </w:tc>
        <w:tc>
          <w:tcPr>
            <w:tcW w:w="1328" w:type="dxa"/>
            <w:gridSpan w:val="5"/>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55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全年预算数（A）</w:t>
            </w:r>
          </w:p>
        </w:tc>
        <w:tc>
          <w:tcPr>
            <w:tcW w:w="2454"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全年执行数（B）</w:t>
            </w:r>
          </w:p>
        </w:tc>
        <w:tc>
          <w:tcPr>
            <w:tcW w:w="154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预算执行率（B/A×100%)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2" w:hRule="atLeast"/>
        </w:trPr>
        <w:tc>
          <w:tcPr>
            <w:tcW w:w="1323"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328"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年度资金总额：</w:t>
            </w:r>
          </w:p>
        </w:tc>
        <w:tc>
          <w:tcPr>
            <w:tcW w:w="155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rPr>
              <w:t>78.46</w:t>
            </w:r>
          </w:p>
        </w:tc>
        <w:tc>
          <w:tcPr>
            <w:tcW w:w="2454"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rPr>
              <w:t>78.46</w:t>
            </w:r>
          </w:p>
        </w:tc>
        <w:tc>
          <w:tcPr>
            <w:tcW w:w="154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7" w:hRule="atLeast"/>
        </w:trPr>
        <w:tc>
          <w:tcPr>
            <w:tcW w:w="1323"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328"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28"/>
                <w:lang w:val="en-US" w:eastAsia="zh-CN"/>
              </w:rPr>
              <w:t xml:space="preserve"> </w:t>
            </w:r>
            <w:r>
              <w:rPr>
                <w:rStyle w:val="29"/>
                <w:lang w:val="en-US" w:eastAsia="zh-CN"/>
              </w:rPr>
              <w:t>其中：中央财政资金</w:t>
            </w:r>
          </w:p>
        </w:tc>
        <w:tc>
          <w:tcPr>
            <w:tcW w:w="155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62.29</w:t>
            </w:r>
          </w:p>
        </w:tc>
        <w:tc>
          <w:tcPr>
            <w:tcW w:w="2454"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62.29</w:t>
            </w:r>
          </w:p>
        </w:tc>
        <w:tc>
          <w:tcPr>
            <w:tcW w:w="154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2" w:hRule="atLeast"/>
        </w:trPr>
        <w:tc>
          <w:tcPr>
            <w:tcW w:w="1323"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328"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28"/>
                <w:lang w:val="en-US" w:eastAsia="zh-CN"/>
              </w:rPr>
              <w:t xml:space="preserve"> </w:t>
            </w:r>
            <w:r>
              <w:rPr>
                <w:rStyle w:val="30"/>
                <w:lang w:val="en-US" w:eastAsia="zh-CN"/>
              </w:rPr>
              <w:t xml:space="preserve">      地方资金</w:t>
            </w:r>
          </w:p>
        </w:tc>
        <w:tc>
          <w:tcPr>
            <w:tcW w:w="155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15.80</w:t>
            </w:r>
          </w:p>
        </w:tc>
        <w:tc>
          <w:tcPr>
            <w:tcW w:w="2454"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15.80</w:t>
            </w:r>
          </w:p>
        </w:tc>
        <w:tc>
          <w:tcPr>
            <w:tcW w:w="154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7" w:hRule="atLeast"/>
        </w:trPr>
        <w:tc>
          <w:tcPr>
            <w:tcW w:w="1323"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328"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rPr>
              <w:t xml:space="preserve">      </w:t>
            </w:r>
            <w:r>
              <w:rPr>
                <w:rStyle w:val="29"/>
                <w:lang w:val="en-US" w:eastAsia="zh-CN"/>
              </w:rPr>
              <w:t xml:space="preserve">  其他资金</w:t>
            </w:r>
          </w:p>
        </w:tc>
        <w:tc>
          <w:tcPr>
            <w:tcW w:w="155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rPr>
              <w:t>0.38</w:t>
            </w:r>
          </w:p>
        </w:tc>
        <w:tc>
          <w:tcPr>
            <w:tcW w:w="2454"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rPr>
              <w:t>0.38</w:t>
            </w:r>
          </w:p>
        </w:tc>
        <w:tc>
          <w:tcPr>
            <w:tcW w:w="1542"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7" w:hRule="atLeast"/>
        </w:trPr>
        <w:tc>
          <w:tcPr>
            <w:tcW w:w="1323" w:type="dxa"/>
            <w:gridSpan w:val="4"/>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资金管理情况</w:t>
            </w:r>
          </w:p>
        </w:tc>
        <w:tc>
          <w:tcPr>
            <w:tcW w:w="1328" w:type="dxa"/>
            <w:gridSpan w:val="5"/>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4007" w:type="dxa"/>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情况说明</w:t>
            </w:r>
          </w:p>
        </w:tc>
        <w:tc>
          <w:tcPr>
            <w:tcW w:w="154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存在问题和改进措施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3" w:hRule="atLeast"/>
        </w:trPr>
        <w:tc>
          <w:tcPr>
            <w:tcW w:w="1323"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328"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分配科学性</w:t>
            </w:r>
          </w:p>
        </w:tc>
        <w:tc>
          <w:tcPr>
            <w:tcW w:w="4007" w:type="dxa"/>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按照各镇服务常住人口数，结合省市区绩效评价方案将所有资金100%下达至项目实施单位，同时督促项目实施单位40%下达至村卫生室。</w:t>
            </w:r>
          </w:p>
        </w:tc>
        <w:tc>
          <w:tcPr>
            <w:tcW w:w="154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7" w:hRule="atLeast"/>
        </w:trPr>
        <w:tc>
          <w:tcPr>
            <w:tcW w:w="1323"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328"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下达及时性</w:t>
            </w:r>
          </w:p>
        </w:tc>
        <w:tc>
          <w:tcPr>
            <w:tcW w:w="4007" w:type="dxa"/>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8月份下达到位资金的80%，12月底将所有资金全部拨付到位。</w:t>
            </w:r>
          </w:p>
        </w:tc>
        <w:tc>
          <w:tcPr>
            <w:tcW w:w="154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7" w:hRule="atLeast"/>
        </w:trPr>
        <w:tc>
          <w:tcPr>
            <w:tcW w:w="1323"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328"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拨付合规性</w:t>
            </w:r>
          </w:p>
        </w:tc>
        <w:tc>
          <w:tcPr>
            <w:tcW w:w="4007" w:type="dxa"/>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按照各镇常住人口数，结合2022年绩效评价结果合理合规拨付资金。</w:t>
            </w:r>
          </w:p>
        </w:tc>
        <w:tc>
          <w:tcPr>
            <w:tcW w:w="154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7" w:hRule="atLeast"/>
        </w:trPr>
        <w:tc>
          <w:tcPr>
            <w:tcW w:w="1323"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328"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使用规范性</w:t>
            </w:r>
          </w:p>
        </w:tc>
        <w:tc>
          <w:tcPr>
            <w:tcW w:w="4007" w:type="dxa"/>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本着专款专用的原则，严格按照项目资金审批要求使用项目资金。</w:t>
            </w:r>
          </w:p>
        </w:tc>
        <w:tc>
          <w:tcPr>
            <w:tcW w:w="154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1323"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328"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执行准确性</w:t>
            </w:r>
          </w:p>
        </w:tc>
        <w:tc>
          <w:tcPr>
            <w:tcW w:w="4007" w:type="dxa"/>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所有资金全部用于基本公共卫生服务项目</w:t>
            </w:r>
          </w:p>
        </w:tc>
        <w:tc>
          <w:tcPr>
            <w:tcW w:w="154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7" w:hRule="atLeast"/>
        </w:trPr>
        <w:tc>
          <w:tcPr>
            <w:tcW w:w="1323"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328"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预算绩效管理情况</w:t>
            </w:r>
          </w:p>
        </w:tc>
        <w:tc>
          <w:tcPr>
            <w:tcW w:w="4007" w:type="dxa"/>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按照全区常住人口数量预算全年项目资金，提升财政专项资金使用效益</w:t>
            </w:r>
          </w:p>
        </w:tc>
        <w:tc>
          <w:tcPr>
            <w:tcW w:w="154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7" w:hRule="atLeast"/>
        </w:trPr>
        <w:tc>
          <w:tcPr>
            <w:tcW w:w="1323"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328"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支出责任履行情况</w:t>
            </w:r>
          </w:p>
        </w:tc>
        <w:tc>
          <w:tcPr>
            <w:tcW w:w="4007" w:type="dxa"/>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建立由卫健支出，财政局监督的资金支出制度，确保资金使用的合理合法合规。</w:t>
            </w:r>
          </w:p>
        </w:tc>
        <w:tc>
          <w:tcPr>
            <w:tcW w:w="154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502" w:type="dxa"/>
            <w:vMerge w:val="restart"/>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总体目标完成情况</w:t>
            </w:r>
          </w:p>
        </w:tc>
        <w:tc>
          <w:tcPr>
            <w:tcW w:w="3872" w:type="dxa"/>
            <w:gridSpan w:val="11"/>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总体目标</w:t>
            </w:r>
          </w:p>
        </w:tc>
        <w:tc>
          <w:tcPr>
            <w:tcW w:w="3826" w:type="dxa"/>
            <w:gridSpan w:val="9"/>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全年实际完成情况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49" w:hRule="atLeast"/>
        </w:trPr>
        <w:tc>
          <w:tcPr>
            <w:tcW w:w="502" w:type="dxa"/>
            <w:vMerge w:val="continue"/>
            <w:tcBorders>
              <w:top w:val="nil"/>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872" w:type="dxa"/>
            <w:gridSpan w:val="11"/>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1:免费向常住城乡居民提供12类国家基本公共卫生服务；</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2、开展对重点疾病及危害因素检测，有效控制疾病流行，为制定相关政策提供科学依据；</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3、助力国家脱贫攻坚，保持重点地方病防治措施全面落实。</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4、开展职业病检测，最大限度地保护放射工作人员，患者和公众的健康权益。</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5、同时推进妇幼健康、健康素养促进、医养结合和老年健康服务、卫生应急、计划生育等方面工作。</w:t>
            </w:r>
          </w:p>
        </w:tc>
        <w:tc>
          <w:tcPr>
            <w:tcW w:w="3826" w:type="dxa"/>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1.全乡承担基本公共卫生项目基层医疗卫生机构免费为辖区居民提供12类基本公共卫生服务。</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2.开展对重点疾病及危害因素监测，有效控制疾病流行，为制定相关政策提供科学依据。重点疾病监测项目完成相应指标。</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3.助力国家脱贫攻坚，保持重点地方病防治措施全面落实。完成地方病监测任务。</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4.全面完成职业病监测各项任务。最大限度地保护放射工作人员、患者和公众的健康权益。</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5.推进妇幼健康、健康素养促进、医养结合和老年健康服务、卫生应急、计划生育等方面工作，确保各项指标达标及工作落实。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7" w:hRule="atLeast"/>
        </w:trPr>
        <w:tc>
          <w:tcPr>
            <w:tcW w:w="502" w:type="dxa"/>
            <w:vMerge w:val="restart"/>
            <w:tcBorders>
              <w:top w:val="single" w:color="000000" w:sz="4" w:space="0"/>
              <w:left w:val="single" w:color="000000" w:sz="4" w:space="0"/>
              <w:bottom w:val="single" w:color="000000" w:sz="4" w:space="0"/>
              <w:right w:val="single" w:color="000000" w:sz="4" w:space="0"/>
            </w:tcBorders>
            <w:noWrap w:val="0"/>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绩效指标</w:t>
            </w:r>
          </w:p>
        </w:tc>
        <w:tc>
          <w:tcPr>
            <w:tcW w:w="65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一级</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指标</w:t>
            </w:r>
          </w:p>
        </w:tc>
        <w:tc>
          <w:tcPr>
            <w:tcW w:w="648" w:type="dxa"/>
            <w:gridSpan w:val="2"/>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二级指标</w:t>
            </w:r>
          </w:p>
        </w:tc>
        <w:tc>
          <w:tcPr>
            <w:tcW w:w="2573" w:type="dxa"/>
            <w:gridSpan w:val="7"/>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三级指标</w:t>
            </w:r>
          </w:p>
        </w:tc>
        <w:tc>
          <w:tcPr>
            <w:tcW w:w="1326"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指标值</w:t>
            </w:r>
          </w:p>
        </w:tc>
        <w:tc>
          <w:tcPr>
            <w:tcW w:w="113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全年实际完成值</w:t>
            </w:r>
          </w:p>
        </w:tc>
        <w:tc>
          <w:tcPr>
            <w:tcW w:w="136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未完成原因和改进措施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2" w:hRule="atLeast"/>
        </w:trPr>
        <w:tc>
          <w:tcPr>
            <w:tcW w:w="50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651" w:type="dxa"/>
            <w:gridSpan w:val="2"/>
            <w:vMerge w:val="restart"/>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648" w:type="dxa"/>
            <w:gridSpan w:val="2"/>
            <w:vMerge w:val="restart"/>
            <w:tcBorders>
              <w:top w:val="single" w:color="auto" w:sz="4" w:space="0"/>
              <w:left w:val="single" w:color="auto"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数量指标</w:t>
            </w:r>
          </w:p>
        </w:tc>
        <w:tc>
          <w:tcPr>
            <w:tcW w:w="2573" w:type="dxa"/>
            <w:gridSpan w:val="7"/>
            <w:tcBorders>
              <w:top w:val="single" w:color="auto" w:sz="4" w:space="0"/>
              <w:left w:val="single" w:color="000000" w:sz="4" w:space="0"/>
              <w:bottom w:val="nil"/>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适龄儿童国家免疫规划疫苗接种率</w:t>
            </w:r>
          </w:p>
        </w:tc>
        <w:tc>
          <w:tcPr>
            <w:tcW w:w="1326" w:type="dxa"/>
            <w:gridSpan w:val="4"/>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0"/>
                <w:lang w:val="en-US" w:eastAsia="zh-CN"/>
              </w:rPr>
              <w:t>≥</w:t>
            </w:r>
            <w:r>
              <w:rPr>
                <w:rStyle w:val="32"/>
                <w:rFonts w:ascii="宋体" w:hAnsi="宋体" w:eastAsia="宋体" w:cs="宋体"/>
                <w:sz w:val="24"/>
                <w:szCs w:val="24"/>
                <w:lang w:val="en-US" w:eastAsia="zh-CN"/>
              </w:rPr>
              <w:t>90%</w:t>
            </w:r>
          </w:p>
        </w:tc>
        <w:tc>
          <w:tcPr>
            <w:tcW w:w="113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136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50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651" w:type="dxa"/>
            <w:gridSpan w:val="2"/>
            <w:vMerge w:val="continue"/>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648" w:type="dxa"/>
            <w:gridSpan w:val="2"/>
            <w:vMerge w:val="continue"/>
            <w:tcBorders>
              <w:top w:val="single" w:color="000000" w:sz="4" w:space="0"/>
              <w:left w:val="single" w:color="auto" w:sz="4"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2573" w:type="dxa"/>
            <w:gridSpan w:val="7"/>
            <w:tcBorders>
              <w:top w:val="single" w:color="000000" w:sz="4" w:space="0"/>
              <w:left w:val="single" w:color="000000" w:sz="4" w:space="0"/>
              <w:bottom w:val="nil"/>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28"/>
                <w:lang w:val="en-US" w:eastAsia="zh-CN"/>
              </w:rPr>
              <w:t>7</w:t>
            </w:r>
            <w:r>
              <w:rPr>
                <w:rStyle w:val="30"/>
                <w:lang w:val="en-US" w:eastAsia="zh-CN"/>
              </w:rPr>
              <w:t>岁以下儿童健康管理率</w:t>
            </w:r>
          </w:p>
        </w:tc>
        <w:tc>
          <w:tcPr>
            <w:tcW w:w="1326" w:type="dxa"/>
            <w:gridSpan w:val="4"/>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0"/>
                <w:lang w:val="en-US" w:eastAsia="zh-CN"/>
              </w:rPr>
              <w:t>≥</w:t>
            </w:r>
            <w:r>
              <w:rPr>
                <w:rStyle w:val="32"/>
                <w:rFonts w:ascii="宋体" w:hAnsi="宋体" w:eastAsia="宋体" w:cs="宋体"/>
                <w:sz w:val="24"/>
                <w:szCs w:val="24"/>
                <w:lang w:val="en-US" w:eastAsia="zh-CN"/>
              </w:rPr>
              <w:t>85%</w:t>
            </w:r>
          </w:p>
        </w:tc>
        <w:tc>
          <w:tcPr>
            <w:tcW w:w="113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90%</w:t>
            </w:r>
          </w:p>
        </w:tc>
        <w:tc>
          <w:tcPr>
            <w:tcW w:w="136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2" w:hRule="atLeast"/>
        </w:trPr>
        <w:tc>
          <w:tcPr>
            <w:tcW w:w="50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651" w:type="dxa"/>
            <w:gridSpan w:val="2"/>
            <w:vMerge w:val="continue"/>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648" w:type="dxa"/>
            <w:gridSpan w:val="2"/>
            <w:vMerge w:val="continue"/>
            <w:tcBorders>
              <w:top w:val="single" w:color="000000" w:sz="4" w:space="0"/>
              <w:left w:val="single" w:color="auto" w:sz="4"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2573" w:type="dxa"/>
            <w:gridSpan w:val="7"/>
            <w:tcBorders>
              <w:top w:val="single" w:color="000000" w:sz="4" w:space="0"/>
              <w:left w:val="single" w:color="000000" w:sz="4" w:space="0"/>
              <w:bottom w:val="nil"/>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28"/>
                <w:lang w:val="en-US" w:eastAsia="zh-CN"/>
              </w:rPr>
              <w:t>0-6</w:t>
            </w:r>
            <w:r>
              <w:rPr>
                <w:rStyle w:val="30"/>
                <w:lang w:val="en-US" w:eastAsia="zh-CN"/>
              </w:rPr>
              <w:t>岁儿童眼保健和视力检查覆盖率</w:t>
            </w:r>
          </w:p>
        </w:tc>
        <w:tc>
          <w:tcPr>
            <w:tcW w:w="1326" w:type="dxa"/>
            <w:gridSpan w:val="4"/>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0"/>
                <w:lang w:val="en-US" w:eastAsia="zh-CN"/>
              </w:rPr>
              <w:t>≥</w:t>
            </w:r>
            <w:r>
              <w:rPr>
                <w:rStyle w:val="32"/>
                <w:rFonts w:ascii="宋体" w:hAnsi="宋体" w:eastAsia="宋体" w:cs="宋体"/>
                <w:sz w:val="24"/>
                <w:szCs w:val="24"/>
                <w:lang w:val="en-US" w:eastAsia="zh-CN"/>
              </w:rPr>
              <w:t>90%</w:t>
            </w:r>
          </w:p>
        </w:tc>
        <w:tc>
          <w:tcPr>
            <w:tcW w:w="113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93%</w:t>
            </w:r>
          </w:p>
        </w:tc>
        <w:tc>
          <w:tcPr>
            <w:tcW w:w="136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50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651" w:type="dxa"/>
            <w:gridSpan w:val="2"/>
            <w:vMerge w:val="continue"/>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648" w:type="dxa"/>
            <w:gridSpan w:val="2"/>
            <w:vMerge w:val="continue"/>
            <w:tcBorders>
              <w:top w:val="single" w:color="000000" w:sz="4" w:space="0"/>
              <w:left w:val="single" w:color="auto" w:sz="4"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2573" w:type="dxa"/>
            <w:gridSpan w:val="7"/>
            <w:tcBorders>
              <w:top w:val="single" w:color="000000" w:sz="4" w:space="0"/>
              <w:left w:val="single" w:color="000000" w:sz="4" w:space="0"/>
              <w:bottom w:val="nil"/>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孕产妇系统管理率</w:t>
            </w:r>
          </w:p>
        </w:tc>
        <w:tc>
          <w:tcPr>
            <w:tcW w:w="1326" w:type="dxa"/>
            <w:gridSpan w:val="4"/>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0"/>
                <w:lang w:val="en-US" w:eastAsia="zh-CN"/>
              </w:rPr>
              <w:t>≥</w:t>
            </w:r>
            <w:r>
              <w:rPr>
                <w:rStyle w:val="32"/>
                <w:rFonts w:ascii="宋体" w:hAnsi="宋体" w:eastAsia="宋体" w:cs="宋体"/>
                <w:sz w:val="24"/>
                <w:szCs w:val="24"/>
                <w:lang w:val="en-US" w:eastAsia="zh-CN"/>
              </w:rPr>
              <w:t>90%</w:t>
            </w:r>
          </w:p>
        </w:tc>
        <w:tc>
          <w:tcPr>
            <w:tcW w:w="113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99.55</w:t>
            </w:r>
          </w:p>
        </w:tc>
        <w:tc>
          <w:tcPr>
            <w:tcW w:w="136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50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651" w:type="dxa"/>
            <w:gridSpan w:val="2"/>
            <w:vMerge w:val="continue"/>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648" w:type="dxa"/>
            <w:gridSpan w:val="2"/>
            <w:vMerge w:val="continue"/>
            <w:tcBorders>
              <w:top w:val="single" w:color="000000" w:sz="4" w:space="0"/>
              <w:left w:val="single" w:color="auto" w:sz="4"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2573" w:type="dxa"/>
            <w:gridSpan w:val="7"/>
            <w:tcBorders>
              <w:top w:val="single" w:color="000000" w:sz="4" w:space="0"/>
              <w:left w:val="single" w:color="000000" w:sz="4" w:space="0"/>
              <w:bottom w:val="nil"/>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28"/>
                <w:lang w:val="en-US" w:eastAsia="zh-CN"/>
              </w:rPr>
              <w:t>3</w:t>
            </w:r>
            <w:r>
              <w:rPr>
                <w:rStyle w:val="30"/>
                <w:lang w:val="en-US" w:eastAsia="zh-CN"/>
              </w:rPr>
              <w:t>岁以下儿童系统管理率</w:t>
            </w:r>
          </w:p>
        </w:tc>
        <w:tc>
          <w:tcPr>
            <w:tcW w:w="1326" w:type="dxa"/>
            <w:gridSpan w:val="4"/>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0"/>
                <w:lang w:val="en-US" w:eastAsia="zh-CN"/>
              </w:rPr>
              <w:t>≥</w:t>
            </w:r>
            <w:r>
              <w:rPr>
                <w:rStyle w:val="32"/>
                <w:rFonts w:ascii="宋体" w:hAnsi="宋体" w:eastAsia="宋体" w:cs="宋体"/>
                <w:sz w:val="24"/>
                <w:szCs w:val="24"/>
                <w:lang w:val="en-US" w:eastAsia="zh-CN"/>
              </w:rPr>
              <w:t>80%</w:t>
            </w:r>
          </w:p>
        </w:tc>
        <w:tc>
          <w:tcPr>
            <w:tcW w:w="113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90%</w:t>
            </w:r>
          </w:p>
        </w:tc>
        <w:tc>
          <w:tcPr>
            <w:tcW w:w="136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2" w:hRule="atLeast"/>
        </w:trPr>
        <w:tc>
          <w:tcPr>
            <w:tcW w:w="50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651" w:type="dxa"/>
            <w:gridSpan w:val="2"/>
            <w:vMerge w:val="continue"/>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648" w:type="dxa"/>
            <w:gridSpan w:val="2"/>
            <w:vMerge w:val="continue"/>
            <w:tcBorders>
              <w:top w:val="single" w:color="000000" w:sz="4" w:space="0"/>
              <w:left w:val="single" w:color="auto" w:sz="4"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2573" w:type="dxa"/>
            <w:gridSpan w:val="7"/>
            <w:tcBorders>
              <w:top w:val="single" w:color="000000" w:sz="4" w:space="0"/>
              <w:left w:val="single" w:color="000000" w:sz="4" w:space="0"/>
              <w:bottom w:val="nil"/>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高血压患者管理人数</w:t>
            </w:r>
          </w:p>
        </w:tc>
        <w:tc>
          <w:tcPr>
            <w:tcW w:w="1326" w:type="dxa"/>
            <w:gridSpan w:val="4"/>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2"/>
                <w:rFonts w:hint="eastAsia" w:ascii="宋体" w:hAnsi="宋体" w:eastAsia="宋体" w:cs="宋体"/>
                <w:sz w:val="24"/>
                <w:szCs w:val="24"/>
                <w:lang w:val="en-US" w:eastAsia="zh-CN"/>
              </w:rPr>
              <w:t>0.0895</w:t>
            </w:r>
            <w:r>
              <w:rPr>
                <w:rStyle w:val="30"/>
                <w:lang w:val="en-US" w:eastAsia="zh-CN"/>
              </w:rPr>
              <w:t>万人</w:t>
            </w:r>
          </w:p>
        </w:tc>
        <w:tc>
          <w:tcPr>
            <w:tcW w:w="113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2"/>
                <w:rFonts w:hint="eastAsia" w:ascii="宋体" w:hAnsi="宋体" w:eastAsia="宋体" w:cs="宋体"/>
                <w:sz w:val="24"/>
                <w:szCs w:val="24"/>
                <w:lang w:val="en-US" w:eastAsia="zh-CN"/>
              </w:rPr>
              <w:t>0.0895</w:t>
            </w:r>
            <w:r>
              <w:rPr>
                <w:rStyle w:val="30"/>
                <w:lang w:val="en-US" w:eastAsia="zh-CN"/>
              </w:rPr>
              <w:t>万人</w:t>
            </w:r>
          </w:p>
        </w:tc>
        <w:tc>
          <w:tcPr>
            <w:tcW w:w="136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2" w:hRule="atLeast"/>
        </w:trPr>
        <w:tc>
          <w:tcPr>
            <w:tcW w:w="50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651" w:type="dxa"/>
            <w:gridSpan w:val="2"/>
            <w:vMerge w:val="continue"/>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648" w:type="dxa"/>
            <w:gridSpan w:val="2"/>
            <w:vMerge w:val="continue"/>
            <w:tcBorders>
              <w:top w:val="single" w:color="000000" w:sz="4" w:space="0"/>
              <w:left w:val="single" w:color="auto" w:sz="4"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2573" w:type="dxa"/>
            <w:gridSpan w:val="7"/>
            <w:tcBorders>
              <w:top w:val="single" w:color="000000" w:sz="4" w:space="0"/>
              <w:left w:val="single" w:color="000000" w:sz="4" w:space="0"/>
              <w:bottom w:val="nil"/>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28"/>
                <w:lang w:val="en-US" w:eastAsia="zh-CN"/>
              </w:rPr>
              <w:t>2</w:t>
            </w:r>
            <w:r>
              <w:rPr>
                <w:rStyle w:val="30"/>
                <w:lang w:val="en-US" w:eastAsia="zh-CN"/>
              </w:rPr>
              <w:t>型糖尿病患者管理人数</w:t>
            </w:r>
          </w:p>
        </w:tc>
        <w:tc>
          <w:tcPr>
            <w:tcW w:w="1326" w:type="dxa"/>
            <w:gridSpan w:val="4"/>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2"/>
                <w:rFonts w:hint="eastAsia" w:ascii="宋体" w:hAnsi="宋体" w:eastAsia="宋体" w:cs="宋体"/>
                <w:sz w:val="24"/>
                <w:szCs w:val="24"/>
                <w:lang w:val="en-US" w:eastAsia="zh-CN"/>
              </w:rPr>
              <w:t>0.0256</w:t>
            </w:r>
            <w:r>
              <w:rPr>
                <w:rStyle w:val="30"/>
                <w:lang w:val="en-US" w:eastAsia="zh-CN"/>
              </w:rPr>
              <w:t>万人</w:t>
            </w:r>
          </w:p>
        </w:tc>
        <w:tc>
          <w:tcPr>
            <w:tcW w:w="113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2"/>
                <w:rFonts w:hint="eastAsia" w:ascii="宋体" w:hAnsi="宋体" w:eastAsia="宋体" w:cs="宋体"/>
                <w:sz w:val="24"/>
                <w:szCs w:val="24"/>
                <w:lang w:val="en-US" w:eastAsia="zh-CN"/>
              </w:rPr>
              <w:t>0.0256</w:t>
            </w:r>
            <w:r>
              <w:rPr>
                <w:rStyle w:val="30"/>
                <w:lang w:val="en-US" w:eastAsia="zh-CN"/>
              </w:rPr>
              <w:t>万人</w:t>
            </w:r>
          </w:p>
        </w:tc>
        <w:tc>
          <w:tcPr>
            <w:tcW w:w="136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50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651" w:type="dxa"/>
            <w:gridSpan w:val="2"/>
            <w:vMerge w:val="continue"/>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648" w:type="dxa"/>
            <w:gridSpan w:val="2"/>
            <w:vMerge w:val="continue"/>
            <w:tcBorders>
              <w:top w:val="single" w:color="000000" w:sz="4" w:space="0"/>
              <w:left w:val="single" w:color="auto" w:sz="4"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2573" w:type="dxa"/>
            <w:gridSpan w:val="7"/>
            <w:tcBorders>
              <w:top w:val="single" w:color="000000" w:sz="4" w:space="0"/>
              <w:left w:val="single" w:color="000000" w:sz="4" w:space="0"/>
              <w:bottom w:val="nil"/>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地方病核心指标监测率</w:t>
            </w:r>
          </w:p>
        </w:tc>
        <w:tc>
          <w:tcPr>
            <w:tcW w:w="1326" w:type="dxa"/>
            <w:gridSpan w:val="4"/>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0"/>
                <w:lang w:val="en-US" w:eastAsia="zh-CN"/>
              </w:rPr>
              <w:t>≥</w:t>
            </w:r>
            <w:r>
              <w:rPr>
                <w:rStyle w:val="32"/>
                <w:rFonts w:ascii="宋体" w:hAnsi="宋体" w:eastAsia="宋体" w:cs="宋体"/>
                <w:sz w:val="24"/>
                <w:szCs w:val="24"/>
                <w:lang w:val="en-US" w:eastAsia="zh-CN"/>
              </w:rPr>
              <w:t>90%</w:t>
            </w:r>
          </w:p>
        </w:tc>
        <w:tc>
          <w:tcPr>
            <w:tcW w:w="113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136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2" w:hRule="atLeast"/>
        </w:trPr>
        <w:tc>
          <w:tcPr>
            <w:tcW w:w="50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651" w:type="dxa"/>
            <w:gridSpan w:val="2"/>
            <w:vMerge w:val="continue"/>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648" w:type="dxa"/>
            <w:gridSpan w:val="2"/>
            <w:vMerge w:val="continue"/>
            <w:tcBorders>
              <w:top w:val="single" w:color="000000" w:sz="4" w:space="0"/>
              <w:left w:val="single" w:color="auto" w:sz="4"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2573" w:type="dxa"/>
            <w:gridSpan w:val="7"/>
            <w:tcBorders>
              <w:top w:val="single" w:color="000000" w:sz="4" w:space="0"/>
              <w:left w:val="single" w:color="000000" w:sz="4" w:space="0"/>
              <w:bottom w:val="nil"/>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职业健康核心指标监测县区覆盖率</w:t>
            </w:r>
          </w:p>
        </w:tc>
        <w:tc>
          <w:tcPr>
            <w:tcW w:w="1326" w:type="dxa"/>
            <w:gridSpan w:val="4"/>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0"/>
                <w:lang w:val="en-US" w:eastAsia="zh-CN"/>
              </w:rPr>
              <w:t>≥</w:t>
            </w:r>
            <w:r>
              <w:rPr>
                <w:rStyle w:val="32"/>
                <w:rFonts w:ascii="宋体" w:hAnsi="宋体" w:eastAsia="宋体" w:cs="宋体"/>
                <w:sz w:val="24"/>
                <w:szCs w:val="24"/>
                <w:lang w:val="en-US" w:eastAsia="zh-CN"/>
              </w:rPr>
              <w:t>92%</w:t>
            </w:r>
          </w:p>
        </w:tc>
        <w:tc>
          <w:tcPr>
            <w:tcW w:w="113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136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50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651" w:type="dxa"/>
            <w:gridSpan w:val="2"/>
            <w:vMerge w:val="continue"/>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648" w:type="dxa"/>
            <w:gridSpan w:val="2"/>
            <w:vMerge w:val="continue"/>
            <w:tcBorders>
              <w:top w:val="single" w:color="000000" w:sz="4" w:space="0"/>
              <w:left w:val="single" w:color="auto" w:sz="4" w:space="0"/>
              <w:bottom w:val="single" w:color="auto"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2573" w:type="dxa"/>
            <w:gridSpan w:val="7"/>
            <w:tcBorders>
              <w:top w:val="single" w:color="000000" w:sz="4" w:space="0"/>
              <w:left w:val="single" w:color="000000"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肺结核患者管理率</w:t>
            </w:r>
          </w:p>
        </w:tc>
        <w:tc>
          <w:tcPr>
            <w:tcW w:w="1326" w:type="dxa"/>
            <w:gridSpan w:val="4"/>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0"/>
                <w:lang w:val="en-US" w:eastAsia="zh-CN"/>
              </w:rPr>
              <w:t>≥</w:t>
            </w:r>
            <w:r>
              <w:rPr>
                <w:rStyle w:val="32"/>
                <w:rFonts w:ascii="宋体" w:hAnsi="宋体" w:eastAsia="宋体" w:cs="宋体"/>
                <w:sz w:val="24"/>
                <w:szCs w:val="24"/>
                <w:lang w:val="en-US" w:eastAsia="zh-CN"/>
              </w:rPr>
              <w:t>90%</w:t>
            </w:r>
          </w:p>
        </w:tc>
        <w:tc>
          <w:tcPr>
            <w:tcW w:w="113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136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7" w:hRule="atLeast"/>
        </w:trPr>
        <w:tc>
          <w:tcPr>
            <w:tcW w:w="50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651" w:type="dxa"/>
            <w:gridSpan w:val="2"/>
            <w:vMerge w:val="continue"/>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648" w:type="dxa"/>
            <w:gridSpan w:val="2"/>
            <w:vMerge w:val="continue"/>
            <w:tcBorders>
              <w:top w:val="single" w:color="auto" w:sz="4" w:space="0"/>
              <w:left w:val="single" w:color="auto" w:sz="4"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2573" w:type="dxa"/>
            <w:gridSpan w:val="7"/>
            <w:tcBorders>
              <w:top w:val="single" w:color="auto" w:sz="4" w:space="0"/>
              <w:left w:val="single" w:color="000000" w:sz="4" w:space="0"/>
              <w:bottom w:val="nil"/>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社区在册居家严重精神障碍患者健康管理率</w:t>
            </w:r>
          </w:p>
        </w:tc>
        <w:tc>
          <w:tcPr>
            <w:tcW w:w="1326"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0"/>
                <w:lang w:val="en-US" w:eastAsia="zh-CN"/>
              </w:rPr>
              <w:t>≥</w:t>
            </w:r>
            <w:r>
              <w:rPr>
                <w:rStyle w:val="32"/>
                <w:rFonts w:ascii="宋体" w:hAnsi="宋体" w:eastAsia="宋体" w:cs="宋体"/>
                <w:sz w:val="24"/>
                <w:szCs w:val="24"/>
                <w:lang w:val="en-US" w:eastAsia="zh-CN"/>
              </w:rPr>
              <w:t>80%</w:t>
            </w:r>
          </w:p>
        </w:tc>
        <w:tc>
          <w:tcPr>
            <w:tcW w:w="113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99.88%</w:t>
            </w:r>
          </w:p>
        </w:tc>
        <w:tc>
          <w:tcPr>
            <w:tcW w:w="136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50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651" w:type="dxa"/>
            <w:gridSpan w:val="2"/>
            <w:vMerge w:val="continue"/>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648" w:type="dxa"/>
            <w:gridSpan w:val="2"/>
            <w:vMerge w:val="continue"/>
            <w:tcBorders>
              <w:top w:val="single" w:color="000000" w:sz="4" w:space="0"/>
              <w:left w:val="single" w:color="auto" w:sz="4"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2573" w:type="dxa"/>
            <w:gridSpan w:val="7"/>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儿童中医药健康管理率</w:t>
            </w:r>
          </w:p>
        </w:tc>
        <w:tc>
          <w:tcPr>
            <w:tcW w:w="1326"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0"/>
                <w:lang w:val="en-US" w:eastAsia="zh-CN"/>
              </w:rPr>
              <w:t>≥</w:t>
            </w:r>
            <w:r>
              <w:rPr>
                <w:rStyle w:val="32"/>
                <w:rFonts w:ascii="宋体" w:hAnsi="宋体" w:eastAsia="宋体" w:cs="宋体"/>
                <w:sz w:val="24"/>
                <w:szCs w:val="24"/>
                <w:lang w:val="en-US" w:eastAsia="zh-CN"/>
              </w:rPr>
              <w:t>65%</w:t>
            </w:r>
          </w:p>
        </w:tc>
        <w:tc>
          <w:tcPr>
            <w:tcW w:w="113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80%</w:t>
            </w:r>
          </w:p>
        </w:tc>
        <w:tc>
          <w:tcPr>
            <w:tcW w:w="136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50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651" w:type="dxa"/>
            <w:gridSpan w:val="2"/>
            <w:vMerge w:val="continue"/>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648" w:type="dxa"/>
            <w:gridSpan w:val="2"/>
            <w:vMerge w:val="continue"/>
            <w:tcBorders>
              <w:top w:val="single" w:color="000000" w:sz="4" w:space="0"/>
              <w:left w:val="single" w:color="auto" w:sz="4"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2573" w:type="dxa"/>
            <w:gridSpan w:val="7"/>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老年人中医药健康管理率</w:t>
            </w:r>
          </w:p>
        </w:tc>
        <w:tc>
          <w:tcPr>
            <w:tcW w:w="1326"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0"/>
                <w:lang w:val="en-US" w:eastAsia="zh-CN"/>
              </w:rPr>
              <w:t>≥</w:t>
            </w:r>
            <w:r>
              <w:rPr>
                <w:rStyle w:val="32"/>
                <w:rFonts w:ascii="宋体" w:hAnsi="宋体" w:eastAsia="宋体" w:cs="宋体"/>
                <w:sz w:val="24"/>
                <w:szCs w:val="24"/>
                <w:lang w:val="en-US" w:eastAsia="zh-CN"/>
              </w:rPr>
              <w:t>65%</w:t>
            </w:r>
          </w:p>
        </w:tc>
        <w:tc>
          <w:tcPr>
            <w:tcW w:w="113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75%</w:t>
            </w:r>
          </w:p>
        </w:tc>
        <w:tc>
          <w:tcPr>
            <w:tcW w:w="136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7" w:hRule="atLeast"/>
        </w:trPr>
        <w:tc>
          <w:tcPr>
            <w:tcW w:w="50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651" w:type="dxa"/>
            <w:gridSpan w:val="2"/>
            <w:vMerge w:val="continue"/>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648" w:type="dxa"/>
            <w:gridSpan w:val="2"/>
            <w:vMerge w:val="continue"/>
            <w:tcBorders>
              <w:top w:val="single" w:color="000000" w:sz="4" w:space="0"/>
              <w:left w:val="single" w:color="auto" w:sz="4"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2573" w:type="dxa"/>
            <w:gridSpan w:val="7"/>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28"/>
                <w:lang w:val="en-US" w:eastAsia="zh-CN"/>
              </w:rPr>
              <w:t>卫生监督协管各专业每年巡查（访）</w:t>
            </w:r>
            <w:r>
              <w:rPr>
                <w:rStyle w:val="32"/>
                <w:rFonts w:ascii="宋体" w:hAnsi="宋体" w:eastAsia="宋体" w:cs="宋体"/>
                <w:sz w:val="24"/>
                <w:szCs w:val="24"/>
                <w:lang w:val="en-US" w:eastAsia="zh-CN"/>
              </w:rPr>
              <w:t>2</w:t>
            </w:r>
            <w:r>
              <w:rPr>
                <w:rStyle w:val="30"/>
                <w:lang w:val="en-US" w:eastAsia="zh-CN"/>
              </w:rPr>
              <w:t>次完成率</w:t>
            </w:r>
          </w:p>
        </w:tc>
        <w:tc>
          <w:tcPr>
            <w:tcW w:w="1326"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0"/>
                <w:lang w:val="en-US" w:eastAsia="zh-CN"/>
              </w:rPr>
              <w:t>≥</w:t>
            </w:r>
            <w:r>
              <w:rPr>
                <w:rStyle w:val="32"/>
                <w:rFonts w:ascii="宋体" w:hAnsi="宋体" w:eastAsia="宋体" w:cs="宋体"/>
                <w:sz w:val="24"/>
                <w:szCs w:val="24"/>
                <w:lang w:val="en-US" w:eastAsia="zh-CN"/>
              </w:rPr>
              <w:t>90%</w:t>
            </w:r>
          </w:p>
        </w:tc>
        <w:tc>
          <w:tcPr>
            <w:tcW w:w="113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136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7" w:hRule="atLeast"/>
        </w:trPr>
        <w:tc>
          <w:tcPr>
            <w:tcW w:w="50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651" w:type="dxa"/>
            <w:gridSpan w:val="2"/>
            <w:vMerge w:val="continue"/>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648" w:type="dxa"/>
            <w:gridSpan w:val="2"/>
            <w:vMerge w:val="continue"/>
            <w:tcBorders>
              <w:top w:val="single" w:color="000000" w:sz="4" w:space="0"/>
              <w:left w:val="single" w:color="auto" w:sz="4"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2573" w:type="dxa"/>
            <w:gridSpan w:val="7"/>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贫困地区儿童营养改善国家级贫困县覆盖率</w:t>
            </w:r>
          </w:p>
        </w:tc>
        <w:tc>
          <w:tcPr>
            <w:tcW w:w="1326"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0"/>
                <w:lang w:val="en-US" w:eastAsia="zh-CN"/>
              </w:rPr>
              <w:t>≥</w:t>
            </w:r>
            <w:r>
              <w:rPr>
                <w:rStyle w:val="32"/>
                <w:rFonts w:ascii="宋体" w:hAnsi="宋体" w:eastAsia="宋体" w:cs="宋体"/>
                <w:sz w:val="24"/>
                <w:szCs w:val="24"/>
                <w:lang w:val="en-US" w:eastAsia="zh-CN"/>
              </w:rPr>
              <w:t>100%</w:t>
            </w:r>
          </w:p>
        </w:tc>
        <w:tc>
          <w:tcPr>
            <w:tcW w:w="113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136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50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651" w:type="dxa"/>
            <w:gridSpan w:val="2"/>
            <w:vMerge w:val="continue"/>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648" w:type="dxa"/>
            <w:gridSpan w:val="2"/>
            <w:vMerge w:val="continue"/>
            <w:tcBorders>
              <w:top w:val="single" w:color="000000" w:sz="4" w:space="0"/>
              <w:left w:val="single" w:color="auto" w:sz="4"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2573" w:type="dxa"/>
            <w:gridSpan w:val="7"/>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目标人群叶酸服用率</w:t>
            </w:r>
          </w:p>
        </w:tc>
        <w:tc>
          <w:tcPr>
            <w:tcW w:w="1326"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0"/>
                <w:lang w:val="en-US" w:eastAsia="zh-CN"/>
              </w:rPr>
              <w:t>≥</w:t>
            </w:r>
            <w:r>
              <w:rPr>
                <w:rStyle w:val="32"/>
                <w:rFonts w:ascii="宋体" w:hAnsi="宋体" w:eastAsia="宋体" w:cs="宋体"/>
                <w:sz w:val="24"/>
                <w:szCs w:val="24"/>
                <w:lang w:val="en-US" w:eastAsia="zh-CN"/>
              </w:rPr>
              <w:t>90%</w:t>
            </w:r>
          </w:p>
        </w:tc>
        <w:tc>
          <w:tcPr>
            <w:tcW w:w="113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90%</w:t>
            </w:r>
          </w:p>
        </w:tc>
        <w:tc>
          <w:tcPr>
            <w:tcW w:w="136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2" w:hRule="atLeast"/>
        </w:trPr>
        <w:tc>
          <w:tcPr>
            <w:tcW w:w="50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651" w:type="dxa"/>
            <w:gridSpan w:val="2"/>
            <w:vMerge w:val="continue"/>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648" w:type="dxa"/>
            <w:gridSpan w:val="2"/>
            <w:vMerge w:val="continue"/>
            <w:tcBorders>
              <w:top w:val="single" w:color="000000" w:sz="4" w:space="0"/>
              <w:left w:val="single" w:color="auto" w:sz="4"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2573" w:type="dxa"/>
            <w:gridSpan w:val="7"/>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孕前优生健康检查目标人群覆盖率</w:t>
            </w:r>
          </w:p>
        </w:tc>
        <w:tc>
          <w:tcPr>
            <w:tcW w:w="1326"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0"/>
                <w:lang w:val="en-US" w:eastAsia="zh-CN"/>
              </w:rPr>
              <w:t>≥</w:t>
            </w:r>
            <w:r>
              <w:rPr>
                <w:rStyle w:val="32"/>
                <w:rFonts w:ascii="宋体" w:hAnsi="宋体" w:eastAsia="宋体" w:cs="宋体"/>
                <w:sz w:val="24"/>
                <w:szCs w:val="24"/>
                <w:lang w:val="en-US" w:eastAsia="zh-CN"/>
              </w:rPr>
              <w:t>80%</w:t>
            </w:r>
          </w:p>
        </w:tc>
        <w:tc>
          <w:tcPr>
            <w:tcW w:w="113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136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50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651" w:type="dxa"/>
            <w:gridSpan w:val="2"/>
            <w:vMerge w:val="continue"/>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648" w:type="dxa"/>
            <w:gridSpan w:val="2"/>
            <w:vMerge w:val="continue"/>
            <w:tcBorders>
              <w:top w:val="single" w:color="000000" w:sz="4" w:space="0"/>
              <w:left w:val="single" w:color="auto" w:sz="4"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2573" w:type="dxa"/>
            <w:gridSpan w:val="7"/>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新生儿听力筛查率</w:t>
            </w:r>
          </w:p>
        </w:tc>
        <w:tc>
          <w:tcPr>
            <w:tcW w:w="1326"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0"/>
                <w:lang w:val="en-US" w:eastAsia="zh-CN"/>
              </w:rPr>
              <w:t>≥</w:t>
            </w:r>
            <w:r>
              <w:rPr>
                <w:rStyle w:val="32"/>
                <w:rFonts w:ascii="宋体" w:hAnsi="宋体" w:eastAsia="宋体" w:cs="宋体"/>
                <w:sz w:val="24"/>
                <w:szCs w:val="24"/>
                <w:lang w:val="en-US" w:eastAsia="zh-CN"/>
              </w:rPr>
              <w:t>85%</w:t>
            </w:r>
          </w:p>
        </w:tc>
        <w:tc>
          <w:tcPr>
            <w:tcW w:w="113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99.90%</w:t>
            </w:r>
          </w:p>
        </w:tc>
        <w:tc>
          <w:tcPr>
            <w:tcW w:w="136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2" w:hRule="atLeast"/>
        </w:trPr>
        <w:tc>
          <w:tcPr>
            <w:tcW w:w="50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651" w:type="dxa"/>
            <w:gridSpan w:val="2"/>
            <w:vMerge w:val="continue"/>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648" w:type="dxa"/>
            <w:gridSpan w:val="2"/>
            <w:vMerge w:val="continue"/>
            <w:tcBorders>
              <w:top w:val="single" w:color="000000" w:sz="4" w:space="0"/>
              <w:left w:val="single" w:color="auto" w:sz="4"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2573" w:type="dxa"/>
            <w:gridSpan w:val="7"/>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“两癌”检查项目目标任务完成率</w:t>
            </w:r>
          </w:p>
        </w:tc>
        <w:tc>
          <w:tcPr>
            <w:tcW w:w="1326"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113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136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50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651" w:type="dxa"/>
            <w:gridSpan w:val="2"/>
            <w:vMerge w:val="continue"/>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648" w:type="dxa"/>
            <w:gridSpan w:val="2"/>
            <w:vMerge w:val="continue"/>
            <w:tcBorders>
              <w:top w:val="single" w:color="000000" w:sz="4" w:space="0"/>
              <w:left w:val="single" w:color="auto" w:sz="4"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2573" w:type="dxa"/>
            <w:gridSpan w:val="7"/>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28"/>
                <w:lang w:val="en-US" w:eastAsia="zh-CN"/>
              </w:rPr>
              <w:t>65</w:t>
            </w:r>
            <w:r>
              <w:rPr>
                <w:rStyle w:val="30"/>
                <w:lang w:val="en-US" w:eastAsia="zh-CN"/>
              </w:rPr>
              <w:t>岁以上失能老年人健康服务率</w:t>
            </w:r>
          </w:p>
        </w:tc>
        <w:tc>
          <w:tcPr>
            <w:tcW w:w="1326"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≥18%</w:t>
            </w:r>
          </w:p>
        </w:tc>
        <w:tc>
          <w:tcPr>
            <w:tcW w:w="1134" w:type="dxa"/>
            <w:gridSpan w:val="3"/>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45%</w:t>
            </w:r>
          </w:p>
        </w:tc>
        <w:tc>
          <w:tcPr>
            <w:tcW w:w="136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2" w:hRule="atLeast"/>
        </w:trPr>
        <w:tc>
          <w:tcPr>
            <w:tcW w:w="50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651" w:type="dxa"/>
            <w:gridSpan w:val="2"/>
            <w:vMerge w:val="continue"/>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648" w:type="dxa"/>
            <w:gridSpan w:val="2"/>
            <w:vMerge w:val="continue"/>
            <w:tcBorders>
              <w:top w:val="single" w:color="000000" w:sz="4" w:space="0"/>
              <w:left w:val="single" w:color="auto" w:sz="4"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2573"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居民规范化电子健康档案覆盖率</w:t>
            </w:r>
          </w:p>
        </w:tc>
        <w:tc>
          <w:tcPr>
            <w:tcW w:w="1326"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≥60%</w:t>
            </w:r>
          </w:p>
        </w:tc>
        <w:tc>
          <w:tcPr>
            <w:tcW w:w="113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136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50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651" w:type="dxa"/>
            <w:gridSpan w:val="2"/>
            <w:vMerge w:val="continue"/>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648" w:type="dxa"/>
            <w:gridSpan w:val="2"/>
            <w:vMerge w:val="continue"/>
            <w:tcBorders>
              <w:top w:val="single" w:color="000000" w:sz="4" w:space="0"/>
              <w:left w:val="single" w:color="auto" w:sz="4"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2573"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改造尘肺病康复站</w:t>
            </w:r>
          </w:p>
        </w:tc>
        <w:tc>
          <w:tcPr>
            <w:tcW w:w="1326"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0㎡</w:t>
            </w:r>
          </w:p>
        </w:tc>
        <w:tc>
          <w:tcPr>
            <w:tcW w:w="113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0㎡</w:t>
            </w:r>
          </w:p>
        </w:tc>
        <w:tc>
          <w:tcPr>
            <w:tcW w:w="136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50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651" w:type="dxa"/>
            <w:gridSpan w:val="2"/>
            <w:vMerge w:val="continue"/>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648" w:type="dxa"/>
            <w:gridSpan w:val="2"/>
            <w:vMerge w:val="continue"/>
            <w:tcBorders>
              <w:top w:val="single" w:color="000000" w:sz="4" w:space="0"/>
              <w:left w:val="single" w:color="auto" w:sz="4"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2573"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培养康复医务人员</w:t>
            </w:r>
          </w:p>
        </w:tc>
        <w:tc>
          <w:tcPr>
            <w:tcW w:w="1326"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1人</w:t>
            </w:r>
          </w:p>
        </w:tc>
        <w:tc>
          <w:tcPr>
            <w:tcW w:w="113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1人</w:t>
            </w:r>
          </w:p>
        </w:tc>
        <w:tc>
          <w:tcPr>
            <w:tcW w:w="136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2" w:hRule="atLeast"/>
        </w:trPr>
        <w:tc>
          <w:tcPr>
            <w:tcW w:w="50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651" w:type="dxa"/>
            <w:gridSpan w:val="2"/>
            <w:vMerge w:val="continue"/>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648" w:type="dxa"/>
            <w:gridSpan w:val="2"/>
            <w:vMerge w:val="continue"/>
            <w:tcBorders>
              <w:top w:val="single" w:color="000000" w:sz="4" w:space="0"/>
              <w:left w:val="single" w:color="auto" w:sz="4"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2573"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完成尘肺病患者档案，采购设施设备</w:t>
            </w:r>
          </w:p>
        </w:tc>
        <w:tc>
          <w:tcPr>
            <w:tcW w:w="1326"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15份</w:t>
            </w:r>
          </w:p>
        </w:tc>
        <w:tc>
          <w:tcPr>
            <w:tcW w:w="113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15份</w:t>
            </w:r>
          </w:p>
        </w:tc>
        <w:tc>
          <w:tcPr>
            <w:tcW w:w="136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7" w:hRule="atLeast"/>
        </w:trPr>
        <w:tc>
          <w:tcPr>
            <w:tcW w:w="50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651" w:type="dxa"/>
            <w:gridSpan w:val="2"/>
            <w:vMerge w:val="continue"/>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648" w:type="dxa"/>
            <w:gridSpan w:val="2"/>
            <w:vMerge w:val="continue"/>
            <w:tcBorders>
              <w:top w:val="single" w:color="000000" w:sz="4" w:space="0"/>
              <w:left w:val="single" w:color="auto" w:sz="4"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2573"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农村妇女免费“两癌”检查乳腺癌项目人数</w:t>
            </w:r>
          </w:p>
        </w:tc>
        <w:tc>
          <w:tcPr>
            <w:tcW w:w="1326"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≥300人</w:t>
            </w:r>
          </w:p>
        </w:tc>
        <w:tc>
          <w:tcPr>
            <w:tcW w:w="113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28"/>
                <w:rFonts w:hint="eastAsia"/>
                <w:lang w:val="en-US" w:eastAsia="zh-CN"/>
              </w:rPr>
              <w:t>560</w:t>
            </w:r>
            <w:r>
              <w:rPr>
                <w:rStyle w:val="30"/>
                <w:lang w:val="en-US" w:eastAsia="zh-CN"/>
              </w:rPr>
              <w:t>人</w:t>
            </w:r>
          </w:p>
        </w:tc>
        <w:tc>
          <w:tcPr>
            <w:tcW w:w="136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7" w:hRule="atLeast"/>
        </w:trPr>
        <w:tc>
          <w:tcPr>
            <w:tcW w:w="50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651" w:type="dxa"/>
            <w:gridSpan w:val="2"/>
            <w:vMerge w:val="continue"/>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648" w:type="dxa"/>
            <w:gridSpan w:val="2"/>
            <w:vMerge w:val="continue"/>
            <w:tcBorders>
              <w:top w:val="single" w:color="000000" w:sz="4" w:space="0"/>
              <w:left w:val="single" w:color="auto" w:sz="4"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2573"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农村妇女免费“两癌”检查宫颈癌项目人数</w:t>
            </w:r>
          </w:p>
        </w:tc>
        <w:tc>
          <w:tcPr>
            <w:tcW w:w="1326"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≥300人</w:t>
            </w:r>
          </w:p>
        </w:tc>
        <w:tc>
          <w:tcPr>
            <w:tcW w:w="113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425人</w:t>
            </w:r>
          </w:p>
        </w:tc>
        <w:tc>
          <w:tcPr>
            <w:tcW w:w="136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3" w:hRule="atLeast"/>
        </w:trPr>
        <w:tc>
          <w:tcPr>
            <w:tcW w:w="50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651" w:type="dxa"/>
            <w:gridSpan w:val="2"/>
            <w:vMerge w:val="continue"/>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648" w:type="dxa"/>
            <w:gridSpan w:val="2"/>
            <w:vMerge w:val="continue"/>
            <w:tcBorders>
              <w:top w:val="single" w:color="000000" w:sz="4" w:space="0"/>
              <w:left w:val="single" w:color="auto" w:sz="4"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2573"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计划年度符合生育政策、计划怀孕的城乡夫妇（包括流动人口）参检对数</w:t>
            </w:r>
          </w:p>
        </w:tc>
        <w:tc>
          <w:tcPr>
            <w:tcW w:w="1326"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≥80人</w:t>
            </w:r>
          </w:p>
        </w:tc>
        <w:tc>
          <w:tcPr>
            <w:tcW w:w="113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110人</w:t>
            </w:r>
          </w:p>
        </w:tc>
        <w:tc>
          <w:tcPr>
            <w:tcW w:w="136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50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651" w:type="dxa"/>
            <w:gridSpan w:val="2"/>
            <w:vMerge w:val="continue"/>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648" w:type="dxa"/>
            <w:gridSpan w:val="2"/>
            <w:vMerge w:val="continue"/>
            <w:tcBorders>
              <w:top w:val="single" w:color="000000" w:sz="4" w:space="0"/>
              <w:left w:val="single" w:color="auto" w:sz="4"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2573"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新生儿筛查人数</w:t>
            </w:r>
          </w:p>
        </w:tc>
        <w:tc>
          <w:tcPr>
            <w:tcW w:w="1326"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≧20人</w:t>
            </w:r>
          </w:p>
        </w:tc>
        <w:tc>
          <w:tcPr>
            <w:tcW w:w="113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50人</w:t>
            </w:r>
          </w:p>
        </w:tc>
        <w:tc>
          <w:tcPr>
            <w:tcW w:w="136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3" w:hRule="atLeast"/>
        </w:trPr>
        <w:tc>
          <w:tcPr>
            <w:tcW w:w="50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651"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64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质量指标</w:t>
            </w:r>
          </w:p>
        </w:tc>
        <w:tc>
          <w:tcPr>
            <w:tcW w:w="2573"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按照四川省、广元市第二批尘肺病康复站建设标准，规范建好“七个一”。</w:t>
            </w:r>
          </w:p>
        </w:tc>
        <w:tc>
          <w:tcPr>
            <w:tcW w:w="1326"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达标</w:t>
            </w:r>
          </w:p>
        </w:tc>
        <w:tc>
          <w:tcPr>
            <w:tcW w:w="113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达标</w:t>
            </w:r>
          </w:p>
        </w:tc>
        <w:tc>
          <w:tcPr>
            <w:tcW w:w="136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7" w:hRule="atLeast"/>
        </w:trPr>
        <w:tc>
          <w:tcPr>
            <w:tcW w:w="50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651"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648"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2573"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创新中医药适宜技术参与尘肺病康复</w:t>
            </w:r>
          </w:p>
        </w:tc>
        <w:tc>
          <w:tcPr>
            <w:tcW w:w="1326"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有机结合</w:t>
            </w:r>
          </w:p>
        </w:tc>
        <w:tc>
          <w:tcPr>
            <w:tcW w:w="113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有机结合</w:t>
            </w:r>
          </w:p>
        </w:tc>
        <w:tc>
          <w:tcPr>
            <w:tcW w:w="136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2" w:hRule="atLeast"/>
        </w:trPr>
        <w:tc>
          <w:tcPr>
            <w:tcW w:w="50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651"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648"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2573"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高血压患者基层规范管理服务率</w:t>
            </w:r>
          </w:p>
        </w:tc>
        <w:tc>
          <w:tcPr>
            <w:tcW w:w="1326"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0"/>
                <w:lang w:val="en-US" w:eastAsia="zh-CN"/>
              </w:rPr>
              <w:t>≥</w:t>
            </w:r>
            <w:r>
              <w:rPr>
                <w:rStyle w:val="32"/>
                <w:rFonts w:ascii="宋体" w:hAnsi="宋体" w:eastAsia="宋体" w:cs="宋体"/>
                <w:sz w:val="24"/>
                <w:szCs w:val="24"/>
                <w:lang w:val="en-US" w:eastAsia="zh-CN"/>
              </w:rPr>
              <w:t>60%</w:t>
            </w:r>
          </w:p>
        </w:tc>
        <w:tc>
          <w:tcPr>
            <w:tcW w:w="113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85%</w:t>
            </w:r>
          </w:p>
        </w:tc>
        <w:tc>
          <w:tcPr>
            <w:tcW w:w="136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2" w:hRule="atLeast"/>
        </w:trPr>
        <w:tc>
          <w:tcPr>
            <w:tcW w:w="50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651"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648"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2573"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2型糖尿病患者基层规范管理服务率</w:t>
            </w:r>
          </w:p>
        </w:tc>
        <w:tc>
          <w:tcPr>
            <w:tcW w:w="1326"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0"/>
                <w:lang w:val="en-US" w:eastAsia="zh-CN"/>
              </w:rPr>
              <w:t>≥</w:t>
            </w:r>
            <w:r>
              <w:rPr>
                <w:rStyle w:val="32"/>
                <w:rFonts w:ascii="宋体" w:hAnsi="宋体" w:eastAsia="宋体" w:cs="宋体"/>
                <w:sz w:val="24"/>
                <w:szCs w:val="24"/>
                <w:lang w:val="en-US" w:eastAsia="zh-CN"/>
              </w:rPr>
              <w:t>60%</w:t>
            </w:r>
          </w:p>
        </w:tc>
        <w:tc>
          <w:tcPr>
            <w:tcW w:w="113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85%</w:t>
            </w:r>
          </w:p>
        </w:tc>
        <w:tc>
          <w:tcPr>
            <w:tcW w:w="136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7" w:hRule="atLeast"/>
        </w:trPr>
        <w:tc>
          <w:tcPr>
            <w:tcW w:w="50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651"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648"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2573"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65岁及以上老年人城乡社区规范健康管理服务率</w:t>
            </w:r>
          </w:p>
        </w:tc>
        <w:tc>
          <w:tcPr>
            <w:tcW w:w="1326"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0"/>
                <w:lang w:val="en-US" w:eastAsia="zh-CN"/>
              </w:rPr>
              <w:t>≥</w:t>
            </w:r>
            <w:r>
              <w:rPr>
                <w:rStyle w:val="32"/>
                <w:rFonts w:ascii="宋体" w:hAnsi="宋体" w:eastAsia="宋体" w:cs="宋体"/>
                <w:sz w:val="24"/>
                <w:szCs w:val="24"/>
                <w:lang w:val="en-US" w:eastAsia="zh-CN"/>
              </w:rPr>
              <w:t>60%</w:t>
            </w:r>
          </w:p>
        </w:tc>
        <w:tc>
          <w:tcPr>
            <w:tcW w:w="113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80%</w:t>
            </w:r>
          </w:p>
        </w:tc>
        <w:tc>
          <w:tcPr>
            <w:tcW w:w="136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2" w:hRule="atLeast"/>
        </w:trPr>
        <w:tc>
          <w:tcPr>
            <w:tcW w:w="50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651"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648"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2573"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传染病和突发公共卫生事件报告率</w:t>
            </w:r>
          </w:p>
        </w:tc>
        <w:tc>
          <w:tcPr>
            <w:tcW w:w="1326"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0"/>
                <w:lang w:val="en-US" w:eastAsia="zh-CN"/>
              </w:rPr>
              <w:t>≥</w:t>
            </w:r>
            <w:r>
              <w:rPr>
                <w:rStyle w:val="32"/>
                <w:rFonts w:ascii="宋体" w:hAnsi="宋体" w:eastAsia="宋体" w:cs="宋体"/>
                <w:sz w:val="24"/>
                <w:szCs w:val="24"/>
                <w:lang w:val="en-US" w:eastAsia="zh-CN"/>
              </w:rPr>
              <w:t>95%</w:t>
            </w:r>
          </w:p>
        </w:tc>
        <w:tc>
          <w:tcPr>
            <w:tcW w:w="113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136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50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651"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648"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2573"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严重精神障碍患者规范管理率</w:t>
            </w:r>
          </w:p>
        </w:tc>
        <w:tc>
          <w:tcPr>
            <w:tcW w:w="1326"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0"/>
                <w:lang w:val="en-US" w:eastAsia="zh-CN"/>
              </w:rPr>
              <w:t>≥</w:t>
            </w:r>
            <w:r>
              <w:rPr>
                <w:rStyle w:val="32"/>
                <w:rFonts w:ascii="宋体" w:hAnsi="宋体" w:eastAsia="宋体" w:cs="宋体"/>
                <w:sz w:val="24"/>
                <w:szCs w:val="24"/>
                <w:lang w:val="en-US" w:eastAsia="zh-CN"/>
              </w:rPr>
              <w:t>90%</w:t>
            </w:r>
          </w:p>
        </w:tc>
        <w:tc>
          <w:tcPr>
            <w:tcW w:w="113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99.61%</w:t>
            </w:r>
          </w:p>
        </w:tc>
        <w:tc>
          <w:tcPr>
            <w:tcW w:w="136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2" w:hRule="atLeast"/>
        </w:trPr>
        <w:tc>
          <w:tcPr>
            <w:tcW w:w="50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651"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648"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2573"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农村妇女“两癌”筛查任务完成率</w:t>
            </w:r>
          </w:p>
        </w:tc>
        <w:tc>
          <w:tcPr>
            <w:tcW w:w="1326"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113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117.58%</w:t>
            </w:r>
          </w:p>
        </w:tc>
        <w:tc>
          <w:tcPr>
            <w:tcW w:w="136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50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651"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648"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2573"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出生缺陷发生风险</w:t>
            </w:r>
          </w:p>
        </w:tc>
        <w:tc>
          <w:tcPr>
            <w:tcW w:w="1326"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逐步降低</w:t>
            </w:r>
          </w:p>
        </w:tc>
        <w:tc>
          <w:tcPr>
            <w:tcW w:w="113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逐步降低</w:t>
            </w:r>
          </w:p>
        </w:tc>
        <w:tc>
          <w:tcPr>
            <w:tcW w:w="136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50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651"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648"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2573"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新生儿听力筛查率</w:t>
            </w:r>
          </w:p>
        </w:tc>
        <w:tc>
          <w:tcPr>
            <w:tcW w:w="1326"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≥85%</w:t>
            </w:r>
          </w:p>
        </w:tc>
        <w:tc>
          <w:tcPr>
            <w:tcW w:w="113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136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7" w:hRule="atLeast"/>
        </w:trPr>
        <w:tc>
          <w:tcPr>
            <w:tcW w:w="50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651"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648"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2573"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新生儿两种遗传代谢病（ PKU和CH)筛查率</w:t>
            </w:r>
          </w:p>
        </w:tc>
        <w:tc>
          <w:tcPr>
            <w:tcW w:w="1326"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≥95%</w:t>
            </w:r>
          </w:p>
        </w:tc>
        <w:tc>
          <w:tcPr>
            <w:tcW w:w="113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136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7" w:hRule="atLeast"/>
        </w:trPr>
        <w:tc>
          <w:tcPr>
            <w:tcW w:w="50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651"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64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时效指标</w:t>
            </w:r>
          </w:p>
        </w:tc>
        <w:tc>
          <w:tcPr>
            <w:tcW w:w="2573"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完成周期</w:t>
            </w:r>
          </w:p>
        </w:tc>
        <w:tc>
          <w:tcPr>
            <w:tcW w:w="1326"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1年</w:t>
            </w:r>
          </w:p>
        </w:tc>
        <w:tc>
          <w:tcPr>
            <w:tcW w:w="113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1年</w:t>
            </w:r>
          </w:p>
        </w:tc>
        <w:tc>
          <w:tcPr>
            <w:tcW w:w="136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7" w:hRule="atLeast"/>
        </w:trPr>
        <w:tc>
          <w:tcPr>
            <w:tcW w:w="50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651"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64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成本指标</w:t>
            </w:r>
          </w:p>
        </w:tc>
        <w:tc>
          <w:tcPr>
            <w:tcW w:w="2573"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“两癌”筛查项目标准：宫颈癌检查补助标准</w:t>
            </w:r>
          </w:p>
        </w:tc>
        <w:tc>
          <w:tcPr>
            <w:tcW w:w="1326"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49元/人</w:t>
            </w:r>
          </w:p>
        </w:tc>
        <w:tc>
          <w:tcPr>
            <w:tcW w:w="113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49元/人</w:t>
            </w:r>
          </w:p>
        </w:tc>
        <w:tc>
          <w:tcPr>
            <w:tcW w:w="136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7" w:hRule="atLeast"/>
        </w:trPr>
        <w:tc>
          <w:tcPr>
            <w:tcW w:w="50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651"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648"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2573"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“两癌”筛查项目标准：乳腺癌检查补助标准</w:t>
            </w:r>
          </w:p>
        </w:tc>
        <w:tc>
          <w:tcPr>
            <w:tcW w:w="1326"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79元/人</w:t>
            </w:r>
          </w:p>
        </w:tc>
        <w:tc>
          <w:tcPr>
            <w:tcW w:w="113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79元/人</w:t>
            </w:r>
          </w:p>
        </w:tc>
        <w:tc>
          <w:tcPr>
            <w:tcW w:w="136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64" w:hRule="atLeast"/>
        </w:trPr>
        <w:tc>
          <w:tcPr>
            <w:tcW w:w="50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651"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648"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2573"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新生儿筛查项目标准（共计120元/人）</w:t>
            </w:r>
          </w:p>
        </w:tc>
        <w:tc>
          <w:tcPr>
            <w:tcW w:w="1326"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两种遗传代谢病筛查50元/人；听力筛查70元/人</w:t>
            </w:r>
          </w:p>
        </w:tc>
        <w:tc>
          <w:tcPr>
            <w:tcW w:w="113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其中两种遗传代谢病筛查50元/人；听力筛查70元/人</w:t>
            </w:r>
          </w:p>
        </w:tc>
        <w:tc>
          <w:tcPr>
            <w:tcW w:w="136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50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651"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648"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2573"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每对参检夫妇结算标准</w:t>
            </w:r>
          </w:p>
        </w:tc>
        <w:tc>
          <w:tcPr>
            <w:tcW w:w="1326"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240元/对</w:t>
            </w:r>
          </w:p>
        </w:tc>
        <w:tc>
          <w:tcPr>
            <w:tcW w:w="113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240元/对</w:t>
            </w:r>
          </w:p>
        </w:tc>
        <w:tc>
          <w:tcPr>
            <w:tcW w:w="136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2" w:hRule="atLeast"/>
        </w:trPr>
        <w:tc>
          <w:tcPr>
            <w:tcW w:w="50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651"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648"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2573"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总成本</w:t>
            </w:r>
          </w:p>
        </w:tc>
        <w:tc>
          <w:tcPr>
            <w:tcW w:w="1326"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≦1018.867万元</w:t>
            </w:r>
          </w:p>
        </w:tc>
        <w:tc>
          <w:tcPr>
            <w:tcW w:w="113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1018.867万元</w:t>
            </w:r>
          </w:p>
        </w:tc>
        <w:tc>
          <w:tcPr>
            <w:tcW w:w="136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50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651"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效</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益</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指</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标</w:t>
            </w:r>
          </w:p>
        </w:tc>
        <w:tc>
          <w:tcPr>
            <w:tcW w:w="64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经济效益</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指标</w:t>
            </w:r>
          </w:p>
        </w:tc>
        <w:tc>
          <w:tcPr>
            <w:tcW w:w="2573"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城乡居民公共卫生服务差距</w:t>
            </w:r>
          </w:p>
        </w:tc>
        <w:tc>
          <w:tcPr>
            <w:tcW w:w="1326"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不断缩小</w:t>
            </w:r>
          </w:p>
        </w:tc>
        <w:tc>
          <w:tcPr>
            <w:tcW w:w="113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完成</w:t>
            </w:r>
          </w:p>
        </w:tc>
        <w:tc>
          <w:tcPr>
            <w:tcW w:w="136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2" w:hRule="atLeast"/>
        </w:trPr>
        <w:tc>
          <w:tcPr>
            <w:tcW w:w="50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651"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648"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2573"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居民健康素养水平</w:t>
            </w:r>
          </w:p>
        </w:tc>
        <w:tc>
          <w:tcPr>
            <w:tcW w:w="1326"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不断提高</w:t>
            </w:r>
          </w:p>
        </w:tc>
        <w:tc>
          <w:tcPr>
            <w:tcW w:w="113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完成</w:t>
            </w:r>
          </w:p>
        </w:tc>
        <w:tc>
          <w:tcPr>
            <w:tcW w:w="136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3" w:hRule="atLeast"/>
        </w:trPr>
        <w:tc>
          <w:tcPr>
            <w:tcW w:w="50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651"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64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可持续影响指标</w:t>
            </w:r>
          </w:p>
        </w:tc>
        <w:tc>
          <w:tcPr>
            <w:tcW w:w="2573"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指标2:城乡计划怀孕夫妇参加免费孕前优生健康检查的主动性和自觉性</w:t>
            </w:r>
          </w:p>
        </w:tc>
        <w:tc>
          <w:tcPr>
            <w:tcW w:w="1326"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逐步提高</w:t>
            </w:r>
          </w:p>
        </w:tc>
        <w:tc>
          <w:tcPr>
            <w:tcW w:w="113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逐步提高</w:t>
            </w:r>
          </w:p>
        </w:tc>
        <w:tc>
          <w:tcPr>
            <w:tcW w:w="136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50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651"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648"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2573"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基本公共卫生服务水平</w:t>
            </w:r>
          </w:p>
        </w:tc>
        <w:tc>
          <w:tcPr>
            <w:tcW w:w="1326"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不断提高</w:t>
            </w:r>
          </w:p>
        </w:tc>
        <w:tc>
          <w:tcPr>
            <w:tcW w:w="113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完成</w:t>
            </w:r>
          </w:p>
        </w:tc>
        <w:tc>
          <w:tcPr>
            <w:tcW w:w="136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81" w:hRule="atLeast"/>
        </w:trPr>
        <w:tc>
          <w:tcPr>
            <w:tcW w:w="50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65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满意度指标</w:t>
            </w:r>
          </w:p>
        </w:tc>
        <w:tc>
          <w:tcPr>
            <w:tcW w:w="64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服务对象</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满意度指标</w:t>
            </w:r>
          </w:p>
        </w:tc>
        <w:tc>
          <w:tcPr>
            <w:tcW w:w="2573"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服务对象满意度</w:t>
            </w:r>
          </w:p>
        </w:tc>
        <w:tc>
          <w:tcPr>
            <w:tcW w:w="1326"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不断提高</w:t>
            </w:r>
          </w:p>
        </w:tc>
        <w:tc>
          <w:tcPr>
            <w:tcW w:w="113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完成</w:t>
            </w:r>
          </w:p>
        </w:tc>
        <w:tc>
          <w:tcPr>
            <w:tcW w:w="136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bookmarkEnd w:id="101"/>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7" w:hRule="atLeast"/>
        </w:trPr>
        <w:tc>
          <w:tcPr>
            <w:tcW w:w="8200" w:type="dxa"/>
            <w:gridSpan w:val="21"/>
            <w:tcBorders>
              <w:top w:val="nil"/>
              <w:left w:val="nil"/>
              <w:bottom w:val="nil"/>
              <w:right w:val="nil"/>
            </w:tcBorders>
            <w:noWrap w:val="0"/>
            <w:vAlign w:val="center"/>
          </w:tcPr>
          <w:p>
            <w:pPr>
              <w:keepNext w:val="0"/>
              <w:keepLines w:val="0"/>
              <w:widowControl/>
              <w:suppressLineNumbers w:val="0"/>
              <w:jc w:val="center"/>
              <w:textAlignment w:val="center"/>
              <w:rPr>
                <w:rFonts w:ascii="方正小标宋简体" w:hAnsi="方正小标宋简体" w:eastAsia="方正小标宋简体" w:cs="方正小标宋简体"/>
                <w:b/>
                <w:bCs/>
                <w:i w:val="0"/>
                <w:iCs w:val="0"/>
                <w:color w:val="000000"/>
                <w:sz w:val="32"/>
                <w:szCs w:val="32"/>
                <w:u w:val="none"/>
              </w:rPr>
            </w:pPr>
            <w:r>
              <w:rPr>
                <w:rFonts w:hint="default" w:ascii="方正小标宋简体" w:hAnsi="方正小标宋简体" w:eastAsia="方正小标宋简体" w:cs="方正小标宋简体"/>
                <w:b/>
                <w:bCs/>
                <w:i w:val="0"/>
                <w:iCs w:val="0"/>
                <w:color w:val="000000"/>
                <w:kern w:val="0"/>
                <w:sz w:val="32"/>
                <w:szCs w:val="32"/>
                <w:u w:val="none"/>
                <w:lang w:val="en-US" w:eastAsia="zh-CN"/>
              </w:rPr>
              <w:t>基本药物制度中央补助转移支付项目绩效目标自评表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8200" w:type="dxa"/>
            <w:gridSpan w:val="21"/>
            <w:tcBorders>
              <w:top w:val="nil"/>
              <w:left w:val="nil"/>
              <w:bottom w:val="single" w:color="000000" w:sz="4" w:space="0"/>
              <w:right w:val="nil"/>
            </w:tcBorders>
            <w:noWrap w:val="0"/>
            <w:vAlign w:val="top"/>
          </w:tcPr>
          <w:p>
            <w:pPr>
              <w:keepNext w:val="0"/>
              <w:keepLines w:val="0"/>
              <w:widowControl/>
              <w:suppressLineNumbers w:val="0"/>
              <w:jc w:val="center"/>
              <w:textAlignment w:val="top"/>
              <w:rPr>
                <w:rFonts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216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转移支付（项目）名称</w:t>
            </w:r>
          </w:p>
        </w:tc>
        <w:tc>
          <w:tcPr>
            <w:tcW w:w="6035" w:type="dxa"/>
            <w:gridSpan w:val="1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基本药物制度中央补助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216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中央主管部门</w:t>
            </w:r>
          </w:p>
        </w:tc>
        <w:tc>
          <w:tcPr>
            <w:tcW w:w="6035" w:type="dxa"/>
            <w:gridSpan w:val="1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国家卫生健康委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7" w:hRule="atLeast"/>
        </w:trPr>
        <w:tc>
          <w:tcPr>
            <w:tcW w:w="216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地方主管部门</w:t>
            </w:r>
          </w:p>
        </w:tc>
        <w:tc>
          <w:tcPr>
            <w:tcW w:w="29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广元市昭化区卫生健康局</w:t>
            </w:r>
          </w:p>
        </w:tc>
        <w:tc>
          <w:tcPr>
            <w:tcW w:w="107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资金使用单位</w:t>
            </w:r>
          </w:p>
        </w:tc>
        <w:tc>
          <w:tcPr>
            <w:tcW w:w="1974"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rPr>
              <w:t>青牛</w:t>
            </w:r>
            <w:r>
              <w:rPr>
                <w:rFonts w:hint="eastAsia" w:ascii="宋体" w:hAnsi="宋体" w:eastAsia="宋体" w:cs="宋体"/>
                <w:i w:val="0"/>
                <w:iCs w:val="0"/>
                <w:color w:val="000000"/>
                <w:kern w:val="0"/>
                <w:sz w:val="20"/>
                <w:szCs w:val="20"/>
                <w:u w:val="none"/>
                <w:lang w:val="en-US" w:eastAsia="zh-CN"/>
              </w:rPr>
              <w:t>镇卫生院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3" w:hRule="atLeast"/>
        </w:trPr>
        <w:tc>
          <w:tcPr>
            <w:tcW w:w="2165" w:type="dxa"/>
            <w:gridSpan w:val="7"/>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资金投入情况</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（万元）</w:t>
            </w:r>
          </w:p>
        </w:tc>
        <w:tc>
          <w:tcPr>
            <w:tcW w:w="1505"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47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全年预算数（A）</w:t>
            </w:r>
          </w:p>
        </w:tc>
        <w:tc>
          <w:tcPr>
            <w:tcW w:w="1899"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全年执行数（B）</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预算执行率（B/A×100%)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2165" w:type="dxa"/>
            <w:gridSpan w:val="7"/>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50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年度资金总额：</w:t>
            </w:r>
          </w:p>
        </w:tc>
        <w:tc>
          <w:tcPr>
            <w:tcW w:w="1479" w:type="dxa"/>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rPr>
              <w:t>28.19</w:t>
            </w:r>
          </w:p>
        </w:tc>
        <w:tc>
          <w:tcPr>
            <w:tcW w:w="1899" w:type="dxa"/>
            <w:gridSpan w:val="7"/>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rPr>
              <w:t>28.19</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7" w:hRule="atLeast"/>
        </w:trPr>
        <w:tc>
          <w:tcPr>
            <w:tcW w:w="2165" w:type="dxa"/>
            <w:gridSpan w:val="7"/>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50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 xml:space="preserve"> 其中：中央财政资金</w:t>
            </w:r>
          </w:p>
        </w:tc>
        <w:tc>
          <w:tcPr>
            <w:tcW w:w="1479" w:type="dxa"/>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rPr>
              <w:t>16.89</w:t>
            </w:r>
          </w:p>
        </w:tc>
        <w:tc>
          <w:tcPr>
            <w:tcW w:w="1899" w:type="dxa"/>
            <w:gridSpan w:val="7"/>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16.89</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2" w:hRule="atLeast"/>
        </w:trPr>
        <w:tc>
          <w:tcPr>
            <w:tcW w:w="2165" w:type="dxa"/>
            <w:gridSpan w:val="7"/>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50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 xml:space="preserve">       地方资金</w:t>
            </w:r>
          </w:p>
        </w:tc>
        <w:tc>
          <w:tcPr>
            <w:tcW w:w="147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rPr>
              <w:t>11.3</w:t>
            </w:r>
          </w:p>
        </w:tc>
        <w:tc>
          <w:tcPr>
            <w:tcW w:w="1899"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11.3</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2" w:hRule="atLeast"/>
        </w:trPr>
        <w:tc>
          <w:tcPr>
            <w:tcW w:w="2165" w:type="dxa"/>
            <w:gridSpan w:val="7"/>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50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w:t>
            </w:r>
            <w:r>
              <w:rPr>
                <w:rFonts w:hint="eastAsia" w:ascii="宋体" w:hAnsi="宋体" w:eastAsia="宋体" w:cs="宋体"/>
                <w:i w:val="0"/>
                <w:iCs w:val="0"/>
                <w:color w:val="000000"/>
                <w:kern w:val="0"/>
                <w:sz w:val="20"/>
                <w:szCs w:val="20"/>
                <w:u w:val="none"/>
                <w:lang w:val="en-US" w:eastAsia="zh-CN"/>
              </w:rPr>
              <w:t xml:space="preserve">  其他资金</w:t>
            </w:r>
          </w:p>
        </w:tc>
        <w:tc>
          <w:tcPr>
            <w:tcW w:w="1479"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899"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3" w:hRule="atLeast"/>
        </w:trPr>
        <w:tc>
          <w:tcPr>
            <w:tcW w:w="2165" w:type="dxa"/>
            <w:gridSpan w:val="7"/>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资金管理情况</w:t>
            </w:r>
          </w:p>
        </w:tc>
        <w:tc>
          <w:tcPr>
            <w:tcW w:w="1505"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3378"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情况说明</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存在问题和改进措施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9" w:hRule="atLeast"/>
        </w:trPr>
        <w:tc>
          <w:tcPr>
            <w:tcW w:w="2165" w:type="dxa"/>
            <w:gridSpan w:val="7"/>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50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分配科学性</w:t>
            </w:r>
          </w:p>
        </w:tc>
        <w:tc>
          <w:tcPr>
            <w:tcW w:w="3378"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严格按照转移支付管理制度以及资金管理办法规定的范围和标准分配资金。</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3" w:hRule="atLeast"/>
        </w:trPr>
        <w:tc>
          <w:tcPr>
            <w:tcW w:w="2165" w:type="dxa"/>
            <w:gridSpan w:val="7"/>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50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下达及时性</w:t>
            </w:r>
          </w:p>
        </w:tc>
        <w:tc>
          <w:tcPr>
            <w:tcW w:w="3378"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严格按照预算法及其实施条例、转移支付管理制度规定以及资金管理办法规定的时限要求分解下达。</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3" w:hRule="atLeast"/>
        </w:trPr>
        <w:tc>
          <w:tcPr>
            <w:tcW w:w="2165" w:type="dxa"/>
            <w:gridSpan w:val="7"/>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50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拨付合规性</w:t>
            </w:r>
          </w:p>
        </w:tc>
        <w:tc>
          <w:tcPr>
            <w:tcW w:w="3378"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严格按照国库集中支付制度有关规定支付资金，未出现违规将资金从国库转入财政专户或支付到预算单位实有资金账户等问题。</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9" w:hRule="atLeast"/>
        </w:trPr>
        <w:tc>
          <w:tcPr>
            <w:tcW w:w="2165" w:type="dxa"/>
            <w:gridSpan w:val="7"/>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50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使用规范性</w:t>
            </w:r>
          </w:p>
        </w:tc>
        <w:tc>
          <w:tcPr>
            <w:tcW w:w="3378"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严格按照下达预算的科目和项目执行，未出现截留、挤占、挪用或擅自调整等问题。</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9" w:hRule="atLeast"/>
        </w:trPr>
        <w:tc>
          <w:tcPr>
            <w:tcW w:w="2165" w:type="dxa"/>
            <w:gridSpan w:val="7"/>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50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执行准确性</w:t>
            </w:r>
          </w:p>
        </w:tc>
        <w:tc>
          <w:tcPr>
            <w:tcW w:w="3378"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按照上级下达和本级预算安排的金额执行，不存在执行数偏离预算数较多的问题。</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3" w:hRule="atLeast"/>
        </w:trPr>
        <w:tc>
          <w:tcPr>
            <w:tcW w:w="2165" w:type="dxa"/>
            <w:gridSpan w:val="7"/>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50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预算绩效管理情况</w:t>
            </w:r>
          </w:p>
        </w:tc>
        <w:tc>
          <w:tcPr>
            <w:tcW w:w="3378"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在细化下达预算时同步下达绩效目标，将有关资金纳入本级预算或对下转移支付绩效管理，开展绩效监控和绩效评价。</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3" w:hRule="atLeast"/>
        </w:trPr>
        <w:tc>
          <w:tcPr>
            <w:tcW w:w="2165" w:type="dxa"/>
            <w:gridSpan w:val="7"/>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50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支出责任履行情况</w:t>
            </w:r>
          </w:p>
        </w:tc>
        <w:tc>
          <w:tcPr>
            <w:tcW w:w="3378"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对共同财政事权转移支付，按照财政事权和支出责任划分有关规定，足额安排资金履行本级支出责任。</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trPr>
        <w:tc>
          <w:tcPr>
            <w:tcW w:w="968" w:type="dxa"/>
            <w:gridSpan w:val="2"/>
            <w:vMerge w:val="restart"/>
            <w:tcBorders>
              <w:top w:val="single" w:color="auto"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总体目标完成情况</w:t>
            </w:r>
          </w:p>
        </w:tc>
        <w:tc>
          <w:tcPr>
            <w:tcW w:w="4182" w:type="dxa"/>
            <w:gridSpan w:val="12"/>
            <w:tcBorders>
              <w:top w:val="single" w:color="auto" w:sz="4" w:space="0"/>
              <w:left w:val="single" w:color="000000" w:sz="4" w:space="0"/>
              <w:bottom w:val="single" w:color="000000"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总体目标</w:t>
            </w:r>
          </w:p>
        </w:tc>
        <w:tc>
          <w:tcPr>
            <w:tcW w:w="3050" w:type="dxa"/>
            <w:gridSpan w:val="7"/>
            <w:tcBorders>
              <w:top w:val="nil"/>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全年实际完成情况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75" w:hRule="atLeast"/>
        </w:trPr>
        <w:tc>
          <w:tcPr>
            <w:tcW w:w="968" w:type="dxa"/>
            <w:gridSpan w:val="2"/>
            <w:vMerge w:val="continue"/>
            <w:tcBorders>
              <w:top w:val="nil"/>
              <w:left w:val="single" w:color="auto"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4182" w:type="dxa"/>
            <w:gridSpan w:val="12"/>
            <w:tcBorders>
              <w:top w:val="single" w:color="000000" w:sz="4" w:space="0"/>
              <w:left w:val="single" w:color="000000" w:sz="4" w:space="0"/>
              <w:bottom w:val="single" w:color="000000"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目标1：保证所有政府办基层医疗卫生机构实施国家基本药物制度，推进综合改革顺利进行；  目标2：对实施国家基本药物制度的村卫生室给予补助，支持国家基本药物制度在村卫生室顺利实施；</w:t>
            </w:r>
          </w:p>
        </w:tc>
        <w:tc>
          <w:tcPr>
            <w:tcW w:w="3050" w:type="dxa"/>
            <w:gridSpan w:val="7"/>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全镇13个村卫生站、13个村医全面实施国家基本药物制度，确保基本药物制度的实施，解决了老百姓看病贵的问题，稳定了乡村医生的收入。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3" w:hRule="atLeast"/>
        </w:trPr>
        <w:tc>
          <w:tcPr>
            <w:tcW w:w="968" w:type="dxa"/>
            <w:gridSpan w:val="2"/>
            <w:vMerge w:val="restart"/>
            <w:tcBorders>
              <w:top w:val="single" w:color="auto" w:sz="4" w:space="0"/>
              <w:left w:val="single" w:color="auto" w:sz="4" w:space="0"/>
              <w:bottom w:val="single" w:color="auto" w:sz="4" w:space="0"/>
              <w:right w:val="single" w:color="auto" w:sz="4" w:space="0"/>
            </w:tcBorders>
            <w:noWrap w:val="0"/>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绩效指标</w:t>
            </w:r>
          </w:p>
        </w:tc>
        <w:tc>
          <w:tcPr>
            <w:tcW w:w="878"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一级</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指标</w:t>
            </w:r>
          </w:p>
        </w:tc>
        <w:tc>
          <w:tcPr>
            <w:tcW w:w="320" w:type="dxa"/>
            <w:gridSpan w:val="2"/>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二级指标</w:t>
            </w:r>
          </w:p>
        </w:tc>
        <w:tc>
          <w:tcPr>
            <w:tcW w:w="2984" w:type="dxa"/>
            <w:gridSpan w:val="6"/>
            <w:tcBorders>
              <w:top w:val="single" w:color="000000" w:sz="4" w:space="0"/>
              <w:left w:val="single" w:color="000000" w:sz="4" w:space="0"/>
              <w:bottom w:val="single" w:color="000000"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三级指标</w:t>
            </w:r>
          </w:p>
        </w:tc>
        <w:tc>
          <w:tcPr>
            <w:tcW w:w="1076" w:type="dxa"/>
            <w:gridSpan w:val="3"/>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指标值</w:t>
            </w:r>
          </w:p>
        </w:tc>
        <w:tc>
          <w:tcPr>
            <w:tcW w:w="82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全年实际完成值</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未完成原因和改进措施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7" w:hRule="atLeast"/>
        </w:trPr>
        <w:tc>
          <w:tcPr>
            <w:tcW w:w="968" w:type="dxa"/>
            <w:gridSpan w:val="2"/>
            <w:vMerge w:val="continue"/>
            <w:tcBorders>
              <w:top w:val="single" w:color="auto" w:sz="4" w:space="0"/>
              <w:left w:val="single" w:color="auto" w:sz="4" w:space="0"/>
              <w:bottom w:val="single" w:color="auto" w:sz="4" w:space="0"/>
              <w:right w:val="single" w:color="auto"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878" w:type="dxa"/>
            <w:gridSpan w:val="4"/>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产</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出</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指</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标</w:t>
            </w:r>
          </w:p>
        </w:tc>
        <w:tc>
          <w:tcPr>
            <w:tcW w:w="320" w:type="dxa"/>
            <w:gridSpan w:val="2"/>
            <w:vMerge w:val="restart"/>
            <w:tcBorders>
              <w:top w:val="single" w:color="000000" w:sz="4" w:space="0"/>
              <w:left w:val="single" w:color="auto"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数量指标</w:t>
            </w:r>
          </w:p>
        </w:tc>
        <w:tc>
          <w:tcPr>
            <w:tcW w:w="2984" w:type="dxa"/>
            <w:gridSpan w:val="6"/>
            <w:tcBorders>
              <w:top w:val="single" w:color="000000" w:sz="4" w:space="0"/>
              <w:left w:val="single" w:color="000000" w:sz="4" w:space="0"/>
              <w:bottom w:val="single" w:color="000000"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实施基本药物制度的政府办基层医疗卫生机构数量</w:t>
            </w:r>
          </w:p>
        </w:tc>
        <w:tc>
          <w:tcPr>
            <w:tcW w:w="1076" w:type="dxa"/>
            <w:gridSpan w:val="3"/>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13个</w:t>
            </w:r>
          </w:p>
        </w:tc>
        <w:tc>
          <w:tcPr>
            <w:tcW w:w="82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13个</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7" w:hRule="atLeast"/>
        </w:trPr>
        <w:tc>
          <w:tcPr>
            <w:tcW w:w="968" w:type="dxa"/>
            <w:gridSpan w:val="2"/>
            <w:vMerge w:val="continue"/>
            <w:tcBorders>
              <w:top w:val="single" w:color="auto" w:sz="4" w:space="0"/>
              <w:left w:val="single" w:color="auto" w:sz="4" w:space="0"/>
              <w:bottom w:val="single" w:color="auto"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878" w:type="dxa"/>
            <w:gridSpan w:val="4"/>
            <w:vMerge w:val="continue"/>
            <w:tcBorders>
              <w:top w:val="single" w:color="auto" w:sz="4" w:space="0"/>
              <w:left w:val="single" w:color="000000" w:sz="4" w:space="0"/>
              <w:bottom w:val="single" w:color="auto"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320" w:type="dxa"/>
            <w:gridSpan w:val="2"/>
            <w:vMerge w:val="continue"/>
            <w:tcBorders>
              <w:top w:val="single" w:color="000000" w:sz="4" w:space="0"/>
              <w:left w:val="single" w:color="auto" w:sz="4"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2984" w:type="dxa"/>
            <w:gridSpan w:val="6"/>
            <w:tcBorders>
              <w:top w:val="single" w:color="000000" w:sz="4" w:space="0"/>
              <w:left w:val="single" w:color="000000" w:sz="4" w:space="0"/>
              <w:bottom w:val="single" w:color="000000"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实施基本药物制度的村卫生室占比</w:t>
            </w:r>
          </w:p>
        </w:tc>
        <w:tc>
          <w:tcPr>
            <w:tcW w:w="1076" w:type="dxa"/>
            <w:gridSpan w:val="3"/>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82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7" w:hRule="atLeast"/>
        </w:trPr>
        <w:tc>
          <w:tcPr>
            <w:tcW w:w="968" w:type="dxa"/>
            <w:gridSpan w:val="2"/>
            <w:vMerge w:val="continue"/>
            <w:tcBorders>
              <w:top w:val="single" w:color="auto" w:sz="4" w:space="0"/>
              <w:left w:val="single" w:color="auto" w:sz="4" w:space="0"/>
              <w:bottom w:val="single" w:color="auto"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878" w:type="dxa"/>
            <w:gridSpan w:val="4"/>
            <w:vMerge w:val="continue"/>
            <w:tcBorders>
              <w:top w:val="single" w:color="auto" w:sz="4" w:space="0"/>
              <w:left w:val="single" w:color="000000" w:sz="4" w:space="0"/>
              <w:bottom w:val="single" w:color="auto"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320" w:type="dxa"/>
            <w:gridSpan w:val="2"/>
            <w:vMerge w:val="restart"/>
            <w:tcBorders>
              <w:top w:val="single" w:color="000000" w:sz="4" w:space="0"/>
              <w:left w:val="single" w:color="auto"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质量指标</w:t>
            </w:r>
          </w:p>
        </w:tc>
        <w:tc>
          <w:tcPr>
            <w:tcW w:w="2984" w:type="dxa"/>
            <w:gridSpan w:val="6"/>
            <w:tcBorders>
              <w:top w:val="single" w:color="000000" w:sz="4" w:space="0"/>
              <w:left w:val="single" w:color="000000" w:sz="4" w:space="0"/>
              <w:bottom w:val="single" w:color="000000"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基层医疗卫生机构“优质服务基层行”活动开展评价机构数比例</w:t>
            </w:r>
          </w:p>
        </w:tc>
        <w:tc>
          <w:tcPr>
            <w:tcW w:w="1076" w:type="dxa"/>
            <w:gridSpan w:val="3"/>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3</w:t>
            </w:r>
          </w:p>
        </w:tc>
        <w:tc>
          <w:tcPr>
            <w:tcW w:w="82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3.00%</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1" w:hRule="atLeast"/>
        </w:trPr>
        <w:tc>
          <w:tcPr>
            <w:tcW w:w="968" w:type="dxa"/>
            <w:gridSpan w:val="2"/>
            <w:vMerge w:val="continue"/>
            <w:tcBorders>
              <w:top w:val="single" w:color="auto" w:sz="4" w:space="0"/>
              <w:left w:val="single" w:color="auto" w:sz="4" w:space="0"/>
              <w:bottom w:val="single" w:color="auto"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878" w:type="dxa"/>
            <w:gridSpan w:val="4"/>
            <w:vMerge w:val="continue"/>
            <w:tcBorders>
              <w:top w:val="single" w:color="auto" w:sz="4" w:space="0"/>
              <w:left w:val="single" w:color="000000" w:sz="4" w:space="0"/>
              <w:bottom w:val="single" w:color="auto"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320" w:type="dxa"/>
            <w:gridSpan w:val="2"/>
            <w:vMerge w:val="continue"/>
            <w:tcBorders>
              <w:top w:val="single" w:color="000000" w:sz="4" w:space="0"/>
              <w:left w:val="single" w:color="auto" w:sz="4" w:space="0"/>
              <w:bottom w:val="single" w:color="auto"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2984" w:type="dxa"/>
            <w:gridSpan w:val="6"/>
            <w:tcBorders>
              <w:top w:val="single" w:color="000000" w:sz="4" w:space="0"/>
              <w:left w:val="single" w:color="000000"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基层医疗卫生机构“优质服务基层行”活动达到基本标准及以上的比例</w:t>
            </w:r>
          </w:p>
        </w:tc>
        <w:tc>
          <w:tcPr>
            <w:tcW w:w="1076" w:type="dxa"/>
            <w:gridSpan w:val="3"/>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4"/>
                <w:szCs w:val="24"/>
                <w:u w:val="none"/>
                <w:lang w:val="en-US" w:eastAsia="zh-CN"/>
              </w:rPr>
              <w:t>≧</w:t>
            </w:r>
            <w:r>
              <w:rPr>
                <w:rFonts w:hint="eastAsia" w:ascii="宋体" w:hAnsi="宋体" w:eastAsia="宋体" w:cs="宋体"/>
                <w:i w:val="0"/>
                <w:iCs w:val="0"/>
                <w:color w:val="000000"/>
                <w:kern w:val="0"/>
                <w:sz w:val="20"/>
                <w:szCs w:val="20"/>
                <w:u w:val="none"/>
                <w:lang w:val="en-US" w:eastAsia="zh-CN"/>
              </w:rPr>
              <w:t>90%</w:t>
            </w:r>
          </w:p>
        </w:tc>
        <w:tc>
          <w:tcPr>
            <w:tcW w:w="82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90.90%</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3" w:hRule="atLeast"/>
        </w:trPr>
        <w:tc>
          <w:tcPr>
            <w:tcW w:w="968" w:type="dxa"/>
            <w:gridSpan w:val="2"/>
            <w:vMerge w:val="continue"/>
            <w:tcBorders>
              <w:top w:val="single" w:color="auto" w:sz="4" w:space="0"/>
              <w:left w:val="single" w:color="auto" w:sz="4" w:space="0"/>
              <w:bottom w:val="single" w:color="auto"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878" w:type="dxa"/>
            <w:gridSpan w:val="4"/>
            <w:vMerge w:val="continue"/>
            <w:tcBorders>
              <w:top w:val="single" w:color="auto" w:sz="4" w:space="0"/>
              <w:left w:val="single" w:color="000000" w:sz="4" w:space="0"/>
              <w:bottom w:val="single" w:color="auto"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320" w:type="dxa"/>
            <w:gridSpan w:val="2"/>
            <w:tcBorders>
              <w:top w:val="single" w:color="auto"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时效指标</w:t>
            </w:r>
          </w:p>
        </w:tc>
        <w:tc>
          <w:tcPr>
            <w:tcW w:w="2984" w:type="dxa"/>
            <w:gridSpan w:val="6"/>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2022年12月以前完成项目实施</w:t>
            </w:r>
          </w:p>
        </w:tc>
        <w:tc>
          <w:tcPr>
            <w:tcW w:w="1076"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4"/>
                <w:szCs w:val="24"/>
                <w:u w:val="none"/>
                <w:lang w:val="en-US" w:eastAsia="zh-CN"/>
              </w:rPr>
              <w:t>≦</w:t>
            </w:r>
            <w:r>
              <w:rPr>
                <w:rFonts w:hint="eastAsia" w:ascii="宋体" w:hAnsi="宋体" w:eastAsia="宋体" w:cs="宋体"/>
                <w:i w:val="0"/>
                <w:iCs w:val="0"/>
                <w:color w:val="000000"/>
                <w:kern w:val="0"/>
                <w:sz w:val="20"/>
                <w:szCs w:val="20"/>
                <w:u w:val="none"/>
                <w:lang w:val="en-US" w:eastAsia="zh-CN"/>
              </w:rPr>
              <w:t>12个月</w:t>
            </w:r>
          </w:p>
        </w:tc>
        <w:tc>
          <w:tcPr>
            <w:tcW w:w="82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12个月</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3" w:hRule="atLeast"/>
        </w:trPr>
        <w:tc>
          <w:tcPr>
            <w:tcW w:w="968" w:type="dxa"/>
            <w:gridSpan w:val="2"/>
            <w:vMerge w:val="continue"/>
            <w:tcBorders>
              <w:top w:val="single" w:color="auto" w:sz="4" w:space="0"/>
              <w:left w:val="single" w:color="auto" w:sz="4" w:space="0"/>
              <w:bottom w:val="single" w:color="auto"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878" w:type="dxa"/>
            <w:gridSpan w:val="4"/>
            <w:vMerge w:val="continue"/>
            <w:tcBorders>
              <w:top w:val="single" w:color="auto" w:sz="4" w:space="0"/>
              <w:left w:val="single" w:color="000000" w:sz="4" w:space="0"/>
              <w:bottom w:val="single" w:color="auto"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320" w:type="dxa"/>
            <w:gridSpan w:val="2"/>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成本指标</w:t>
            </w:r>
          </w:p>
        </w:tc>
        <w:tc>
          <w:tcPr>
            <w:tcW w:w="29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项目总成本</w:t>
            </w:r>
          </w:p>
        </w:tc>
        <w:tc>
          <w:tcPr>
            <w:tcW w:w="1076"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≦28.19万元</w:t>
            </w:r>
          </w:p>
        </w:tc>
        <w:tc>
          <w:tcPr>
            <w:tcW w:w="82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28.19万元</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2" w:hRule="atLeast"/>
        </w:trPr>
        <w:tc>
          <w:tcPr>
            <w:tcW w:w="968" w:type="dxa"/>
            <w:gridSpan w:val="2"/>
            <w:vMerge w:val="continue"/>
            <w:tcBorders>
              <w:top w:val="single" w:color="auto" w:sz="4" w:space="0"/>
              <w:left w:val="single" w:color="auto" w:sz="4" w:space="0"/>
              <w:bottom w:val="single" w:color="auto"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878" w:type="dxa"/>
            <w:gridSpan w:val="4"/>
            <w:vMerge w:val="restart"/>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效益指标</w:t>
            </w:r>
          </w:p>
        </w:tc>
        <w:tc>
          <w:tcPr>
            <w:tcW w:w="320"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社会效益</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指标</w:t>
            </w:r>
          </w:p>
        </w:tc>
        <w:tc>
          <w:tcPr>
            <w:tcW w:w="2984" w:type="dxa"/>
            <w:gridSpan w:val="6"/>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妇女、儿童生活质量及健康水平</w:t>
            </w:r>
          </w:p>
        </w:tc>
        <w:tc>
          <w:tcPr>
            <w:tcW w:w="1076"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不断提高</w:t>
            </w:r>
          </w:p>
        </w:tc>
        <w:tc>
          <w:tcPr>
            <w:tcW w:w="82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不断提高</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88" w:hRule="atLeast"/>
        </w:trPr>
        <w:tc>
          <w:tcPr>
            <w:tcW w:w="968" w:type="dxa"/>
            <w:gridSpan w:val="2"/>
            <w:vMerge w:val="continue"/>
            <w:tcBorders>
              <w:top w:val="single" w:color="auto" w:sz="4" w:space="0"/>
              <w:left w:val="single" w:color="auto" w:sz="4" w:space="0"/>
              <w:bottom w:val="single" w:color="auto"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878" w:type="dxa"/>
            <w:gridSpan w:val="4"/>
            <w:vMerge w:val="continue"/>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2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29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扩大艾滋病检查率</w:t>
            </w:r>
          </w:p>
        </w:tc>
        <w:tc>
          <w:tcPr>
            <w:tcW w:w="1076"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≧25%</w:t>
            </w:r>
          </w:p>
        </w:tc>
        <w:tc>
          <w:tcPr>
            <w:tcW w:w="82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≧25%</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3" w:hRule="atLeast"/>
        </w:trPr>
        <w:tc>
          <w:tcPr>
            <w:tcW w:w="968" w:type="dxa"/>
            <w:gridSpan w:val="2"/>
            <w:vMerge w:val="continue"/>
            <w:tcBorders>
              <w:top w:val="single" w:color="auto" w:sz="4" w:space="0"/>
              <w:left w:val="single" w:color="auto" w:sz="4" w:space="0"/>
              <w:bottom w:val="single" w:color="auto"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878" w:type="dxa"/>
            <w:gridSpan w:val="4"/>
            <w:vMerge w:val="continue"/>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20" w:type="dxa"/>
            <w:gridSpan w:val="2"/>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经济效益</w:t>
            </w:r>
          </w:p>
        </w:tc>
        <w:tc>
          <w:tcPr>
            <w:tcW w:w="29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乡村医生保持稳定收入情况</w:t>
            </w:r>
          </w:p>
        </w:tc>
        <w:tc>
          <w:tcPr>
            <w:tcW w:w="1076"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同比提升</w:t>
            </w:r>
          </w:p>
        </w:tc>
        <w:tc>
          <w:tcPr>
            <w:tcW w:w="82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较上年提高5%</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2" w:hRule="atLeast"/>
        </w:trPr>
        <w:tc>
          <w:tcPr>
            <w:tcW w:w="968" w:type="dxa"/>
            <w:gridSpan w:val="2"/>
            <w:vMerge w:val="continue"/>
            <w:tcBorders>
              <w:top w:val="single" w:color="auto" w:sz="4" w:space="0"/>
              <w:left w:val="single" w:color="auto" w:sz="4" w:space="0"/>
              <w:bottom w:val="single" w:color="auto"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878" w:type="dxa"/>
            <w:gridSpan w:val="4"/>
            <w:vMerge w:val="continue"/>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20" w:type="dxa"/>
            <w:gridSpan w:val="2"/>
            <w:vMerge w:val="restart"/>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可持续影响指标</w:t>
            </w:r>
          </w:p>
        </w:tc>
        <w:tc>
          <w:tcPr>
            <w:tcW w:w="29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基本药物制度在基层持续实施</w:t>
            </w:r>
          </w:p>
        </w:tc>
        <w:tc>
          <w:tcPr>
            <w:tcW w:w="1076"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稳步推进</w:t>
            </w:r>
          </w:p>
        </w:tc>
        <w:tc>
          <w:tcPr>
            <w:tcW w:w="82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稳步推进</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74" w:hRule="atLeast"/>
        </w:trPr>
        <w:tc>
          <w:tcPr>
            <w:tcW w:w="968" w:type="dxa"/>
            <w:gridSpan w:val="2"/>
            <w:vMerge w:val="continue"/>
            <w:tcBorders>
              <w:top w:val="single" w:color="auto" w:sz="4" w:space="0"/>
              <w:left w:val="single" w:color="auto" w:sz="4" w:space="0"/>
              <w:bottom w:val="single" w:color="auto"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878" w:type="dxa"/>
            <w:gridSpan w:val="4"/>
            <w:vMerge w:val="continue"/>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20" w:type="dxa"/>
            <w:gridSpan w:val="2"/>
            <w:vMerge w:val="continue"/>
            <w:tcBorders>
              <w:top w:val="nil"/>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29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医共体建设符合“紧密型”、“控费用”、“同质化”、“促分工”发展方向</w:t>
            </w:r>
          </w:p>
        </w:tc>
        <w:tc>
          <w:tcPr>
            <w:tcW w:w="1076"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推进“医共体”试点</w:t>
            </w:r>
          </w:p>
        </w:tc>
        <w:tc>
          <w:tcPr>
            <w:tcW w:w="82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制定规划，稳步推进</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7" w:hRule="atLeast"/>
        </w:trPr>
        <w:tc>
          <w:tcPr>
            <w:tcW w:w="968" w:type="dxa"/>
            <w:gridSpan w:val="2"/>
            <w:vMerge w:val="continue"/>
            <w:tcBorders>
              <w:top w:val="single" w:color="auto" w:sz="4" w:space="0"/>
              <w:left w:val="single" w:color="auto" w:sz="4" w:space="0"/>
              <w:bottom w:val="nil"/>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878" w:type="dxa"/>
            <w:gridSpan w:val="4"/>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满意度指标</w:t>
            </w:r>
          </w:p>
        </w:tc>
        <w:tc>
          <w:tcPr>
            <w:tcW w:w="320" w:type="dxa"/>
            <w:gridSpan w:val="2"/>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服务对象</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满意度指标</w:t>
            </w:r>
          </w:p>
        </w:tc>
        <w:tc>
          <w:tcPr>
            <w:tcW w:w="29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对基本药物制度</w:t>
            </w:r>
            <w:bookmarkStart w:id="131" w:name="_GoBack"/>
            <w:bookmarkEnd w:id="131"/>
            <w:r>
              <w:rPr>
                <w:rFonts w:hint="eastAsia" w:ascii="宋体" w:hAnsi="宋体" w:eastAsia="宋体" w:cs="宋体"/>
                <w:i w:val="0"/>
                <w:iCs w:val="0"/>
                <w:color w:val="000000"/>
                <w:kern w:val="0"/>
                <w:sz w:val="20"/>
                <w:szCs w:val="20"/>
                <w:u w:val="none"/>
                <w:lang w:val="en-US" w:eastAsia="zh-CN"/>
              </w:rPr>
              <w:t>满意度</w:t>
            </w:r>
          </w:p>
        </w:tc>
        <w:tc>
          <w:tcPr>
            <w:tcW w:w="1076"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4"/>
                <w:szCs w:val="24"/>
                <w:u w:val="none"/>
                <w:lang w:val="en-US" w:eastAsia="zh-CN"/>
              </w:rPr>
              <w:t>≧</w:t>
            </w:r>
            <w:r>
              <w:rPr>
                <w:rFonts w:hint="eastAsia" w:ascii="宋体" w:hAnsi="宋体" w:eastAsia="宋体" w:cs="宋体"/>
                <w:i w:val="0"/>
                <w:iCs w:val="0"/>
                <w:color w:val="000000"/>
                <w:kern w:val="0"/>
                <w:sz w:val="20"/>
                <w:szCs w:val="20"/>
                <w:u w:val="none"/>
                <w:lang w:val="en-US" w:eastAsia="zh-CN"/>
              </w:rPr>
              <w:t>90%</w:t>
            </w:r>
          </w:p>
        </w:tc>
        <w:tc>
          <w:tcPr>
            <w:tcW w:w="82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95%</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96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说明</w:t>
            </w:r>
          </w:p>
        </w:tc>
        <w:tc>
          <w:tcPr>
            <w:tcW w:w="7232" w:type="dxa"/>
            <w:gridSpan w:val="1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无</w:t>
            </w:r>
          </w:p>
        </w:tc>
      </w:tr>
    </w:tbl>
    <w:p>
      <w:pPr>
        <w:keepNext w:val="0"/>
        <w:keepLines w:val="0"/>
        <w:pageBreakBefore w:val="0"/>
        <w:widowControl w:val="0"/>
        <w:kinsoku/>
        <w:wordWrap/>
        <w:overflowPunct/>
        <w:topLinePunct w:val="0"/>
        <w:autoSpaceDE/>
        <w:autoSpaceDN/>
        <w:bidi w:val="0"/>
        <w:spacing w:line="572" w:lineRule="exact"/>
        <w:jc w:val="left"/>
        <w:textAlignment w:val="auto"/>
        <w:outlineLvl w:val="9"/>
        <w:rPr>
          <w:rFonts w:ascii="仿宋_GB2312" w:eastAsia="仿宋_GB2312" w:cs="仿宋_GB2312"/>
          <w:color w:val="auto"/>
          <w:sz w:val="32"/>
          <w:szCs w:val="32"/>
          <w:highlight w:val="none"/>
        </w:rPr>
      </w:pPr>
    </w:p>
    <w:tbl>
      <w:tblPr>
        <w:tblStyle w:val="13"/>
        <w:tblW w:w="8340" w:type="dxa"/>
        <w:jc w:val="center"/>
        <w:tblLayout w:type="fixed"/>
        <w:tblCellMar>
          <w:top w:w="0" w:type="dxa"/>
          <w:left w:w="0" w:type="dxa"/>
          <w:bottom w:w="0" w:type="dxa"/>
          <w:right w:w="0" w:type="dxa"/>
        </w:tblCellMar>
      </w:tblPr>
      <w:tblGrid>
        <w:gridCol w:w="1369"/>
        <w:gridCol w:w="776"/>
        <w:gridCol w:w="777"/>
        <w:gridCol w:w="776"/>
        <w:gridCol w:w="636"/>
        <w:gridCol w:w="1"/>
        <w:gridCol w:w="477"/>
        <w:gridCol w:w="346"/>
        <w:gridCol w:w="776"/>
        <w:gridCol w:w="778"/>
        <w:gridCol w:w="777"/>
        <w:gridCol w:w="851"/>
      </w:tblGrid>
      <w:tr>
        <w:tblPrEx>
          <w:tblCellMar>
            <w:top w:w="0" w:type="dxa"/>
            <w:left w:w="0" w:type="dxa"/>
            <w:bottom w:w="0" w:type="dxa"/>
            <w:right w:w="0" w:type="dxa"/>
          </w:tblCellMar>
        </w:tblPrEx>
        <w:trPr>
          <w:trHeight w:val="659" w:hRule="atLeast"/>
          <w:jc w:val="center"/>
        </w:trPr>
        <w:tc>
          <w:tcPr>
            <w:tcW w:w="8340" w:type="dxa"/>
            <w:gridSpan w:val="12"/>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黑体" w:hAnsi="宋体" w:eastAsia="黑体" w:cs="黑体"/>
                <w:b/>
                <w:i w:val="0"/>
                <w:color w:val="000000"/>
                <w:sz w:val="30"/>
                <w:szCs w:val="30"/>
                <w:u w:val="none"/>
              </w:rPr>
            </w:pPr>
            <w:bookmarkStart w:id="102" w:name="_Toc28509"/>
            <w:bookmarkStart w:id="103" w:name="_Toc15396618"/>
            <w:r>
              <w:rPr>
                <w:rFonts w:hint="eastAsia" w:ascii="黑体" w:hAnsi="宋体" w:eastAsia="黑体" w:cs="黑体"/>
                <w:b/>
                <w:i w:val="0"/>
                <w:color w:val="000000"/>
                <w:kern w:val="0"/>
                <w:sz w:val="30"/>
                <w:szCs w:val="30"/>
                <w:u w:val="none"/>
                <w:lang w:val="en-US" w:eastAsia="zh-CN"/>
              </w:rPr>
              <w:t>部门预算项目支出绩效自评表（2022年度）</w:t>
            </w:r>
          </w:p>
        </w:tc>
      </w:tr>
      <w:tr>
        <w:tblPrEx>
          <w:tblCellMar>
            <w:top w:w="0" w:type="dxa"/>
            <w:left w:w="0" w:type="dxa"/>
            <w:bottom w:w="0" w:type="dxa"/>
            <w:right w:w="0" w:type="dxa"/>
          </w:tblCellMar>
        </w:tblPrEx>
        <w:trPr>
          <w:trHeight w:val="535" w:hRule="atLeast"/>
          <w:jc w:val="center"/>
        </w:trPr>
        <w:tc>
          <w:tcPr>
            <w:tcW w:w="2145" w:type="dxa"/>
            <w:gridSpan w:val="2"/>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项目名称</w:t>
            </w:r>
          </w:p>
        </w:tc>
        <w:tc>
          <w:tcPr>
            <w:tcW w:w="6195" w:type="dxa"/>
            <w:gridSpan w:val="10"/>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51081122T000006832293-二类疫苗服务费</w:t>
            </w:r>
          </w:p>
        </w:tc>
      </w:tr>
      <w:tr>
        <w:tblPrEx>
          <w:tblCellMar>
            <w:top w:w="0" w:type="dxa"/>
            <w:left w:w="0" w:type="dxa"/>
            <w:bottom w:w="0" w:type="dxa"/>
            <w:right w:w="0" w:type="dxa"/>
          </w:tblCellMar>
        </w:tblPrEx>
        <w:trPr>
          <w:trHeight w:val="659" w:hRule="atLeast"/>
          <w:jc w:val="center"/>
        </w:trPr>
        <w:tc>
          <w:tcPr>
            <w:tcW w:w="2145" w:type="dxa"/>
            <w:gridSpan w:val="2"/>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主管部门</w:t>
            </w:r>
          </w:p>
        </w:tc>
        <w:tc>
          <w:tcPr>
            <w:tcW w:w="3013" w:type="dxa"/>
            <w:gridSpan w:val="6"/>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广元市昭化区卫生健康局部门</w:t>
            </w:r>
          </w:p>
        </w:tc>
        <w:tc>
          <w:tcPr>
            <w:tcW w:w="776" w:type="dxa"/>
            <w:tcBorders>
              <w:top w:val="nil"/>
              <w:left w:val="nil"/>
              <w:bottom w:val="nil"/>
              <w:right w:val="nil"/>
            </w:tcBorders>
            <w:noWrap w:val="0"/>
            <w:tcMar>
              <w:top w:w="10" w:type="dxa"/>
              <w:left w:w="10" w:type="dxa"/>
              <w:bottom w:w="0" w:type="dxa"/>
              <w:right w:w="10" w:type="dxa"/>
            </w:tcMar>
            <w:vAlign w:val="center"/>
          </w:tcPr>
          <w:p>
            <w:pPr>
              <w:keepNext w:val="0"/>
              <w:keepLines w:val="0"/>
              <w:widowControl/>
              <w:suppressLineNumbers w:val="0"/>
              <w:jc w:val="left"/>
              <w:textAlignment w:val="center"/>
              <w:rPr>
                <w:rFonts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rPr>
              <w:t>实施单位 （盖章）</w:t>
            </w:r>
          </w:p>
        </w:tc>
        <w:tc>
          <w:tcPr>
            <w:tcW w:w="2406" w:type="dxa"/>
            <w:gridSpan w:val="3"/>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hint="eastAsia" w:ascii="宋体" w:hAnsi="宋体" w:cs="宋体"/>
                <w:i w:val="0"/>
                <w:color w:val="000000"/>
                <w:kern w:val="0"/>
                <w:sz w:val="18"/>
                <w:szCs w:val="18"/>
                <w:u w:val="none"/>
                <w:lang w:val="en-US" w:eastAsia="zh-CN"/>
              </w:rPr>
              <w:t>青牛</w:t>
            </w:r>
            <w:r>
              <w:rPr>
                <w:rFonts w:hint="eastAsia" w:ascii="宋体" w:hAnsi="宋体" w:eastAsia="宋体" w:cs="宋体"/>
                <w:i w:val="0"/>
                <w:color w:val="000000"/>
                <w:kern w:val="0"/>
                <w:sz w:val="18"/>
                <w:szCs w:val="18"/>
                <w:u w:val="none"/>
                <w:lang w:val="en-US" w:eastAsia="zh-CN"/>
              </w:rPr>
              <w:t>镇</w:t>
            </w:r>
            <w:r>
              <w:rPr>
                <w:rFonts w:ascii="宋体" w:hAnsi="宋体" w:eastAsia="宋体" w:cs="宋体"/>
                <w:i w:val="0"/>
                <w:color w:val="000000"/>
                <w:kern w:val="0"/>
                <w:sz w:val="18"/>
                <w:szCs w:val="18"/>
                <w:u w:val="none"/>
                <w:lang w:val="en-US" w:eastAsia="zh-CN"/>
              </w:rPr>
              <w:t>卫生院</w:t>
            </w:r>
          </w:p>
        </w:tc>
      </w:tr>
      <w:tr>
        <w:tblPrEx>
          <w:tblCellMar>
            <w:top w:w="0" w:type="dxa"/>
            <w:left w:w="0" w:type="dxa"/>
            <w:bottom w:w="0" w:type="dxa"/>
            <w:right w:w="0" w:type="dxa"/>
          </w:tblCellMar>
        </w:tblPrEx>
        <w:trPr>
          <w:trHeight w:val="437" w:hRule="atLeast"/>
          <w:jc w:val="center"/>
        </w:trPr>
        <w:tc>
          <w:tcPr>
            <w:tcW w:w="1369" w:type="dxa"/>
            <w:vMerge w:val="restart"/>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项目基本情况</w:t>
            </w:r>
          </w:p>
        </w:tc>
        <w:tc>
          <w:tcPr>
            <w:tcW w:w="776" w:type="dxa"/>
            <w:vMerge w:val="restart"/>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1.项目年度目标完成情况</w:t>
            </w:r>
          </w:p>
        </w:tc>
        <w:tc>
          <w:tcPr>
            <w:tcW w:w="3013" w:type="dxa"/>
            <w:gridSpan w:val="6"/>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项目年度目标</w:t>
            </w:r>
          </w:p>
        </w:tc>
        <w:tc>
          <w:tcPr>
            <w:tcW w:w="3182" w:type="dxa"/>
            <w:gridSpan w:val="4"/>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rPr>
              <w:t>年度目标完成情况</w:t>
            </w:r>
          </w:p>
        </w:tc>
      </w:tr>
      <w:tr>
        <w:tblPrEx>
          <w:tblCellMar>
            <w:top w:w="0" w:type="dxa"/>
            <w:left w:w="0" w:type="dxa"/>
            <w:bottom w:w="0" w:type="dxa"/>
            <w:right w:w="0" w:type="dxa"/>
          </w:tblCellMar>
        </w:tblPrEx>
        <w:trPr>
          <w:trHeight w:val="754" w:hRule="atLeast"/>
          <w:jc w:val="center"/>
        </w:trPr>
        <w:tc>
          <w:tcPr>
            <w:tcW w:w="1369" w:type="dxa"/>
            <w:vMerge w:val="continue"/>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rPr>
                <w:rFonts w:hint="eastAsia" w:ascii="宋体" w:hAnsi="宋体" w:eastAsia="宋体" w:cs="宋体"/>
                <w:i w:val="0"/>
                <w:color w:val="000000"/>
                <w:sz w:val="18"/>
                <w:szCs w:val="18"/>
                <w:u w:val="none"/>
              </w:rPr>
            </w:pPr>
          </w:p>
        </w:tc>
        <w:tc>
          <w:tcPr>
            <w:tcW w:w="776" w:type="dxa"/>
            <w:vMerge w:val="continue"/>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rPr>
                <w:rFonts w:hint="eastAsia" w:ascii="宋体" w:hAnsi="宋体" w:eastAsia="宋体" w:cs="宋体"/>
                <w:i w:val="0"/>
                <w:color w:val="000000"/>
                <w:sz w:val="18"/>
                <w:szCs w:val="18"/>
                <w:u w:val="none"/>
              </w:rPr>
            </w:pPr>
          </w:p>
        </w:tc>
        <w:tc>
          <w:tcPr>
            <w:tcW w:w="3013" w:type="dxa"/>
            <w:gridSpan w:val="6"/>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2.9万元</w:t>
            </w:r>
          </w:p>
        </w:tc>
        <w:tc>
          <w:tcPr>
            <w:tcW w:w="3182" w:type="dxa"/>
            <w:gridSpan w:val="4"/>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hint="default" w:ascii="黑体" w:hAnsi="黑体" w:eastAsia="黑体" w:cs="黑体"/>
                <w:i w:val="0"/>
                <w:color w:val="000000"/>
                <w:sz w:val="18"/>
                <w:szCs w:val="18"/>
                <w:u w:val="none"/>
                <w:lang w:val="en-US"/>
              </w:rPr>
            </w:pPr>
            <w:r>
              <w:rPr>
                <w:rFonts w:hint="eastAsia" w:ascii="黑体" w:hAnsi="黑体" w:eastAsia="黑体" w:cs="黑体"/>
                <w:i w:val="0"/>
                <w:color w:val="000000"/>
                <w:kern w:val="0"/>
                <w:sz w:val="18"/>
                <w:szCs w:val="18"/>
                <w:u w:val="none"/>
                <w:lang w:val="en-US" w:eastAsia="zh-CN"/>
              </w:rPr>
              <w:t>100%</w:t>
            </w:r>
          </w:p>
        </w:tc>
      </w:tr>
      <w:tr>
        <w:tblPrEx>
          <w:tblCellMar>
            <w:top w:w="0" w:type="dxa"/>
            <w:left w:w="0" w:type="dxa"/>
            <w:bottom w:w="0" w:type="dxa"/>
            <w:right w:w="0" w:type="dxa"/>
          </w:tblCellMar>
        </w:tblPrEx>
        <w:trPr>
          <w:trHeight w:val="1522" w:hRule="atLeast"/>
          <w:jc w:val="center"/>
        </w:trPr>
        <w:tc>
          <w:tcPr>
            <w:tcW w:w="1369" w:type="dxa"/>
            <w:vMerge w:val="continue"/>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rPr>
                <w:rFonts w:hint="eastAsia" w:ascii="宋体" w:hAnsi="宋体" w:eastAsia="宋体" w:cs="宋体"/>
                <w:i w:val="0"/>
                <w:color w:val="000000"/>
                <w:sz w:val="18"/>
                <w:szCs w:val="18"/>
                <w:u w:val="none"/>
              </w:rPr>
            </w:pPr>
          </w:p>
        </w:tc>
        <w:tc>
          <w:tcPr>
            <w:tcW w:w="776"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2.项目实施内容及过程概述</w:t>
            </w:r>
          </w:p>
        </w:tc>
        <w:tc>
          <w:tcPr>
            <w:tcW w:w="6195" w:type="dxa"/>
            <w:gridSpan w:val="10"/>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按照《四川省发展和改革委员会四川省财政厅关于疫苗预防接种服务收费标准及有关问题的通知》（川发改价格〔2020〕640号）文件精神，二类疫苗接种服务费收入全额上缴国库，纳入财政预算管理。</w:t>
            </w:r>
          </w:p>
        </w:tc>
      </w:tr>
      <w:tr>
        <w:tblPrEx>
          <w:tblCellMar>
            <w:top w:w="0" w:type="dxa"/>
            <w:left w:w="0" w:type="dxa"/>
            <w:bottom w:w="0" w:type="dxa"/>
            <w:right w:w="0" w:type="dxa"/>
          </w:tblCellMar>
        </w:tblPrEx>
        <w:trPr>
          <w:trHeight w:val="659" w:hRule="atLeast"/>
          <w:jc w:val="center"/>
        </w:trPr>
        <w:tc>
          <w:tcPr>
            <w:tcW w:w="1369" w:type="dxa"/>
            <w:vMerge w:val="restart"/>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预算执行情况（10分）</w:t>
            </w:r>
          </w:p>
        </w:tc>
        <w:tc>
          <w:tcPr>
            <w:tcW w:w="776"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年度预算数（万元）</w:t>
            </w:r>
          </w:p>
        </w:tc>
        <w:tc>
          <w:tcPr>
            <w:tcW w:w="777"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年初预算</w:t>
            </w:r>
          </w:p>
        </w:tc>
        <w:tc>
          <w:tcPr>
            <w:tcW w:w="776"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调整后预算数</w:t>
            </w:r>
          </w:p>
        </w:tc>
        <w:tc>
          <w:tcPr>
            <w:tcW w:w="1460" w:type="dxa"/>
            <w:gridSpan w:val="4"/>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预算执行数</w:t>
            </w:r>
          </w:p>
        </w:tc>
        <w:tc>
          <w:tcPr>
            <w:tcW w:w="776"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预算执行率</w:t>
            </w:r>
          </w:p>
        </w:tc>
        <w:tc>
          <w:tcPr>
            <w:tcW w:w="778"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权重</w:t>
            </w:r>
          </w:p>
        </w:tc>
        <w:tc>
          <w:tcPr>
            <w:tcW w:w="777"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得分</w:t>
            </w:r>
          </w:p>
        </w:tc>
        <w:tc>
          <w:tcPr>
            <w:tcW w:w="851" w:type="dxa"/>
            <w:tcBorders>
              <w:top w:val="single" w:color="000000" w:sz="4" w:space="0"/>
              <w:left w:val="single" w:color="000000" w:sz="4" w:space="0"/>
              <w:bottom w:val="nil"/>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未完成原因分析</w:t>
            </w:r>
          </w:p>
        </w:tc>
      </w:tr>
      <w:tr>
        <w:tblPrEx>
          <w:tblCellMar>
            <w:top w:w="0" w:type="dxa"/>
            <w:left w:w="0" w:type="dxa"/>
            <w:bottom w:w="0" w:type="dxa"/>
            <w:right w:w="0" w:type="dxa"/>
          </w:tblCellMar>
        </w:tblPrEx>
        <w:trPr>
          <w:trHeight w:val="349" w:hRule="atLeast"/>
          <w:jc w:val="center"/>
        </w:trPr>
        <w:tc>
          <w:tcPr>
            <w:tcW w:w="1369" w:type="dxa"/>
            <w:vMerge w:val="continue"/>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776"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总额</w:t>
            </w:r>
          </w:p>
        </w:tc>
        <w:tc>
          <w:tcPr>
            <w:tcW w:w="777"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0.00</w:t>
            </w:r>
          </w:p>
        </w:tc>
        <w:tc>
          <w:tcPr>
            <w:tcW w:w="776"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eastAsia="宋体" w:cs="宋体"/>
                <w:i w:val="0"/>
                <w:color w:val="000000"/>
                <w:kern w:val="0"/>
                <w:sz w:val="18"/>
                <w:szCs w:val="18"/>
                <w:u w:val="none"/>
                <w:lang w:val="en-US" w:eastAsia="zh-CN"/>
              </w:rPr>
              <w:t>2.9</w:t>
            </w:r>
          </w:p>
        </w:tc>
        <w:tc>
          <w:tcPr>
            <w:tcW w:w="1460" w:type="dxa"/>
            <w:gridSpan w:val="4"/>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eastAsia="宋体" w:cs="宋体"/>
                <w:i w:val="0"/>
                <w:color w:val="000000"/>
                <w:kern w:val="0"/>
                <w:sz w:val="18"/>
                <w:szCs w:val="18"/>
                <w:u w:val="none"/>
                <w:lang w:val="en-US" w:eastAsia="zh-CN"/>
              </w:rPr>
              <w:t>2.9</w:t>
            </w:r>
          </w:p>
        </w:tc>
        <w:tc>
          <w:tcPr>
            <w:tcW w:w="776"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100.00%</w:t>
            </w:r>
          </w:p>
        </w:tc>
        <w:tc>
          <w:tcPr>
            <w:tcW w:w="778"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10</w:t>
            </w:r>
          </w:p>
        </w:tc>
        <w:tc>
          <w:tcPr>
            <w:tcW w:w="777" w:type="dxa"/>
            <w:tcBorders>
              <w:top w:val="single" w:color="000000" w:sz="4" w:space="0"/>
              <w:left w:val="single" w:color="000000" w:sz="4" w:space="0"/>
              <w:bottom w:val="single" w:color="000000" w:sz="4" w:space="0"/>
              <w:right w:val="nil"/>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100</w:t>
            </w:r>
          </w:p>
        </w:tc>
        <w:tc>
          <w:tcPr>
            <w:tcW w:w="851" w:type="dxa"/>
            <w:tcBorders>
              <w:top w:val="single" w:color="000000" w:sz="4" w:space="0"/>
              <w:left w:val="single" w:color="000000" w:sz="4" w:space="0"/>
              <w:bottom w:val="single" w:color="000000" w:sz="4" w:space="0"/>
              <w:right w:val="single" w:color="000000" w:sz="4" w:space="0"/>
            </w:tcBorders>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w:t>
            </w:r>
          </w:p>
        </w:tc>
      </w:tr>
      <w:tr>
        <w:tblPrEx>
          <w:tblCellMar>
            <w:top w:w="0" w:type="dxa"/>
            <w:left w:w="0" w:type="dxa"/>
            <w:bottom w:w="0" w:type="dxa"/>
            <w:right w:w="0" w:type="dxa"/>
          </w:tblCellMar>
        </w:tblPrEx>
        <w:trPr>
          <w:trHeight w:val="659" w:hRule="atLeast"/>
          <w:jc w:val="center"/>
        </w:trPr>
        <w:tc>
          <w:tcPr>
            <w:tcW w:w="1369" w:type="dxa"/>
            <w:vMerge w:val="continue"/>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776"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其中：财政资金</w:t>
            </w:r>
          </w:p>
        </w:tc>
        <w:tc>
          <w:tcPr>
            <w:tcW w:w="777"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0.00</w:t>
            </w:r>
          </w:p>
        </w:tc>
        <w:tc>
          <w:tcPr>
            <w:tcW w:w="776"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eastAsia="宋体" w:cs="宋体"/>
                <w:i w:val="0"/>
                <w:color w:val="000000"/>
                <w:kern w:val="0"/>
                <w:sz w:val="18"/>
                <w:szCs w:val="18"/>
                <w:u w:val="none"/>
                <w:lang w:val="en-US" w:eastAsia="zh-CN"/>
              </w:rPr>
              <w:t>2.9</w:t>
            </w:r>
          </w:p>
        </w:tc>
        <w:tc>
          <w:tcPr>
            <w:tcW w:w="1460" w:type="dxa"/>
            <w:gridSpan w:val="4"/>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eastAsia="宋体" w:cs="宋体"/>
                <w:i w:val="0"/>
                <w:color w:val="000000"/>
                <w:kern w:val="0"/>
                <w:sz w:val="18"/>
                <w:szCs w:val="18"/>
                <w:u w:val="none"/>
                <w:lang w:val="en-US" w:eastAsia="zh-CN"/>
              </w:rPr>
              <w:t>2.9</w:t>
            </w:r>
          </w:p>
        </w:tc>
        <w:tc>
          <w:tcPr>
            <w:tcW w:w="776"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100.00%</w:t>
            </w:r>
          </w:p>
        </w:tc>
        <w:tc>
          <w:tcPr>
            <w:tcW w:w="778"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w:t>
            </w:r>
          </w:p>
        </w:tc>
        <w:tc>
          <w:tcPr>
            <w:tcW w:w="777" w:type="dxa"/>
            <w:tcBorders>
              <w:top w:val="single" w:color="000000" w:sz="4" w:space="0"/>
              <w:left w:val="single" w:color="000000" w:sz="4" w:space="0"/>
              <w:bottom w:val="single" w:color="000000" w:sz="4" w:space="0"/>
              <w:right w:val="nil"/>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100</w:t>
            </w:r>
          </w:p>
        </w:tc>
        <w:tc>
          <w:tcPr>
            <w:tcW w:w="851" w:type="dxa"/>
            <w:tcBorders>
              <w:top w:val="single" w:color="000000" w:sz="4" w:space="0"/>
              <w:left w:val="single" w:color="000000" w:sz="4" w:space="0"/>
              <w:bottom w:val="single" w:color="000000" w:sz="4" w:space="0"/>
              <w:right w:val="single" w:color="000000" w:sz="4" w:space="0"/>
            </w:tcBorders>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w:t>
            </w:r>
          </w:p>
        </w:tc>
      </w:tr>
      <w:tr>
        <w:tblPrEx>
          <w:tblCellMar>
            <w:top w:w="0" w:type="dxa"/>
            <w:left w:w="0" w:type="dxa"/>
            <w:bottom w:w="0" w:type="dxa"/>
            <w:right w:w="0" w:type="dxa"/>
          </w:tblCellMar>
        </w:tblPrEx>
        <w:trPr>
          <w:trHeight w:val="659" w:hRule="atLeast"/>
          <w:jc w:val="center"/>
        </w:trPr>
        <w:tc>
          <w:tcPr>
            <w:tcW w:w="1369" w:type="dxa"/>
            <w:vMerge w:val="continue"/>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776"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财政专户管理资金</w:t>
            </w:r>
          </w:p>
        </w:tc>
        <w:tc>
          <w:tcPr>
            <w:tcW w:w="777"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0.00</w:t>
            </w:r>
          </w:p>
        </w:tc>
        <w:tc>
          <w:tcPr>
            <w:tcW w:w="776"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0.00</w:t>
            </w:r>
          </w:p>
        </w:tc>
        <w:tc>
          <w:tcPr>
            <w:tcW w:w="1460" w:type="dxa"/>
            <w:gridSpan w:val="4"/>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0.00</w:t>
            </w:r>
          </w:p>
        </w:tc>
        <w:tc>
          <w:tcPr>
            <w:tcW w:w="776"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0.00%</w:t>
            </w:r>
          </w:p>
        </w:tc>
        <w:tc>
          <w:tcPr>
            <w:tcW w:w="778"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w:t>
            </w:r>
          </w:p>
        </w:tc>
        <w:tc>
          <w:tcPr>
            <w:tcW w:w="777" w:type="dxa"/>
            <w:tcBorders>
              <w:top w:val="single" w:color="000000" w:sz="4" w:space="0"/>
              <w:left w:val="single" w:color="000000" w:sz="4" w:space="0"/>
              <w:bottom w:val="single" w:color="000000" w:sz="4" w:space="0"/>
              <w:right w:val="nil"/>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w:t>
            </w:r>
          </w:p>
        </w:tc>
        <w:tc>
          <w:tcPr>
            <w:tcW w:w="851" w:type="dxa"/>
            <w:tcBorders>
              <w:top w:val="single" w:color="000000" w:sz="4" w:space="0"/>
              <w:left w:val="single" w:color="000000" w:sz="4" w:space="0"/>
              <w:bottom w:val="single" w:color="000000" w:sz="4" w:space="0"/>
              <w:right w:val="single" w:color="000000" w:sz="4" w:space="0"/>
            </w:tcBorders>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w:t>
            </w:r>
          </w:p>
        </w:tc>
      </w:tr>
      <w:tr>
        <w:tblPrEx>
          <w:tblCellMar>
            <w:top w:w="0" w:type="dxa"/>
            <w:left w:w="0" w:type="dxa"/>
            <w:bottom w:w="0" w:type="dxa"/>
            <w:right w:w="0" w:type="dxa"/>
          </w:tblCellMar>
        </w:tblPrEx>
        <w:trPr>
          <w:trHeight w:val="349" w:hRule="atLeast"/>
          <w:jc w:val="center"/>
        </w:trPr>
        <w:tc>
          <w:tcPr>
            <w:tcW w:w="1369" w:type="dxa"/>
            <w:vMerge w:val="continue"/>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776"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单位资金</w:t>
            </w:r>
          </w:p>
        </w:tc>
        <w:tc>
          <w:tcPr>
            <w:tcW w:w="777"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0.00</w:t>
            </w:r>
          </w:p>
        </w:tc>
        <w:tc>
          <w:tcPr>
            <w:tcW w:w="776"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0.00</w:t>
            </w:r>
          </w:p>
        </w:tc>
        <w:tc>
          <w:tcPr>
            <w:tcW w:w="1460" w:type="dxa"/>
            <w:gridSpan w:val="4"/>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0.00</w:t>
            </w:r>
          </w:p>
        </w:tc>
        <w:tc>
          <w:tcPr>
            <w:tcW w:w="776"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0.00%</w:t>
            </w:r>
          </w:p>
        </w:tc>
        <w:tc>
          <w:tcPr>
            <w:tcW w:w="778"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w:t>
            </w:r>
          </w:p>
        </w:tc>
        <w:tc>
          <w:tcPr>
            <w:tcW w:w="777" w:type="dxa"/>
            <w:tcBorders>
              <w:top w:val="single" w:color="000000" w:sz="4" w:space="0"/>
              <w:left w:val="single" w:color="000000" w:sz="4" w:space="0"/>
              <w:bottom w:val="single" w:color="000000" w:sz="4" w:space="0"/>
              <w:right w:val="nil"/>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w:t>
            </w:r>
          </w:p>
        </w:tc>
        <w:tc>
          <w:tcPr>
            <w:tcW w:w="851" w:type="dxa"/>
            <w:tcBorders>
              <w:top w:val="single" w:color="000000" w:sz="4" w:space="0"/>
              <w:left w:val="single" w:color="000000" w:sz="4" w:space="0"/>
              <w:bottom w:val="single" w:color="000000" w:sz="4" w:space="0"/>
              <w:right w:val="single" w:color="000000" w:sz="4" w:space="0"/>
            </w:tcBorders>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w:t>
            </w:r>
          </w:p>
        </w:tc>
      </w:tr>
      <w:tr>
        <w:tblPrEx>
          <w:tblCellMar>
            <w:top w:w="0" w:type="dxa"/>
            <w:left w:w="0" w:type="dxa"/>
            <w:bottom w:w="0" w:type="dxa"/>
            <w:right w:w="0" w:type="dxa"/>
          </w:tblCellMar>
        </w:tblPrEx>
        <w:trPr>
          <w:trHeight w:val="476" w:hRule="atLeast"/>
          <w:jc w:val="center"/>
        </w:trPr>
        <w:tc>
          <w:tcPr>
            <w:tcW w:w="1369" w:type="dxa"/>
            <w:vMerge w:val="continue"/>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776"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其他资金</w:t>
            </w:r>
          </w:p>
        </w:tc>
        <w:tc>
          <w:tcPr>
            <w:tcW w:w="777"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jc w:val="center"/>
              <w:rPr>
                <w:rFonts w:hint="eastAsia" w:ascii="微软雅黑" w:hAnsi="微软雅黑" w:eastAsia="微软雅黑" w:cs="微软雅黑"/>
                <w:i/>
                <w:color w:val="000000"/>
                <w:sz w:val="16"/>
                <w:szCs w:val="16"/>
                <w:u w:val="none"/>
              </w:rPr>
            </w:pPr>
          </w:p>
        </w:tc>
        <w:tc>
          <w:tcPr>
            <w:tcW w:w="776"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jc w:val="center"/>
              <w:rPr>
                <w:rFonts w:hint="eastAsia" w:ascii="微软雅黑" w:hAnsi="微软雅黑" w:eastAsia="微软雅黑" w:cs="微软雅黑"/>
                <w:i/>
                <w:color w:val="000000"/>
                <w:sz w:val="16"/>
                <w:szCs w:val="16"/>
                <w:u w:val="none"/>
              </w:rPr>
            </w:pPr>
          </w:p>
        </w:tc>
        <w:tc>
          <w:tcPr>
            <w:tcW w:w="1460" w:type="dxa"/>
            <w:gridSpan w:val="4"/>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jc w:val="center"/>
              <w:rPr>
                <w:rFonts w:hint="eastAsia" w:ascii="微软雅黑" w:hAnsi="微软雅黑" w:eastAsia="微软雅黑" w:cs="微软雅黑"/>
                <w:i/>
                <w:color w:val="000000"/>
                <w:sz w:val="16"/>
                <w:szCs w:val="16"/>
                <w:u w:val="none"/>
              </w:rPr>
            </w:pPr>
          </w:p>
        </w:tc>
        <w:tc>
          <w:tcPr>
            <w:tcW w:w="776"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jc w:val="center"/>
              <w:rPr>
                <w:rFonts w:hint="eastAsia" w:ascii="微软雅黑" w:hAnsi="微软雅黑" w:eastAsia="微软雅黑" w:cs="微软雅黑"/>
                <w:i/>
                <w:color w:val="000000"/>
                <w:sz w:val="16"/>
                <w:szCs w:val="16"/>
                <w:u w:val="none"/>
              </w:rPr>
            </w:pPr>
          </w:p>
        </w:tc>
        <w:tc>
          <w:tcPr>
            <w:tcW w:w="778"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w:t>
            </w:r>
          </w:p>
        </w:tc>
        <w:tc>
          <w:tcPr>
            <w:tcW w:w="777" w:type="dxa"/>
            <w:tcBorders>
              <w:top w:val="single" w:color="000000" w:sz="4" w:space="0"/>
              <w:left w:val="single" w:color="000000" w:sz="4" w:space="0"/>
              <w:bottom w:val="single" w:color="000000" w:sz="4" w:space="0"/>
              <w:right w:val="nil"/>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w:t>
            </w:r>
          </w:p>
        </w:tc>
        <w:tc>
          <w:tcPr>
            <w:tcW w:w="851" w:type="dxa"/>
            <w:tcBorders>
              <w:top w:val="single" w:color="000000" w:sz="4" w:space="0"/>
              <w:left w:val="single" w:color="000000" w:sz="4" w:space="0"/>
              <w:bottom w:val="single" w:color="000000" w:sz="4" w:space="0"/>
              <w:right w:val="single" w:color="000000" w:sz="4" w:space="0"/>
            </w:tcBorders>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w:t>
            </w:r>
          </w:p>
        </w:tc>
      </w:tr>
      <w:tr>
        <w:tblPrEx>
          <w:tblCellMar>
            <w:top w:w="0" w:type="dxa"/>
            <w:left w:w="0" w:type="dxa"/>
            <w:bottom w:w="0" w:type="dxa"/>
            <w:right w:w="0" w:type="dxa"/>
          </w:tblCellMar>
        </w:tblPrEx>
        <w:trPr>
          <w:trHeight w:val="992" w:hRule="atLeast"/>
          <w:jc w:val="center"/>
        </w:trPr>
        <w:tc>
          <w:tcPr>
            <w:tcW w:w="1369" w:type="dxa"/>
            <w:vMerge w:val="restart"/>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绩效指标（90分）</w:t>
            </w:r>
          </w:p>
        </w:tc>
        <w:tc>
          <w:tcPr>
            <w:tcW w:w="776"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一级指标</w:t>
            </w:r>
          </w:p>
        </w:tc>
        <w:tc>
          <w:tcPr>
            <w:tcW w:w="777"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二级指标</w:t>
            </w:r>
          </w:p>
        </w:tc>
        <w:tc>
          <w:tcPr>
            <w:tcW w:w="776"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三级指标</w:t>
            </w:r>
          </w:p>
        </w:tc>
        <w:tc>
          <w:tcPr>
            <w:tcW w:w="636"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指标性质</w:t>
            </w:r>
          </w:p>
        </w:tc>
        <w:tc>
          <w:tcPr>
            <w:tcW w:w="478" w:type="dxa"/>
            <w:gridSpan w:val="2"/>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指标值</w:t>
            </w:r>
          </w:p>
        </w:tc>
        <w:tc>
          <w:tcPr>
            <w:tcW w:w="346"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度量单位</w:t>
            </w:r>
          </w:p>
        </w:tc>
        <w:tc>
          <w:tcPr>
            <w:tcW w:w="776"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完成值</w:t>
            </w:r>
          </w:p>
        </w:tc>
        <w:tc>
          <w:tcPr>
            <w:tcW w:w="778"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权重</w:t>
            </w:r>
          </w:p>
        </w:tc>
        <w:tc>
          <w:tcPr>
            <w:tcW w:w="777" w:type="dxa"/>
            <w:tcBorders>
              <w:top w:val="single" w:color="000000" w:sz="4" w:space="0"/>
              <w:left w:val="single" w:color="000000" w:sz="4" w:space="0"/>
              <w:bottom w:val="single" w:color="000000" w:sz="4" w:space="0"/>
              <w:right w:val="nil"/>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得分</w:t>
            </w:r>
          </w:p>
        </w:tc>
        <w:tc>
          <w:tcPr>
            <w:tcW w:w="851"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582" w:hRule="atLeast"/>
          <w:jc w:val="center"/>
        </w:trPr>
        <w:tc>
          <w:tcPr>
            <w:tcW w:w="1369" w:type="dxa"/>
            <w:vMerge w:val="continue"/>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776"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777"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776"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636"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478" w:type="dxa"/>
            <w:gridSpan w:val="2"/>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346"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776"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jc w:val="center"/>
              <w:rPr>
                <w:rFonts w:hint="eastAsia" w:ascii="微软雅黑" w:hAnsi="微软雅黑" w:eastAsia="微软雅黑" w:cs="微软雅黑"/>
                <w:i/>
                <w:color w:val="000000"/>
                <w:sz w:val="16"/>
                <w:szCs w:val="16"/>
                <w:u w:val="none"/>
              </w:rPr>
            </w:pPr>
          </w:p>
        </w:tc>
        <w:tc>
          <w:tcPr>
            <w:tcW w:w="778"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777"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851" w:type="dxa"/>
            <w:tcBorders>
              <w:top w:val="nil"/>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jc w:val="center"/>
              <w:rPr>
                <w:rFonts w:hint="eastAsia" w:ascii="微软雅黑" w:hAnsi="微软雅黑" w:eastAsia="微软雅黑" w:cs="微软雅黑"/>
                <w:i/>
                <w:color w:val="000000"/>
                <w:sz w:val="16"/>
                <w:szCs w:val="16"/>
                <w:u w:val="none"/>
              </w:rPr>
            </w:pPr>
          </w:p>
        </w:tc>
      </w:tr>
      <w:tr>
        <w:tblPrEx>
          <w:tblCellMar>
            <w:top w:w="0" w:type="dxa"/>
            <w:left w:w="0" w:type="dxa"/>
            <w:bottom w:w="0" w:type="dxa"/>
            <w:right w:w="0" w:type="dxa"/>
          </w:tblCellMar>
        </w:tblPrEx>
        <w:trPr>
          <w:trHeight w:val="485" w:hRule="atLeast"/>
          <w:jc w:val="center"/>
        </w:trPr>
        <w:tc>
          <w:tcPr>
            <w:tcW w:w="5934" w:type="dxa"/>
            <w:gridSpan w:val="9"/>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合计</w:t>
            </w:r>
          </w:p>
        </w:tc>
        <w:tc>
          <w:tcPr>
            <w:tcW w:w="778"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100</w:t>
            </w:r>
          </w:p>
        </w:tc>
        <w:tc>
          <w:tcPr>
            <w:tcW w:w="777"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rPr>
                <w:rFonts w:hint="eastAsia" w:ascii="宋体" w:hAnsi="宋体" w:eastAsia="宋体" w:cs="宋体"/>
                <w:i w:val="0"/>
                <w:color w:val="000000"/>
                <w:sz w:val="18"/>
                <w:szCs w:val="18"/>
                <w:u w:val="none"/>
              </w:rPr>
            </w:pPr>
          </w:p>
        </w:tc>
        <w:tc>
          <w:tcPr>
            <w:tcW w:w="851"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734" w:hRule="atLeast"/>
          <w:jc w:val="center"/>
        </w:trPr>
        <w:tc>
          <w:tcPr>
            <w:tcW w:w="1369"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评价结论</w:t>
            </w:r>
          </w:p>
        </w:tc>
        <w:tc>
          <w:tcPr>
            <w:tcW w:w="6971" w:type="dxa"/>
            <w:gridSpan w:val="11"/>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二类疫苗接种服务费收入全额上缴国库，纳入财政预算管理，实施效果较好</w:t>
            </w:r>
          </w:p>
        </w:tc>
      </w:tr>
      <w:tr>
        <w:tblPrEx>
          <w:tblCellMar>
            <w:top w:w="0" w:type="dxa"/>
            <w:left w:w="0" w:type="dxa"/>
            <w:bottom w:w="0" w:type="dxa"/>
            <w:right w:w="0" w:type="dxa"/>
          </w:tblCellMar>
        </w:tblPrEx>
        <w:trPr>
          <w:trHeight w:val="526" w:hRule="atLeast"/>
          <w:jc w:val="center"/>
        </w:trPr>
        <w:tc>
          <w:tcPr>
            <w:tcW w:w="1369"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存在问题</w:t>
            </w:r>
          </w:p>
        </w:tc>
        <w:tc>
          <w:tcPr>
            <w:tcW w:w="6971" w:type="dxa"/>
            <w:gridSpan w:val="11"/>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653" w:hRule="atLeast"/>
          <w:jc w:val="center"/>
        </w:trPr>
        <w:tc>
          <w:tcPr>
            <w:tcW w:w="1369"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改进措施</w:t>
            </w:r>
          </w:p>
        </w:tc>
        <w:tc>
          <w:tcPr>
            <w:tcW w:w="6971" w:type="dxa"/>
            <w:gridSpan w:val="11"/>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650" w:hRule="atLeast"/>
          <w:jc w:val="center"/>
        </w:trPr>
        <w:tc>
          <w:tcPr>
            <w:tcW w:w="4335" w:type="dxa"/>
            <w:gridSpan w:val="6"/>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rPr>
              <w:t>项目负责人：</w:t>
            </w:r>
          </w:p>
        </w:tc>
        <w:tc>
          <w:tcPr>
            <w:tcW w:w="4005" w:type="dxa"/>
            <w:gridSpan w:val="6"/>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rPr>
              <w:t>财务负责人：</w:t>
            </w:r>
            <w:bookmarkEnd w:id="102"/>
          </w:p>
        </w:tc>
      </w:tr>
    </w:tbl>
    <w:p>
      <w:pPr>
        <w:pStyle w:val="2"/>
        <w:rPr>
          <w:rFonts w:hint="eastAsia" w:ascii="仿宋_GB2312" w:eastAsia="仿宋_GB2312" w:cs="仿宋"/>
          <w:color w:val="auto"/>
          <w:kern w:val="0"/>
          <w:sz w:val="32"/>
          <w:szCs w:val="32"/>
          <w:highlight w:val="none"/>
          <w:lang w:val="en-US" w:eastAsia="zh-CN" w:bidi="ar-SA"/>
        </w:rPr>
      </w:pPr>
    </w:p>
    <w:p>
      <w:pPr>
        <w:rPr>
          <w:rFonts w:hint="eastAsia" w:ascii="仿宋_GB2312" w:eastAsia="仿宋_GB2312" w:cs="仿宋"/>
          <w:color w:val="auto"/>
          <w:kern w:val="0"/>
          <w:sz w:val="32"/>
          <w:szCs w:val="32"/>
          <w:highlight w:val="none"/>
          <w:lang w:val="en-US" w:eastAsia="zh-CN" w:bidi="ar-SA"/>
        </w:rPr>
      </w:pPr>
    </w:p>
    <w:p>
      <w:pPr>
        <w:pStyle w:val="2"/>
        <w:rPr>
          <w:rFonts w:hint="eastAsia" w:ascii="仿宋_GB2312" w:eastAsia="仿宋_GB2312" w:cs="仿宋"/>
          <w:color w:val="auto"/>
          <w:kern w:val="0"/>
          <w:sz w:val="32"/>
          <w:szCs w:val="32"/>
          <w:highlight w:val="none"/>
          <w:lang w:val="en-US" w:eastAsia="zh-CN" w:bidi="ar-SA"/>
        </w:rPr>
      </w:pPr>
    </w:p>
    <w:p>
      <w:pPr>
        <w:rPr>
          <w:rFonts w:hint="eastAsia" w:ascii="仿宋_GB2312" w:eastAsia="仿宋_GB2312" w:cs="仿宋"/>
          <w:color w:val="auto"/>
          <w:kern w:val="0"/>
          <w:sz w:val="32"/>
          <w:szCs w:val="32"/>
          <w:highlight w:val="none"/>
          <w:lang w:val="en-US" w:eastAsia="zh-CN" w:bidi="ar-SA"/>
        </w:rPr>
      </w:pPr>
    </w:p>
    <w:p>
      <w:pPr>
        <w:pStyle w:val="2"/>
        <w:rPr>
          <w:rFonts w:hint="eastAsia" w:ascii="仿宋_GB2312" w:eastAsia="仿宋_GB2312" w:cs="仿宋"/>
          <w:color w:val="auto"/>
          <w:kern w:val="0"/>
          <w:sz w:val="32"/>
          <w:szCs w:val="32"/>
          <w:highlight w:val="none"/>
          <w:lang w:val="en-US" w:eastAsia="zh-CN" w:bidi="ar-SA"/>
        </w:rPr>
      </w:pPr>
    </w:p>
    <w:p>
      <w:pPr>
        <w:rPr>
          <w:rFonts w:hint="eastAsia" w:ascii="仿宋_GB2312" w:eastAsia="仿宋_GB2312" w:cs="仿宋"/>
          <w:color w:val="auto"/>
          <w:kern w:val="0"/>
          <w:sz w:val="32"/>
          <w:szCs w:val="32"/>
          <w:highlight w:val="none"/>
          <w:lang w:val="en-US" w:eastAsia="zh-CN" w:bidi="ar-SA"/>
        </w:rPr>
      </w:pPr>
    </w:p>
    <w:p>
      <w:pPr>
        <w:pStyle w:val="2"/>
        <w:rPr>
          <w:rFonts w:hint="eastAsia" w:ascii="仿宋_GB2312" w:eastAsia="仿宋_GB2312" w:cs="仿宋"/>
          <w:color w:val="auto"/>
          <w:kern w:val="0"/>
          <w:sz w:val="32"/>
          <w:szCs w:val="32"/>
          <w:highlight w:val="none"/>
          <w:lang w:val="en-US" w:eastAsia="zh-CN" w:bidi="ar-SA"/>
        </w:rPr>
      </w:pPr>
    </w:p>
    <w:p>
      <w:pPr>
        <w:rPr>
          <w:rFonts w:hint="eastAsia" w:ascii="仿宋_GB2312" w:eastAsia="仿宋_GB2312" w:cs="仿宋"/>
          <w:color w:val="auto"/>
          <w:kern w:val="0"/>
          <w:sz w:val="32"/>
          <w:szCs w:val="32"/>
          <w:highlight w:val="none"/>
          <w:lang w:val="en-US" w:eastAsia="zh-CN" w:bidi="ar-SA"/>
        </w:rPr>
      </w:pPr>
    </w:p>
    <w:p>
      <w:pPr>
        <w:pStyle w:val="2"/>
        <w:rPr>
          <w:rFonts w:hint="eastAsia" w:ascii="仿宋_GB2312" w:eastAsia="仿宋_GB2312" w:cs="仿宋"/>
          <w:color w:val="auto"/>
          <w:kern w:val="0"/>
          <w:sz w:val="32"/>
          <w:szCs w:val="32"/>
          <w:highlight w:val="none"/>
          <w:lang w:val="en-US" w:eastAsia="zh-CN" w:bidi="ar-SA"/>
        </w:rPr>
      </w:pPr>
    </w:p>
    <w:p>
      <w:pPr>
        <w:rPr>
          <w:rFonts w:hint="eastAsia" w:ascii="仿宋_GB2312" w:eastAsia="仿宋_GB2312" w:cs="仿宋"/>
          <w:color w:val="auto"/>
          <w:kern w:val="0"/>
          <w:sz w:val="32"/>
          <w:szCs w:val="32"/>
          <w:highlight w:val="none"/>
          <w:lang w:val="en-US" w:eastAsia="zh-CN" w:bidi="ar-SA"/>
        </w:rPr>
      </w:pPr>
    </w:p>
    <w:p>
      <w:pPr>
        <w:pStyle w:val="2"/>
        <w:rPr>
          <w:rFonts w:hint="eastAsia" w:ascii="仿宋_GB2312" w:eastAsia="仿宋_GB2312" w:cs="仿宋"/>
          <w:color w:val="auto"/>
          <w:kern w:val="0"/>
          <w:sz w:val="32"/>
          <w:szCs w:val="32"/>
          <w:highlight w:val="none"/>
          <w:lang w:val="en-US" w:eastAsia="zh-CN" w:bidi="ar-SA"/>
        </w:rPr>
      </w:pPr>
    </w:p>
    <w:p>
      <w:pPr>
        <w:rPr>
          <w:rFonts w:hint="eastAsia" w:ascii="仿宋_GB2312" w:eastAsia="仿宋_GB2312" w:cs="仿宋"/>
          <w:color w:val="auto"/>
          <w:kern w:val="0"/>
          <w:sz w:val="32"/>
          <w:szCs w:val="32"/>
          <w:highlight w:val="none"/>
          <w:lang w:val="en-US" w:eastAsia="zh-CN" w:bidi="ar-SA"/>
        </w:rPr>
      </w:pPr>
    </w:p>
    <w:p>
      <w:pPr>
        <w:pStyle w:val="2"/>
        <w:rPr>
          <w:rFonts w:hint="eastAsia"/>
          <w:lang w:val="en-US" w:eastAsia="zh-CN"/>
        </w:rPr>
      </w:pPr>
    </w:p>
    <w:p>
      <w:pPr>
        <w:spacing w:line="600" w:lineRule="exact"/>
        <w:jc w:val="center"/>
        <w:outlineLvl w:val="0"/>
        <w:rPr>
          <w:rStyle w:val="18"/>
          <w:rFonts w:hint="eastAsia" w:ascii="黑体" w:eastAsia="黑体"/>
          <w:b w:val="0"/>
          <w:color w:val="auto"/>
          <w:highlight w:val="none"/>
        </w:rPr>
      </w:pPr>
      <w:bookmarkStart w:id="104" w:name="_Toc12560"/>
      <w:r>
        <w:rPr>
          <w:rFonts w:hint="eastAsia" w:ascii="黑体" w:eastAsia="黑体"/>
          <w:color w:val="auto"/>
          <w:sz w:val="44"/>
          <w:szCs w:val="44"/>
          <w:highlight w:val="none"/>
        </w:rPr>
        <w:t>第</w:t>
      </w:r>
      <w:r>
        <w:rPr>
          <w:rStyle w:val="18"/>
          <w:rFonts w:hint="eastAsia" w:ascii="黑体" w:eastAsia="黑体"/>
          <w:b w:val="0"/>
          <w:color w:val="auto"/>
          <w:highlight w:val="none"/>
        </w:rPr>
        <w:t>五部分 附表</w:t>
      </w:r>
      <w:bookmarkEnd w:id="98"/>
      <w:bookmarkEnd w:id="103"/>
      <w:bookmarkEnd w:id="104"/>
      <w:bookmarkStart w:id="105" w:name="_Toc15396619"/>
    </w:p>
    <w:p>
      <w:pPr>
        <w:rPr>
          <w:rFonts w:hint="eastAsia" w:ascii="仿宋" w:hAnsi="仿宋" w:eastAsia="仿宋" w:cs="仿宋"/>
          <w:sz w:val="32"/>
          <w:szCs w:val="32"/>
        </w:rPr>
      </w:pPr>
      <w:bookmarkStart w:id="106" w:name="_Toc14035"/>
      <w:r>
        <w:rPr>
          <w:rFonts w:hint="eastAsia" w:ascii="仿宋" w:hAnsi="仿宋" w:eastAsia="仿宋" w:cs="仿宋"/>
          <w:sz w:val="32"/>
          <w:szCs w:val="32"/>
        </w:rPr>
        <w:t>一、收入支出决算总表</w:t>
      </w:r>
      <w:bookmarkEnd w:id="105"/>
      <w:bookmarkEnd w:id="106"/>
      <w:bookmarkStart w:id="107" w:name="_Toc15396620"/>
    </w:p>
    <w:p>
      <w:pPr>
        <w:rPr>
          <w:rFonts w:hint="eastAsia" w:ascii="仿宋" w:hAnsi="仿宋" w:eastAsia="仿宋" w:cs="仿宋"/>
          <w:sz w:val="32"/>
          <w:szCs w:val="32"/>
        </w:rPr>
      </w:pPr>
      <w:bookmarkStart w:id="108" w:name="_Toc13970"/>
      <w:r>
        <w:rPr>
          <w:rFonts w:hint="eastAsia" w:ascii="仿宋" w:hAnsi="仿宋" w:eastAsia="仿宋" w:cs="仿宋"/>
          <w:sz w:val="32"/>
          <w:szCs w:val="32"/>
        </w:rPr>
        <w:t>二、收入决算表</w:t>
      </w:r>
      <w:bookmarkEnd w:id="107"/>
      <w:bookmarkEnd w:id="108"/>
      <w:bookmarkStart w:id="109" w:name="_Toc15396621"/>
    </w:p>
    <w:p>
      <w:pPr>
        <w:rPr>
          <w:rFonts w:hint="eastAsia" w:ascii="仿宋" w:hAnsi="仿宋" w:eastAsia="仿宋" w:cs="仿宋"/>
          <w:sz w:val="32"/>
          <w:szCs w:val="32"/>
        </w:rPr>
      </w:pPr>
      <w:bookmarkStart w:id="110" w:name="_Toc17965"/>
      <w:r>
        <w:rPr>
          <w:rFonts w:hint="eastAsia" w:ascii="仿宋" w:hAnsi="仿宋" w:eastAsia="仿宋" w:cs="仿宋"/>
          <w:sz w:val="32"/>
          <w:szCs w:val="32"/>
        </w:rPr>
        <w:t>三、支出决算表</w:t>
      </w:r>
      <w:bookmarkEnd w:id="109"/>
      <w:bookmarkEnd w:id="110"/>
      <w:bookmarkStart w:id="111" w:name="_Toc15396622"/>
    </w:p>
    <w:p>
      <w:pPr>
        <w:rPr>
          <w:rFonts w:hint="eastAsia" w:ascii="仿宋" w:hAnsi="仿宋" w:eastAsia="仿宋" w:cs="仿宋"/>
          <w:sz w:val="32"/>
          <w:szCs w:val="32"/>
        </w:rPr>
      </w:pPr>
      <w:bookmarkStart w:id="112" w:name="_Toc25859"/>
      <w:r>
        <w:rPr>
          <w:rFonts w:hint="eastAsia" w:ascii="仿宋" w:hAnsi="仿宋" w:eastAsia="仿宋" w:cs="仿宋"/>
          <w:sz w:val="32"/>
          <w:szCs w:val="32"/>
        </w:rPr>
        <w:t>四、财政拨款收入支出决算总表</w:t>
      </w:r>
      <w:bookmarkEnd w:id="111"/>
      <w:bookmarkEnd w:id="112"/>
      <w:bookmarkStart w:id="113" w:name="_Toc15396623"/>
    </w:p>
    <w:p>
      <w:pPr>
        <w:rPr>
          <w:rFonts w:hint="eastAsia" w:ascii="仿宋" w:hAnsi="仿宋" w:eastAsia="仿宋" w:cs="仿宋"/>
          <w:sz w:val="32"/>
          <w:szCs w:val="32"/>
        </w:rPr>
      </w:pPr>
      <w:bookmarkStart w:id="114" w:name="_Toc28928"/>
      <w:r>
        <w:rPr>
          <w:rFonts w:hint="eastAsia" w:ascii="仿宋" w:hAnsi="仿宋" w:eastAsia="仿宋" w:cs="仿宋"/>
          <w:sz w:val="32"/>
          <w:szCs w:val="32"/>
        </w:rPr>
        <w:t>五、财政拨款支出决算明细表</w:t>
      </w:r>
      <w:bookmarkEnd w:id="113"/>
      <w:bookmarkEnd w:id="114"/>
      <w:bookmarkStart w:id="115" w:name="_Toc15396624"/>
    </w:p>
    <w:p>
      <w:pPr>
        <w:rPr>
          <w:rFonts w:hint="eastAsia" w:ascii="仿宋" w:hAnsi="仿宋" w:eastAsia="仿宋" w:cs="仿宋"/>
          <w:sz w:val="32"/>
          <w:szCs w:val="32"/>
        </w:rPr>
      </w:pPr>
      <w:bookmarkStart w:id="116" w:name="_Toc24378"/>
      <w:r>
        <w:rPr>
          <w:rFonts w:hint="eastAsia" w:ascii="仿宋" w:hAnsi="仿宋" w:eastAsia="仿宋" w:cs="仿宋"/>
          <w:sz w:val="32"/>
          <w:szCs w:val="32"/>
        </w:rPr>
        <w:t>六、一般公共预算财政拨款支出决算表</w:t>
      </w:r>
      <w:bookmarkEnd w:id="115"/>
      <w:bookmarkEnd w:id="116"/>
    </w:p>
    <w:p>
      <w:pPr>
        <w:rPr>
          <w:rFonts w:hint="eastAsia" w:ascii="仿宋" w:hAnsi="仿宋" w:eastAsia="仿宋" w:cs="仿宋"/>
          <w:sz w:val="32"/>
          <w:szCs w:val="32"/>
        </w:rPr>
      </w:pPr>
      <w:bookmarkStart w:id="117" w:name="_Toc15077"/>
      <w:bookmarkStart w:id="118" w:name="_Toc15396625"/>
      <w:r>
        <w:rPr>
          <w:rFonts w:hint="eastAsia" w:ascii="仿宋" w:hAnsi="仿宋" w:eastAsia="仿宋" w:cs="仿宋"/>
          <w:sz w:val="32"/>
          <w:szCs w:val="32"/>
        </w:rPr>
        <w:t>七、一般公共预算财政拨款支出决算明细表</w:t>
      </w:r>
      <w:bookmarkEnd w:id="117"/>
      <w:bookmarkEnd w:id="118"/>
    </w:p>
    <w:p>
      <w:pPr>
        <w:rPr>
          <w:rFonts w:hint="eastAsia" w:ascii="仿宋" w:hAnsi="仿宋" w:eastAsia="仿宋" w:cs="仿宋"/>
          <w:sz w:val="32"/>
          <w:szCs w:val="32"/>
        </w:rPr>
      </w:pPr>
      <w:bookmarkStart w:id="119" w:name="_Toc24074"/>
      <w:bookmarkStart w:id="120" w:name="_Toc15396626"/>
      <w:r>
        <w:rPr>
          <w:rFonts w:hint="eastAsia" w:ascii="仿宋" w:hAnsi="仿宋" w:eastAsia="仿宋" w:cs="仿宋"/>
          <w:sz w:val="32"/>
          <w:szCs w:val="32"/>
        </w:rPr>
        <w:t>八、一般公共预算财政拨款基本支出决算表</w:t>
      </w:r>
      <w:bookmarkEnd w:id="119"/>
      <w:bookmarkEnd w:id="120"/>
    </w:p>
    <w:p>
      <w:pPr>
        <w:rPr>
          <w:rFonts w:hint="eastAsia" w:ascii="仿宋" w:hAnsi="仿宋" w:eastAsia="仿宋" w:cs="仿宋"/>
          <w:sz w:val="32"/>
          <w:szCs w:val="32"/>
        </w:rPr>
      </w:pPr>
      <w:bookmarkStart w:id="121" w:name="_Toc15396627"/>
      <w:bookmarkStart w:id="122" w:name="_Toc5785"/>
      <w:r>
        <w:rPr>
          <w:rFonts w:hint="eastAsia" w:ascii="仿宋" w:hAnsi="仿宋" w:eastAsia="仿宋" w:cs="仿宋"/>
          <w:sz w:val="32"/>
          <w:szCs w:val="32"/>
        </w:rPr>
        <w:t>九、一般公共预算财政拨款项目支出决算表</w:t>
      </w:r>
      <w:bookmarkEnd w:id="121"/>
      <w:bookmarkEnd w:id="122"/>
    </w:p>
    <w:p>
      <w:pPr>
        <w:rPr>
          <w:rFonts w:hint="eastAsia" w:ascii="仿宋" w:hAnsi="仿宋" w:eastAsia="仿宋" w:cs="仿宋"/>
          <w:sz w:val="32"/>
          <w:szCs w:val="32"/>
        </w:rPr>
      </w:pPr>
      <w:bookmarkStart w:id="123" w:name="_Toc15396628"/>
      <w:bookmarkStart w:id="124" w:name="_Toc31141"/>
      <w:r>
        <w:rPr>
          <w:rFonts w:hint="eastAsia" w:ascii="仿宋" w:hAnsi="仿宋" w:eastAsia="仿宋" w:cs="仿宋"/>
          <w:sz w:val="32"/>
          <w:szCs w:val="32"/>
        </w:rPr>
        <w:t>十、</w:t>
      </w:r>
      <w:bookmarkEnd w:id="123"/>
      <w:r>
        <w:rPr>
          <w:rFonts w:hint="eastAsia" w:ascii="仿宋" w:hAnsi="仿宋" w:eastAsia="仿宋" w:cs="仿宋"/>
          <w:sz w:val="32"/>
          <w:szCs w:val="32"/>
        </w:rPr>
        <w:t>政府性基金预算财政拨款收入支出决算表</w:t>
      </w:r>
      <w:bookmarkEnd w:id="124"/>
    </w:p>
    <w:p>
      <w:pPr>
        <w:rPr>
          <w:rFonts w:hint="eastAsia" w:ascii="仿宋" w:hAnsi="仿宋" w:eastAsia="仿宋" w:cs="仿宋"/>
          <w:sz w:val="32"/>
          <w:szCs w:val="32"/>
        </w:rPr>
      </w:pPr>
      <w:bookmarkStart w:id="125" w:name="_Toc15396629"/>
      <w:bookmarkStart w:id="126" w:name="_Toc4677"/>
      <w:r>
        <w:rPr>
          <w:rFonts w:hint="eastAsia" w:ascii="仿宋" w:hAnsi="仿宋" w:eastAsia="仿宋" w:cs="仿宋"/>
          <w:sz w:val="32"/>
          <w:szCs w:val="32"/>
        </w:rPr>
        <w:t>十一、</w:t>
      </w:r>
      <w:bookmarkEnd w:id="125"/>
      <w:r>
        <w:rPr>
          <w:rFonts w:hint="eastAsia" w:ascii="仿宋" w:hAnsi="仿宋" w:eastAsia="仿宋" w:cs="仿宋"/>
          <w:sz w:val="32"/>
          <w:szCs w:val="32"/>
        </w:rPr>
        <w:t>国有资本经营预算</w:t>
      </w:r>
      <w:r>
        <w:rPr>
          <w:rFonts w:hint="eastAsia" w:ascii="仿宋" w:hAnsi="仿宋" w:eastAsia="仿宋" w:cs="仿宋"/>
          <w:sz w:val="32"/>
          <w:szCs w:val="32"/>
          <w:lang w:eastAsia="zh-CN"/>
        </w:rPr>
        <w:t>财政拨款收入</w:t>
      </w:r>
      <w:r>
        <w:rPr>
          <w:rFonts w:hint="eastAsia" w:ascii="仿宋" w:hAnsi="仿宋" w:eastAsia="仿宋" w:cs="仿宋"/>
          <w:sz w:val="32"/>
          <w:szCs w:val="32"/>
        </w:rPr>
        <w:t>支出决算表</w:t>
      </w:r>
      <w:bookmarkEnd w:id="126"/>
    </w:p>
    <w:p>
      <w:pPr>
        <w:rPr>
          <w:rFonts w:hint="eastAsia" w:ascii="仿宋" w:hAnsi="仿宋" w:eastAsia="仿宋" w:cs="仿宋"/>
          <w:sz w:val="32"/>
          <w:szCs w:val="32"/>
        </w:rPr>
      </w:pPr>
      <w:bookmarkStart w:id="127" w:name="_Toc15396630"/>
      <w:bookmarkStart w:id="128" w:name="_Toc2889"/>
      <w:r>
        <w:rPr>
          <w:rFonts w:hint="eastAsia" w:ascii="仿宋" w:hAnsi="仿宋" w:eastAsia="仿宋" w:cs="仿宋"/>
          <w:sz w:val="32"/>
          <w:szCs w:val="32"/>
        </w:rPr>
        <w:t>十二、</w:t>
      </w:r>
      <w:bookmarkEnd w:id="127"/>
      <w:r>
        <w:rPr>
          <w:rFonts w:hint="eastAsia" w:ascii="仿宋" w:hAnsi="仿宋" w:eastAsia="仿宋" w:cs="仿宋"/>
          <w:sz w:val="32"/>
          <w:szCs w:val="32"/>
          <w:lang w:eastAsia="zh-CN"/>
        </w:rPr>
        <w:t>国有资本经营预算财政拨款支出决算表</w:t>
      </w:r>
      <w:bookmarkEnd w:id="128"/>
    </w:p>
    <w:p>
      <w:pPr>
        <w:rPr>
          <w:rFonts w:hint="eastAsia" w:ascii="仿宋" w:hAnsi="仿宋" w:eastAsia="仿宋" w:cs="仿宋"/>
          <w:sz w:val="32"/>
          <w:szCs w:val="32"/>
          <w:lang w:eastAsia="zh-CN"/>
        </w:rPr>
      </w:pPr>
      <w:bookmarkStart w:id="129" w:name="_Toc15396631"/>
      <w:bookmarkStart w:id="130" w:name="_Toc32516"/>
      <w:r>
        <w:rPr>
          <w:rFonts w:hint="eastAsia" w:ascii="仿宋" w:hAnsi="仿宋" w:eastAsia="仿宋" w:cs="仿宋"/>
          <w:sz w:val="32"/>
          <w:szCs w:val="32"/>
        </w:rPr>
        <w:t>十三、</w:t>
      </w:r>
      <w:bookmarkEnd w:id="129"/>
      <w:r>
        <w:rPr>
          <w:rFonts w:hint="eastAsia" w:ascii="仿宋" w:hAnsi="仿宋" w:eastAsia="仿宋" w:cs="仿宋"/>
          <w:sz w:val="32"/>
          <w:szCs w:val="32"/>
          <w:lang w:eastAsia="zh-CN"/>
        </w:rPr>
        <w:t>财政拨款“三公”经费支出决算表</w:t>
      </w:r>
      <w:bookmarkEnd w:id="130"/>
    </w:p>
    <w:sectPr>
      <w:footerReference r:id="rId8" w:type="first"/>
      <w:footerReference r:id="rId7" w:type="default"/>
      <w:pgSz w:w="11906" w:h="16838"/>
      <w:pgMar w:top="1440" w:right="1800" w:bottom="1440" w:left="1800" w:header="851" w:footer="992" w:gutter="0"/>
      <w:pgNumType w:fmt="decimal"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14448432"/>
    </w:sdtPr>
    <w:sdtContent>
      <w:p>
        <w:pPr>
          <w:pStyle w:val="8"/>
          <w:jc w:val="center"/>
        </w:pPr>
        <w:r>
          <w:fldChar w:fldCharType="begin"/>
        </w:r>
        <w:r>
          <w:instrText xml:space="preserve">PAGE   \* MERGEFORMAT</w:instrText>
        </w:r>
        <w:r>
          <w:fldChar w:fldCharType="separate"/>
        </w:r>
        <w:r>
          <w:rPr>
            <w:lang w:val="zh-CN"/>
          </w:rPr>
          <w:t>8</w:t>
        </w:r>
        <w:r>
          <w:fldChar w:fldCharType="end"/>
        </w:r>
      </w:p>
    </w:sdtContent>
  </w:sdt>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clear" w:pos="4153"/>
      </w:tabs>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44" name="文本框 7"/>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style>
                      <a:lnRef idx="0">
                        <a:srgbClr val="FFFFFF"/>
                      </a:lnRef>
                      <a:fillRef idx="0">
                        <a:srgbClr val="FFFFFF"/>
                      </a:fillRef>
                      <a:effectRef idx="0">
                        <a:schemeClr val="accent1"/>
                      </a:effectRef>
                      <a:fontRef idx="minor">
                        <a:schemeClr val="dk1"/>
                      </a:fontRef>
                    </wps:style>
                    <wps:txbx>
                      <w:txbxContent>
                        <w:sdt>
                          <w:sdtPr>
                            <w:id w:val="714448432"/>
                          </w:sdtPr>
                          <w:sdtContent>
                            <w:p>
                              <w:pPr>
                                <w:pStyle w:val="8"/>
                                <w:jc w:val="center"/>
                              </w:pPr>
                              <w:r>
                                <w:fldChar w:fldCharType="begin"/>
                              </w:r>
                              <w:r>
                                <w:instrText xml:space="preserve">PAGE   \* MERGEFORMAT</w:instrText>
                              </w:r>
                              <w:r>
                                <w:fldChar w:fldCharType="separate"/>
                              </w:r>
                              <w:r>
                                <w:rPr>
                                  <w:lang w:val="zh-CN"/>
                                </w:rPr>
                                <w:t>8</w:t>
                              </w:r>
                              <w:r>
                                <w:fldChar w:fldCharType="end"/>
                              </w:r>
                            </w:p>
                          </w:sdtContent>
                        </w:sdt>
                        <w:p>
                          <w:pPr>
                            <w:pStyle w:val="2"/>
                          </w:pPr>
                        </w:p>
                      </w:txbxContent>
                    </wps:txbx>
                    <wps:bodyPr rot="0" spcFirstLastPara="0" vertOverflow="overflow" horzOverflow="overflow" vert="horz" wrap="none" lIns="0" tIns="0" rIns="0" bIns="0" numCol="1" rtlCol="0" anchor="t" upright="0">
                      <a:spAutoFit/>
                    </wps:bodyPr>
                  </wps:wsp>
                </a:graphicData>
              </a:graphic>
            </wp:anchor>
          </w:drawing>
        </mc:Choice>
        <mc:Fallback>
          <w:pict>
            <v:rect id="文本框 7"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uXW5UtAAAAAFAQAADwAAAAAAAAABACAAAAAiAAAAZHJzL2Rvd25yZXYu&#10;eG1sUEsBAhQAFAAAAAgAh07iQF321P8DAgAACwQAAA4AAAAAAAAAAQAgAAAAHwEAAGRycy9lMm9E&#10;b2MueG1sUEsFBgAAAAAGAAYAWQEAAJQFAAAAAA==&#10;">
              <v:fill on="f" focussize="0,0"/>
              <v:stroke on="f"/>
              <v:imagedata o:title=""/>
              <o:lock v:ext="edit" aspectratio="f"/>
              <v:textbox inset="0mm,0mm,0mm,0mm" style="mso-fit-shape-to-text:t;">
                <w:txbxContent>
                  <w:sdt>
                    <w:sdtPr>
                      <w:id w:val="714448432"/>
                    </w:sdtPr>
                    <w:sdtContent>
                      <w:p>
                        <w:pPr>
                          <w:pStyle w:val="8"/>
                          <w:jc w:val="center"/>
                        </w:pPr>
                        <w:r>
                          <w:fldChar w:fldCharType="begin"/>
                        </w:r>
                        <w:r>
                          <w:instrText xml:space="preserve">PAGE   \* MERGEFORMAT</w:instrText>
                        </w:r>
                        <w:r>
                          <w:fldChar w:fldCharType="separate"/>
                        </w:r>
                        <w:r>
                          <w:rPr>
                            <w:lang w:val="zh-CN"/>
                          </w:rPr>
                          <w:t>8</w:t>
                        </w:r>
                        <w:r>
                          <w:fldChar w:fldCharType="end"/>
                        </w:r>
                      </w:p>
                    </w:sdtContent>
                  </w:sdt>
                  <w:p>
                    <w:pPr>
                      <w:pStyle w:val="2"/>
                    </w:pPr>
                  </w:p>
                </w:txbxContent>
              </v:textbox>
            </v:rect>
          </w:pict>
        </mc:Fallback>
      </mc:AlternateContent>
    </w:r>
  </w:p>
  <w:p>
    <w:pPr>
      <w:pStyle w:val="8"/>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45" name="文本框 8"/>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style>
                      <a:lnRef idx="0">
                        <a:srgbClr val="FFFFFF"/>
                      </a:lnRef>
                      <a:fillRef idx="0">
                        <a:srgbClr val="FFFFFF"/>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rtlCol="0" anchor="t" upright="0">
                      <a:spAutoFit/>
                    </wps:bodyPr>
                  </wps:wsp>
                </a:graphicData>
              </a:graphic>
            </wp:anchor>
          </w:drawing>
        </mc:Choice>
        <mc:Fallback>
          <w:pict>
            <v:rect id="文本框 8" o:spid="_x0000_s1026" o:spt="1"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5dblS0AAAAAUBAAAPAAAAAAAAAAEAIAAAACIAAABkcnMvZG93bnJldi54&#10;bWxQSwECFAAUAAAACACHTuJAT3OUOQICAAALBAAADgAAAAAAAAABACAAAAAfAQAAZHJzL2Uyb0Rv&#10;Yy54bWxQSwUGAAAAAAYABgBZAQAAkwUAAAAA&#10;">
              <v:fill on="f" focussize="0,0"/>
              <v:stroke on="f"/>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singleLevel"/>
    <w:tmpl w:val="B5E306ED"/>
    <w:lvl w:ilvl="0" w:tentative="0">
      <w:start w:val="3"/>
      <w:numFmt w:val="chineseCounting"/>
      <w:suff w:val="space"/>
      <w:lvlText w:val="第%1部分"/>
      <w:lvlJc w:val="left"/>
      <w:pPr>
        <w:ind w:left="0" w:firstLine="0"/>
      </w:pPr>
      <w:rPr>
        <w:rFonts w:hint="eastAsia" w:ascii="黑体" w:hAnsi="黑体" w:eastAsia="黑体" w:cs="黑体"/>
        <w:sz w:val="44"/>
        <w:szCs w:val="44"/>
      </w:rPr>
    </w:lvl>
  </w:abstractNum>
  <w:abstractNum w:abstractNumId="1">
    <w:nsid w:val="BF205925"/>
    <w:multiLevelType w:val="singleLevel"/>
    <w:tmpl w:val="BF205925"/>
    <w:lvl w:ilvl="0" w:tentative="0">
      <w:start w:val="3"/>
      <w:numFmt w:val="chineseCounting"/>
      <w:suff w:val="nothing"/>
      <w:lvlText w:val="（%1）"/>
      <w:lvlJc w:val="left"/>
      <w:pPr>
        <w:ind w:left="0" w:firstLine="0"/>
      </w:pPr>
      <w:rPr>
        <w:rFonts w:hint="eastAsia"/>
      </w:rPr>
    </w:lvl>
  </w:abstractNum>
  <w:abstractNum w:abstractNumId="2">
    <w:nsid w:val="CF092B84"/>
    <w:multiLevelType w:val="multilevel"/>
    <w:tmpl w:val="CF092B84"/>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0053208E"/>
    <w:multiLevelType w:val="singleLevel"/>
    <w:tmpl w:val="0053208E"/>
    <w:lvl w:ilvl="0" w:tentative="0">
      <w:start w:val="1"/>
      <w:numFmt w:val="chineseCounting"/>
      <w:suff w:val="nothing"/>
      <w:lvlText w:val="%1、"/>
      <w:lvlJc w:val="left"/>
      <w:pPr>
        <w:ind w:left="0" w:firstLine="0"/>
      </w:pPr>
      <w:rPr>
        <w:rFonts w:hint="eastAsia"/>
      </w:rPr>
    </w:lvl>
  </w:abstractNum>
  <w:abstractNum w:abstractNumId="4">
    <w:nsid w:val="59ADCABA"/>
    <w:multiLevelType w:val="singleLevel"/>
    <w:tmpl w:val="59ADCABA"/>
    <w:lvl w:ilvl="0" w:tentative="0">
      <w:start w:val="9"/>
      <w:numFmt w:val="chineseCounting"/>
      <w:suff w:val="nothing"/>
      <w:lvlText w:val="%1、"/>
      <w:lvlJc w:val="left"/>
      <w:pPr>
        <w:ind w:left="0" w:firstLine="0"/>
      </w:pPr>
      <w:rPr>
        <w:rFonts w:hint="eastAsia"/>
      </w:r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ulTrailSpace/>
    <w:doNotExpandShiftReturn/>
    <w:adjustLineHeightInTable/>
    <w:doNotWrapTextWithPunct/>
    <w:doNotUseEastAsianBreakRules/>
    <w:useFELayout/>
    <w:doNotUseIndentAsNumberingTabStop/>
    <w:compatSetting w:name="compatibilityMode" w:uri="http://schemas.microsoft.com/office/word" w:val="15"/>
  </w:compat>
  <w:docVars>
    <w:docVar w:name="commondata" w:val="eyJoZGlkIjoiZTBiNzA2ZjIyZTQwZmFmZGMwZjhhNjI3NTM3OGRmYjAifQ=="/>
  </w:docVars>
  <w:rsids>
    <w:rsidRoot w:val="00000000"/>
    <w:rsid w:val="302845CE"/>
  </w:rsids>
  <m:mathPr>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8"/>
    <w:qFormat/>
    <w:uiPriority w:val="0"/>
    <w:pPr>
      <w:keepNext/>
      <w:keepLines/>
      <w:widowControl w:val="0"/>
      <w:spacing w:before="340" w:after="330" w:line="578" w:lineRule="auto"/>
      <w:outlineLvl w:val="0"/>
    </w:pPr>
    <w:rPr>
      <w:b/>
      <w:bCs/>
      <w:kern w:val="44"/>
      <w:sz w:val="44"/>
      <w:szCs w:val="44"/>
    </w:rPr>
  </w:style>
  <w:style w:type="paragraph" w:styleId="4">
    <w:name w:val="heading 2"/>
    <w:basedOn w:val="1"/>
    <w:next w:val="1"/>
    <w:link w:val="19"/>
    <w:autoRedefine/>
    <w:qFormat/>
    <w:uiPriority w:val="0"/>
    <w:pPr>
      <w:keepNext/>
      <w:keepLines/>
      <w:widowControl w:val="0"/>
      <w:spacing w:before="260" w:after="260" w:line="415" w:lineRule="auto"/>
      <w:outlineLvl w:val="1"/>
    </w:pPr>
    <w:rPr>
      <w:rFonts w:ascii="Cambria" w:hAnsi="Cambria" w:eastAsia="宋体" w:cs="Times New Roman"/>
      <w:b/>
      <w:bCs/>
      <w:sz w:val="32"/>
      <w:szCs w:val="32"/>
    </w:rPr>
  </w:style>
  <w:style w:type="paragraph" w:styleId="5">
    <w:name w:val="heading 3"/>
    <w:basedOn w:val="1"/>
    <w:next w:val="1"/>
    <w:autoRedefine/>
    <w:qFormat/>
    <w:uiPriority w:val="0"/>
    <w:pPr>
      <w:keepNext/>
      <w:keepLines/>
      <w:widowControl w:val="0"/>
      <w:spacing w:before="260" w:after="260" w:line="415" w:lineRule="auto"/>
      <w:outlineLvl w:val="2"/>
    </w:pPr>
    <w:rPr>
      <w:b/>
      <w:bCs/>
      <w:sz w:val="32"/>
      <w:szCs w:val="32"/>
    </w:rPr>
  </w:style>
  <w:style w:type="character" w:default="1" w:styleId="15">
    <w:name w:val="Default Paragraph Font"/>
    <w:autoRedefine/>
    <w:qFormat/>
    <w:uiPriority w:val="0"/>
  </w:style>
  <w:style w:type="table" w:default="1" w:styleId="13">
    <w:name w:val="Normal Table"/>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before="30" w:beforeLines="30"/>
    </w:pPr>
    <w:rPr>
      <w:rFonts w:ascii="仿宋_GB2312" w:eastAsia="仿宋_GB2312"/>
      <w:kern w:val="0"/>
      <w:sz w:val="30"/>
    </w:rPr>
  </w:style>
  <w:style w:type="paragraph" w:styleId="6">
    <w:name w:val="toc 3"/>
    <w:basedOn w:val="1"/>
    <w:next w:val="1"/>
    <w:autoRedefine/>
    <w:qFormat/>
    <w:uiPriority w:val="0"/>
    <w:pPr>
      <w:tabs>
        <w:tab w:val="right" w:leader="dot" w:pos="8296"/>
      </w:tabs>
      <w:ind w:left="400" w:leftChars="400"/>
    </w:pPr>
  </w:style>
  <w:style w:type="paragraph" w:styleId="7">
    <w:name w:val="Balloon Text"/>
    <w:basedOn w:val="1"/>
    <w:autoRedefine/>
    <w:qFormat/>
    <w:uiPriority w:val="0"/>
    <w:rPr>
      <w:sz w:val="18"/>
      <w:szCs w:val="18"/>
    </w:rPr>
  </w:style>
  <w:style w:type="paragraph" w:styleId="8">
    <w:name w:val="footer"/>
    <w:basedOn w:val="1"/>
    <w:autoRedefine/>
    <w:qFormat/>
    <w:uiPriority w:val="0"/>
    <w:pPr>
      <w:tabs>
        <w:tab w:val="center" w:pos="4153"/>
        <w:tab w:val="right" w:pos="8306"/>
      </w:tabs>
      <w:snapToGrid w:val="0"/>
      <w:jc w:val="left"/>
    </w:pPr>
    <w:rPr>
      <w:rFonts w:ascii="Calibri" w:hAnsi="Calibri"/>
      <w:kern w:val="0"/>
      <w:sz w:val="18"/>
      <w:szCs w:val="18"/>
    </w:rPr>
  </w:style>
  <w:style w:type="paragraph" w:styleId="9">
    <w:name w:val="header"/>
    <w:basedOn w:val="1"/>
    <w:autoRedefine/>
    <w:qFormat/>
    <w:uiPriority w:val="0"/>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0">
    <w:name w:val="toc 1"/>
    <w:basedOn w:val="1"/>
    <w:next w:val="1"/>
    <w:autoRedefine/>
    <w:qFormat/>
    <w:uiPriority w:val="0"/>
    <w:pPr>
      <w:tabs>
        <w:tab w:val="right" w:leader="dot" w:pos="8296"/>
      </w:tabs>
      <w:spacing w:before="93"/>
      <w:jc w:val="center"/>
    </w:pPr>
    <w:rPr>
      <w:rFonts w:ascii="仿宋" w:eastAsia="仿宋"/>
      <w:sz w:val="28"/>
      <w:szCs w:val="28"/>
    </w:rPr>
  </w:style>
  <w:style w:type="paragraph" w:styleId="11">
    <w:name w:val="toc 2"/>
    <w:basedOn w:val="1"/>
    <w:next w:val="1"/>
    <w:autoRedefine/>
    <w:qFormat/>
    <w:uiPriority w:val="0"/>
    <w:pPr>
      <w:tabs>
        <w:tab w:val="right" w:leader="dot" w:pos="8296"/>
      </w:tabs>
      <w:ind w:left="200" w:leftChars="200"/>
    </w:pPr>
  </w:style>
  <w:style w:type="paragraph" w:styleId="12">
    <w:name w:val="Normal (Web)"/>
    <w:basedOn w:val="1"/>
    <w:autoRedefine/>
    <w:qFormat/>
    <w:uiPriority w:val="0"/>
    <w:pPr>
      <w:widowControl w:val="0"/>
      <w:suppressAutoHyphens/>
    </w:pPr>
    <w:rPr>
      <w:rFonts w:ascii="Calibri" w:hAnsi="Calibri" w:eastAsia="宋体" w:cs="Times New Roman"/>
      <w:sz w:val="24"/>
      <w:szCs w:val="24"/>
    </w:rPr>
  </w:style>
  <w:style w:type="table" w:styleId="14">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6">
    <w:name w:val="Strong"/>
    <w:basedOn w:val="15"/>
    <w:autoRedefine/>
    <w:qFormat/>
    <w:uiPriority w:val="0"/>
    <w:rPr>
      <w:b/>
    </w:rPr>
  </w:style>
  <w:style w:type="character" w:styleId="17">
    <w:name w:val="Hyperlink"/>
    <w:basedOn w:val="15"/>
    <w:autoRedefine/>
    <w:qFormat/>
    <w:uiPriority w:val="0"/>
    <w:rPr>
      <w:color w:val="0000FF"/>
      <w:u w:val="single"/>
    </w:rPr>
  </w:style>
  <w:style w:type="character" w:customStyle="1" w:styleId="18">
    <w:name w:val="heading 1 Char"/>
    <w:basedOn w:val="15"/>
    <w:link w:val="3"/>
    <w:autoRedefine/>
    <w:qFormat/>
    <w:uiPriority w:val="0"/>
    <w:rPr>
      <w:rFonts w:ascii="Times New Roman" w:hAnsi="Times New Roman" w:eastAsia="宋体" w:cs="Times New Roman"/>
      <w:b/>
      <w:bCs/>
      <w:kern w:val="44"/>
      <w:sz w:val="44"/>
      <w:szCs w:val="44"/>
      <w:lang w:val="en-US" w:eastAsia="zh-CN" w:bidi="ar-SA"/>
    </w:rPr>
  </w:style>
  <w:style w:type="character" w:customStyle="1" w:styleId="19">
    <w:name w:val="heading 2 Char"/>
    <w:basedOn w:val="15"/>
    <w:link w:val="4"/>
    <w:autoRedefine/>
    <w:qFormat/>
    <w:uiPriority w:val="0"/>
    <w:rPr>
      <w:rFonts w:ascii="Cambria" w:hAnsi="Cambria" w:eastAsia="宋体" w:cs="Times New Roman"/>
      <w:b/>
      <w:bCs/>
      <w:kern w:val="2"/>
      <w:sz w:val="32"/>
      <w:szCs w:val="32"/>
      <w:lang w:val="en-US" w:eastAsia="zh-CN" w:bidi="ar-SA"/>
    </w:rPr>
  </w:style>
  <w:style w:type="character" w:customStyle="1" w:styleId="20">
    <w:name w:val="Header Char"/>
    <w:basedOn w:val="15"/>
    <w:autoRedefine/>
    <w:qFormat/>
    <w:uiPriority w:val="0"/>
    <w:rPr>
      <w:rFonts w:ascii="Times New Roman" w:hAnsi="Times New Roman"/>
      <w:sz w:val="18"/>
      <w:szCs w:val="18"/>
    </w:rPr>
  </w:style>
  <w:style w:type="character" w:customStyle="1" w:styleId="21">
    <w:name w:val="Footer Char"/>
    <w:basedOn w:val="15"/>
    <w:autoRedefine/>
    <w:qFormat/>
    <w:uiPriority w:val="0"/>
    <w:rPr>
      <w:rFonts w:ascii="Times New Roman" w:hAnsi="Times New Roman"/>
      <w:sz w:val="18"/>
      <w:szCs w:val="18"/>
    </w:rPr>
  </w:style>
  <w:style w:type="character" w:customStyle="1" w:styleId="22">
    <w:name w:val="Body Text Char"/>
    <w:basedOn w:val="15"/>
    <w:autoRedefine/>
    <w:qFormat/>
    <w:uiPriority w:val="0"/>
    <w:rPr>
      <w:rFonts w:ascii="Times New Roman" w:hAnsi="Times New Roman"/>
      <w:szCs w:val="24"/>
    </w:rPr>
  </w:style>
  <w:style w:type="paragraph" w:customStyle="1" w:styleId="23">
    <w:name w:val="Default"/>
    <w:autoRedefine/>
    <w:qFormat/>
    <w:uiPriority w:val="0"/>
    <w:pPr>
      <w:widowControl w:val="0"/>
      <w:autoSpaceDE w:val="0"/>
      <w:autoSpaceDN w:val="0"/>
      <w:adjustRightInd w:val="0"/>
    </w:pPr>
    <w:rPr>
      <w:rFonts w:ascii="仿宋" w:hAnsi="Times New Roman" w:eastAsia="仿宋" w:cs="仿宋"/>
      <w:color w:val="000000"/>
      <w:sz w:val="24"/>
      <w:szCs w:val="24"/>
      <w:lang w:val="en-US" w:eastAsia="zh-CN" w:bidi="ar-SA"/>
    </w:rPr>
  </w:style>
  <w:style w:type="paragraph" w:styleId="24">
    <w:name w:val="List Paragraph"/>
    <w:basedOn w:val="1"/>
    <w:qFormat/>
    <w:uiPriority w:val="0"/>
    <w:pPr>
      <w:ind w:firstLine="200" w:firstLineChars="200"/>
    </w:pPr>
  </w:style>
  <w:style w:type="paragraph" w:customStyle="1" w:styleId="25">
    <w:name w:val="TOC 标题1"/>
    <w:basedOn w:val="3"/>
    <w:next w:val="1"/>
    <w:qFormat/>
    <w:uiPriority w:val="0"/>
    <w:pPr>
      <w:keepNext/>
      <w:keepLines/>
      <w:widowControl/>
      <w:spacing w:before="480" w:after="0" w:line="276" w:lineRule="auto"/>
      <w:jc w:val="left"/>
      <w:outlineLvl w:val="9"/>
    </w:pPr>
    <w:rPr>
      <w:rFonts w:ascii="Cambria" w:hAnsi="Cambria" w:eastAsia="宋体" w:cs="Times New Roman"/>
      <w:color w:val="376092"/>
      <w:kern w:val="0"/>
      <w:sz w:val="28"/>
      <w:szCs w:val="28"/>
    </w:rPr>
  </w:style>
  <w:style w:type="paragraph" w:customStyle="1" w:styleId="26">
    <w:name w:val="TOC Heading"/>
    <w:basedOn w:val="3"/>
    <w:next w:val="1"/>
    <w:qFormat/>
    <w:uiPriority w:val="0"/>
    <w:pPr>
      <w:keepNext/>
      <w:keepLines/>
      <w:widowControl/>
      <w:spacing w:before="480" w:after="0" w:line="276" w:lineRule="auto"/>
      <w:jc w:val="left"/>
      <w:outlineLvl w:val="9"/>
    </w:pPr>
    <w:rPr>
      <w:rFonts w:ascii="Cambria" w:hAnsi="Cambria" w:eastAsia="宋体" w:cs="Times New Roman"/>
      <w:color w:val="376092"/>
      <w:kern w:val="0"/>
      <w:sz w:val="28"/>
      <w:szCs w:val="28"/>
    </w:rPr>
  </w:style>
  <w:style w:type="paragraph" w:customStyle="1" w:styleId="27">
    <w:name w:val="p0"/>
    <w:basedOn w:val="1"/>
    <w:autoRedefine/>
    <w:qFormat/>
    <w:uiPriority w:val="0"/>
    <w:pPr>
      <w:widowControl/>
    </w:pPr>
    <w:rPr>
      <w:kern w:val="0"/>
      <w:szCs w:val="21"/>
    </w:rPr>
  </w:style>
  <w:style w:type="character" w:customStyle="1" w:styleId="28">
    <w:name w:val="font31"/>
    <w:basedOn w:val="15"/>
    <w:autoRedefine/>
    <w:qFormat/>
    <w:uiPriority w:val="0"/>
    <w:rPr>
      <w:rFonts w:hint="eastAsia" w:ascii="宋体" w:hAnsi="宋体" w:eastAsia="宋体" w:cs="宋体"/>
      <w:color w:val="000000"/>
      <w:sz w:val="20"/>
      <w:szCs w:val="20"/>
      <w:u w:val="none"/>
    </w:rPr>
  </w:style>
  <w:style w:type="character" w:customStyle="1" w:styleId="29">
    <w:name w:val="font121"/>
    <w:basedOn w:val="15"/>
    <w:autoRedefine/>
    <w:qFormat/>
    <w:uiPriority w:val="0"/>
    <w:rPr>
      <w:rFonts w:hint="eastAsia" w:ascii="宋体" w:hAnsi="宋体" w:eastAsia="宋体" w:cs="宋体"/>
      <w:color w:val="000000"/>
      <w:sz w:val="20"/>
      <w:szCs w:val="20"/>
      <w:u w:val="none"/>
    </w:rPr>
  </w:style>
  <w:style w:type="character" w:customStyle="1" w:styleId="30">
    <w:name w:val="font101"/>
    <w:basedOn w:val="15"/>
    <w:qFormat/>
    <w:uiPriority w:val="0"/>
    <w:rPr>
      <w:rFonts w:hint="eastAsia" w:ascii="宋体" w:hAnsi="宋体" w:eastAsia="宋体" w:cs="宋体"/>
      <w:color w:val="000000"/>
      <w:sz w:val="18"/>
      <w:szCs w:val="18"/>
      <w:u w:val="none"/>
    </w:rPr>
  </w:style>
  <w:style w:type="character" w:customStyle="1" w:styleId="31">
    <w:name w:val="font71"/>
    <w:basedOn w:val="15"/>
    <w:autoRedefine/>
    <w:qFormat/>
    <w:uiPriority w:val="0"/>
    <w:rPr>
      <w:rFonts w:hint="eastAsia" w:ascii="宋体" w:hAnsi="宋体" w:eastAsia="宋体" w:cs="宋体"/>
      <w:color w:val="000000"/>
      <w:sz w:val="18"/>
      <w:szCs w:val="18"/>
      <w:u w:val="none"/>
    </w:rPr>
  </w:style>
  <w:style w:type="character" w:customStyle="1" w:styleId="32">
    <w:name w:val="font112"/>
    <w:basedOn w:val="15"/>
    <w:autoRedefine/>
    <w:qFormat/>
    <w:uiPriority w:val="0"/>
    <w:rPr>
      <w:rFonts w:hint="eastAsia" w:ascii="宋体" w:hAnsi="宋体" w:eastAsia="宋体" w:cs="宋体"/>
      <w:color w:val="000000"/>
      <w:sz w:val="20"/>
      <w:szCs w:val="20"/>
      <w:u w:val="none"/>
    </w:rPr>
  </w:style>
  <w:style w:type="paragraph" w:customStyle="1" w:styleId="33">
    <w:name w:val="WPSOffice手动目录 1"/>
    <w:qFormat/>
    <w:uiPriority w:val="0"/>
    <w:pPr>
      <w:ind w:leftChars="0"/>
    </w:pPr>
    <w:rPr>
      <w:rFonts w:ascii="Times New Roman" w:hAnsi="Times New Roman" w:eastAsia="宋体" w:cs="Times New Roman"/>
      <w:sz w:val="20"/>
      <w:szCs w:val="20"/>
    </w:rPr>
  </w:style>
  <w:style w:type="paragraph" w:customStyle="1" w:styleId="34">
    <w:name w:val="WPSOffice手动目录 2"/>
    <w:autoRedefine/>
    <w:qFormat/>
    <w:uiPriority w:val="0"/>
    <w:pPr>
      <w:ind w:leftChars="200"/>
    </w:pPr>
    <w:rPr>
      <w:rFonts w:ascii="Times New Roman" w:hAnsi="Times New Roman" w:eastAsia="宋体" w:cs="Times New Roman"/>
      <w:sz w:val="20"/>
      <w:szCs w:val="20"/>
    </w:rPr>
  </w:style>
  <w:style w:type="paragraph" w:customStyle="1" w:styleId="35">
    <w:name w:val="WPSOffice手动目录 3"/>
    <w:autoRedefine/>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4.xml"/><Relationship Id="rId2" Type="http://schemas.openxmlformats.org/officeDocument/2006/relationships/settings" Target="settings.xml"/><Relationship Id="rId19" Type="http://schemas.openxmlformats.org/officeDocument/2006/relationships/customXml" Target="../customXml/item3.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chart" Target="charts/chart6.xml"/><Relationship Id="rId14" Type="http://schemas.openxmlformats.org/officeDocument/2006/relationships/chart" Target="charts/chart5.xml"/><Relationship Id="rId13" Type="http://schemas.openxmlformats.org/officeDocument/2006/relationships/chart" Target="charts/chart4.xml"/><Relationship Id="rId12" Type="http://schemas.openxmlformats.org/officeDocument/2006/relationships/chart" Target="charts/chart3.xml"/><Relationship Id="rId11" Type="http://schemas.openxmlformats.org/officeDocument/2006/relationships/chart" Target="charts/chart2.xml"/><Relationship Id="rId10" Type="http://schemas.openxmlformats.org/officeDocument/2006/relationships/chart" Target="charts/chart1.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Workbook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Workbook6.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2021年</c:f>
              <c:strCache>
                <c:ptCount val="1"/>
                <c:pt idx="0">
                  <c:v>2021年</c:v>
                </c:pt>
              </c:strCache>
            </c:strRef>
          </c:tx>
          <c:spPr>
            <a:solidFill>
              <a:srgbClr val="4F81BD">
                <a:alpha val="85000"/>
              </a:srgbClr>
            </a:solidFill>
            <a:ln w="12700">
              <a:solidFill>
                <a:srgbClr val="FFFFFF"/>
              </a:solidFill>
              <a:prstDash val="solid"/>
            </a:ln>
          </c:spPr>
          <c:invertIfNegative val="0"/>
          <c:dLbls>
            <c:numFmt formatCode="0.00_ " sourceLinked="0"/>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rgbClr val="FFFFFF"/>
                    </a:solidFill>
                    <a:latin typeface="Times New Roman" panose="02020603050405020304"/>
                    <a:ea typeface="宋体" panose="02010600030101010101" charset="-122"/>
                    <a:cs typeface="Arial" panose="020B0604020202020204" pitchFamily="2"/>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ext>
            </c:extLst>
          </c:dLbls>
          <c:cat>
            <c:strRef>
              <c:f>{"收入","支出"}</c:f>
              <c:strCache>
                <c:ptCount val="2"/>
                <c:pt idx="0">
                  <c:v>收入</c:v>
                </c:pt>
                <c:pt idx="1">
                  <c:v>支出</c:v>
                </c:pt>
              </c:strCache>
            </c:strRef>
          </c:cat>
          <c:val>
            <c:numRef>
              <c:f>{617.71,617.71}</c:f>
              <c:numCache>
                <c:formatCode>0.00_ </c:formatCode>
                <c:ptCount val="2"/>
                <c:pt idx="0">
                  <c:v>617.71</c:v>
                </c:pt>
                <c:pt idx="1">
                  <c:v>617.71</c:v>
                </c:pt>
              </c:numCache>
            </c:numRef>
          </c:val>
        </c:ser>
        <c:ser>
          <c:idx val="1"/>
          <c:order val="1"/>
          <c:tx>
            <c:strRef>
              <c:f>2022年</c:f>
              <c:strCache>
                <c:ptCount val="1"/>
                <c:pt idx="0">
                  <c:v>2022年</c:v>
                </c:pt>
              </c:strCache>
            </c:strRef>
          </c:tx>
          <c:spPr>
            <a:solidFill>
              <a:srgbClr val="C0504D">
                <a:alpha val="85000"/>
              </a:srgbClr>
            </a:solidFill>
            <a:ln w="12700">
              <a:solidFill>
                <a:srgbClr val="FFFFFF"/>
              </a:solidFill>
              <a:prstDash val="solid"/>
            </a:ln>
          </c:spPr>
          <c:invertIfNegative val="0"/>
          <c:dLbls>
            <c:numFmt formatCode="0.00_ " sourceLinked="0"/>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rgbClr val="FFFFFF"/>
                    </a:solidFill>
                    <a:latin typeface="Times New Roman" panose="02020603050405020304"/>
                    <a:ea typeface="宋体" panose="02010600030101010101" charset="-122"/>
                    <a:cs typeface="Arial" panose="020B0604020202020204" pitchFamily="2"/>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ext>
            </c:extLst>
          </c:dLbls>
          <c:cat>
            <c:strRef>
              <c:f>{"收入","支出"}</c:f>
              <c:strCache>
                <c:ptCount val="2"/>
                <c:pt idx="0">
                  <c:v>收入</c:v>
                </c:pt>
                <c:pt idx="1">
                  <c:v>支出</c:v>
                </c:pt>
              </c:strCache>
            </c:strRef>
          </c:cat>
          <c:val>
            <c:numRef>
              <c:f>{753.23,753.23}</c:f>
              <c:numCache>
                <c:formatCode>0.00_ </c:formatCode>
                <c:ptCount val="2"/>
                <c:pt idx="0">
                  <c:v>753.23</c:v>
                </c:pt>
                <c:pt idx="1">
                  <c:v>753.23</c:v>
                </c:pt>
              </c:numCache>
            </c:numRef>
          </c:val>
        </c:ser>
        <c:dLbls>
          <c:showLegendKey val="0"/>
          <c:showVal val="1"/>
          <c:showCatName val="0"/>
          <c:showSerName val="0"/>
          <c:showPercent val="0"/>
          <c:showBubbleSize val="0"/>
        </c:dLbls>
        <c:gapWidth val="65"/>
        <c:axId val="0"/>
        <c:axId val="1"/>
      </c:barChart>
      <c:catAx>
        <c:axId val="0"/>
        <c:scaling>
          <c:orientation val="minMax"/>
        </c:scaling>
        <c:delete val="0"/>
        <c:axPos val="b"/>
        <c:numFmt formatCode="General" sourceLinked="1"/>
        <c:majorTickMark val="out"/>
        <c:minorTickMark val="none"/>
        <c:tickLblPos val="nextTo"/>
        <c:spPr>
          <a:ln w="19050" cap="flat" cmpd="sng" algn="ctr">
            <a:solidFill>
              <a:srgbClr val="404040"/>
            </a:solidFill>
            <a:prstDash val="solid"/>
            <a:round/>
          </a:ln>
        </c:spPr>
        <c:txPr>
          <a:bodyPr rot="-60000000" spcFirstLastPara="0" vertOverflow="ellipsis" vert="horz" wrap="square" anchor="ctr" anchorCtr="1"/>
          <a:lstStyle/>
          <a:p>
            <a:pPr>
              <a:defRPr lang="zh-CN" sz="900" b="0" i="0" u="none" strike="noStrike" kern="1200" cap="all" baseline="0">
                <a:solidFill>
                  <a:srgbClr val="404040"/>
                </a:solidFill>
                <a:latin typeface="Times New Roman" panose="02020603050405020304"/>
                <a:ea typeface="宋体" panose="02010600030101010101" charset="-122"/>
                <a:cs typeface="Arial" panose="020B0604020202020204" pitchFamily="2"/>
              </a:defRPr>
            </a:pPr>
          </a:p>
        </c:txPr>
        <c:crossAx val="1"/>
        <c:crosses val="autoZero"/>
        <c:auto val="1"/>
        <c:lblAlgn val="ctr"/>
        <c:lblOffset val="100"/>
        <c:noMultiLvlLbl val="0"/>
      </c:catAx>
      <c:valAx>
        <c:axId val="1"/>
        <c:scaling>
          <c:orientation val="minMax"/>
        </c:scaling>
        <c:delete val="0"/>
        <c:axPos val="l"/>
        <c:numFmt formatCode="0.00_ " sourceLinked="1"/>
        <c:majorTickMark val="out"/>
        <c:minorTickMark val="none"/>
        <c:tickLblPos val="nextTo"/>
        <c:spPr>
          <a:ln w="9525" cap="flat" cmpd="sng" algn="ctr">
            <a:noFill/>
            <a:prstDash val="solid"/>
            <a:round/>
          </a:ln>
        </c:spPr>
        <c:txPr>
          <a:bodyPr rot="-60000000" spcFirstLastPara="0" vertOverflow="ellipsis" vert="horz" wrap="square" anchor="ctr" anchorCtr="1"/>
          <a:lstStyle/>
          <a:p>
            <a:pPr>
              <a:defRPr lang="zh-CN" sz="900" b="0" i="0" u="none" strike="noStrike" kern="1200" baseline="0">
                <a:solidFill>
                  <a:srgbClr val="404040"/>
                </a:solidFill>
                <a:latin typeface="Times New Roman" panose="02020603050405020304"/>
                <a:ea typeface="宋体" panose="02010600030101010101" charset="-122"/>
                <a:cs typeface="Arial" panose="020B0604020202020204" pitchFamily="2"/>
              </a:defRPr>
            </a:pPr>
          </a:p>
        </c:txPr>
        <c:crossAx val="0"/>
        <c:crossesAt val="1"/>
        <c:crossBetween val="between"/>
      </c:valAx>
      <c:spPr>
        <a:noFill/>
        <a:ln>
          <a:noFill/>
        </a:ln>
      </c:spPr>
    </c:plotArea>
    <c:legend>
      <c:legendPos val="b"/>
      <c:layout/>
      <c:overlay val="0"/>
      <c:spPr>
        <a:solidFill>
          <a:srgbClr val="F2F2F2">
            <a:alpha val="39000"/>
          </a:srgbClr>
        </a:solidFill>
        <a:ln>
          <a:noFill/>
        </a:ln>
      </c:spPr>
      <c:txPr>
        <a:bodyPr rot="0" spcFirstLastPara="0" vertOverflow="ellipsis" vert="horz" wrap="square" anchor="ctr" anchorCtr="1"/>
        <a:lstStyle/>
        <a:p>
          <a:pPr>
            <a:defRPr lang="zh-CN" sz="900" b="0" i="0" u="none" strike="noStrike" kern="1200" baseline="0">
              <a:solidFill>
                <a:srgbClr val="404040"/>
              </a:solidFill>
              <a:latin typeface="Times New Roman" panose="02020603050405020304"/>
              <a:ea typeface="宋体" panose="02010600030101010101" charset="-122"/>
              <a:cs typeface="Arial" panose="020B0604020202020204" pitchFamily="2"/>
            </a:defRPr>
          </a:pPr>
        </a:p>
      </c:txPr>
    </c:legend>
    <c:plotVisOnly val="1"/>
    <c:dispBlanksAs val="gap"/>
    <c:showDLblsOverMax val="0"/>
  </c:chart>
  <c:spPr>
    <a:noFill/>
    <a:ln w="12700" cap="flat" cmpd="sng" algn="ctr">
      <a:solidFill>
        <a:srgbClr val="BFBFBF"/>
      </a:solidFill>
      <a:prstDash val="solid"/>
      <a:round/>
    </a:ln>
  </c:spPr>
  <c:txPr>
    <a:bodyPr/>
    <a:lstStyle/>
    <a:p>
      <a:pPr>
        <a:defRPr lang="zh-CN" sz="1000" b="0" i="0" u="none" strike="noStrike" baseline="0">
          <a:solidFill>
            <a:srgbClr val="000000"/>
          </a:solidFill>
          <a:latin typeface="Times New Roman" panose="02020603050405020304"/>
          <a:ea typeface="宋体" panose="02010600030101010101" charset="-122"/>
          <a:cs typeface="Arial" panose="020B0604020202020204" pitchFamily="2"/>
        </a:defRPr>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27880905"/>
          <c:y val="0.19861111"/>
          <c:w val="0.9388889"/>
          <c:h val="0.64560187"/>
        </c:manualLayout>
      </c:layout>
      <c:pieChart>
        <c:varyColors val="1"/>
        <c:ser>
          <c:idx val="0"/>
          <c:order val="0"/>
          <c:spPr>
            <a:ln>
              <a:noFill/>
            </a:ln>
          </c:spPr>
          <c:explosion val="0"/>
          <c:dPt>
            <c:idx val="0"/>
            <c:bubble3D val="0"/>
            <c:spPr>
              <a:solidFill>
                <a:srgbClr val="4F81BD"/>
              </a:solidFill>
              <a:ln>
                <a:noFill/>
              </a:ln>
              <a:effectLst>
                <a:outerShdw dist="35921" dir="2700000" algn="br">
                  <a:srgbClr val="000000"/>
                </a:outerShdw>
              </a:effectLst>
            </c:spPr>
          </c:dPt>
          <c:dPt>
            <c:idx val="1"/>
            <c:bubble3D val="0"/>
            <c:explosion val="27"/>
            <c:spPr>
              <a:solidFill>
                <a:srgbClr val="C0504D"/>
              </a:solidFill>
              <a:ln>
                <a:noFill/>
              </a:ln>
              <a:effectLst>
                <a:outerShdw dist="35921" dir="2700000" algn="br">
                  <a:srgbClr val="000000"/>
                </a:outerShdw>
              </a:effectLst>
            </c:spPr>
          </c:dPt>
          <c:dPt>
            <c:idx val="2"/>
            <c:bubble3D val="0"/>
            <c:explosion val="21"/>
            <c:spPr>
              <a:solidFill>
                <a:srgbClr val="9BBB59"/>
              </a:solidFill>
              <a:ln>
                <a:noFill/>
              </a:ln>
              <a:effectLst>
                <a:outerShdw dist="35921" dir="2700000" algn="br">
                  <a:srgbClr val="000000"/>
                </a:outerShdw>
              </a:effectLst>
            </c:spPr>
          </c:dPt>
          <c:dLbls>
            <c:dLbl>
              <c:idx val="0"/>
              <c:layout>
                <c:manualLayout>
                  <c:x val="-0.14486924"/>
                  <c:y val="-0.22868355"/>
                </c:manualLayout>
              </c:layout>
              <c:tx>
                <c:rich>
                  <a:bodyPr rot="0" spcFirstLastPara="0" vertOverflow="ellipsis" vert="horz" wrap="square" lIns="38100" tIns="19050" rIns="38100" bIns="19050" anchor="ctr" anchorCtr="1"/>
                  <a:lstStyle/>
                  <a:p>
                    <a:pPr>
                      <a:defRPr lang="zh-CN" sz="900" b="1" i="0" u="none" strike="noStrike" kern="1200" baseline="0">
                        <a:solidFill>
                          <a:srgbClr val="000000"/>
                        </a:solidFill>
                        <a:latin typeface="Times New Roman" panose="02020603050405020304"/>
                        <a:ea typeface="宋体" panose="02010600030101010101" charset="-122"/>
                        <a:cs typeface="Arial" panose="020B0604020202020204" pitchFamily="2"/>
                      </a:defRPr>
                    </a:pPr>
                    <a:r>
                      <a:rPr lang="zh-CN" sz="900" b="1" i="0" u="none" strike="noStrike" baseline="0">
                        <a:solidFill>
                          <a:srgbClr val="000000"/>
                        </a:solidFill>
                        <a:latin typeface="Times New Roman" panose="02020603050405020304"/>
                        <a:ea typeface="宋体" panose="02010600030101010101" charset="-122"/>
                        <a:cs typeface="Arial" panose="020B0604020202020204" pitchFamily="2"/>
                      </a:rPr>
                      <a:t>财政拨款收入52.4%</a:t>
                    </a:r>
                    <a:endParaRPr lang="zh-CN" sz="900" b="1" i="0" u="none" strike="noStrike" baseline="0">
                      <a:solidFill>
                        <a:srgbClr val="000000"/>
                      </a:solidFill>
                      <a:latin typeface="Times New Roman" panose="02020603050405020304"/>
                      <a:ea typeface="宋体" panose="02010600030101010101" charset="-122"/>
                      <a:cs typeface="Arial" panose="020B0604020202020204" pitchFamily="2"/>
                    </a:endParaRPr>
                  </a:p>
                </c:rich>
              </c:tx>
              <c:numFmt formatCode="General" sourceLinked="1"/>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rgbClr val="000000"/>
                      </a:solidFill>
                      <a:latin typeface="Times New Roman" panose="02020603050405020304"/>
                      <a:ea typeface="宋体" panose="02010600030101010101" charset="-122"/>
                      <a:cs typeface="Arial" panose="020B0604020202020204" pitchFamily="2"/>
                    </a:defRPr>
                  </a:pPr>
                </a:p>
              </c:txPr>
              <c:dLblPos val="bestFit"/>
              <c:showLegendKey val="0"/>
              <c:showVal val="0"/>
              <c:showCatName val="0"/>
              <c:showSerName val="0"/>
              <c:showPercent val="1"/>
              <c:showBubbleSize val="0"/>
              <c:extLst>
                <c:ext xmlns:c15="http://schemas.microsoft.com/office/drawing/2012/chart" uri="{CE6537A1-D6FC-4f65-9D91-7224C49458BB}">
                  <c15:layout/>
                </c:ext>
              </c:extLst>
            </c:dLbl>
            <c:dLbl>
              <c:idx val="1"/>
              <c:layout/>
              <c:tx>
                <c:rich>
                  <a:bodyPr rot="0" spcFirstLastPara="0" vertOverflow="ellipsis" vert="horz" wrap="square" lIns="38100" tIns="19050" rIns="38100" bIns="19050" anchor="ctr" anchorCtr="1"/>
                  <a:lstStyle/>
                  <a:p>
                    <a:pPr>
                      <a:defRPr lang="zh-CN" sz="900" b="1" i="0" u="none" strike="noStrike" kern="1200" baseline="0">
                        <a:solidFill>
                          <a:srgbClr val="000000"/>
                        </a:solidFill>
                        <a:latin typeface="Times New Roman" panose="02020603050405020304"/>
                        <a:ea typeface="宋体" panose="02010600030101010101" charset="-122"/>
                        <a:cs typeface="Arial" panose="020B0604020202020204" pitchFamily="2"/>
                      </a:defRPr>
                    </a:pPr>
                    <a:r>
                      <a:rPr lang="zh-CN" sz="900" b="1" i="0" u="none" strike="noStrike" baseline="0">
                        <a:solidFill>
                          <a:srgbClr val="000000"/>
                        </a:solidFill>
                        <a:latin typeface="Times New Roman" panose="02020603050405020304"/>
                        <a:ea typeface="宋体" panose="02010600030101010101" charset="-122"/>
                        <a:cs typeface="Arial" panose="020B0604020202020204" pitchFamily="2"/>
                      </a:rPr>
                      <a:t>政府性基金6.36%</a:t>
                    </a:r>
                    <a:endParaRPr lang="zh-CN" sz="900" b="1" i="0" u="none" strike="noStrike" baseline="0">
                      <a:solidFill>
                        <a:srgbClr val="000000"/>
                      </a:solidFill>
                      <a:latin typeface="Times New Roman" panose="02020603050405020304"/>
                      <a:ea typeface="宋体" panose="02010600030101010101" charset="-122"/>
                      <a:cs typeface="Arial" panose="020B0604020202020204" pitchFamily="2"/>
                    </a:endParaRPr>
                  </a:p>
                </c:rich>
              </c:tx>
              <c:numFmt formatCode="General" sourceLinked="1"/>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rgbClr val="000000"/>
                      </a:solidFill>
                      <a:latin typeface="Times New Roman" panose="02020603050405020304"/>
                      <a:ea typeface="宋体" panose="02010600030101010101" charset="-122"/>
                      <a:cs typeface="Arial" panose="020B0604020202020204" pitchFamily="2"/>
                    </a:defRPr>
                  </a:pPr>
                </a:p>
              </c:txPr>
              <c:dLblPos val="inEnd"/>
              <c:showLegendKey val="0"/>
              <c:showVal val="0"/>
              <c:showCatName val="0"/>
              <c:showSerName val="0"/>
              <c:showPercent val="1"/>
              <c:showBubbleSize val="0"/>
              <c:extLst>
                <c:ext xmlns:c15="http://schemas.microsoft.com/office/drawing/2012/chart" uri="{CE6537A1-D6FC-4f65-9D91-7224C49458BB}"/>
              </c:extLst>
            </c:dLbl>
            <c:dLbl>
              <c:idx val="2"/>
              <c:layout>
                <c:manualLayout>
                  <c:x val="0.13220935"/>
                  <c:y val="-0.010641895"/>
                </c:manualLayout>
              </c:layout>
              <c:tx>
                <c:rich>
                  <a:bodyPr rot="0" spcFirstLastPara="0" vertOverflow="ellipsis" vert="horz" wrap="square" lIns="38100" tIns="19050" rIns="38100" bIns="19050" anchor="ctr" anchorCtr="1"/>
                  <a:lstStyle/>
                  <a:p>
                    <a:pPr>
                      <a:defRPr lang="zh-CN" sz="900" b="1" i="0" u="none" strike="noStrike" kern="1200" baseline="0">
                        <a:solidFill>
                          <a:srgbClr val="000000"/>
                        </a:solidFill>
                        <a:latin typeface="Times New Roman" panose="02020603050405020304"/>
                        <a:ea typeface="宋体" panose="02010600030101010101" charset="-122"/>
                        <a:cs typeface="Arial" panose="020B0604020202020204" pitchFamily="2"/>
                      </a:defRPr>
                    </a:pPr>
                    <a:r>
                      <a:rPr lang="zh-CN" sz="900" b="1" i="0" u="none" strike="noStrike" baseline="0">
                        <a:solidFill>
                          <a:srgbClr val="000000"/>
                        </a:solidFill>
                        <a:latin typeface="Times New Roman" panose="02020603050405020304"/>
                        <a:ea typeface="宋体" panose="02010600030101010101" charset="-122"/>
                        <a:cs typeface="Arial" panose="020B0604020202020204" pitchFamily="2"/>
                      </a:rPr>
                      <a:t>事业收入47.6%</a:t>
                    </a:r>
                    <a:endParaRPr lang="zh-CN" sz="900" b="1" i="0" u="none" strike="noStrike" baseline="0">
                      <a:solidFill>
                        <a:srgbClr val="000000"/>
                      </a:solidFill>
                      <a:latin typeface="Times New Roman" panose="02020603050405020304"/>
                      <a:ea typeface="宋体" panose="02010600030101010101" charset="-122"/>
                      <a:cs typeface="Arial" panose="020B0604020202020204" pitchFamily="2"/>
                    </a:endParaRPr>
                  </a:p>
                </c:rich>
              </c:tx>
              <c:numFmt formatCode="General" sourceLinked="1"/>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rgbClr val="000000"/>
                      </a:solidFill>
                      <a:latin typeface="Times New Roman" panose="02020603050405020304"/>
                      <a:ea typeface="宋体" panose="02010600030101010101" charset="-122"/>
                      <a:cs typeface="Arial" panose="020B0604020202020204" pitchFamily="2"/>
                    </a:defRPr>
                  </a:pPr>
                </a:p>
              </c:txPr>
              <c:dLblPos val="bestFit"/>
              <c:showLegendKey val="0"/>
              <c:showVal val="0"/>
              <c:showCatName val="0"/>
              <c:showSerName val="0"/>
              <c:showPercent val="1"/>
              <c:showBubbleSize val="0"/>
              <c:extLst>
                <c:ext xmlns:c15="http://schemas.microsoft.com/office/drawing/2012/chart" uri="{CE6537A1-D6FC-4f65-9D91-7224C49458BB}">
                  <c15:layout/>
                </c:ext>
              </c:extLst>
            </c:dLbl>
            <c:numFmt formatCode="0%" sourceLinked="0"/>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rgbClr val="000000"/>
                    </a:solidFill>
                    <a:latin typeface="Times New Roman" panose="02020603050405020304"/>
                    <a:ea typeface="宋体" panose="02010600030101010101" charset="-122"/>
                    <a:cs typeface="Arial" panose="020B0604020202020204" pitchFamily="2"/>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{"财政拨款收入","","事业收入"}</c:f>
              <c:strCache>
                <c:ptCount val="3"/>
                <c:pt idx="0">
                  <c:v>财政拨款收入</c:v>
                </c:pt>
                <c:pt idx="2">
                  <c:v>事业收入</c:v>
                </c:pt>
              </c:strCache>
            </c:strRef>
          </c:cat>
          <c:val>
            <c:numRef>
              <c:f>{394.71,#N/A,358.52}</c:f>
              <c:numCache>
                <c:formatCode>General</c:formatCode>
                <c:ptCount val="3"/>
                <c:pt idx="0">
                  <c:v>394.71</c:v>
                </c:pt>
                <c:pt idx="2">
                  <c:v>358.52</c:v>
                </c:pt>
              </c:numCache>
            </c:numRef>
          </c:val>
        </c:ser>
        <c:ser>
          <c:idx val="1"/>
          <c:order val="1"/>
          <c:spPr>
            <a:ln>
              <a:noFill/>
            </a:ln>
          </c:spPr>
          <c:explosion val="0"/>
          <c:dPt>
            <c:idx val="0"/>
            <c:bubble3D val="0"/>
            <c:spPr>
              <a:ln>
                <a:noFill/>
              </a:ln>
              <a:effectLst>
                <a:outerShdw dist="35921" dir="2700000" algn="br">
                  <a:srgbClr val="000000"/>
                </a:outerShdw>
              </a:effectLst>
            </c:spPr>
          </c:dPt>
          <c:dPt>
            <c:idx val="1"/>
            <c:bubble3D val="0"/>
            <c:spPr>
              <a:ln>
                <a:noFill/>
              </a:ln>
              <a:effectLst>
                <a:outerShdw dist="35921" dir="2700000" algn="br">
                  <a:srgbClr val="000000"/>
                </a:outerShdw>
              </a:effectLst>
            </c:spPr>
          </c:dPt>
          <c:dPt>
            <c:idx val="2"/>
            <c:bubble3D val="0"/>
            <c:spPr>
              <a:ln>
                <a:noFill/>
              </a:ln>
              <a:effectLst>
                <a:outerShdw dist="35921" dir="2700000" algn="br">
                  <a:srgbClr val="000000"/>
                </a:outerShdw>
              </a:effectLst>
            </c:spPr>
          </c:dPt>
          <c:dLbls>
            <c:numFmt formatCode="0%" sourceLinked="0"/>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rgbClr val="000000"/>
                    </a:solidFill>
                    <a:latin typeface="Times New Roman" panose="02020603050405020304"/>
                    <a:ea typeface="宋体" panose="02010600030101010101" charset="-122"/>
                    <a:cs typeface="Arial" panose="020B0604020202020204" pitchFamily="2"/>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{"财政拨款收入","","事业收入"}</c:f>
              <c:strCache>
                <c:ptCount val="3"/>
                <c:pt idx="0">
                  <c:v>财政拨款收入</c:v>
                </c:pt>
                <c:pt idx="2">
                  <c:v>事业收入</c:v>
                </c:pt>
              </c:strCache>
            </c:strRef>
          </c:cat>
          <c:val>
            <c:numRef>
              <c:f>{0.524,#N/A,0.476}</c:f>
              <c:numCache>
                <c:formatCode>General</c:formatCode>
                <c:ptCount val="3"/>
                <c:pt idx="0">
                  <c:v>0.524</c:v>
                </c:pt>
                <c:pt idx="2">
                  <c:v>0.476</c:v>
                </c:pt>
              </c:numCache>
            </c:numRef>
          </c:val>
        </c:ser>
        <c:dLbls>
          <c:showLegendKey val="0"/>
          <c:showVal val="0"/>
          <c:showCatName val="0"/>
          <c:showSerName val="0"/>
          <c:showPercent val="1"/>
          <c:showBubbleSize val="0"/>
          <c:showLeaderLines val="1"/>
        </c:dLbls>
        <c:firstSliceAng val="0"/>
      </c:pieChart>
      <c:spPr>
        <a:noFill/>
        <a:ln>
          <a:noFill/>
        </a:ln>
      </c:spPr>
    </c:plotArea>
    <c:legend>
      <c:legendPos val="b"/>
      <c:legendEntry>
        <c:idx val="0"/>
        <c:txPr>
          <a:bodyPr rot="0" spcFirstLastPara="0" vertOverflow="ellipsis" vert="horz" wrap="square" anchor="ctr" anchorCtr="1"/>
          <a:lstStyle/>
          <a:p>
            <a:pPr>
              <a:defRPr lang="zh-CN" sz="900" b="0" i="0" u="none" strike="noStrike" kern="1200" baseline="0">
                <a:solidFill>
                  <a:srgbClr val="000000"/>
                </a:solidFill>
                <a:latin typeface="Times New Roman" panose="02020603050405020304"/>
                <a:ea typeface="宋体" panose="02010600030101010101" charset="-122"/>
                <a:cs typeface="Arial" panose="020B0604020202020204" pitchFamily="2"/>
              </a:defRPr>
            </a:pPr>
          </a:p>
        </c:txPr>
      </c:legendEntry>
      <c:legendEntry>
        <c:idx val="2"/>
        <c:txPr>
          <a:bodyPr rot="0" spcFirstLastPara="0" vertOverflow="ellipsis" vert="horz" wrap="square" anchor="ctr" anchorCtr="1"/>
          <a:lstStyle/>
          <a:p>
            <a:pPr>
              <a:defRPr lang="zh-CN" sz="900" b="0" i="0" u="none" strike="noStrike" kern="1200" baseline="0">
                <a:solidFill>
                  <a:srgbClr val="000000"/>
                </a:solidFill>
                <a:latin typeface="Times New Roman" panose="02020603050405020304"/>
                <a:ea typeface="宋体" panose="02010600030101010101" charset="-122"/>
                <a:cs typeface="Arial" panose="020B0604020202020204" pitchFamily="2"/>
              </a:defRPr>
            </a:pPr>
          </a:p>
        </c:txPr>
      </c:legendEntry>
      <c:layout>
        <c:manualLayout>
          <c:xMode val="edge"/>
          <c:yMode val="edge"/>
          <c:x val="0.30430806"/>
          <c:y val="0.8546748"/>
        </c:manualLayout>
      </c:layout>
      <c:overlay val="0"/>
      <c:spPr>
        <a:solidFill>
          <a:srgbClr val="FFFFFF">
            <a:alpha val="78000"/>
          </a:srgbClr>
        </a:solidFill>
        <a:ln>
          <a:noFill/>
        </a:ln>
      </c:spPr>
      <c:txPr>
        <a:bodyPr rot="0" spcFirstLastPara="0" vertOverflow="ellipsis" vert="horz" wrap="square" anchor="ctr" anchorCtr="1"/>
        <a:lstStyle/>
        <a:p>
          <a:pPr>
            <a:defRPr lang="zh-CN" sz="900" b="0" i="0" u="none" strike="noStrike" kern="1200" baseline="0">
              <a:solidFill>
                <a:srgbClr val="000000"/>
              </a:solidFill>
              <a:latin typeface="Times New Roman" panose="02020603050405020304"/>
              <a:ea typeface="宋体" panose="02010600030101010101" charset="-122"/>
              <a:cs typeface="Arial" panose="020B0604020202020204" pitchFamily="2"/>
            </a:defRPr>
          </a:pPr>
        </a:p>
      </c:txPr>
    </c:legend>
    <c:plotVisOnly val="1"/>
    <c:dispBlanksAs val="gap"/>
    <c:showDLblsOverMax val="0"/>
  </c:chart>
  <c:spPr>
    <a:pattFill prst="pct5">
      <a:fgClr>
        <a:srgbClr val="F2F2F2"/>
      </a:fgClr>
      <a:bgClr>
        <a:srgbClr val="FFFFFF"/>
      </a:bgClr>
    </a:pattFill>
    <a:ln w="12700" cap="flat" cmpd="sng" algn="ctr">
      <a:solidFill>
        <a:srgbClr val="D9D9D9"/>
      </a:solidFill>
      <a:prstDash val="solid"/>
      <a:round/>
    </a:ln>
  </c:spPr>
  <c:txPr>
    <a:bodyPr/>
    <a:lstStyle/>
    <a:p>
      <a:pPr>
        <a:defRPr lang="zh-CN" sz="1000" b="0" i="0" u="none" strike="noStrike" baseline="0">
          <a:solidFill>
            <a:srgbClr val="000000"/>
          </a:solidFill>
          <a:latin typeface="Times New Roman" panose="02020603050405020304"/>
          <a:ea typeface="宋体" panose="02010600030101010101" charset="-122"/>
          <a:cs typeface="Arial" panose="020B0604020202020204" pitchFamily="2"/>
        </a:defRPr>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3446115"/>
          <c:y val="0.22005376"/>
          <c:w val="0.91541356"/>
          <c:h val="0.60155314"/>
        </c:manualLayout>
      </c:layout>
      <c:pieChart>
        <c:varyColors val="1"/>
        <c:ser>
          <c:idx val="0"/>
          <c:order val="0"/>
          <c:spPr>
            <a:ln>
              <a:noFill/>
            </a:ln>
          </c:spPr>
          <c:explosion val="0"/>
          <c:dPt>
            <c:idx val="0"/>
            <c:bubble3D val="0"/>
            <c:spPr>
              <a:solidFill>
                <a:srgbClr val="4F81BD"/>
              </a:solidFill>
              <a:ln w="25400">
                <a:solidFill>
                  <a:srgbClr val="FFFFFF"/>
                </a:solidFill>
                <a:prstDash val="solid"/>
              </a:ln>
            </c:spPr>
          </c:dPt>
          <c:dPt>
            <c:idx val="1"/>
            <c:bubble3D val="0"/>
            <c:explosion val="25"/>
            <c:spPr>
              <a:solidFill>
                <a:srgbClr val="C0504D"/>
              </a:solidFill>
              <a:ln w="25400">
                <a:solidFill>
                  <a:srgbClr val="FFFFFF"/>
                </a:solidFill>
                <a:prstDash val="solid"/>
              </a:ln>
            </c:spPr>
          </c:dPt>
          <c:dPt>
            <c:idx val="2"/>
            <c:bubble3D val="0"/>
            <c:spPr>
              <a:solidFill>
                <a:srgbClr val="9BBB59"/>
              </a:solidFill>
              <a:ln w="25400">
                <a:solidFill>
                  <a:srgbClr val="FFFFFF"/>
                </a:solidFill>
                <a:prstDash val="solid"/>
              </a:ln>
            </c:spPr>
          </c:dPt>
          <c:dLbls>
            <c:dLbl>
              <c:idx val="0"/>
              <c:layout>
                <c:manualLayout>
                  <c:x val="-0.15640903"/>
                  <c:y val="-0.25398636"/>
                </c:manualLayout>
              </c:layout>
              <c:tx>
                <c:rich>
                  <a:bodyPr rot="0" spcFirstLastPara="0" vertOverflow="ellipsis" vert="horz" wrap="square" lIns="38100" tIns="19050" rIns="38100" bIns="19050" anchor="ctr" anchorCtr="1"/>
                  <a:lstStyle/>
                  <a:p>
                    <a:pPr>
                      <a:defRPr lang="zh-CN" sz="900" b="1" i="0" u="none" strike="noStrike" kern="1200" baseline="0">
                        <a:solidFill>
                          <a:srgbClr val="404040"/>
                        </a:solidFill>
                        <a:latin typeface="Times New Roman" panose="02020603050405020304"/>
                        <a:ea typeface="宋体" panose="02010600030101010101" charset="-122"/>
                        <a:cs typeface="Arial" panose="020B0604020202020204" pitchFamily="2"/>
                      </a:defRPr>
                    </a:pPr>
                    <a:r>
                      <a:rPr lang="zh-CN" sz="900" b="1" i="0" u="none" strike="noStrike" baseline="0">
                        <a:solidFill>
                          <a:srgbClr val="404040"/>
                        </a:solidFill>
                        <a:latin typeface="Times New Roman" panose="02020603050405020304"/>
                        <a:ea typeface="宋体" panose="02010600030101010101" charset="-122"/>
                        <a:cs typeface="Arial" panose="020B0604020202020204" pitchFamily="2"/>
                      </a:rPr>
                      <a:t>基本支出83.45%</a:t>
                    </a:r>
                    <a:endParaRPr lang="zh-CN" sz="900" b="1" i="0" u="none" strike="noStrike" baseline="0">
                      <a:solidFill>
                        <a:srgbClr val="404040"/>
                      </a:solidFill>
                      <a:latin typeface="Times New Roman" panose="02020603050405020304"/>
                      <a:ea typeface="宋体" panose="02010600030101010101" charset="-122"/>
                      <a:cs typeface="Arial" panose="020B0604020202020204" pitchFamily="2"/>
                    </a:endParaRPr>
                  </a:p>
                </c:rich>
              </c:tx>
              <c:numFmt formatCode="General" sourceLinked="0"/>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rgbClr val="404040"/>
                      </a:solidFill>
                      <a:latin typeface="Times New Roman" panose="02020603050405020304"/>
                      <a:ea typeface="宋体" panose="02010600030101010101" charset="-122"/>
                      <a:cs typeface="Arial" panose="020B0604020202020204" pitchFamily="2"/>
                    </a:defRPr>
                  </a:pPr>
                </a:p>
              </c:txPr>
              <c:dLblPos val="bestFit"/>
              <c:showLegendKey val="0"/>
              <c:showVal val="0"/>
              <c:showCatName val="1"/>
              <c:showSerName val="0"/>
              <c:showPercent val="0"/>
              <c:showBubbleSize val="0"/>
              <c:extLst>
                <c:ext xmlns:c15="http://schemas.microsoft.com/office/drawing/2012/chart" uri="{CE6537A1-D6FC-4f65-9D91-7224C49458BB}">
                  <c15:layout/>
                </c:ext>
              </c:extLst>
            </c:dLbl>
            <c:dLbl>
              <c:idx val="1"/>
              <c:layout/>
              <c:tx>
                <c:rich>
                  <a:bodyPr rot="0" spcFirstLastPara="0" vertOverflow="ellipsis" vert="horz" wrap="square" lIns="38100" tIns="19050" rIns="38100" bIns="19050" anchor="ctr" anchorCtr="1"/>
                  <a:lstStyle/>
                  <a:p>
                    <a:pPr>
                      <a:defRPr lang="zh-CN" sz="900" b="1" i="0" u="none" strike="noStrike" kern="1200" baseline="0">
                        <a:solidFill>
                          <a:srgbClr val="404040"/>
                        </a:solidFill>
                        <a:latin typeface="Times New Roman" panose="02020603050405020304"/>
                        <a:ea typeface="宋体" panose="02010600030101010101" charset="-122"/>
                        <a:cs typeface="Arial" panose="020B0604020202020204" pitchFamily="2"/>
                      </a:defRPr>
                    </a:pPr>
                    <a:r>
                      <a:rPr lang="zh-CN" sz="900" b="1" i="0" u="none" strike="noStrike" baseline="0">
                        <a:solidFill>
                          <a:srgbClr val="404040"/>
                        </a:solidFill>
                        <a:latin typeface="Times New Roman" panose="02020603050405020304"/>
                        <a:ea typeface="宋体" panose="02010600030101010101" charset="-122"/>
                        <a:cs typeface="Arial" panose="020B0604020202020204" pitchFamily="2"/>
                      </a:rPr>
                      <a:t>项目支出16.55%</a:t>
                    </a:r>
                    <a:endParaRPr lang="zh-CN" sz="900" b="1" i="0" u="none" strike="noStrike" baseline="0">
                      <a:solidFill>
                        <a:srgbClr val="404040"/>
                      </a:solidFill>
                      <a:latin typeface="Times New Roman" panose="02020603050405020304"/>
                      <a:ea typeface="宋体" panose="02010600030101010101" charset="-122"/>
                      <a:cs typeface="Arial" panose="020B0604020202020204" pitchFamily="2"/>
                    </a:endParaRPr>
                  </a:p>
                </c:rich>
              </c:tx>
              <c:numFmt formatCode="General" sourceLinked="0"/>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rgbClr val="404040"/>
                      </a:solidFill>
                      <a:latin typeface="Times New Roman" panose="02020603050405020304"/>
                      <a:ea typeface="宋体" panose="02010600030101010101" charset="-122"/>
                      <a:cs typeface="Arial" panose="020B0604020202020204" pitchFamily="2"/>
                    </a:defRPr>
                  </a:pPr>
                </a:p>
              </c:txPr>
              <c:dLblPos val="inEnd"/>
              <c:showLegendKey val="0"/>
              <c:showVal val="0"/>
              <c:showCatName val="1"/>
              <c:showSerName val="0"/>
              <c:showPercent val="0"/>
              <c:showBubbleSize val="0"/>
              <c:extLst>
                <c:ext xmlns:c15="http://schemas.microsoft.com/office/drawing/2012/chart" uri="{CE6537A1-D6FC-4f65-9D91-7224C49458BB}"/>
              </c:extLst>
            </c:dLbl>
            <c:numFmt formatCode="General" sourceLinked="0"/>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rgbClr val="404040"/>
                    </a:solidFill>
                    <a:latin typeface="Times New Roman" panose="02020603050405020304"/>
                    <a:ea typeface="宋体" panose="02010600030101010101" charset="-122"/>
                    <a:cs typeface="Arial" panose="020B0604020202020204" pitchFamily="2"/>
                  </a:defRPr>
                </a:pPr>
              </a:p>
            </c:txPr>
            <c:dLblPos val="inEnd"/>
            <c:showLegendKey val="0"/>
            <c:showVal val="0"/>
            <c:showCatName val="1"/>
            <c:showSerName val="0"/>
            <c:showPercent val="0"/>
            <c:showBubbleSize val="0"/>
            <c:showLeaderLines val="1"/>
            <c:extLst>
              <c:ext xmlns:c15="http://schemas.microsoft.com/office/drawing/2012/chart" uri="{CE6537A1-D6FC-4f65-9D91-7224C49458BB}">
                <c15:layout/>
                <c15:showLeaderLines val="1"/>
                <c15:leaderLines/>
              </c:ext>
            </c:extLst>
          </c:dLbls>
          <c:cat>
            <c:strRef>
              <c:f>{"基本支出","项目支出",""}</c:f>
              <c:strCache>
                <c:ptCount val="3"/>
                <c:pt idx="0">
                  <c:v>基本支出</c:v>
                </c:pt>
                <c:pt idx="1">
                  <c:v>项目支出</c:v>
                </c:pt>
              </c:strCache>
            </c:strRef>
          </c:cat>
          <c:val>
            <c:numRef>
              <c:f>{628.54,124.69,#N/A}</c:f>
              <c:numCache>
                <c:formatCode>General</c:formatCode>
                <c:ptCount val="3"/>
                <c:pt idx="0">
                  <c:v>628.54</c:v>
                </c:pt>
                <c:pt idx="1">
                  <c:v>124.69</c:v>
                </c:pt>
              </c:numCache>
            </c:numRef>
          </c:val>
        </c:ser>
        <c:ser>
          <c:idx val="1"/>
          <c:order val="1"/>
          <c:spPr>
            <a:ln>
              <a:noFill/>
            </a:ln>
          </c:spPr>
          <c:explosion val="0"/>
          <c:dPt>
            <c:idx val="0"/>
            <c:bubble3D val="0"/>
            <c:spPr>
              <a:ln w="25400">
                <a:solidFill>
                  <a:srgbClr val="FFFFFF"/>
                </a:solidFill>
                <a:prstDash val="solid"/>
              </a:ln>
            </c:spPr>
          </c:dPt>
          <c:dPt>
            <c:idx val="1"/>
            <c:bubble3D val="0"/>
            <c:spPr>
              <a:ln w="25400">
                <a:solidFill>
                  <a:srgbClr val="FFFFFF"/>
                </a:solidFill>
                <a:prstDash val="solid"/>
              </a:ln>
            </c:spPr>
          </c:dPt>
          <c:dPt>
            <c:idx val="2"/>
            <c:bubble3D val="0"/>
            <c:spPr>
              <a:ln w="25400">
                <a:solidFill>
                  <a:srgbClr val="FFFFFF"/>
                </a:solidFill>
                <a:prstDash val="solid"/>
              </a:ln>
            </c:spPr>
          </c:dPt>
          <c:dLbls>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404040"/>
                    </a:solidFill>
                    <a:latin typeface="Times New Roman" panose="02020603050405020304"/>
                    <a:ea typeface="宋体" panose="02010600030101010101" charset="-122"/>
                    <a:cs typeface="Arial" panose="020B0604020202020204" pitchFamily="2"/>
                  </a:defRPr>
                </a:pPr>
              </a:p>
            </c:txPr>
            <c:dLblPos val="inEnd"/>
            <c:showLegendKey val="0"/>
            <c:showVal val="0"/>
            <c:showCatName val="1"/>
            <c:showSerName val="0"/>
            <c:showPercent val="0"/>
            <c:showBubbleSize val="0"/>
            <c:showLeaderLines val="1"/>
            <c:extLst>
              <c:ext xmlns:c15="http://schemas.microsoft.com/office/drawing/2012/chart" uri="{CE6537A1-D6FC-4f65-9D91-7224C49458BB}">
                <c15:layout/>
                <c15:showLeaderLines val="1"/>
                <c15:leaderLines/>
              </c:ext>
            </c:extLst>
          </c:dLbls>
          <c:cat>
            <c:strRef>
              <c:f>{"基本支出","项目支出",""}</c:f>
              <c:strCache>
                <c:ptCount val="3"/>
                <c:pt idx="0">
                  <c:v>基本支出</c:v>
                </c:pt>
                <c:pt idx="1">
                  <c:v>项目支出</c:v>
                </c:pt>
              </c:strCache>
            </c:strRef>
          </c:cat>
          <c:val>
            <c:numRef>
              <c:f>{0.8345,0.1655,#N/A}</c:f>
              <c:numCache>
                <c:formatCode>General</c:formatCode>
                <c:ptCount val="3"/>
                <c:pt idx="0">
                  <c:v>0.8345</c:v>
                </c:pt>
                <c:pt idx="1">
                  <c:v>0.1655</c:v>
                </c:pt>
              </c:numCache>
            </c:numRef>
          </c:val>
        </c:ser>
        <c:dLbls>
          <c:showLegendKey val="0"/>
          <c:showVal val="0"/>
          <c:showCatName val="1"/>
          <c:showSerName val="0"/>
          <c:showPercent val="0"/>
          <c:showBubbleSize val="0"/>
          <c:showLeaderLines val="1"/>
        </c:dLbls>
        <c:firstSliceAng val="0"/>
      </c:pieChart>
      <c:spPr>
        <a:noFill/>
        <a:ln>
          <a:noFill/>
        </a:ln>
      </c:spPr>
    </c:plotArea>
    <c:legend>
      <c:legendPos val="b"/>
      <c:layout/>
      <c:overlay val="0"/>
      <c:spPr>
        <a:noFill/>
        <a:ln>
          <a:noFill/>
        </a:ln>
      </c:spPr>
      <c:txPr>
        <a:bodyPr rot="0" spcFirstLastPara="0" vertOverflow="ellipsis" vert="horz" wrap="square" anchor="ctr" anchorCtr="1"/>
        <a:lstStyle/>
        <a:p>
          <a:pPr>
            <a:defRPr lang="zh-CN" sz="900" b="0" i="0" u="none" strike="noStrike" kern="1200" baseline="0">
              <a:solidFill>
                <a:srgbClr val="595959"/>
              </a:solidFill>
              <a:latin typeface="Times New Roman" panose="02020603050405020304"/>
              <a:ea typeface="宋体" panose="02010600030101010101" charset="-122"/>
              <a:cs typeface="Arial" panose="020B0604020202020204" pitchFamily="2"/>
            </a:defRPr>
          </a:pPr>
        </a:p>
      </c:txPr>
    </c:legend>
    <c:plotVisOnly val="1"/>
    <c:dispBlanksAs val="gap"/>
    <c:showDLblsOverMax val="0"/>
  </c:chart>
  <c:spPr>
    <a:solidFill>
      <a:srgbClr val="FFFFFF"/>
    </a:solidFill>
    <a:ln w="12700" cap="flat" cmpd="sng" algn="ctr">
      <a:solidFill>
        <a:srgbClr val="D9D9D9"/>
      </a:solidFill>
      <a:prstDash val="solid"/>
      <a:round/>
    </a:ln>
  </c:spPr>
  <c:txPr>
    <a:bodyPr/>
    <a:lstStyle/>
    <a:p>
      <a:pPr>
        <a:defRPr lang="zh-CN" sz="1000" b="0" i="0" u="none" strike="noStrike" baseline="0">
          <a:solidFill>
            <a:srgbClr val="000000"/>
          </a:solidFill>
          <a:latin typeface="Times New Roman" panose="02020603050405020304"/>
          <a:ea typeface="宋体" panose="02010600030101010101" charset="-122"/>
          <a:cs typeface="Arial" panose="020B0604020202020204" pitchFamily="2"/>
        </a:defRPr>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051440329218107"/>
          <c:y val="0.28202614379085"/>
          <c:w val="0.924554183813443"/>
          <c:h val="0.622679738562092"/>
        </c:manualLayout>
      </c:layout>
      <c:barChart>
        <c:barDir val="col"/>
        <c:grouping val="clustered"/>
        <c:varyColors val="0"/>
        <c:ser>
          <c:idx val="0"/>
          <c:order val="0"/>
          <c:tx>
            <c:strRef>
              <c:f>2021年</c:f>
              <c:strCache>
                <c:ptCount val="1"/>
                <c:pt idx="0">
                  <c:v>2021年</c:v>
                </c:pt>
              </c:strCache>
            </c:strRef>
          </c:tx>
          <c:spPr>
            <a:solidFill>
              <a:srgbClr val="4F81BD">
                <a:alpha val="85000"/>
              </a:srgbClr>
            </a:solidFill>
            <a:ln w="12700">
              <a:solidFill>
                <a:srgbClr val="FFFFFF"/>
              </a:solidFill>
              <a:prstDash val="solid"/>
            </a:ln>
          </c:spPr>
          <c:invertIfNegative val="0"/>
          <c:dLbls>
            <c:numFmt formatCode="General" sourceLinked="0"/>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rgbClr val="FFFFFF"/>
                    </a:solidFill>
                    <a:latin typeface="Times New Roman" panose="02020603050405020304"/>
                    <a:ea typeface="宋体" panose="02010600030101010101" charset="-122"/>
                    <a:cs typeface="Arial" panose="020B0604020202020204" pitchFamily="2"/>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ext>
            </c:extLst>
          </c:dLbls>
          <c:cat>
            <c:strRef>
              <c:f>{"财政拨款支出","财政拨款收入"}</c:f>
              <c:strCache>
                <c:ptCount val="2"/>
                <c:pt idx="0">
                  <c:v>财政拨款支出</c:v>
                </c:pt>
                <c:pt idx="1">
                  <c:v>财政拨款收入</c:v>
                </c:pt>
              </c:strCache>
            </c:strRef>
          </c:cat>
          <c:val>
            <c:numRef>
              <c:f>{317.55,317.55}</c:f>
              <c:numCache>
                <c:formatCode>General</c:formatCode>
                <c:ptCount val="2"/>
                <c:pt idx="0">
                  <c:v>317.55</c:v>
                </c:pt>
                <c:pt idx="1">
                  <c:v>317.55</c:v>
                </c:pt>
              </c:numCache>
            </c:numRef>
          </c:val>
        </c:ser>
        <c:ser>
          <c:idx val="1"/>
          <c:order val="1"/>
          <c:tx>
            <c:strRef>
              <c:f>2022年</c:f>
              <c:strCache>
                <c:ptCount val="1"/>
                <c:pt idx="0">
                  <c:v>2022年</c:v>
                </c:pt>
              </c:strCache>
            </c:strRef>
          </c:tx>
          <c:spPr>
            <a:solidFill>
              <a:srgbClr val="C0504D">
                <a:alpha val="85000"/>
              </a:srgbClr>
            </a:solidFill>
            <a:ln w="12700">
              <a:solidFill>
                <a:srgbClr val="FFFFFF"/>
              </a:solidFill>
              <a:prstDash val="solid"/>
            </a:ln>
          </c:spPr>
          <c:invertIfNegative val="0"/>
          <c:dLbls>
            <c:numFmt formatCode="General" sourceLinked="0"/>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rgbClr val="FFFFFF"/>
                    </a:solidFill>
                    <a:latin typeface="Times New Roman" panose="02020603050405020304"/>
                    <a:ea typeface="宋体" panose="02010600030101010101" charset="-122"/>
                    <a:cs typeface="Arial" panose="020B0604020202020204" pitchFamily="2"/>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ext>
            </c:extLst>
          </c:dLbls>
          <c:cat>
            <c:strRef>
              <c:f>{"财政拨款支出","财政拨款收入"}</c:f>
              <c:strCache>
                <c:ptCount val="2"/>
                <c:pt idx="0">
                  <c:v>财政拨款支出</c:v>
                </c:pt>
                <c:pt idx="1">
                  <c:v>财政拨款收入</c:v>
                </c:pt>
              </c:strCache>
            </c:strRef>
          </c:cat>
          <c:val>
            <c:numRef>
              <c:f>{394.71,394.71}</c:f>
              <c:numCache>
                <c:formatCode>General</c:formatCode>
                <c:ptCount val="2"/>
                <c:pt idx="0">
                  <c:v>394.71</c:v>
                </c:pt>
                <c:pt idx="1">
                  <c:v>394.71</c:v>
                </c:pt>
              </c:numCache>
            </c:numRef>
          </c:val>
        </c:ser>
        <c:dLbls>
          <c:showLegendKey val="0"/>
          <c:showVal val="1"/>
          <c:showCatName val="0"/>
          <c:showSerName val="0"/>
          <c:showPercent val="0"/>
          <c:showBubbleSize val="0"/>
        </c:dLbls>
        <c:gapWidth val="65"/>
        <c:axId val="0"/>
        <c:axId val="1"/>
      </c:barChart>
      <c:catAx>
        <c:axId val="0"/>
        <c:scaling>
          <c:orientation val="minMax"/>
        </c:scaling>
        <c:delete val="0"/>
        <c:axPos val="b"/>
        <c:numFmt formatCode="General" sourceLinked="1"/>
        <c:majorTickMark val="none"/>
        <c:minorTickMark val="none"/>
        <c:tickLblPos val="nextTo"/>
        <c:spPr>
          <a:ln w="19050" cap="flat" cmpd="sng" algn="ctr">
            <a:solidFill>
              <a:srgbClr val="404040"/>
            </a:solidFill>
            <a:prstDash val="solid"/>
            <a:round/>
          </a:ln>
        </c:spPr>
        <c:txPr>
          <a:bodyPr rot="-60000000" spcFirstLastPara="0" vertOverflow="ellipsis" vert="horz" wrap="square" anchor="ctr" anchorCtr="1"/>
          <a:lstStyle/>
          <a:p>
            <a:pPr>
              <a:defRPr lang="zh-CN" sz="900" b="0" i="0" u="none" strike="noStrike" kern="1200" cap="all" baseline="0">
                <a:solidFill>
                  <a:srgbClr val="404040"/>
                </a:solidFill>
                <a:latin typeface="Times New Roman" panose="02020603050405020304"/>
                <a:ea typeface="宋体" panose="02010600030101010101" charset="-122"/>
                <a:cs typeface="Arial" panose="020B0604020202020204" pitchFamily="2"/>
              </a:defRPr>
            </a:pPr>
          </a:p>
        </c:txPr>
        <c:crossAx val="1"/>
        <c:crosses val="autoZero"/>
        <c:auto val="1"/>
        <c:lblAlgn val="ctr"/>
        <c:lblOffset val="100"/>
        <c:noMultiLvlLbl val="0"/>
      </c:catAx>
      <c:valAx>
        <c:axId val="1"/>
        <c:scaling>
          <c:orientation val="minMax"/>
        </c:scaling>
        <c:delete val="1"/>
        <c:axPos val="l"/>
        <c:majorGridlines>
          <c:spPr>
            <a:ln w="12700" cap="flat" cmpd="sng" algn="ctr">
              <a:solidFill>
                <a:srgbClr val="868686"/>
              </a:solidFill>
              <a:prstDash val="solid"/>
              <a:round/>
            </a:ln>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rgbClr val="404040"/>
                </a:solidFill>
                <a:latin typeface="Times New Roman" panose="02020603050405020304"/>
                <a:ea typeface="宋体" panose="02010600030101010101" charset="-122"/>
                <a:cs typeface="Arial" panose="020B0604020202020204" pitchFamily="2"/>
              </a:defRPr>
            </a:pPr>
          </a:p>
        </c:txPr>
        <c:crossAx val="0"/>
        <c:crossesAt val="1"/>
        <c:crossBetween val="between"/>
      </c:valAx>
      <c:spPr>
        <a:noFill/>
        <a:ln>
          <a:noFill/>
        </a:ln>
      </c:spPr>
    </c:plotArea>
    <c:legend>
      <c:legendPos val="b"/>
      <c:layout/>
      <c:overlay val="0"/>
      <c:spPr>
        <a:solidFill>
          <a:srgbClr val="F2F2F2">
            <a:alpha val="39000"/>
          </a:srgbClr>
        </a:solidFill>
        <a:ln>
          <a:noFill/>
        </a:ln>
      </c:spPr>
      <c:txPr>
        <a:bodyPr rot="0" spcFirstLastPara="0" vertOverflow="ellipsis" vert="horz" wrap="square" anchor="ctr" anchorCtr="1"/>
        <a:lstStyle/>
        <a:p>
          <a:pPr>
            <a:defRPr lang="zh-CN" sz="900" b="0" i="0" u="none" strike="noStrike" kern="1200" baseline="0">
              <a:solidFill>
                <a:srgbClr val="404040"/>
              </a:solidFill>
              <a:latin typeface="Times New Roman" panose="02020603050405020304"/>
              <a:ea typeface="宋体" panose="02010600030101010101" charset="-122"/>
              <a:cs typeface="Arial" panose="020B0604020202020204" pitchFamily="2"/>
            </a:defRPr>
          </a:pPr>
        </a:p>
      </c:txPr>
    </c:legend>
    <c:plotVisOnly val="1"/>
    <c:dispBlanksAs val="gap"/>
    <c:showDLblsOverMax val="0"/>
  </c:chart>
  <c:spPr>
    <a:noFill/>
    <a:ln w="12700" cap="flat" cmpd="sng" algn="ctr">
      <a:solidFill>
        <a:srgbClr val="BFBFBF"/>
      </a:solidFill>
      <a:prstDash val="solid"/>
      <a:round/>
    </a:ln>
  </c:spPr>
  <c:txPr>
    <a:bodyPr/>
    <a:lstStyle/>
    <a:p>
      <a:pPr>
        <a:defRPr lang="zh-CN" sz="1000" b="0" i="0" u="none" strike="noStrike" baseline="0">
          <a:solidFill>
            <a:srgbClr val="000000"/>
          </a:solidFill>
          <a:latin typeface="Times New Roman" panose="02020603050405020304"/>
          <a:ea typeface="宋体" panose="02010600030101010101" charset="-122"/>
          <a:cs typeface="Arial" panose="020B0604020202020204" pitchFamily="2"/>
        </a:defRPr>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400" b="1" i="0" u="none" strike="noStrike" kern="1200" cap="all" baseline="0">
                <a:solidFill>
                  <a:srgbClr val="595959"/>
                </a:solidFill>
                <a:latin typeface="Times New Roman" panose="02020603050405020304"/>
                <a:ea typeface="宋体" panose="02010600030101010101" charset="-122"/>
                <a:cs typeface="Arial" panose="020B0604020202020204" pitchFamily="2"/>
              </a:defRPr>
            </a:pPr>
            <a:r>
              <a:rPr lang="zh-CN"/>
              <a:t>一般公共预算财政拨款支出</a:t>
            </a:r>
            <a:endParaRPr lang="zh-CN"/>
          </a:p>
        </c:rich>
      </c:tx>
      <c:layout>
        <c:manualLayout>
          <c:xMode val="edge"/>
          <c:yMode val="edge"/>
          <c:x val="0.09897611"/>
          <c:y val="0.04027778"/>
        </c:manualLayout>
      </c:layout>
      <c:overlay val="0"/>
      <c:spPr>
        <a:noFill/>
        <a:ln>
          <a:noFill/>
        </a:ln>
      </c:spPr>
    </c:title>
    <c:autoTitleDeleted val="0"/>
    <c:plotArea>
      <c:layout>
        <c:manualLayout>
          <c:layoutTarget val="inner"/>
          <c:xMode val="edge"/>
          <c:yMode val="edge"/>
          <c:x val="0.082312785"/>
          <c:y val="0.33055556"/>
          <c:w val="0.9116643"/>
          <c:h val="0.5822222"/>
        </c:manualLayout>
      </c:layout>
      <c:barChart>
        <c:barDir val="col"/>
        <c:grouping val="stacked"/>
        <c:varyColors val="0"/>
        <c:ser>
          <c:idx val="0"/>
          <c:order val="0"/>
          <c:spPr>
            <a:solidFill>
              <a:srgbClr val="4F81BD"/>
            </a:solidFill>
            <a:ln>
              <a:noFill/>
            </a:ln>
          </c:spPr>
          <c:invertIfNegative val="0"/>
          <c:dLbls>
            <c:dLbl>
              <c:idx val="1"/>
              <c:layout>
                <c:manualLayout>
                  <c:x val="-0.009636619"/>
                  <c:y val="-0.09583333"/>
                </c:manualLayout>
              </c:layout>
              <c:numFmt formatCode="General"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FFFFFF"/>
                      </a:solidFill>
                      <a:latin typeface="Times New Roman" panose="02020603050405020304"/>
                      <a:ea typeface="宋体" panose="02010600030101010101" charset="-122"/>
                      <a:cs typeface="Arial" panose="020B0604020202020204" pitchFamily="2"/>
                    </a:defRPr>
                  </a:pPr>
                </a:p>
              </c:txPr>
              <c:dLblPos val="ctr"/>
              <c:showLegendKey val="0"/>
              <c:showVal val="1"/>
              <c:showCatName val="0"/>
              <c:showSerName val="0"/>
              <c:showPercent val="0"/>
              <c:showBubbleSize val="0"/>
              <c:extLst>
                <c:ext xmlns:c15="http://schemas.microsoft.com/office/drawing/2012/chart" uri="{CE6537A1-D6FC-4f65-9D91-7224C49458BB}">
                  <c15:layout/>
                </c:ext>
              </c:extLst>
            </c:dLbl>
            <c:numFmt formatCode="General"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FFFFFF"/>
                    </a:solidFill>
                    <a:latin typeface="Times New Roman" panose="02020603050405020304"/>
                    <a:ea typeface="宋体" panose="02010600030101010101" charset="-122"/>
                    <a:cs typeface="Arial" panose="020B0604020202020204" pitchFamily="2"/>
                  </a:defRPr>
                </a:pPr>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ext>
            </c:extLst>
          </c:dLbls>
          <c:cat>
            <c:strRef>
              <c:f>{"2021年","2022年"}</c:f>
              <c:strCache>
                <c:ptCount val="2"/>
                <c:pt idx="0">
                  <c:v>2021年</c:v>
                </c:pt>
                <c:pt idx="1">
                  <c:v>2022年</c:v>
                </c:pt>
              </c:strCache>
            </c:strRef>
          </c:cat>
          <c:val>
            <c:numRef>
              <c:f>{317.55,387.14}</c:f>
              <c:numCache>
                <c:formatCode>General</c:formatCode>
                <c:ptCount val="2"/>
                <c:pt idx="0">
                  <c:v>317.55</c:v>
                </c:pt>
                <c:pt idx="1">
                  <c:v>387.14</c:v>
                </c:pt>
              </c:numCache>
            </c:numRef>
          </c:val>
        </c:ser>
        <c:dLbls>
          <c:showLegendKey val="0"/>
          <c:showVal val="1"/>
          <c:showCatName val="0"/>
          <c:showSerName val="0"/>
          <c:showPercent val="0"/>
          <c:showBubbleSize val="0"/>
        </c:dLbls>
        <c:gapWidth val="79"/>
        <c:overlap val="100"/>
        <c:axId val="0"/>
        <c:axId val="1"/>
      </c:barChart>
      <c:catAx>
        <c:axId val="0"/>
        <c:scaling>
          <c:orientation val="minMax"/>
        </c:scaling>
        <c:delete val="0"/>
        <c:axPos val="b"/>
        <c:majorGridlines>
          <c:spPr>
            <a:ln w="12700" cap="flat" cmpd="sng" algn="ctr">
              <a:solidFill>
                <a:srgbClr val="D9D9D9"/>
              </a:solidFill>
              <a:prstDash val="solid"/>
              <a:round/>
            </a:ln>
          </c:spPr>
        </c:majorGridlines>
        <c:numFmt formatCode="General" sourceLinked="1"/>
        <c:majorTickMark val="none"/>
        <c:minorTickMark val="none"/>
        <c:tickLblPos val="nextTo"/>
        <c:spPr>
          <a:ln w="12700" cap="flat" cmpd="sng" algn="ctr">
            <a:solidFill>
              <a:srgbClr val="D9D9D9"/>
            </a:solidFill>
            <a:prstDash val="solid"/>
            <a:round/>
          </a:ln>
        </c:spPr>
        <c:txPr>
          <a:bodyPr rot="-60000000" spcFirstLastPara="0" vertOverflow="ellipsis" vert="horz" wrap="square" anchor="ctr" anchorCtr="1"/>
          <a:lstStyle/>
          <a:p>
            <a:pPr>
              <a:defRPr lang="zh-CN" sz="800" b="0" i="0" u="none" strike="noStrike" kern="1200" cap="all" baseline="0">
                <a:solidFill>
                  <a:srgbClr val="595959"/>
                </a:solidFill>
                <a:latin typeface="Times New Roman" panose="02020603050405020304"/>
                <a:ea typeface="宋体" panose="02010600030101010101" charset="-122"/>
                <a:cs typeface="Arial" panose="020B0604020202020204" pitchFamily="2"/>
              </a:defRPr>
            </a:pPr>
          </a:p>
        </c:txPr>
        <c:crossAx val="1"/>
        <c:crosses val="autoZero"/>
        <c:auto val="1"/>
        <c:lblAlgn val="ctr"/>
        <c:lblOffset val="100"/>
        <c:noMultiLvlLbl val="0"/>
      </c:catAx>
      <c:valAx>
        <c:axId val="1"/>
        <c:scaling>
          <c:orientation val="minMax"/>
        </c:scaling>
        <c:delete val="1"/>
        <c:axPos val="l"/>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rgbClr val="595959"/>
                </a:solidFill>
                <a:latin typeface="Times New Roman" panose="02020603050405020304"/>
                <a:ea typeface="宋体" panose="02010600030101010101" charset="-122"/>
                <a:cs typeface="Arial" panose="020B0604020202020204" pitchFamily="2"/>
              </a:defRPr>
            </a:pPr>
          </a:p>
        </c:txPr>
        <c:crossAx val="0"/>
        <c:crossesAt val="1"/>
        <c:crossBetween val="between"/>
      </c:valAx>
      <c:spPr>
        <a:noFill/>
        <a:ln>
          <a:noFill/>
        </a:ln>
      </c:spPr>
    </c:plotArea>
    <c:plotVisOnly val="1"/>
    <c:dispBlanksAs val="gap"/>
    <c:showDLblsOverMax val="0"/>
  </c:chart>
  <c:spPr>
    <a:solidFill>
      <a:srgbClr val="FFFFFF"/>
    </a:solidFill>
    <a:ln w="12700" cap="flat" cmpd="sng" algn="ctr">
      <a:solidFill>
        <a:srgbClr val="D9D9D9"/>
      </a:solidFill>
      <a:prstDash val="solid"/>
      <a:round/>
    </a:ln>
  </c:spPr>
  <c:txPr>
    <a:bodyPr/>
    <a:lstStyle/>
    <a:p>
      <a:pPr>
        <a:defRPr lang="zh-CN" sz="1000" b="0" i="0" u="none" strike="noStrike" baseline="0">
          <a:solidFill>
            <a:srgbClr val="000000"/>
          </a:solidFill>
          <a:latin typeface="Times New Roman" panose="02020603050405020304"/>
          <a:ea typeface="宋体" panose="02010600030101010101" charset="-122"/>
          <a:cs typeface="Arial" panose="020B0604020202020204" pitchFamily="2"/>
        </a:defRPr>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40470935"/>
          <c:y val="0.046783626"/>
          <c:w val="0.6111111"/>
          <c:h val="0.87134504"/>
        </c:manualLayout>
      </c:layout>
      <c:pieChart>
        <c:varyColors val="1"/>
        <c:ser>
          <c:idx val="0"/>
          <c:order val="0"/>
          <c:spPr>
            <a:ln>
              <a:noFill/>
            </a:ln>
          </c:spPr>
          <c:explosion val="0"/>
          <c:dPt>
            <c:idx val="0"/>
            <c:bubble3D val="0"/>
            <c:explosion val="11"/>
            <c:spPr>
              <a:solidFill>
                <a:srgbClr val="4F81BD"/>
              </a:solidFill>
              <a:ln>
                <a:noFill/>
              </a:ln>
              <a:effectLst>
                <a:outerShdw dist="35921" dir="2700000" algn="br">
                  <a:srgbClr val="000000"/>
                </a:outerShdw>
              </a:effectLst>
            </c:spPr>
          </c:dPt>
          <c:dPt>
            <c:idx val="1"/>
            <c:bubble3D val="0"/>
            <c:explosion val="42"/>
            <c:spPr>
              <a:solidFill>
                <a:srgbClr val="C0504D"/>
              </a:solidFill>
              <a:ln>
                <a:noFill/>
              </a:ln>
              <a:effectLst>
                <a:outerShdw dist="35921" dir="2700000" algn="br">
                  <a:srgbClr val="000000"/>
                </a:outerShdw>
              </a:effectLst>
            </c:spPr>
          </c:dPt>
          <c:dPt>
            <c:idx val="2"/>
            <c:bubble3D val="0"/>
            <c:explosion val="19"/>
            <c:spPr>
              <a:solidFill>
                <a:srgbClr val="9BBB59"/>
              </a:solidFill>
              <a:ln>
                <a:noFill/>
              </a:ln>
              <a:effectLst>
                <a:outerShdw dist="35921" dir="2700000" algn="br">
                  <a:srgbClr val="000000"/>
                </a:outerShdw>
              </a:effectLst>
            </c:spPr>
          </c:dPt>
          <c:dLbls>
            <c:dLbl>
              <c:idx val="0"/>
              <c:layout>
                <c:manualLayout>
                  <c:x val="0.046670634"/>
                  <c:y val="0"/>
                </c:manualLayout>
              </c:layout>
              <c:tx>
                <c:rich>
                  <a:bodyPr rot="0" spcFirstLastPara="0" vertOverflow="ellipsis" vert="horz" wrap="square" lIns="38100" tIns="19050" rIns="38100" bIns="19050" anchor="ctr" anchorCtr="1"/>
                  <a:lstStyle/>
                  <a:p>
                    <a:pPr>
                      <a:defRPr lang="zh-CN" sz="1000" b="1" i="0" u="none" strike="noStrike" kern="1200" baseline="0">
                        <a:solidFill>
                          <a:srgbClr val="000000"/>
                        </a:solidFill>
                        <a:latin typeface="Times New Roman" panose="02020603050405020304"/>
                        <a:ea typeface="宋体" panose="02010600030101010101" charset="-122"/>
                        <a:cs typeface="Arial" panose="020B0604020202020204" pitchFamily="2"/>
                      </a:defRPr>
                    </a:pPr>
                    <a:r>
                      <a:rPr lang="zh-CN" sz="1000" b="1" i="0" u="none" strike="noStrike" baseline="0">
                        <a:solidFill>
                          <a:srgbClr val="000000"/>
                        </a:solidFill>
                        <a:latin typeface="Times New Roman" panose="02020603050405020304"/>
                        <a:ea typeface="宋体" panose="02010600030101010101" charset="-122"/>
                        <a:cs typeface="Arial" panose="020B0604020202020204" pitchFamily="2"/>
                      </a:rPr>
                      <a:t>社会保障和就业支出9%</a:t>
                    </a:r>
                    <a:endParaRPr lang="zh-CN" sz="1000" b="1" i="0" u="none" strike="noStrike" baseline="0">
                      <a:solidFill>
                        <a:srgbClr val="000000"/>
                      </a:solidFill>
                      <a:latin typeface="Times New Roman" panose="02020603050405020304"/>
                      <a:ea typeface="宋体" panose="02010600030101010101" charset="-122"/>
                      <a:cs typeface="Arial" panose="020B0604020202020204" pitchFamily="2"/>
                    </a:endParaRPr>
                  </a:p>
                </c:rich>
              </c:tx>
              <c:numFmt formatCode="General" sourceLinked="1"/>
              <c:spPr>
                <a:noFill/>
                <a:ln>
                  <a:noFill/>
                </a:ln>
                <a:effectLst/>
              </c:spPr>
              <c:txPr>
                <a:bodyPr rot="0" spcFirstLastPara="0" vertOverflow="ellipsis" vert="horz" wrap="square" lIns="38100" tIns="19050" rIns="38100" bIns="19050" anchor="ctr" anchorCtr="1"/>
                <a:lstStyle/>
                <a:p>
                  <a:pPr>
                    <a:defRPr lang="zh-CN" sz="1000" b="1" i="0" u="none" strike="noStrike" kern="1200" baseline="0">
                      <a:solidFill>
                        <a:srgbClr val="000000"/>
                      </a:solidFill>
                      <a:latin typeface="Times New Roman" panose="02020603050405020304"/>
                      <a:ea typeface="宋体" panose="02010600030101010101" charset="-122"/>
                      <a:cs typeface="Arial" panose="020B0604020202020204" pitchFamily="2"/>
                    </a:defRPr>
                  </a:pPr>
                </a:p>
              </c:txPr>
              <c:dLblPos val="bestFit"/>
              <c:showLegendKey val="0"/>
              <c:showVal val="0"/>
              <c:showCatName val="0"/>
              <c:showSerName val="0"/>
              <c:showPercent val="1"/>
              <c:showBubbleSize val="0"/>
              <c:extLst>
                <c:ext xmlns:c15="http://schemas.microsoft.com/office/drawing/2012/chart" uri="{CE6537A1-D6FC-4f65-9D91-7224C49458BB}">
                  <c15:layout/>
                </c:ext>
              </c:extLst>
            </c:dLbl>
            <c:dLbl>
              <c:idx val="1"/>
              <c:layout/>
              <c:tx>
                <c:rich>
                  <a:bodyPr rot="0" spcFirstLastPara="0" vertOverflow="ellipsis" vert="horz" wrap="square" lIns="38100" tIns="19050" rIns="38100" bIns="19050" anchor="ctr" anchorCtr="1"/>
                  <a:lstStyle/>
                  <a:p>
                    <a:pPr>
                      <a:defRPr lang="zh-CN" sz="1000" b="1" i="0" u="none" strike="noStrike" kern="1200" baseline="0">
                        <a:solidFill>
                          <a:srgbClr val="000000"/>
                        </a:solidFill>
                        <a:latin typeface="Times New Roman" panose="02020603050405020304"/>
                        <a:ea typeface="宋体" panose="02010600030101010101" charset="-122"/>
                        <a:cs typeface="Arial" panose="020B0604020202020204" pitchFamily="2"/>
                      </a:defRPr>
                    </a:pPr>
                    <a:r>
                      <a:rPr lang="zh-CN" sz="1000" b="1" i="0" u="none" strike="noStrike" baseline="0">
                        <a:solidFill>
                          <a:srgbClr val="000000"/>
                        </a:solidFill>
                        <a:latin typeface="Times New Roman" panose="02020603050405020304"/>
                        <a:ea typeface="宋体" panose="02010600030101010101" charset="-122"/>
                        <a:cs typeface="Arial" panose="020B0604020202020204" pitchFamily="2"/>
                      </a:rPr>
                      <a:t>卫生健康支出85.4%</a:t>
                    </a:r>
                    <a:endParaRPr lang="zh-CN" sz="1000" b="1" i="0" u="none" strike="noStrike" baseline="0">
                      <a:solidFill>
                        <a:srgbClr val="000000"/>
                      </a:solidFill>
                      <a:latin typeface="Times New Roman" panose="02020603050405020304"/>
                      <a:ea typeface="宋体" panose="02010600030101010101" charset="-122"/>
                      <a:cs typeface="Arial" panose="020B0604020202020204" pitchFamily="2"/>
                    </a:endParaRPr>
                  </a:p>
                </c:rich>
              </c:tx>
              <c:numFmt formatCode="General" sourceLinked="1"/>
              <c:spPr>
                <a:noFill/>
                <a:ln>
                  <a:noFill/>
                </a:ln>
                <a:effectLst/>
              </c:spPr>
              <c:txPr>
                <a:bodyPr rot="0" spcFirstLastPara="0" vertOverflow="ellipsis" vert="horz" wrap="square" lIns="38100" tIns="19050" rIns="38100" bIns="19050" anchor="ctr" anchorCtr="1"/>
                <a:lstStyle/>
                <a:p>
                  <a:pPr>
                    <a:defRPr lang="zh-CN" sz="1000" b="1" i="0" u="none" strike="noStrike" kern="1200" baseline="0">
                      <a:solidFill>
                        <a:srgbClr val="000000"/>
                      </a:solidFill>
                      <a:latin typeface="Times New Roman" panose="02020603050405020304"/>
                      <a:ea typeface="宋体" panose="02010600030101010101" charset="-122"/>
                      <a:cs typeface="Arial" panose="020B0604020202020204" pitchFamily="2"/>
                    </a:defRPr>
                  </a:pPr>
                </a:p>
              </c:txPr>
              <c:dLblPos val="ctr"/>
              <c:showLegendKey val="0"/>
              <c:showVal val="0"/>
              <c:showCatName val="0"/>
              <c:showSerName val="0"/>
              <c:showPercent val="1"/>
              <c:showBubbleSize val="0"/>
              <c:extLst>
                <c:ext xmlns:c15="http://schemas.microsoft.com/office/drawing/2012/chart" uri="{CE6537A1-D6FC-4f65-9D91-7224C49458BB}"/>
              </c:extLst>
            </c:dLbl>
            <c:dLbl>
              <c:idx val="2"/>
              <c:layout>
                <c:manualLayout>
                  <c:x val="-0.036476"/>
                  <c:y val="0.018955473"/>
                </c:manualLayout>
              </c:layout>
              <c:tx>
                <c:rich>
                  <a:bodyPr rot="0" spcFirstLastPara="0" vertOverflow="ellipsis" vert="horz" wrap="square" lIns="38100" tIns="19050" rIns="38100" bIns="19050" anchor="ctr" anchorCtr="1"/>
                  <a:lstStyle/>
                  <a:p>
                    <a:pPr>
                      <a:defRPr lang="zh-CN" sz="1000" b="1" i="0" u="none" strike="noStrike" kern="1200" baseline="0">
                        <a:solidFill>
                          <a:srgbClr val="000000"/>
                        </a:solidFill>
                        <a:latin typeface="Times New Roman" panose="02020603050405020304"/>
                        <a:ea typeface="宋体" panose="02010600030101010101" charset="-122"/>
                        <a:cs typeface="Arial" panose="020B0604020202020204" pitchFamily="2"/>
                      </a:defRPr>
                    </a:pPr>
                    <a:r>
                      <a:rPr lang="zh-CN" sz="1000" b="1" i="0" u="none" strike="noStrike" baseline="0">
                        <a:solidFill>
                          <a:srgbClr val="000000"/>
                        </a:solidFill>
                        <a:latin typeface="Times New Roman" panose="02020603050405020304"/>
                        <a:ea typeface="宋体" panose="02010600030101010101" charset="-122"/>
                        <a:cs typeface="Arial" panose="020B0604020202020204" pitchFamily="2"/>
                      </a:rPr>
                      <a:t>住房保障支出5.6%</a:t>
                    </a:r>
                    <a:endParaRPr lang="zh-CN" sz="1000" b="1" i="0" u="none" strike="noStrike" baseline="0">
                      <a:solidFill>
                        <a:srgbClr val="000000"/>
                      </a:solidFill>
                      <a:latin typeface="Times New Roman" panose="02020603050405020304"/>
                      <a:ea typeface="宋体" panose="02010600030101010101" charset="-122"/>
                      <a:cs typeface="Arial" panose="020B0604020202020204" pitchFamily="2"/>
                    </a:endParaRPr>
                  </a:p>
                </c:rich>
              </c:tx>
              <c:numFmt formatCode="General" sourceLinked="1"/>
              <c:spPr>
                <a:noFill/>
                <a:ln>
                  <a:noFill/>
                </a:ln>
                <a:effectLst/>
              </c:spPr>
              <c:txPr>
                <a:bodyPr rot="0" spcFirstLastPara="0" vertOverflow="ellipsis" vert="horz" wrap="square" lIns="38100" tIns="19050" rIns="38100" bIns="19050" anchor="ctr" anchorCtr="1"/>
                <a:lstStyle/>
                <a:p>
                  <a:pPr>
                    <a:defRPr lang="zh-CN" sz="1000" b="1" i="0" u="none" strike="noStrike" kern="1200" baseline="0">
                      <a:solidFill>
                        <a:srgbClr val="000000"/>
                      </a:solidFill>
                      <a:latin typeface="Times New Roman" panose="02020603050405020304"/>
                      <a:ea typeface="宋体" panose="02010600030101010101" charset="-122"/>
                      <a:cs typeface="Arial" panose="020B0604020202020204" pitchFamily="2"/>
                    </a:defRPr>
                  </a:pPr>
                </a:p>
              </c:txPr>
              <c:dLblPos val="bestFit"/>
              <c:showLegendKey val="0"/>
              <c:showVal val="0"/>
              <c:showCatName val="0"/>
              <c:showSerName val="0"/>
              <c:showPercent val="1"/>
              <c:showBubbleSize val="0"/>
              <c:extLst>
                <c:ext xmlns:c15="http://schemas.microsoft.com/office/drawing/2012/chart" uri="{CE6537A1-D6FC-4f65-9D91-7224C49458BB}">
                  <c15:layout/>
                </c:ext>
              </c:extLst>
            </c:dLbl>
            <c:numFmt formatCode="0%" sourceLinked="0"/>
            <c:spPr>
              <a:pattFill prst="pct75">
                <a:fgClr>
                  <a:srgbClr val="404040"/>
                </a:fgClr>
                <a:bgClr>
                  <a:srgbClr val="595959"/>
                </a:bgClr>
              </a:pattFill>
              <a:ln>
                <a:noFill/>
              </a:ln>
              <a:effectLst/>
            </c:spPr>
            <c:txPr>
              <a:bodyPr rot="0" spcFirstLastPara="0" vertOverflow="ellipsis" vert="horz" wrap="square" lIns="38100" tIns="19050" rIns="38100" bIns="19050" anchor="ctr" anchorCtr="1"/>
              <a:lstStyle/>
              <a:p>
                <a:pPr>
                  <a:defRPr lang="zh-CN" sz="1000" b="1" i="0" u="none" strike="noStrike" kern="1200" baseline="0">
                    <a:solidFill>
                      <a:srgbClr val="000000"/>
                    </a:solidFill>
                    <a:latin typeface="Times New Roman" panose="02020603050405020304"/>
                    <a:ea typeface="宋体" panose="02010600030101010101" charset="-122"/>
                    <a:cs typeface="Arial" panose="020B0604020202020204" pitchFamily="2"/>
                  </a:defRPr>
                </a:pPr>
              </a:p>
            </c:txPr>
            <c:dLblPos val="ctr"/>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{"社会保障和就业（类）支出","卫生健康支出","住房保障"}</c:f>
              <c:strCache>
                <c:ptCount val="3"/>
                <c:pt idx="0">
                  <c:v>社会保障和就业（类）支出</c:v>
                </c:pt>
                <c:pt idx="1">
                  <c:v>卫生健康支出</c:v>
                </c:pt>
                <c:pt idx="2">
                  <c:v>住房保障</c:v>
                </c:pt>
              </c:strCache>
            </c:strRef>
          </c:cat>
          <c:val>
            <c:numRef>
              <c:f>{34.75,330.6,21.78}</c:f>
              <c:numCache>
                <c:formatCode>General</c:formatCode>
                <c:ptCount val="3"/>
                <c:pt idx="0">
                  <c:v>34.75</c:v>
                </c:pt>
                <c:pt idx="1">
                  <c:v>330.6</c:v>
                </c:pt>
                <c:pt idx="2">
                  <c:v>21.78</c:v>
                </c:pt>
              </c:numCache>
            </c:numRef>
          </c:val>
        </c:ser>
        <c:ser>
          <c:idx val="1"/>
          <c:order val="1"/>
          <c:spPr>
            <a:ln>
              <a:noFill/>
            </a:ln>
          </c:spPr>
          <c:explosion val="0"/>
          <c:dPt>
            <c:idx val="0"/>
            <c:bubble3D val="0"/>
            <c:spPr>
              <a:ln>
                <a:noFill/>
              </a:ln>
              <a:effectLst>
                <a:outerShdw dist="35921" dir="2700000" algn="br">
                  <a:srgbClr val="000000"/>
                </a:outerShdw>
              </a:effectLst>
            </c:spPr>
          </c:dPt>
          <c:dPt>
            <c:idx val="1"/>
            <c:bubble3D val="0"/>
            <c:spPr>
              <a:ln>
                <a:noFill/>
              </a:ln>
              <a:effectLst>
                <a:outerShdw dist="35921" dir="2700000" algn="br">
                  <a:srgbClr val="000000"/>
                </a:outerShdw>
              </a:effectLst>
            </c:spPr>
          </c:dPt>
          <c:dPt>
            <c:idx val="2"/>
            <c:bubble3D val="0"/>
            <c:spPr>
              <a:ln>
                <a:noFill/>
              </a:ln>
              <a:effectLst>
                <a:outerShdw dist="35921" dir="2700000" algn="br">
                  <a:srgbClr val="000000"/>
                </a:outerShdw>
              </a:effectLst>
            </c:spPr>
          </c:dPt>
          <c:dLbls>
            <c:numFmt formatCode="0%" sourceLinked="0"/>
            <c:spPr>
              <a:pattFill prst="pct75">
                <a:fgClr>
                  <a:srgbClr val="404040"/>
                </a:fgClr>
                <a:bgClr>
                  <a:srgbClr val="595959"/>
                </a:bgClr>
              </a:pattFill>
              <a:ln>
                <a:noFill/>
              </a:ln>
              <a:effectLst/>
            </c:spPr>
            <c:txPr>
              <a:bodyPr rot="0" spcFirstLastPara="0" vertOverflow="ellipsis" vert="horz" wrap="square" lIns="38100" tIns="19050" rIns="38100" bIns="19050" anchor="ctr" anchorCtr="1"/>
              <a:lstStyle/>
              <a:p>
                <a:pPr>
                  <a:defRPr lang="zh-CN" sz="1000" b="1" i="0" u="none" strike="noStrike" kern="1200" baseline="0">
                    <a:solidFill>
                      <a:srgbClr val="000000"/>
                    </a:solidFill>
                    <a:latin typeface="Times New Roman" panose="02020603050405020304"/>
                    <a:ea typeface="宋体" panose="02010600030101010101" charset="-122"/>
                    <a:cs typeface="Arial" panose="020B0604020202020204" pitchFamily="2"/>
                  </a:defRPr>
                </a:pPr>
              </a:p>
            </c:txPr>
            <c:dLblPos val="ctr"/>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{"社会保障和就业（类）支出","卫生健康支出","住房保障"}</c:f>
              <c:strCache>
                <c:ptCount val="3"/>
                <c:pt idx="0">
                  <c:v>社会保障和就业（类）支出</c:v>
                </c:pt>
                <c:pt idx="1">
                  <c:v>卫生健康支出</c:v>
                </c:pt>
                <c:pt idx="2">
                  <c:v>住房保障</c:v>
                </c:pt>
              </c:strCache>
            </c:strRef>
          </c:cat>
          <c:val>
            <c:numRef>
              <c:f>{0.09,0.854,0.056}</c:f>
              <c:numCache>
                <c:formatCode>General</c:formatCode>
                <c:ptCount val="3"/>
                <c:pt idx="0">
                  <c:v>0.09</c:v>
                </c:pt>
                <c:pt idx="1">
                  <c:v>0.854</c:v>
                </c:pt>
                <c:pt idx="2">
                  <c:v>0.056</c:v>
                </c:pt>
              </c:numCache>
            </c:numRef>
          </c:val>
        </c:ser>
        <c:dLbls>
          <c:showLegendKey val="0"/>
          <c:showVal val="0"/>
          <c:showCatName val="0"/>
          <c:showSerName val="0"/>
          <c:showPercent val="1"/>
          <c:showBubbleSize val="0"/>
          <c:showLeaderLines val="1"/>
        </c:dLbls>
        <c:firstSliceAng val="0"/>
      </c:pieChart>
      <c:spPr>
        <a:noFill/>
        <a:ln>
          <a:noFill/>
        </a:ln>
      </c:spPr>
    </c:plotArea>
    <c:legend>
      <c:legendPos val="r"/>
      <c:legendEntry>
        <c:idx val="0"/>
        <c:txPr>
          <a:bodyPr rot="0" spcFirstLastPara="0" vertOverflow="ellipsis" vert="horz" wrap="square" anchor="ctr" anchorCtr="1"/>
          <a:lstStyle/>
          <a:p>
            <a:pPr>
              <a:defRPr lang="zh-CN" sz="900" b="0" i="0" u="none" strike="noStrike" kern="1200" baseline="0">
                <a:solidFill>
                  <a:srgbClr val="000000"/>
                </a:solidFill>
                <a:latin typeface="Times New Roman" panose="02020603050405020304"/>
                <a:ea typeface="宋体" panose="02010600030101010101" charset="-122"/>
                <a:cs typeface="Arial" panose="020B0604020202020204" pitchFamily="2"/>
              </a:defRPr>
            </a:pPr>
          </a:p>
        </c:txPr>
      </c:legendEntry>
      <c:legendEntry>
        <c:idx val="1"/>
        <c:txPr>
          <a:bodyPr rot="0" spcFirstLastPara="0" vertOverflow="ellipsis" vert="horz" wrap="square" anchor="ctr" anchorCtr="1"/>
          <a:lstStyle/>
          <a:p>
            <a:pPr>
              <a:defRPr lang="zh-CN" sz="900" b="0" i="0" u="none" strike="noStrike" kern="1200" baseline="0">
                <a:solidFill>
                  <a:srgbClr val="000000"/>
                </a:solidFill>
                <a:latin typeface="Times New Roman" panose="02020603050405020304"/>
                <a:ea typeface="宋体" panose="02010600030101010101" charset="-122"/>
                <a:cs typeface="Arial" panose="020B0604020202020204" pitchFamily="2"/>
              </a:defRPr>
            </a:pPr>
          </a:p>
        </c:txPr>
      </c:legendEntry>
      <c:legendEntry>
        <c:idx val="2"/>
        <c:txPr>
          <a:bodyPr rot="0" spcFirstLastPara="0" vertOverflow="ellipsis" vert="horz" wrap="square" anchor="ctr" anchorCtr="1"/>
          <a:lstStyle/>
          <a:p>
            <a:pPr>
              <a:defRPr lang="zh-CN" sz="900" b="0" i="0" u="none" strike="noStrike" kern="1200" baseline="0">
                <a:solidFill>
                  <a:srgbClr val="000000"/>
                </a:solidFill>
                <a:latin typeface="Times New Roman" panose="02020603050405020304"/>
                <a:ea typeface="宋体" panose="02010600030101010101" charset="-122"/>
                <a:cs typeface="Arial" panose="020B0604020202020204" pitchFamily="2"/>
              </a:defRPr>
            </a:pPr>
          </a:p>
        </c:txPr>
      </c:legendEntry>
      <c:layout>
        <c:manualLayout>
          <c:xMode val="edge"/>
          <c:yMode val="edge"/>
          <c:x val="0.6929395"/>
          <c:y val="0.22444832"/>
          <c:w val="0.301468"/>
          <c:h val="0.5595238"/>
        </c:manualLayout>
      </c:layout>
      <c:overlay val="0"/>
      <c:spPr>
        <a:solidFill>
          <a:srgbClr val="F2F2F2">
            <a:alpha val="39000"/>
          </a:srgbClr>
        </a:solidFill>
        <a:ln>
          <a:noFill/>
        </a:ln>
      </c:spPr>
      <c:txPr>
        <a:bodyPr rot="0" spcFirstLastPara="0" vertOverflow="ellipsis" vert="horz" wrap="square" anchor="ctr" anchorCtr="1"/>
        <a:lstStyle/>
        <a:p>
          <a:pPr>
            <a:defRPr lang="zh-CN" sz="900" b="0" i="0" u="none" strike="noStrike" kern="1200" baseline="0">
              <a:solidFill>
                <a:srgbClr val="000000"/>
              </a:solidFill>
              <a:latin typeface="Times New Roman" panose="02020603050405020304"/>
              <a:ea typeface="宋体" panose="02010600030101010101" charset="-122"/>
              <a:cs typeface="Arial" panose="020B0604020202020204" pitchFamily="2"/>
            </a:defRPr>
          </a:pPr>
        </a:p>
      </c:txPr>
    </c:legend>
    <c:plotVisOnly val="1"/>
    <c:dispBlanksAs val="gap"/>
    <c:showDLblsOverMax val="0"/>
  </c:chart>
  <c:spPr>
    <a:noFill/>
    <a:ln w="12700" cap="flat" cmpd="sng" algn="ctr">
      <a:solidFill>
        <a:srgbClr val="BFBFBF"/>
      </a:solidFill>
      <a:prstDash val="solid"/>
      <a:round/>
    </a:ln>
  </c:spPr>
  <c:txPr>
    <a:bodyPr/>
    <a:lstStyle/>
    <a:p>
      <a:pPr>
        <a:defRPr lang="zh-CN" sz="1000" b="0" i="0" u="none" strike="noStrike" baseline="0">
          <a:solidFill>
            <a:srgbClr val="000000"/>
          </a:solidFill>
          <a:latin typeface="Times New Roman" panose="02020603050405020304"/>
          <a:ea typeface="宋体" panose="02010600030101010101" charset="-122"/>
          <a:cs typeface="Arial" panose="020B0604020202020204" pitchFamily="2"/>
        </a:defRPr>
      </a:pPr>
    </a:p>
  </c:txPr>
  <c:externalData r:id="rId1">
    <c:autoUpdate val="0"/>
  </c:externalData>
</c:chartSpac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3E416C631ADA42829C11D18CBAC0CB3D_12</vt:lpwstr>
  </property>
</Properties>
</file>

<file path=customXml/item3.xml><?xml version="1.0" encoding="utf-8"?>
<Properties xmlns="http://schemas.openxmlformats.org/officeDocument/2006/extended-properties" xmlns:vt="http://schemas.openxmlformats.org/officeDocument/2006/docPropsVTypes">
  <Template>Normal.eit</Template>
  <Company>四川省财政厅</Company>
  <Pages>23</Pages>
  <Words>9439</Words>
  <Characters>10338</Characters>
  <Lines>0</Lines>
  <Paragraphs>195</Paragraphs>
  <TotalTime>6</TotalTime>
  <ScaleCrop>false</ScaleCrop>
  <LinksUpToDate>false</LinksUpToDate>
  <CharactersWithSpaces>10534</CharactersWithSpaces>
  <Application>WPS Office_12.1.0.16412_F1E327BC-269C-435d-A152-05C5408002CA</Application>
</Properties>
</file>

<file path=customXml/item4.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WPS_1651227375</cp:lastModifiedBy>
  <cp:lastPrinted>2023-07-31T02:35:00Z</cp:lastPrinted>
  <dcterms:modified xsi:type="dcterms:W3CDTF">2024-07-29T01:07:16Z</dcterms:modified>
  <dc:title>四川省***</dc:title>
  <cp:revision>32</cp:revision>
</cp:core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ba4f1a-423b-494f-b137-f8f28ed9bb06}">
  <ds:schemaRefs/>
</ds:datastoreItem>
</file>

<file path=customXml/itemProps3.xml><?xml version="1.0" encoding="utf-8"?>
<ds:datastoreItem xmlns:ds="http://schemas.openxmlformats.org/officeDocument/2006/customXml" ds:itemID="{76681526-cd0a-4208-b4ae-783019d01a3c}">
  <ds:schemaRefs/>
</ds:datastoreItem>
</file>

<file path=customXml/itemProps4.xml><?xml version="1.0" encoding="utf-8"?>
<ds:datastoreItem xmlns:ds="http://schemas.openxmlformats.org/officeDocument/2006/customXml" ds:itemID="{b22adb41-049a-4c0a-9754-627891d7a59e}">
  <ds:schemaRefs/>
</ds:datastoreItem>
</file>

<file path=docProps/app.xml><?xml version="1.0" encoding="utf-8"?>
<Properties xmlns="http://schemas.openxmlformats.org/officeDocument/2006/extended-properties" xmlns:vt="http://schemas.openxmlformats.org/officeDocument/2006/docPropsVTypes">
  <Template>Normal.eit</Template>
  <Company>四川省财政厅</Company>
  <Pages>23</Pages>
  <Words>9439</Words>
  <Characters>10338</Characters>
  <Lines>0</Lines>
  <Paragraphs>195</Paragraphs>
  <TotalTime>10</TotalTime>
  <ScaleCrop>false</ScaleCrop>
  <LinksUpToDate>false</LinksUpToDate>
  <CharactersWithSpaces>10534</CharactersWithSpaces>
  <Application>WPS Office_12.1.0.16412_F1E327BC-269C-435d-A152-05C5408002CA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WPS_1651227375</cp:lastModifiedBy>
  <cp:lastPrinted>2023-07-31T02:35:00Z</cp:lastPrinted>
  <dcterms:modified xsi:type="dcterms:W3CDTF">2024-08-12T07:36:36Z</dcterms:modified>
  <dc:title>四川省_x002A__x002A__x002A_</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3E416C631ADA42829C11D18CBAC0CB3D_12</vt:lpwstr>
  </property>
</Properties>
</file>