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wordWrap/>
        <w:overflowPunct/>
        <w:topLinePunct w:val="0"/>
        <w:bidi w:val="0"/>
        <w:adjustRightInd w:val="0"/>
        <w:snapToGrid w:val="0"/>
        <w:spacing w:line="580" w:lineRule="exact"/>
        <w:jc w:val="center"/>
        <w:outlineLvl w:val="9"/>
        <w:rPr>
          <w:rFonts w:ascii="黑体" w:hAnsi="黑体" w:eastAsia="黑体"/>
          <w:color w:val="000000"/>
          <w:sz w:val="72"/>
          <w:szCs w:val="72"/>
        </w:rPr>
      </w:pPr>
      <w:bookmarkStart w:id="0" w:name="_Toc15377425"/>
      <w:bookmarkStart w:id="1" w:name="_Toc15396597"/>
      <w:bookmarkStart w:id="2" w:name="_Toc15378441"/>
      <w:bookmarkStart w:id="3" w:name="_Toc15396475"/>
      <w:bookmarkStart w:id="4" w:name="_Toc17059"/>
      <w:bookmarkStart w:id="5" w:name="_Toc15377193"/>
      <w:bookmarkStart w:id="6" w:name="_Toc15306267"/>
    </w:p>
    <w:p>
      <w:pPr>
        <w:pStyle w:val="17"/>
        <w:pageBreakBefore w:val="0"/>
        <w:wordWrap/>
        <w:overflowPunct/>
        <w:topLinePunct w:val="0"/>
        <w:bidi w:val="0"/>
        <w:spacing w:line="580" w:lineRule="exact"/>
        <w:ind w:firstLine="1440"/>
        <w:rPr>
          <w:rFonts w:ascii="黑体" w:hAnsi="黑体" w:eastAsia="黑体"/>
          <w:color w:val="000000"/>
          <w:sz w:val="72"/>
          <w:szCs w:val="72"/>
        </w:rPr>
      </w:pPr>
    </w:p>
    <w:p>
      <w:pPr>
        <w:pStyle w:val="17"/>
        <w:pageBreakBefore w:val="0"/>
        <w:wordWrap/>
        <w:overflowPunct/>
        <w:topLinePunct w:val="0"/>
        <w:bidi w:val="0"/>
        <w:spacing w:line="580" w:lineRule="exact"/>
        <w:ind w:firstLine="1440"/>
        <w:rPr>
          <w:rFonts w:ascii="黑体" w:hAnsi="黑体" w:eastAsia="黑体"/>
          <w:color w:val="000000"/>
          <w:sz w:val="72"/>
          <w:szCs w:val="72"/>
        </w:rPr>
      </w:pPr>
    </w:p>
    <w:p>
      <w:pPr>
        <w:pStyle w:val="17"/>
        <w:pageBreakBefore w:val="0"/>
        <w:wordWrap/>
        <w:overflowPunct/>
        <w:topLinePunct w:val="0"/>
        <w:bidi w:val="0"/>
        <w:spacing w:line="580" w:lineRule="exact"/>
        <w:ind w:firstLine="1440"/>
        <w:rPr>
          <w:rFonts w:ascii="黑体" w:hAnsi="黑体" w:eastAsia="黑体"/>
          <w:color w:val="000000"/>
          <w:sz w:val="72"/>
          <w:szCs w:val="72"/>
        </w:rPr>
      </w:pPr>
    </w:p>
    <w:p>
      <w:pPr>
        <w:pageBreakBefore w:val="0"/>
        <w:wordWrap/>
        <w:overflowPunct/>
        <w:topLinePunct w:val="0"/>
        <w:bidi w:val="0"/>
        <w:adjustRightInd w:val="0"/>
        <w:snapToGrid w:val="0"/>
        <w:spacing w:line="240" w:lineRule="auto"/>
        <w:jc w:val="center"/>
        <w:outlineLvl w:val="0"/>
        <w:rPr>
          <w:rFonts w:ascii="方正小标宋简体" w:hAnsi="宋体" w:eastAsia="方正小标宋简体"/>
          <w:b w:val="0"/>
          <w:bCs w:val="0"/>
          <w:color w:val="000000"/>
          <w:sz w:val="72"/>
          <w:szCs w:val="72"/>
        </w:rPr>
      </w:pPr>
      <w:bookmarkStart w:id="7" w:name="_Toc12409"/>
      <w:bookmarkStart w:id="8" w:name="_Toc6988"/>
      <w:bookmarkStart w:id="9" w:name="_Toc7433"/>
      <w:bookmarkStart w:id="10" w:name="_Toc9970"/>
      <w:bookmarkStart w:id="11" w:name="_Toc24052"/>
      <w:bookmarkStart w:id="12" w:name="_Toc18330"/>
      <w:r>
        <w:rPr>
          <w:rFonts w:hint="eastAsia" w:ascii="黑体" w:hAnsi="黑体" w:eastAsia="黑体"/>
          <w:color w:val="000000"/>
          <w:sz w:val="72"/>
          <w:szCs w:val="72"/>
          <w:lang w:eastAsia="zh-CN"/>
        </w:rPr>
        <w:t>20</w:t>
      </w:r>
      <w:r>
        <w:rPr>
          <w:rFonts w:hint="eastAsia" w:ascii="黑体" w:hAnsi="黑体" w:eastAsia="黑体"/>
          <w:b w:val="0"/>
          <w:bCs w:val="0"/>
          <w:color w:val="000000"/>
          <w:sz w:val="72"/>
          <w:szCs w:val="72"/>
          <w:lang w:eastAsia="zh-CN"/>
        </w:rPr>
        <w:t>2</w:t>
      </w:r>
      <w:r>
        <w:rPr>
          <w:rFonts w:hint="eastAsia" w:ascii="黑体" w:hAnsi="黑体" w:eastAsia="黑体"/>
          <w:b w:val="0"/>
          <w:bCs w:val="0"/>
          <w:color w:val="000000"/>
          <w:sz w:val="72"/>
          <w:szCs w:val="72"/>
          <w:lang w:val="en-US" w:eastAsia="zh-CN"/>
        </w:rPr>
        <w:t>2</w:t>
      </w:r>
      <w:r>
        <w:rPr>
          <w:rFonts w:hint="eastAsia" w:ascii="方正小标宋简体" w:hAnsi="宋体" w:eastAsia="方正小标宋简体"/>
          <w:b w:val="0"/>
          <w:bCs w:val="0"/>
          <w:color w:val="000000"/>
          <w:sz w:val="72"/>
          <w:szCs w:val="72"/>
        </w:rPr>
        <w:t>年度</w:t>
      </w:r>
      <w:bookmarkEnd w:id="0"/>
      <w:bookmarkEnd w:id="1"/>
      <w:bookmarkEnd w:id="2"/>
      <w:bookmarkEnd w:id="3"/>
      <w:bookmarkEnd w:id="4"/>
      <w:bookmarkEnd w:id="5"/>
      <w:bookmarkEnd w:id="7"/>
      <w:bookmarkEnd w:id="8"/>
      <w:bookmarkEnd w:id="9"/>
      <w:bookmarkEnd w:id="10"/>
      <w:bookmarkEnd w:id="11"/>
      <w:bookmarkEnd w:id="12"/>
    </w:p>
    <w:p>
      <w:pPr>
        <w:pageBreakBefore w:val="0"/>
        <w:wordWrap/>
        <w:overflowPunct/>
        <w:topLinePunct w:val="0"/>
        <w:bidi w:val="0"/>
        <w:adjustRightInd w:val="0"/>
        <w:snapToGrid w:val="0"/>
        <w:spacing w:line="240" w:lineRule="auto"/>
        <w:jc w:val="center"/>
        <w:outlineLvl w:val="0"/>
        <w:rPr>
          <w:rFonts w:hint="eastAsia" w:ascii="方正小标宋简体" w:hAnsi="宋体" w:eastAsia="方正小标宋简体" w:cs="Times New Roman"/>
          <w:color w:val="000000"/>
          <w:sz w:val="72"/>
          <w:szCs w:val="72"/>
          <w:lang w:eastAsia="zh-CN"/>
        </w:rPr>
      </w:pPr>
      <w:bookmarkStart w:id="13" w:name="_Toc15396476"/>
      <w:bookmarkStart w:id="14" w:name="_Toc15377194"/>
      <w:bookmarkStart w:id="15" w:name="_Toc7114"/>
      <w:bookmarkStart w:id="16" w:name="_Toc26582"/>
      <w:bookmarkStart w:id="17" w:name="_Toc15377426"/>
      <w:bookmarkStart w:id="18" w:name="_Toc15378442"/>
      <w:bookmarkStart w:id="19" w:name="_Toc24366"/>
      <w:bookmarkStart w:id="20" w:name="_Toc5382"/>
      <w:bookmarkStart w:id="21" w:name="_Toc15396598"/>
      <w:bookmarkStart w:id="22" w:name="_Toc21515"/>
      <w:bookmarkStart w:id="23" w:name="_Toc29806"/>
      <w:bookmarkStart w:id="24" w:name="_Toc6647"/>
      <w:bookmarkStart w:id="25" w:name="_Toc7076"/>
      <w:r>
        <w:rPr>
          <w:rFonts w:hint="eastAsia" w:ascii="方正小标宋简体" w:hAnsi="宋体" w:eastAsia="方正小标宋简体"/>
          <w:b w:val="0"/>
          <w:bCs w:val="0"/>
          <w:color w:val="000000"/>
          <w:sz w:val="72"/>
          <w:szCs w:val="72"/>
        </w:rPr>
        <w:t>四川省</w:t>
      </w:r>
      <w:bookmarkEnd w:id="6"/>
      <w:bookmarkStart w:id="26" w:name="_Toc15306268"/>
      <w:r>
        <w:rPr>
          <w:rFonts w:hint="eastAsia" w:ascii="方正小标宋简体" w:hAnsi="宋体" w:eastAsia="方正小标宋简体"/>
          <w:b w:val="0"/>
          <w:bCs w:val="0"/>
          <w:color w:val="000000"/>
          <w:sz w:val="72"/>
          <w:szCs w:val="72"/>
          <w:lang w:eastAsia="zh-CN"/>
        </w:rPr>
        <w:t>广元市昭化</w:t>
      </w:r>
      <w:r>
        <w:rPr>
          <w:rFonts w:hint="eastAsia" w:ascii="方正小标宋简体" w:hAnsi="宋体" w:eastAsia="方正小标宋简体" w:cs="Times New Roman"/>
          <w:b w:val="0"/>
          <w:bCs w:val="0"/>
          <w:color w:val="000000"/>
          <w:sz w:val="72"/>
          <w:szCs w:val="72"/>
          <w:lang w:eastAsia="zh-CN"/>
        </w:rPr>
        <w:t>区射箭乡卫</w:t>
      </w:r>
      <w:r>
        <w:rPr>
          <w:rFonts w:hint="eastAsia" w:ascii="方正小标宋简体" w:hAnsi="宋体" w:eastAsia="方正小标宋简体" w:cs="Times New Roman"/>
          <w:color w:val="000000"/>
          <w:sz w:val="72"/>
          <w:szCs w:val="72"/>
          <w:lang w:eastAsia="zh-CN"/>
        </w:rPr>
        <w:t>生院单位决算</w:t>
      </w:r>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ageBreakBefore w:val="0"/>
        <w:wordWrap/>
        <w:overflowPunct/>
        <w:topLinePunct w:val="0"/>
        <w:bidi w:val="0"/>
        <w:adjustRightInd w:val="0"/>
        <w:snapToGrid w:val="0"/>
        <w:spacing w:line="240" w:lineRule="auto"/>
        <w:jc w:val="center"/>
        <w:outlineLvl w:val="0"/>
        <w:rPr>
          <w:rFonts w:hint="eastAsia" w:ascii="方正小标宋简体" w:hAnsi="宋体" w:eastAsia="方正小标宋简体" w:cs="Times New Roman"/>
          <w:color w:val="000000"/>
          <w:sz w:val="72"/>
          <w:szCs w:val="72"/>
          <w:lang w:eastAsia="zh-CN"/>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pageBreakBefore w:val="0"/>
        <w:widowControl/>
        <w:wordWrap/>
        <w:overflowPunct/>
        <w:topLinePunct w:val="0"/>
        <w:bidi w:val="0"/>
        <w:spacing w:line="580" w:lineRule="exact"/>
        <w:jc w:val="center"/>
        <w:rPr>
          <w:rFonts w:hint="eastAsia" w:ascii="黑体" w:hAnsi="黑体" w:eastAsia="黑体"/>
          <w:color w:val="000000"/>
          <w:sz w:val="48"/>
          <w:szCs w:val="48"/>
        </w:rPr>
      </w:pPr>
      <w:r>
        <w:rPr>
          <w:rFonts w:hint="eastAsia" w:ascii="黑体" w:hAnsi="黑体" w:eastAsia="黑体"/>
          <w:color w:val="000000"/>
          <w:sz w:val="48"/>
          <w:szCs w:val="48"/>
        </w:rPr>
        <w:t>目录</w:t>
      </w:r>
    </w:p>
    <w:p>
      <w:pPr>
        <w:pStyle w:val="25"/>
        <w:tabs>
          <w:tab w:val="right" w:leader="dot" w:pos="8306"/>
          <w:tab w:val="clear" w:pos="8296"/>
        </w:tabs>
        <w:rPr>
          <w:rFonts w:hint="eastAsia" w:ascii="仿宋" w:hAnsi="仿宋" w:eastAsia="仿宋" w:cs="Times New Roman"/>
          <w:bCs w:val="0"/>
          <w:lang w:val="en-US" w:eastAsia="zh-CN" w:bidi="ar-SA"/>
        </w:rPr>
      </w:pPr>
      <w:r>
        <w:rPr>
          <w:rFonts w:hint="eastAsia"/>
          <w:sz w:val="28"/>
          <w:szCs w:val="36"/>
        </w:rPr>
        <w:t>公开时间：</w:t>
      </w:r>
      <w:r>
        <w:rPr>
          <w:sz w:val="28"/>
          <w:szCs w:val="36"/>
        </w:rPr>
        <w:t>202</w:t>
      </w:r>
      <w:r>
        <w:rPr>
          <w:rFonts w:hint="eastAsia"/>
          <w:sz w:val="28"/>
          <w:szCs w:val="36"/>
          <w:lang w:val="en-US" w:eastAsia="zh-CN"/>
        </w:rPr>
        <w:t>2</w:t>
      </w:r>
      <w:r>
        <w:rPr>
          <w:rFonts w:hint="eastAsia"/>
          <w:sz w:val="28"/>
          <w:szCs w:val="36"/>
        </w:rPr>
        <w:t>年</w:t>
      </w:r>
      <w:r>
        <w:rPr>
          <w:rFonts w:hint="eastAsia"/>
          <w:sz w:val="28"/>
          <w:szCs w:val="36"/>
          <w:lang w:val="en-US" w:eastAsia="zh-CN"/>
        </w:rPr>
        <w:t>9</w:t>
      </w:r>
      <w:r>
        <w:rPr>
          <w:rFonts w:hint="eastAsia"/>
          <w:sz w:val="28"/>
          <w:szCs w:val="36"/>
        </w:rPr>
        <w:t>月</w:t>
      </w:r>
      <w:r>
        <w:rPr>
          <w:rFonts w:hint="eastAsia"/>
          <w:sz w:val="28"/>
          <w:szCs w:val="36"/>
          <w:lang w:val="en-US" w:eastAsia="zh-CN"/>
        </w:rPr>
        <w:t>28</w:t>
      </w:r>
      <w:r>
        <w:rPr>
          <w:rFonts w:hint="eastAsia"/>
          <w:sz w:val="28"/>
          <w:szCs w:val="36"/>
        </w:rPr>
        <w:t>日</w:t>
      </w:r>
      <w:r>
        <w:rPr>
          <w:rFonts w:hint="eastAsia" w:ascii="仿宋" w:hAnsi="仿宋" w:eastAsia="仿宋" w:cs="Times New Roman"/>
          <w:bCs w:val="0"/>
          <w:lang w:val="en-US" w:eastAsia="zh-CN" w:bidi="ar-SA"/>
        </w:rPr>
        <w:fldChar w:fldCharType="begin"/>
      </w:r>
      <w:r>
        <w:rPr>
          <w:rFonts w:hint="eastAsia" w:ascii="仿宋" w:hAnsi="仿宋" w:eastAsia="仿宋" w:cs="Times New Roman"/>
          <w:bCs w:val="0"/>
          <w:lang w:val="en-US" w:eastAsia="zh-CN" w:bidi="ar-SA"/>
        </w:rPr>
        <w:instrText xml:space="preserve">TOC \o "1-2" \h \u</w:instrText>
      </w:r>
      <w:r>
        <w:rPr>
          <w:rFonts w:hint="eastAsia" w:ascii="仿宋" w:hAnsi="仿宋" w:eastAsia="仿宋" w:cs="Times New Roman"/>
          <w:bCs w:val="0"/>
          <w:lang w:val="en-US" w:eastAsia="zh-CN" w:bidi="ar-SA"/>
        </w:rPr>
        <w:fldChar w:fldCharType="separate"/>
      </w:r>
    </w:p>
    <w:p/>
    <w:p>
      <w:pPr>
        <w:spacing w:before="0" w:beforeLines="0" w:after="0" w:afterLines="0" w:line="240" w:lineRule="auto"/>
        <w:ind w:left="0" w:leftChars="0" w:right="0" w:rightChars="0" w:firstLine="0" w:firstLineChars="0"/>
        <w:jc w:val="center"/>
      </w:pPr>
      <w:r>
        <w:rPr>
          <w:rFonts w:hint="eastAsia" w:ascii="仿宋" w:hAnsi="仿宋" w:eastAsia="仿宋" w:cs="Times New Roman"/>
          <w:bCs w:val="0"/>
          <w:lang w:val="en-US" w:eastAsia="zh-CN" w:bidi="ar-SA"/>
        </w:rPr>
        <w:fldChar w:fldCharType="begin"/>
      </w:r>
      <w:r>
        <w:rPr>
          <w:rFonts w:hint="eastAsia" w:ascii="仿宋" w:hAnsi="仿宋" w:eastAsia="仿宋" w:cs="Times New Roman"/>
          <w:bCs w:val="0"/>
          <w:lang w:val="en-US" w:eastAsia="zh-CN" w:bidi="ar-SA"/>
        </w:rPr>
        <w:instrText xml:space="preserve"> HYPERLINK \l _Toc3381 </w:instrText>
      </w:r>
      <w:r>
        <w:rPr>
          <w:rFonts w:hint="eastAsia" w:ascii="仿宋" w:hAnsi="仿宋" w:eastAsia="仿宋" w:cs="Times New Roman"/>
          <w:bCs w:val="0"/>
          <w:lang w:val="en-US" w:eastAsia="zh-CN" w:bidi="ar-SA"/>
        </w:rPr>
        <w:fldChar w:fldCharType="separate"/>
      </w:r>
    </w:p>
    <w:p>
      <w:pPr>
        <w:pStyle w:val="41"/>
        <w:tabs>
          <w:tab w:val="right" w:leader="dot" w:pos="8306"/>
        </w:tabs>
      </w:pPr>
      <w:r>
        <w:fldChar w:fldCharType="begin"/>
      </w:r>
      <w:r>
        <w:instrText xml:space="preserve">TOC \o "1-3" \h \u</w:instrText>
      </w:r>
      <w:r>
        <w:fldChar w:fldCharType="separate"/>
      </w:r>
      <w:r>
        <w:fldChar w:fldCharType="begin"/>
      </w:r>
      <w:r>
        <w:instrText xml:space="preserve"> HYPERLINK \l "_Toc13087" </w:instrText>
      </w:r>
      <w:r>
        <w:fldChar w:fldCharType="separate"/>
      </w:r>
      <w:r>
        <w:rPr>
          <w:rFonts w:hint="eastAsia" w:ascii="黑体" w:hAnsi="黑体" w:eastAsia="黑体"/>
        </w:rPr>
        <w:t>第一部分</w:t>
      </w:r>
      <w:r>
        <w:rPr>
          <w:rFonts w:ascii="黑体" w:hAnsi="黑体" w:eastAsia="黑体"/>
        </w:rPr>
        <w:t xml:space="preserve"> </w:t>
      </w:r>
      <w:r>
        <w:rPr>
          <w:rFonts w:hint="eastAsia" w:ascii="黑体" w:hAnsi="黑体" w:eastAsia="黑体"/>
          <w:lang w:eastAsia="zh-CN"/>
        </w:rPr>
        <w:t>单位</w:t>
      </w:r>
      <w:r>
        <w:rPr>
          <w:rFonts w:hint="eastAsia" w:ascii="黑体" w:hAnsi="黑体" w:eastAsia="黑体"/>
        </w:rPr>
        <w:t>概况</w:t>
      </w:r>
      <w:r>
        <w:tab/>
      </w:r>
      <w:r>
        <w:fldChar w:fldCharType="begin"/>
      </w:r>
      <w:r>
        <w:instrText xml:space="preserve"> PAGEREF _Toc13087 \h </w:instrText>
      </w:r>
      <w:r>
        <w:fldChar w:fldCharType="separate"/>
      </w:r>
      <w:r>
        <w:t>1</w:t>
      </w:r>
      <w:r>
        <w:fldChar w:fldCharType="end"/>
      </w:r>
      <w:r>
        <w:fldChar w:fldCharType="end"/>
      </w:r>
    </w:p>
    <w:p>
      <w:pPr>
        <w:pStyle w:val="39"/>
        <w:tabs>
          <w:tab w:val="right" w:leader="dot" w:pos="8306"/>
        </w:tabs>
      </w:pPr>
      <w:r>
        <w:fldChar w:fldCharType="begin"/>
      </w:r>
      <w:r>
        <w:instrText xml:space="preserve"> HYPERLINK \l "_Toc17050" </w:instrText>
      </w:r>
      <w:r>
        <w:fldChar w:fldCharType="separate"/>
      </w:r>
      <w:r>
        <w:rPr>
          <w:rFonts w:hint="eastAsia" w:ascii="黑体" w:hAnsi="黑体" w:eastAsia="黑体"/>
          <w:bCs w:val="0"/>
          <w:highlight w:val="none"/>
          <w:lang w:eastAsia="zh-CN"/>
        </w:rPr>
        <w:t>一、主要职责</w:t>
      </w:r>
      <w:r>
        <w:tab/>
      </w:r>
      <w:r>
        <w:fldChar w:fldCharType="begin"/>
      </w:r>
      <w:r>
        <w:instrText xml:space="preserve"> PAGEREF _Toc17050 \h </w:instrText>
      </w:r>
      <w:r>
        <w:fldChar w:fldCharType="separate"/>
      </w:r>
      <w:r>
        <w:t>1</w:t>
      </w:r>
      <w:r>
        <w:fldChar w:fldCharType="end"/>
      </w:r>
      <w:r>
        <w:fldChar w:fldCharType="end"/>
      </w:r>
    </w:p>
    <w:p>
      <w:pPr>
        <w:pStyle w:val="39"/>
        <w:tabs>
          <w:tab w:val="right" w:leader="dot" w:pos="8306"/>
        </w:tabs>
      </w:pPr>
      <w:r>
        <w:fldChar w:fldCharType="begin"/>
      </w:r>
      <w:r>
        <w:instrText xml:space="preserve"> HYPERLINK \l "_Toc1562" </w:instrText>
      </w:r>
      <w:r>
        <w:fldChar w:fldCharType="separate"/>
      </w:r>
      <w:r>
        <w:rPr>
          <w:rFonts w:hint="eastAsia" w:ascii="黑体" w:hAnsi="黑体" w:eastAsia="黑体"/>
          <w:lang w:val="en-US" w:eastAsia="zh-CN"/>
        </w:rPr>
        <w:t>二、</w:t>
      </w:r>
      <w:r>
        <w:rPr>
          <w:rFonts w:hint="eastAsia" w:ascii="黑体" w:hAnsi="黑体" w:eastAsia="黑体"/>
          <w:highlight w:val="none"/>
          <w:lang w:val="en-US" w:eastAsia="zh-CN"/>
        </w:rPr>
        <w:t>机构设置</w:t>
      </w:r>
      <w:r>
        <w:tab/>
      </w:r>
      <w:r>
        <w:fldChar w:fldCharType="begin"/>
      </w:r>
      <w:r>
        <w:instrText xml:space="preserve"> PAGEREF _Toc1562 \h </w:instrText>
      </w:r>
      <w:r>
        <w:fldChar w:fldCharType="separate"/>
      </w:r>
      <w:r>
        <w:t>2</w:t>
      </w:r>
      <w:r>
        <w:fldChar w:fldCharType="end"/>
      </w:r>
      <w:r>
        <w:fldChar w:fldCharType="end"/>
      </w:r>
    </w:p>
    <w:p>
      <w:pPr>
        <w:pStyle w:val="41"/>
        <w:tabs>
          <w:tab w:val="right" w:leader="dot" w:pos="8306"/>
        </w:tabs>
      </w:pPr>
      <w:r>
        <w:fldChar w:fldCharType="begin"/>
      </w:r>
      <w:r>
        <w:instrText xml:space="preserve"> HYPERLINK \l "_Toc8703"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_Toc8703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"_Toc9393" </w:instrText>
      </w:r>
      <w:r>
        <w:fldChar w:fldCharType="separate"/>
      </w:r>
      <w:r>
        <w:rPr>
          <w:rFonts w:hint="default" w:ascii="黑体" w:hAnsi="黑体" w:eastAsia="黑体" w:cs="Times New Roman"/>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_Toc9393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"_Toc8553" </w:instrText>
      </w:r>
      <w:r>
        <w:fldChar w:fldCharType="separate"/>
      </w:r>
      <w:r>
        <w:rPr>
          <w:rFonts w:hint="default" w:ascii="黑体" w:hAnsi="黑体" w:eastAsia="黑体" w:cs="Times New Roma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_Toc8553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"_Toc21556" </w:instrText>
      </w:r>
      <w:r>
        <w:fldChar w:fldCharType="separate"/>
      </w:r>
      <w:r>
        <w:rPr>
          <w:rFonts w:hint="default" w:ascii="黑体" w:hAnsi="黑体" w:eastAsia="黑体" w:cs="Times New Roma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_Toc21556 \h </w:instrText>
      </w:r>
      <w:r>
        <w:fldChar w:fldCharType="separate"/>
      </w:r>
      <w:r>
        <w:t>3</w:t>
      </w:r>
      <w:r>
        <w:fldChar w:fldCharType="end"/>
      </w:r>
      <w:r>
        <w:fldChar w:fldCharType="end"/>
      </w:r>
    </w:p>
    <w:p>
      <w:pPr>
        <w:pStyle w:val="39"/>
        <w:tabs>
          <w:tab w:val="right" w:leader="dot" w:pos="8306"/>
        </w:tabs>
      </w:pPr>
      <w:r>
        <w:fldChar w:fldCharType="begin"/>
      </w:r>
      <w:r>
        <w:instrText xml:space="preserve"> HYPERLINK \l "_Toc18564" </w:instrText>
      </w:r>
      <w:r>
        <w:fldChar w:fldCharType="separate"/>
      </w:r>
      <w:r>
        <w:rPr>
          <w:rFonts w:hint="eastAsia" w:ascii="黑体" w:hAnsi="黑体" w:eastAsia="黑体"/>
          <w:szCs w:val="32"/>
        </w:rPr>
        <w:t>四、</w:t>
      </w:r>
      <w:r>
        <w:rPr>
          <w:rFonts w:hint="eastAsia" w:ascii="黑体" w:hAnsi="黑体" w:eastAsia="黑体"/>
          <w:szCs w:val="32"/>
          <w:highlight w:val="none"/>
        </w:rPr>
        <w:t>财</w:t>
      </w:r>
      <w:r>
        <w:rPr>
          <w:rFonts w:hint="eastAsia" w:ascii="黑体" w:hAnsi="黑体" w:eastAsia="黑体"/>
          <w:highlight w:val="none"/>
        </w:rPr>
        <w:t>政拨款收入支出决算总体情况说明</w:t>
      </w:r>
      <w:r>
        <w:tab/>
      </w:r>
      <w:r>
        <w:fldChar w:fldCharType="begin"/>
      </w:r>
      <w:r>
        <w:instrText xml:space="preserve"> PAGEREF _Toc18564 \h </w:instrText>
      </w:r>
      <w:r>
        <w:fldChar w:fldCharType="separate"/>
      </w:r>
      <w:r>
        <w:t>3</w:t>
      </w:r>
      <w:r>
        <w:fldChar w:fldCharType="end"/>
      </w:r>
      <w:r>
        <w:fldChar w:fldCharType="end"/>
      </w:r>
    </w:p>
    <w:p>
      <w:pPr>
        <w:pStyle w:val="39"/>
        <w:tabs>
          <w:tab w:val="right" w:leader="dot" w:pos="8306"/>
        </w:tabs>
      </w:pPr>
      <w:r>
        <w:fldChar w:fldCharType="begin"/>
      </w:r>
      <w:r>
        <w:instrText xml:space="preserve"> HYPERLINK \l "_Toc23476" </w:instrText>
      </w:r>
      <w:r>
        <w:fldChar w:fldCharType="separate"/>
      </w:r>
      <w:r>
        <w:rPr>
          <w:rFonts w:hint="eastAsia" w:ascii="黑体" w:hAnsi="黑体" w:eastAsia="黑体"/>
          <w:szCs w:val="32"/>
        </w:rPr>
        <w:t>五、</w:t>
      </w:r>
      <w:r>
        <w:rPr>
          <w:rFonts w:hint="eastAsia" w:ascii="黑体" w:hAnsi="黑体" w:eastAsia="黑体"/>
          <w:szCs w:val="32"/>
          <w:highlight w:val="none"/>
        </w:rPr>
        <w:t>一</w:t>
      </w:r>
      <w:r>
        <w:rPr>
          <w:rFonts w:hint="eastAsia" w:ascii="黑体" w:hAnsi="黑体" w:eastAsia="黑体"/>
          <w:highlight w:val="none"/>
        </w:rPr>
        <w:t>般公共预算财政拨款支出决算情况说明</w:t>
      </w:r>
      <w:r>
        <w:tab/>
      </w:r>
      <w:r>
        <w:fldChar w:fldCharType="begin"/>
      </w:r>
      <w:r>
        <w:instrText xml:space="preserve"> PAGEREF _Toc23476 \h </w:instrText>
      </w:r>
      <w:r>
        <w:fldChar w:fldCharType="separate"/>
      </w:r>
      <w:r>
        <w:t>4</w:t>
      </w:r>
      <w:r>
        <w:fldChar w:fldCharType="end"/>
      </w:r>
      <w:r>
        <w:fldChar w:fldCharType="end"/>
      </w:r>
    </w:p>
    <w:p>
      <w:pPr>
        <w:pStyle w:val="39"/>
        <w:tabs>
          <w:tab w:val="right" w:leader="dot" w:pos="8306"/>
        </w:tabs>
      </w:pPr>
      <w:r>
        <w:fldChar w:fldCharType="begin"/>
      </w:r>
      <w:r>
        <w:instrText xml:space="preserve"> HYPERLINK \l "_Toc16247" </w:instrText>
      </w:r>
      <w:r>
        <w:fldChar w:fldCharType="separate"/>
      </w:r>
      <w:r>
        <w:rPr>
          <w:rFonts w:hint="eastAsia" w:ascii="黑体" w:eastAsia="黑体"/>
          <w:szCs w:val="32"/>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_Toc16247 \h </w:instrText>
      </w:r>
      <w:r>
        <w:fldChar w:fldCharType="separate"/>
      </w:r>
      <w:r>
        <w:t>6</w:t>
      </w:r>
      <w:r>
        <w:fldChar w:fldCharType="end"/>
      </w:r>
      <w:r>
        <w:fldChar w:fldCharType="end"/>
      </w:r>
    </w:p>
    <w:p>
      <w:pPr>
        <w:pStyle w:val="39"/>
        <w:tabs>
          <w:tab w:val="right" w:leader="dot" w:pos="8306"/>
        </w:tabs>
      </w:pPr>
      <w:r>
        <w:fldChar w:fldCharType="begin"/>
      </w:r>
      <w:r>
        <w:instrText xml:space="preserve"> HYPERLINK \l "_Toc27335" </w:instrText>
      </w:r>
      <w:r>
        <w:fldChar w:fldCharType="separate"/>
      </w:r>
      <w:r>
        <w:rPr>
          <w:rFonts w:hint="eastAsia" w:ascii="黑体" w:eastAsia="黑体"/>
          <w:szCs w:val="32"/>
        </w:rPr>
        <w:t>七、</w:t>
      </w:r>
      <w:r>
        <w:rPr>
          <w:rFonts w:hint="eastAsia" w:ascii="黑体" w:hAnsi="黑体" w:eastAsia="黑体"/>
          <w:highlight w:val="none"/>
        </w:rPr>
        <w:t>财政拨款“三公”经费支出决算情况说明</w:t>
      </w:r>
      <w:r>
        <w:tab/>
      </w:r>
      <w:r>
        <w:fldChar w:fldCharType="begin"/>
      </w:r>
      <w:r>
        <w:instrText xml:space="preserve"> PAGEREF _Toc27335 \h </w:instrText>
      </w:r>
      <w:r>
        <w:fldChar w:fldCharType="separate"/>
      </w:r>
      <w:r>
        <w:t>6</w:t>
      </w:r>
      <w:r>
        <w:fldChar w:fldCharType="end"/>
      </w:r>
      <w:r>
        <w:fldChar w:fldCharType="end"/>
      </w:r>
    </w:p>
    <w:p>
      <w:pPr>
        <w:pStyle w:val="39"/>
        <w:tabs>
          <w:tab w:val="right" w:leader="dot" w:pos="8306"/>
        </w:tabs>
      </w:pPr>
      <w:r>
        <w:fldChar w:fldCharType="begin"/>
      </w:r>
      <w:r>
        <w:instrText xml:space="preserve"> HYPERLINK \l "_Toc21180" </w:instrText>
      </w:r>
      <w:r>
        <w:fldChar w:fldCharType="separate"/>
      </w:r>
      <w:r>
        <w:rPr>
          <w:rFonts w:hint="eastAsia" w:ascii="黑体" w:eastAsia="黑体"/>
          <w:szCs w:val="32"/>
        </w:rPr>
        <w:t>八、</w:t>
      </w:r>
      <w:r>
        <w:rPr>
          <w:rFonts w:hint="eastAsia" w:ascii="黑体" w:hAnsi="黑体" w:eastAsia="黑体"/>
          <w:highlight w:val="none"/>
        </w:rPr>
        <w:t>政府性基金预算支出决算情况说明</w:t>
      </w:r>
      <w:r>
        <w:tab/>
      </w:r>
      <w:r>
        <w:fldChar w:fldCharType="begin"/>
      </w:r>
      <w:r>
        <w:instrText xml:space="preserve"> PAGEREF _Toc21180 \h </w:instrText>
      </w:r>
      <w:r>
        <w:fldChar w:fldCharType="separate"/>
      </w:r>
      <w:r>
        <w:t>7</w:t>
      </w:r>
      <w:r>
        <w:fldChar w:fldCharType="end"/>
      </w:r>
      <w:r>
        <w:fldChar w:fldCharType="end"/>
      </w:r>
    </w:p>
    <w:p>
      <w:pPr>
        <w:pStyle w:val="39"/>
        <w:tabs>
          <w:tab w:val="right" w:leader="dot" w:pos="8306"/>
        </w:tabs>
      </w:pPr>
      <w:r>
        <w:fldChar w:fldCharType="begin"/>
      </w:r>
      <w:r>
        <w:instrText xml:space="preserve"> HYPERLINK \l "_Toc15168" </w:instrText>
      </w:r>
      <w:r>
        <w:fldChar w:fldCharType="separate"/>
      </w:r>
      <w:r>
        <w:rPr>
          <w:rFonts w:hint="eastAsia" w:ascii="黑体" w:hAnsi="黑体" w:eastAsia="黑体" w:cs="Times New Roman"/>
        </w:rPr>
        <w:t>九、</w:t>
      </w:r>
      <w:r>
        <w:rPr>
          <w:rFonts w:hint="eastAsia" w:ascii="黑体" w:hAnsi="黑体" w:eastAsia="黑体"/>
        </w:rPr>
        <w:t>国有资本经营预算支出决算情况说明</w:t>
      </w:r>
      <w:r>
        <w:tab/>
      </w:r>
      <w:r>
        <w:fldChar w:fldCharType="begin"/>
      </w:r>
      <w:r>
        <w:instrText xml:space="preserve"> PAGEREF _Toc15168 \h </w:instrText>
      </w:r>
      <w:r>
        <w:fldChar w:fldCharType="separate"/>
      </w:r>
      <w:r>
        <w:t>7</w:t>
      </w:r>
      <w:r>
        <w:fldChar w:fldCharType="end"/>
      </w:r>
      <w:r>
        <w:fldChar w:fldCharType="end"/>
      </w:r>
    </w:p>
    <w:p>
      <w:pPr>
        <w:pStyle w:val="39"/>
        <w:tabs>
          <w:tab w:val="right" w:leader="dot" w:pos="8306"/>
        </w:tabs>
      </w:pPr>
      <w:r>
        <w:fldChar w:fldCharType="begin"/>
      </w:r>
      <w:r>
        <w:instrText xml:space="preserve"> HYPERLINK \l "_Toc19560" </w:instrText>
      </w:r>
      <w:r>
        <w:fldChar w:fldCharType="separate"/>
      </w:r>
      <w:r>
        <w:rPr>
          <w:rFonts w:hint="eastAsia" w:ascii="黑体" w:hAnsi="黑体" w:eastAsia="黑体"/>
          <w:szCs w:val="32"/>
          <w:lang w:eastAsia="zh-CN"/>
        </w:rPr>
        <w:t>十</w:t>
      </w:r>
      <w:r>
        <w:rPr>
          <w:rFonts w:hint="eastAsia" w:ascii="黑体" w:hAnsi="黑体" w:eastAsia="黑体"/>
        </w:rPr>
        <w:t>、其他重要事项的情况说明</w:t>
      </w:r>
      <w:r>
        <w:tab/>
      </w:r>
      <w:r>
        <w:fldChar w:fldCharType="begin"/>
      </w:r>
      <w:r>
        <w:instrText xml:space="preserve"> PAGEREF _Toc19560 \h </w:instrText>
      </w:r>
      <w:r>
        <w:fldChar w:fldCharType="separate"/>
      </w:r>
      <w:r>
        <w:t>7</w:t>
      </w:r>
      <w:r>
        <w:fldChar w:fldCharType="end"/>
      </w:r>
      <w:r>
        <w:fldChar w:fldCharType="end"/>
      </w:r>
    </w:p>
    <w:p>
      <w:pPr>
        <w:pStyle w:val="51"/>
        <w:tabs>
          <w:tab w:val="right" w:leader="dot" w:pos="8306"/>
        </w:tabs>
      </w:pPr>
      <w:r>
        <w:fldChar w:fldCharType="begin"/>
      </w:r>
      <w:r>
        <w:instrText xml:space="preserve"> HYPERLINK \l "_Toc15621" </w:instrText>
      </w:r>
      <w:r>
        <w:fldChar w:fldCharType="separate"/>
      </w:r>
      <w:r>
        <w:rPr>
          <w:rFonts w:hint="eastAsia" w:ascii="仿宋" w:hAnsi="仿宋" w:eastAsia="仿宋"/>
          <w:szCs w:val="32"/>
        </w:rPr>
        <w:t>（一）</w:t>
      </w:r>
      <w:r>
        <w:rPr>
          <w:rFonts w:hint="eastAsia" w:ascii="仿宋" w:hAnsi="仿宋" w:eastAsia="仿宋"/>
          <w:szCs w:val="32"/>
          <w:lang w:eastAsia="zh-CN"/>
        </w:rPr>
        <w:t>机关</w:t>
      </w:r>
      <w:r>
        <w:rPr>
          <w:rFonts w:hint="eastAsia" w:ascii="仿宋" w:hAnsi="仿宋" w:eastAsia="仿宋"/>
          <w:szCs w:val="32"/>
        </w:rPr>
        <w:t>运行经费支出情况</w:t>
      </w:r>
      <w:r>
        <w:tab/>
      </w:r>
      <w:r>
        <w:fldChar w:fldCharType="begin"/>
      </w:r>
      <w:r>
        <w:instrText xml:space="preserve"> PAGEREF _Toc15621 \h </w:instrText>
      </w:r>
      <w:r>
        <w:fldChar w:fldCharType="separate"/>
      </w:r>
      <w:r>
        <w:t>7</w:t>
      </w:r>
      <w:r>
        <w:fldChar w:fldCharType="end"/>
      </w:r>
      <w:r>
        <w:fldChar w:fldCharType="end"/>
      </w:r>
    </w:p>
    <w:p>
      <w:pPr>
        <w:pStyle w:val="51"/>
        <w:tabs>
          <w:tab w:val="right" w:leader="dot" w:pos="8306"/>
        </w:tabs>
      </w:pPr>
      <w:r>
        <w:fldChar w:fldCharType="begin"/>
      </w:r>
      <w:r>
        <w:instrText xml:space="preserve"> HYPERLINK \l "_Toc12893" </w:instrText>
      </w:r>
      <w:r>
        <w:fldChar w:fldCharType="separate"/>
      </w:r>
      <w:r>
        <w:rPr>
          <w:rFonts w:hint="eastAsia" w:ascii="仿宋" w:hAnsi="仿宋" w:eastAsia="仿宋"/>
          <w:szCs w:val="32"/>
        </w:rPr>
        <w:t>（二）政府采购支出情况</w:t>
      </w:r>
      <w:r>
        <w:tab/>
      </w:r>
      <w:r>
        <w:fldChar w:fldCharType="begin"/>
      </w:r>
      <w:r>
        <w:instrText xml:space="preserve"> PAGEREF _Toc12893 \h </w:instrText>
      </w:r>
      <w:r>
        <w:fldChar w:fldCharType="separate"/>
      </w:r>
      <w:r>
        <w:t>7</w:t>
      </w:r>
      <w:r>
        <w:fldChar w:fldCharType="end"/>
      </w:r>
      <w:r>
        <w:fldChar w:fldCharType="end"/>
      </w:r>
    </w:p>
    <w:p>
      <w:pPr>
        <w:pStyle w:val="51"/>
        <w:tabs>
          <w:tab w:val="right" w:leader="dot" w:pos="8306"/>
        </w:tabs>
      </w:pPr>
      <w:r>
        <w:fldChar w:fldCharType="begin"/>
      </w:r>
      <w:r>
        <w:instrText xml:space="preserve"> HYPERLINK \l "_Toc8829" </w:instrText>
      </w:r>
      <w:r>
        <w:fldChar w:fldCharType="separate"/>
      </w:r>
      <w:r>
        <w:rPr>
          <w:rFonts w:hint="eastAsia" w:ascii="仿宋" w:hAnsi="仿宋" w:eastAsia="仿宋"/>
          <w:szCs w:val="32"/>
        </w:rPr>
        <w:t>（三）国有资产占有使用情况</w:t>
      </w:r>
      <w:r>
        <w:tab/>
      </w:r>
      <w:r>
        <w:fldChar w:fldCharType="begin"/>
      </w:r>
      <w:r>
        <w:instrText xml:space="preserve"> PAGEREF _Toc8829 \h </w:instrText>
      </w:r>
      <w:r>
        <w:fldChar w:fldCharType="separate"/>
      </w:r>
      <w:r>
        <w:t>7</w:t>
      </w:r>
      <w:r>
        <w:fldChar w:fldCharType="end"/>
      </w:r>
      <w:r>
        <w:fldChar w:fldCharType="end"/>
      </w:r>
    </w:p>
    <w:p>
      <w:pPr>
        <w:pStyle w:val="51"/>
        <w:tabs>
          <w:tab w:val="right" w:leader="dot" w:pos="8306"/>
        </w:tabs>
      </w:pPr>
      <w:r>
        <w:fldChar w:fldCharType="begin"/>
      </w:r>
      <w:r>
        <w:instrText xml:space="preserve"> HYPERLINK \l "_Toc12439"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_Toc12439 \h </w:instrText>
      </w:r>
      <w:r>
        <w:fldChar w:fldCharType="separate"/>
      </w:r>
      <w:r>
        <w:t>8</w:t>
      </w:r>
      <w:r>
        <w:fldChar w:fldCharType="end"/>
      </w:r>
      <w:r>
        <w:fldChar w:fldCharType="end"/>
      </w:r>
    </w:p>
    <w:p>
      <w:pPr>
        <w:pStyle w:val="41"/>
        <w:tabs>
          <w:tab w:val="right" w:leader="dot" w:pos="8306"/>
        </w:tabs>
      </w:pPr>
      <w:r>
        <w:fldChar w:fldCharType="begin"/>
      </w:r>
      <w:r>
        <w:instrText xml:space="preserve"> HYPERLINK \l "_Toc15880" </w:instrText>
      </w:r>
      <w:r>
        <w:fldChar w:fldCharType="separate"/>
      </w:r>
      <w:r>
        <w:rPr>
          <w:rFonts w:hint="eastAsia" w:ascii="黑体" w:hAnsi="黑体" w:eastAsia="黑体" w:cs="Times New Roman"/>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_Toc15880 \h </w:instrText>
      </w:r>
      <w:r>
        <w:fldChar w:fldCharType="separate"/>
      </w:r>
      <w:r>
        <w:t>11</w:t>
      </w:r>
      <w:r>
        <w:fldChar w:fldCharType="end"/>
      </w:r>
      <w:r>
        <w:fldChar w:fldCharType="end"/>
      </w:r>
    </w:p>
    <w:p>
      <w:pPr>
        <w:pStyle w:val="41"/>
        <w:tabs>
          <w:tab w:val="right" w:leader="dot" w:pos="8306"/>
        </w:tabs>
      </w:pPr>
      <w:r>
        <w:fldChar w:fldCharType="begin"/>
      </w:r>
      <w:r>
        <w:instrText xml:space="preserve"> HYPERLINK \l "_Toc13543"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_Toc13543 \h </w:instrText>
      </w:r>
      <w:r>
        <w:fldChar w:fldCharType="separate"/>
      </w:r>
      <w:r>
        <w:t>14</w:t>
      </w:r>
      <w:r>
        <w:fldChar w:fldCharType="end"/>
      </w:r>
      <w:r>
        <w:fldChar w:fldCharType="end"/>
      </w:r>
    </w:p>
    <w:p>
      <w:pPr>
        <w:pStyle w:val="41"/>
        <w:tabs>
          <w:tab w:val="right" w:leader="dot" w:pos="8306"/>
        </w:tabs>
      </w:pPr>
      <w:r>
        <w:fldChar w:fldCharType="begin"/>
      </w:r>
      <w:r>
        <w:instrText xml:space="preserve"> HYPERLINK \l "_Toc11428" </w:instrText>
      </w:r>
      <w:r>
        <w:fldChar w:fldCharType="separate"/>
      </w:r>
      <w:r>
        <w:rPr>
          <w:rFonts w:hint="eastAsia" w:ascii="黑体" w:hAnsi="黑体" w:eastAsia="黑体"/>
          <w:lang w:eastAsia="zh-CN"/>
        </w:rPr>
        <w:t>第五部分</w:t>
      </w:r>
      <w:r>
        <w:rPr>
          <w:rFonts w:hint="eastAsia" w:ascii="黑体" w:hAnsi="黑体" w:eastAsia="黑体"/>
          <w:lang w:val="en-US" w:eastAsia="zh-CN"/>
        </w:rPr>
        <w:t xml:space="preserve"> </w:t>
      </w:r>
      <w:r>
        <w:rPr>
          <w:rFonts w:hint="eastAsia" w:ascii="黑体" w:hAnsi="黑体" w:eastAsia="黑体"/>
        </w:rPr>
        <w:t>附表</w:t>
      </w:r>
      <w:r>
        <w:tab/>
      </w:r>
      <w:r>
        <w:fldChar w:fldCharType="begin"/>
      </w:r>
      <w:r>
        <w:instrText xml:space="preserve"> PAGEREF _Toc11428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"_Toc12540" </w:instrText>
      </w:r>
      <w:r>
        <w:fldChar w:fldCharType="separate"/>
      </w:r>
      <w:r>
        <w:rPr>
          <w:rFonts w:hint="eastAsia" w:ascii="仿宋" w:hAnsi="仿宋" w:eastAsia="仿宋" w:cs="Times New Roman"/>
          <w:bCs w:val="0"/>
          <w:lang w:val="en-US" w:eastAsia="zh-CN" w:bidi="ar-SA"/>
        </w:rPr>
        <w:t>一、收入支出决算总表</w:t>
      </w:r>
      <w:r>
        <w:tab/>
      </w:r>
      <w:r>
        <w:fldChar w:fldCharType="begin"/>
      </w:r>
      <w:r>
        <w:instrText xml:space="preserve"> PAGEREF _Toc12540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"_Toc10491" </w:instrText>
      </w:r>
      <w:r>
        <w:fldChar w:fldCharType="separate"/>
      </w:r>
      <w:r>
        <w:rPr>
          <w:rFonts w:hint="eastAsia" w:ascii="仿宋" w:hAnsi="仿宋" w:eastAsia="仿宋" w:cs="Times New Roman"/>
          <w:bCs w:val="0"/>
          <w:lang w:val="en-US" w:eastAsia="zh-CN" w:bidi="ar-SA"/>
        </w:rPr>
        <w:t>二、收入决算表</w:t>
      </w:r>
      <w:r>
        <w:tab/>
      </w:r>
      <w:r>
        <w:fldChar w:fldCharType="begin"/>
      </w:r>
      <w:r>
        <w:instrText xml:space="preserve"> PAGEREF _Toc10491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"_Toc5533" </w:instrText>
      </w:r>
      <w:r>
        <w:fldChar w:fldCharType="separate"/>
      </w:r>
      <w:r>
        <w:rPr>
          <w:rFonts w:hint="eastAsia" w:ascii="仿宋" w:hAnsi="仿宋" w:eastAsia="仿宋" w:cs="Times New Roman"/>
          <w:bCs w:val="0"/>
          <w:lang w:val="en-US" w:eastAsia="zh-CN" w:bidi="ar-SA"/>
        </w:rPr>
        <w:t>三、支出决算表</w:t>
      </w:r>
      <w:r>
        <w:tab/>
      </w:r>
      <w:r>
        <w:fldChar w:fldCharType="begin"/>
      </w:r>
      <w:r>
        <w:instrText xml:space="preserve"> PAGEREF _Toc5533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"_Toc26309" </w:instrText>
      </w:r>
      <w:r>
        <w:fldChar w:fldCharType="separate"/>
      </w:r>
      <w:r>
        <w:rPr>
          <w:rFonts w:hint="eastAsia" w:ascii="仿宋" w:hAnsi="仿宋" w:eastAsia="仿宋" w:cs="Times New Roman"/>
          <w:bCs w:val="0"/>
          <w:lang w:val="en-US" w:eastAsia="zh-CN" w:bidi="ar-SA"/>
        </w:rPr>
        <w:t>四、财政拨款收入支出决算总表</w:t>
      </w:r>
      <w:r>
        <w:tab/>
      </w:r>
      <w:r>
        <w:fldChar w:fldCharType="begin"/>
      </w:r>
      <w:r>
        <w:instrText xml:space="preserve"> PAGEREF _Toc26309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"_Toc12116" </w:instrText>
      </w:r>
      <w:r>
        <w:fldChar w:fldCharType="separate"/>
      </w:r>
      <w:r>
        <w:rPr>
          <w:rFonts w:hint="eastAsia" w:ascii="仿宋" w:hAnsi="仿宋" w:eastAsia="仿宋" w:cs="Times New Roman"/>
          <w:bCs w:val="0"/>
          <w:lang w:val="en-US" w:eastAsia="zh-CN" w:bidi="ar-SA"/>
        </w:rPr>
        <w:t>五、财政拨款支出决算明细表</w:t>
      </w:r>
      <w:r>
        <w:tab/>
      </w:r>
      <w:r>
        <w:fldChar w:fldCharType="begin"/>
      </w:r>
      <w:r>
        <w:instrText xml:space="preserve"> PAGEREF _Toc12116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"_Toc24073" </w:instrText>
      </w:r>
      <w:r>
        <w:fldChar w:fldCharType="separate"/>
      </w:r>
      <w:r>
        <w:rPr>
          <w:rFonts w:hint="eastAsia" w:ascii="仿宋" w:hAnsi="仿宋" w:eastAsia="仿宋" w:cs="Times New Roman"/>
          <w:bCs w:val="0"/>
          <w:lang w:val="en-US" w:eastAsia="zh-CN" w:bidi="ar-SA"/>
        </w:rPr>
        <w:t>六、一般公共预算财政拨款支出决算表</w:t>
      </w:r>
      <w:r>
        <w:tab/>
      </w:r>
      <w:r>
        <w:fldChar w:fldCharType="begin"/>
      </w:r>
      <w:r>
        <w:instrText xml:space="preserve"> PAGEREF _Toc24073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"_Toc17263" </w:instrText>
      </w:r>
      <w:r>
        <w:fldChar w:fldCharType="separate"/>
      </w:r>
      <w:r>
        <w:rPr>
          <w:rFonts w:hint="eastAsia" w:ascii="仿宋" w:hAnsi="仿宋" w:eastAsia="仿宋" w:cs="Times New Roman"/>
          <w:bCs w:val="0"/>
          <w:lang w:val="en-US" w:eastAsia="zh-CN" w:bidi="ar-SA"/>
        </w:rPr>
        <w:t>七、一般公共预算财政拨款支出决算明细表</w:t>
      </w:r>
      <w:r>
        <w:tab/>
      </w:r>
      <w:r>
        <w:fldChar w:fldCharType="begin"/>
      </w:r>
      <w:r>
        <w:instrText xml:space="preserve"> PAGEREF _Toc17263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"_Toc24217" </w:instrText>
      </w:r>
      <w:r>
        <w:fldChar w:fldCharType="separate"/>
      </w:r>
      <w:r>
        <w:rPr>
          <w:rFonts w:hint="eastAsia" w:ascii="仿宋" w:hAnsi="仿宋" w:eastAsia="仿宋" w:cs="Times New Roman"/>
          <w:bCs w:val="0"/>
          <w:lang w:val="en-US" w:eastAsia="zh-CN" w:bidi="ar-SA"/>
        </w:rPr>
        <w:t>八、一般公共预算财政拨款基本支出决算表</w:t>
      </w:r>
      <w:r>
        <w:tab/>
      </w:r>
      <w:r>
        <w:fldChar w:fldCharType="begin"/>
      </w:r>
      <w:r>
        <w:instrText xml:space="preserve"> PAGEREF _Toc24217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"_Toc2877" </w:instrText>
      </w:r>
      <w:r>
        <w:fldChar w:fldCharType="separate"/>
      </w:r>
      <w:r>
        <w:rPr>
          <w:rFonts w:hint="eastAsia" w:ascii="仿宋" w:hAnsi="仿宋" w:eastAsia="仿宋" w:cs="Times New Roman"/>
          <w:bCs w:val="0"/>
          <w:lang w:val="en-US" w:eastAsia="zh-CN" w:bidi="ar-SA"/>
        </w:rPr>
        <w:t>九、一般公共预算财政拨款项目支出决算表</w:t>
      </w:r>
      <w:r>
        <w:tab/>
      </w:r>
      <w:r>
        <w:fldChar w:fldCharType="begin"/>
      </w:r>
      <w:r>
        <w:instrText xml:space="preserve"> PAGEREF _Toc2877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"_Toc10844"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_Toc10844 \h </w:instrText>
      </w:r>
      <w:r>
        <w:fldChar w:fldCharType="separate"/>
      </w:r>
      <w:r>
        <w:t>22</w:t>
      </w:r>
      <w:r>
        <w:fldChar w:fldCharType="end"/>
      </w:r>
      <w:r>
        <w:fldChar w:fldCharType="end"/>
      </w:r>
    </w:p>
    <w:p>
      <w:pPr>
        <w:pStyle w:val="39"/>
        <w:tabs>
          <w:tab w:val="right" w:leader="dot" w:pos="8306"/>
        </w:tabs>
      </w:pPr>
      <w:r>
        <w:fldChar w:fldCharType="begin"/>
      </w:r>
      <w:r>
        <w:instrText xml:space="preserve"> HYPERLINK \l "_Toc16266"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_Toc16266 \h </w:instrText>
      </w:r>
      <w:r>
        <w:fldChar w:fldCharType="separate"/>
      </w:r>
      <w:r>
        <w:t>22</w:t>
      </w:r>
      <w:r>
        <w:fldChar w:fldCharType="end"/>
      </w:r>
      <w:r>
        <w:fldChar w:fldCharType="end"/>
      </w:r>
    </w:p>
    <w:p>
      <w:pPr>
        <w:pStyle w:val="39"/>
        <w:tabs>
          <w:tab w:val="right" w:leader="dot" w:pos="8306"/>
        </w:tabs>
      </w:pPr>
      <w:r>
        <w:fldChar w:fldCharType="begin"/>
      </w:r>
      <w:r>
        <w:instrText xml:space="preserve"> HYPERLINK \l "_Toc17235"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_Toc17235 \h </w:instrText>
      </w:r>
      <w:r>
        <w:fldChar w:fldCharType="separate"/>
      </w:r>
      <w:r>
        <w:t>22</w:t>
      </w:r>
      <w:r>
        <w:fldChar w:fldCharType="end"/>
      </w:r>
      <w:r>
        <w:fldChar w:fldCharType="end"/>
      </w:r>
    </w:p>
    <w:p>
      <w:pPr>
        <w:pStyle w:val="39"/>
        <w:tabs>
          <w:tab w:val="right" w:leader="dot" w:pos="8306"/>
        </w:tabs>
      </w:pPr>
      <w:r>
        <w:fldChar w:fldCharType="begin"/>
      </w:r>
      <w:r>
        <w:instrText xml:space="preserve"> HYPERLINK \l "_Toc23858"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_Toc23858 \h </w:instrText>
      </w:r>
      <w:r>
        <w:fldChar w:fldCharType="separate"/>
      </w:r>
      <w:r>
        <w:t>22</w:t>
      </w:r>
      <w:r>
        <w:fldChar w:fldCharType="end"/>
      </w:r>
      <w:r>
        <w:fldChar w:fldCharType="end"/>
      </w:r>
    </w:p>
    <w:p>
      <w:r>
        <w:fldChar w:fldCharType="end"/>
      </w:r>
    </w:p>
    <w:p>
      <w:pPr>
        <w:pStyle w:val="25"/>
        <w:tabs>
          <w:tab w:val="right" w:leader="dot" w:pos="8306"/>
          <w:tab w:val="clear" w:pos="8296"/>
        </w:tabs>
        <w:rPr>
          <w:rFonts w:hint="eastAsia" w:ascii="宋体" w:hAnsi="宋体" w:eastAsia="宋体" w:cs="宋体"/>
          <w:sz w:val="24"/>
          <w:szCs w:val="24"/>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仿宋" w:hAnsi="仿宋" w:eastAsia="仿宋" w:cs="Times New Roman"/>
          <w:bCs w:val="0"/>
          <w:lang w:val="en-US" w:eastAsia="zh-CN" w:bidi="ar-SA"/>
        </w:rPr>
        <w:fldChar w:fldCharType="end"/>
      </w:r>
      <w:r>
        <w:rPr>
          <w:rFonts w:hint="eastAsia" w:ascii="仿宋" w:hAnsi="仿宋" w:eastAsia="仿宋" w:cs="Times New Roman"/>
          <w:bCs w:val="0"/>
          <w:lang w:val="en-US" w:eastAsia="zh-CN" w:bidi="ar-SA"/>
        </w:rPr>
        <w:fldChar w:fldCharType="end"/>
      </w:r>
      <w:bookmarkStart w:id="27" w:name="_Toc15377196"/>
      <w:bookmarkStart w:id="28" w:name="_Toc15396599"/>
    </w:p>
    <w:p>
      <w:pPr>
        <w:pStyle w:val="5"/>
        <w:pageBreakBefore w:val="0"/>
        <w:wordWrap/>
        <w:overflowPunct/>
        <w:topLinePunct w:val="0"/>
        <w:bidi w:val="0"/>
        <w:spacing w:before="0" w:beforeAutospacing="0" w:after="0" w:afterAutospacing="0" w:line="580" w:lineRule="exact"/>
        <w:jc w:val="center"/>
        <w:rPr>
          <w:rFonts w:ascii="黑体" w:eastAsia="黑体"/>
          <w:color w:val="000000"/>
          <w:sz w:val="32"/>
          <w:szCs w:val="32"/>
        </w:rPr>
      </w:pPr>
      <w:bookmarkStart w:id="29" w:name="_Toc13087"/>
      <w:r>
        <w:rPr>
          <w:rFonts w:hint="eastAsia" w:ascii="黑体" w:hAnsi="黑体" w:eastAsia="黑体"/>
          <w:b w:val="0"/>
        </w:rPr>
        <w:t>第一部分</w:t>
      </w:r>
      <w:r>
        <w:rPr>
          <w:rFonts w:ascii="黑体" w:hAnsi="黑体" w:eastAsia="黑体"/>
          <w:b w:val="0"/>
        </w:rPr>
        <w:t xml:space="preserve"> </w:t>
      </w:r>
      <w:r>
        <w:rPr>
          <w:rStyle w:val="12"/>
          <w:rFonts w:hint="eastAsia" w:ascii="黑体" w:hAnsi="黑体" w:eastAsia="黑体"/>
          <w:b w:val="0"/>
          <w:bCs w:val="0"/>
          <w:lang w:eastAsia="zh-CN"/>
        </w:rPr>
        <w:t>单位</w:t>
      </w:r>
      <w:r>
        <w:rPr>
          <w:rStyle w:val="12"/>
          <w:rFonts w:hint="eastAsia" w:ascii="黑体" w:hAnsi="黑体" w:eastAsia="黑体"/>
          <w:b w:val="0"/>
          <w:bCs w:val="0"/>
        </w:rPr>
        <w:t>概况</w:t>
      </w:r>
      <w:bookmarkEnd w:id="27"/>
      <w:bookmarkEnd w:id="28"/>
      <w:bookmarkEnd w:id="29"/>
    </w:p>
    <w:p>
      <w:pPr>
        <w:pStyle w:val="6"/>
        <w:pageBreakBefore w:val="0"/>
        <w:numPr>
          <w:ilvl w:val="0"/>
          <w:numId w:val="0"/>
        </w:numPr>
        <w:kinsoku/>
        <w:wordWrap/>
        <w:overflowPunct/>
        <w:topLinePunct w:val="0"/>
        <w:autoSpaceDE/>
        <w:autoSpaceDN/>
        <w:bidi w:val="0"/>
        <w:adjustRightInd/>
        <w:snapToGrid/>
        <w:spacing w:before="0" w:beforeAutospacing="0" w:after="0" w:afterAutospacing="0" w:line="520" w:lineRule="exact"/>
        <w:ind w:firstLine="640" w:firstLineChars="200"/>
        <w:textAlignment w:val="auto"/>
        <w:rPr>
          <w:rStyle w:val="13"/>
          <w:rFonts w:hint="eastAsia" w:ascii="黑体" w:hAnsi="黑体" w:eastAsia="黑体"/>
          <w:b w:val="0"/>
          <w:bCs w:val="0"/>
          <w:color w:val="auto"/>
          <w:highlight w:val="none"/>
          <w:lang w:eastAsia="zh-CN"/>
        </w:rPr>
      </w:pPr>
      <w:bookmarkStart w:id="30" w:name="_Toc4916"/>
      <w:bookmarkStart w:id="31" w:name="_Toc17050"/>
      <w:bookmarkStart w:id="32" w:name="_Toc15377198"/>
      <w:bookmarkStart w:id="33" w:name="_Toc15378445"/>
      <w:r>
        <w:rPr>
          <w:rStyle w:val="13"/>
          <w:rFonts w:hint="eastAsia" w:ascii="黑体" w:hAnsi="黑体" w:eastAsia="黑体"/>
          <w:b w:val="0"/>
          <w:bCs w:val="0"/>
          <w:color w:val="auto"/>
          <w:highlight w:val="none"/>
          <w:lang w:eastAsia="zh-CN"/>
        </w:rPr>
        <w:t>一、主要职责</w:t>
      </w:r>
      <w:bookmarkEnd w:id="30"/>
      <w:bookmarkEnd w:id="31"/>
    </w:p>
    <w:p>
      <w:pPr>
        <w:pStyle w:val="27"/>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textAlignment w:val="auto"/>
        <w:outlineLvl w:val="2"/>
        <w:rPr>
          <w:rFonts w:hint="eastAsia" w:ascii="仿宋_GB2312" w:hAnsi="微软雅黑" w:eastAsia="仿宋_GB2312" w:cs="仿宋_GB2312"/>
          <w:b/>
          <w:bCs/>
          <w:snapToGrid w:val="0"/>
          <w:color w:val="000000"/>
          <w:sz w:val="31"/>
          <w:szCs w:val="31"/>
        </w:rPr>
      </w:pPr>
      <w:bookmarkStart w:id="34" w:name="_Toc8945"/>
      <w:r>
        <w:rPr>
          <w:rFonts w:hint="eastAsia" w:ascii="仿宋_GB2312" w:hAnsi="宋体" w:eastAsia="仿宋_GB2312" w:cs="宋体"/>
          <w:color w:val="000000"/>
          <w:sz w:val="32"/>
          <w:szCs w:val="32"/>
        </w:rPr>
        <w:t>（一）</w:t>
      </w:r>
      <w:r>
        <w:rPr>
          <w:rFonts w:hint="eastAsia" w:ascii="仿宋_GB2312" w:hAnsi="微软雅黑" w:eastAsia="仿宋_GB2312" w:cs="仿宋_GB2312"/>
          <w:b/>
          <w:bCs/>
          <w:snapToGrid w:val="0"/>
          <w:color w:val="000000"/>
          <w:sz w:val="31"/>
          <w:szCs w:val="31"/>
          <w:shd w:val="clear" w:color="auto" w:fill="FFFFFF"/>
        </w:rPr>
        <w:t>基本公共卫生服务方面</w:t>
      </w:r>
      <w:bookmarkEnd w:id="34"/>
    </w:p>
    <w:p>
      <w:pPr>
        <w:pStyle w:val="27"/>
        <w:pageBreakBefore w:val="0"/>
        <w:widowControl/>
        <w:shd w:val="clear" w:color="auto" w:fill="FFFFFF"/>
        <w:kinsoku/>
        <w:wordWrap/>
        <w:overflowPunct/>
        <w:topLinePunct w:val="0"/>
        <w:autoSpaceDE/>
        <w:autoSpaceDN/>
        <w:bidi w:val="0"/>
        <w:adjustRightInd/>
        <w:snapToGrid/>
        <w:spacing w:before="0" w:beforeAutospacing="0" w:after="0" w:afterAutospacing="0" w:line="520" w:lineRule="exact"/>
        <w:ind w:firstLine="674"/>
        <w:jc w:val="both"/>
        <w:textAlignment w:val="auto"/>
        <w:rPr>
          <w:rFonts w:hint="eastAsia" w:ascii="仿宋" w:hAnsi="仿宋" w:eastAsia="仿宋" w:cs="Times New Roman"/>
          <w:b w:val="0"/>
          <w:bCs w:val="0"/>
          <w:color w:val="auto"/>
          <w:kern w:val="2"/>
          <w:sz w:val="32"/>
          <w:szCs w:val="32"/>
          <w:highlight w:val="none"/>
          <w:lang w:val="en-US" w:eastAsia="zh-CN" w:bidi="ar-SA"/>
        </w:rPr>
      </w:pPr>
      <w:r>
        <w:rPr>
          <w:rFonts w:hint="eastAsia" w:ascii="仿宋" w:hAnsi="仿宋" w:eastAsia="仿宋" w:cs="Times New Roman"/>
          <w:b w:val="0"/>
          <w:bCs w:val="0"/>
          <w:color w:val="auto"/>
          <w:kern w:val="2"/>
          <w:sz w:val="32"/>
          <w:szCs w:val="32"/>
          <w:highlight w:val="none"/>
          <w:lang w:val="en-US" w:eastAsia="zh-CN" w:bidi="ar-SA"/>
        </w:rPr>
        <w:t>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单位委托，对辖区内传染病防治、学校卫生、饮用水卫生、职业卫生以及村级预防保健工作进行指导、培训、考核与监督等。</w:t>
      </w:r>
    </w:p>
    <w:p>
      <w:pPr>
        <w:pStyle w:val="27"/>
        <w:pageBreakBefore w:val="0"/>
        <w:shd w:val="clear" w:color="auto" w:fill="FFFFFF"/>
        <w:kinsoku/>
        <w:wordWrap/>
        <w:overflowPunct/>
        <w:topLinePunct w:val="0"/>
        <w:autoSpaceDE/>
        <w:autoSpaceDN/>
        <w:bidi w:val="0"/>
        <w:adjustRightInd/>
        <w:snapToGrid/>
        <w:spacing w:before="0" w:beforeAutospacing="0" w:after="74" w:afterLines="24" w:afterAutospacing="0" w:line="520" w:lineRule="exact"/>
        <w:ind w:left="0" w:leftChars="0" w:firstLine="640" w:firstLineChars="0"/>
        <w:textAlignment w:val="auto"/>
        <w:outlineLvl w:val="2"/>
        <w:rPr>
          <w:rFonts w:hint="eastAsia" w:ascii="仿宋_GB2312" w:hAnsi="微软雅黑" w:eastAsia="仿宋_GB2312" w:cs="仿宋_GB2312"/>
          <w:b/>
          <w:bCs/>
          <w:snapToGrid w:val="0"/>
          <w:color w:val="000000"/>
          <w:sz w:val="31"/>
          <w:szCs w:val="31"/>
        </w:rPr>
      </w:pPr>
      <w:bookmarkStart w:id="35" w:name="_Toc16711"/>
      <w:r>
        <w:rPr>
          <w:rFonts w:hint="eastAsia" w:ascii="仿宋_GB2312" w:hAnsi="宋体" w:eastAsia="仿宋_GB2312" w:cs="宋体"/>
          <w:color w:val="000000"/>
          <w:sz w:val="32"/>
          <w:szCs w:val="32"/>
        </w:rPr>
        <w:t>（二）</w:t>
      </w:r>
      <w:r>
        <w:rPr>
          <w:rFonts w:hint="eastAsia" w:ascii="仿宋_GB2312" w:hAnsi="微软雅黑" w:eastAsia="仿宋_GB2312" w:cs="仿宋_GB2312"/>
          <w:b/>
          <w:bCs/>
          <w:snapToGrid w:val="0"/>
          <w:color w:val="000000"/>
          <w:sz w:val="31"/>
          <w:szCs w:val="31"/>
          <w:shd w:val="clear" w:color="auto" w:fill="FFFFFF"/>
        </w:rPr>
        <w:t>基本医疗服务方面</w:t>
      </w:r>
      <w:bookmarkEnd w:id="35"/>
    </w:p>
    <w:p>
      <w:pPr>
        <w:pStyle w:val="27"/>
        <w:pageBreakBefore w:val="0"/>
        <w:widowControl/>
        <w:shd w:val="clear" w:color="auto" w:fill="FFFFFF"/>
        <w:kinsoku/>
        <w:wordWrap/>
        <w:overflowPunct/>
        <w:topLinePunct w:val="0"/>
        <w:autoSpaceDE/>
        <w:autoSpaceDN/>
        <w:bidi w:val="0"/>
        <w:adjustRightInd/>
        <w:snapToGrid/>
        <w:spacing w:before="0" w:beforeAutospacing="0" w:after="0" w:afterAutospacing="0" w:line="520" w:lineRule="exact"/>
        <w:ind w:firstLine="674"/>
        <w:jc w:val="both"/>
        <w:textAlignment w:val="auto"/>
        <w:rPr>
          <w:rFonts w:hint="eastAsia" w:ascii="仿宋" w:hAnsi="仿宋" w:eastAsia="仿宋" w:cs="Times New Roman"/>
          <w:b w:val="0"/>
          <w:bCs w:val="0"/>
          <w:color w:val="auto"/>
          <w:kern w:val="2"/>
          <w:sz w:val="32"/>
          <w:szCs w:val="32"/>
          <w:highlight w:val="none"/>
          <w:lang w:val="en-US" w:eastAsia="zh-CN" w:bidi="ar-SA"/>
        </w:rPr>
      </w:pPr>
      <w:r>
        <w:rPr>
          <w:rFonts w:hint="eastAsia" w:ascii="仿宋" w:hAnsi="仿宋" w:eastAsia="仿宋" w:cs="Times New Roman"/>
          <w:b w:val="0"/>
          <w:bCs w:val="0"/>
          <w:color w:val="auto"/>
          <w:kern w:val="2"/>
          <w:sz w:val="32"/>
          <w:szCs w:val="32"/>
          <w:highlight w:val="none"/>
          <w:lang w:val="en-US" w:eastAsia="zh-CN" w:bidi="ar-SA"/>
        </w:rPr>
        <w:t>正确处理常见病，多发病，对疑难杂症进行恰当的处理与转诊；加强急诊救护体系建设，承担乡村现场应急救护，转诊和康复服务；认真执行国家基本药物制度，加强医疗质量管理及院感防控。</w:t>
      </w:r>
    </w:p>
    <w:p>
      <w:pPr>
        <w:pStyle w:val="27"/>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textAlignment w:val="auto"/>
        <w:outlineLvl w:val="2"/>
        <w:rPr>
          <w:rFonts w:hint="eastAsia" w:ascii="仿宋_GB2312" w:hAnsi="微软雅黑" w:eastAsia="仿宋_GB2312" w:cs="仿宋_GB2312"/>
          <w:b/>
          <w:bCs/>
          <w:snapToGrid w:val="0"/>
          <w:color w:val="000000"/>
          <w:sz w:val="31"/>
          <w:szCs w:val="31"/>
        </w:rPr>
      </w:pPr>
      <w:bookmarkStart w:id="36" w:name="_Toc9509"/>
      <w:r>
        <w:rPr>
          <w:rFonts w:hint="eastAsia" w:ascii="仿宋_GB2312" w:hAnsi="宋体" w:eastAsia="仿宋_GB2312" w:cs="宋体"/>
          <w:color w:val="000000"/>
          <w:sz w:val="32"/>
          <w:szCs w:val="32"/>
        </w:rPr>
        <w:t>（三）</w:t>
      </w:r>
      <w:r>
        <w:rPr>
          <w:rFonts w:hint="eastAsia" w:ascii="仿宋_GB2312" w:hAnsi="微软雅黑" w:eastAsia="仿宋_GB2312" w:cs="仿宋_GB2312"/>
          <w:b/>
          <w:bCs/>
          <w:snapToGrid w:val="0"/>
          <w:color w:val="000000"/>
          <w:sz w:val="31"/>
          <w:szCs w:val="31"/>
          <w:shd w:val="clear" w:color="auto" w:fill="FFFFFF"/>
        </w:rPr>
        <w:t>基本管理服务</w:t>
      </w:r>
      <w:bookmarkEnd w:id="36"/>
    </w:p>
    <w:p>
      <w:pPr>
        <w:pageBreakBefore w:val="0"/>
        <w:kinsoku/>
        <w:wordWrap/>
        <w:overflowPunct/>
        <w:topLinePunct w:val="0"/>
        <w:autoSpaceDE/>
        <w:autoSpaceDN/>
        <w:bidi w:val="0"/>
        <w:adjustRightInd/>
        <w:snapToGrid/>
        <w:spacing w:afterAutospacing="0" w:line="520" w:lineRule="exact"/>
        <w:ind w:firstLine="640" w:firstLineChars="200"/>
        <w:textAlignment w:val="auto"/>
        <w:rPr>
          <w:rFonts w:hint="eastAsia" w:ascii="仿宋" w:hAnsi="仿宋" w:eastAsia="仿宋" w:cs="仿宋"/>
          <w:i w:val="0"/>
          <w:iCs w:val="0"/>
          <w:caps w:val="0"/>
          <w:snapToGrid w:val="0"/>
          <w:color w:val="000000"/>
          <w:spacing w:val="0"/>
          <w:sz w:val="32"/>
          <w:szCs w:val="32"/>
          <w:lang w:eastAsia="zh-CN"/>
        </w:rPr>
      </w:pPr>
      <w:r>
        <w:rPr>
          <w:rFonts w:hint="eastAsia" w:ascii="仿宋" w:hAnsi="仿宋" w:eastAsia="仿宋" w:cs="Times New Roman"/>
          <w:b w:val="0"/>
          <w:bCs w:val="0"/>
          <w:color w:val="auto"/>
          <w:sz w:val="32"/>
          <w:szCs w:val="32"/>
          <w:highlight w:val="none"/>
          <w:lang w:eastAsia="zh-CN"/>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bookmarkEnd w:id="32"/>
      <w:bookmarkEnd w:id="33"/>
      <w:bookmarkStart w:id="37" w:name="_Toc15377199"/>
      <w:bookmarkStart w:id="38" w:name="_Toc15378446"/>
    </w:p>
    <w:bookmarkEnd w:id="37"/>
    <w:bookmarkEnd w:id="38"/>
    <w:p>
      <w:pPr>
        <w:pStyle w:val="6"/>
        <w:pageBreakBefore w:val="0"/>
        <w:numPr>
          <w:ilvl w:val="0"/>
          <w:numId w:val="1"/>
        </w:numPr>
        <w:kinsoku/>
        <w:wordWrap/>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黑体" w:hAnsi="黑体" w:eastAsia="黑体"/>
          <w:b w:val="0"/>
          <w:color w:val="auto"/>
          <w:highlight w:val="none"/>
          <w:lang w:val="en-US" w:eastAsia="zh-CN"/>
        </w:rPr>
      </w:pPr>
      <w:bookmarkStart w:id="39" w:name="_Toc1562"/>
      <w:bookmarkStart w:id="40" w:name="_Toc8527"/>
      <w:r>
        <w:rPr>
          <w:rFonts w:hint="eastAsia" w:ascii="黑体" w:hAnsi="黑体" w:eastAsia="黑体"/>
          <w:b w:val="0"/>
          <w:color w:val="auto"/>
          <w:highlight w:val="none"/>
          <w:lang w:val="en-US" w:eastAsia="zh-CN"/>
        </w:rPr>
        <w:t>机构设置</w:t>
      </w:r>
      <w:bookmarkEnd w:id="39"/>
      <w:bookmarkEnd w:id="40"/>
    </w:p>
    <w:p>
      <w:pPr>
        <w:pageBreakBefore w:val="0"/>
        <w:numPr>
          <w:ilvl w:val="0"/>
          <w:numId w:val="0"/>
        </w:numPr>
        <w:kinsoku/>
        <w:wordWrap/>
        <w:overflowPunct/>
        <w:topLinePunct w:val="0"/>
        <w:autoSpaceDE/>
        <w:autoSpaceDN/>
        <w:bidi w:val="0"/>
        <w:adjustRightInd/>
        <w:snapToGrid/>
        <w:spacing w:afterAutospacing="0" w:line="520" w:lineRule="exact"/>
        <w:ind w:firstLine="640" w:firstLineChars="200"/>
        <w:textAlignment w:val="auto"/>
        <w:rPr>
          <w:rFonts w:hint="eastAsia"/>
        </w:rPr>
      </w:pPr>
      <w:r>
        <w:rPr>
          <w:rFonts w:hint="eastAsia" w:ascii="仿宋" w:hAnsi="仿宋" w:eastAsia="仿宋"/>
          <w:b w:val="0"/>
          <w:bCs w:val="0"/>
          <w:color w:val="auto"/>
          <w:sz w:val="32"/>
          <w:szCs w:val="32"/>
          <w:highlight w:val="none"/>
          <w:lang w:val="en-US" w:eastAsia="zh-CN"/>
        </w:rPr>
        <w:t>射箭镇</w:t>
      </w:r>
      <w:r>
        <w:rPr>
          <w:rFonts w:hint="eastAsia" w:ascii="仿宋" w:hAnsi="仿宋" w:eastAsia="仿宋"/>
          <w:b w:val="0"/>
          <w:bCs w:val="0"/>
          <w:color w:val="auto"/>
          <w:sz w:val="32"/>
          <w:szCs w:val="32"/>
          <w:highlight w:val="none"/>
          <w:lang w:eastAsia="zh-CN"/>
        </w:rPr>
        <w:t>卫生院属于主管部门下属单位，属于二级预算单位，无下属机构。</w:t>
      </w:r>
    </w:p>
    <w:p>
      <w:pPr>
        <w:numPr>
          <w:ilvl w:val="0"/>
          <w:numId w:val="0"/>
        </w:numPr>
        <w:rPr>
          <w:rFonts w:hint="eastAsia"/>
        </w:rPr>
      </w:pPr>
    </w:p>
    <w:p>
      <w:pPr>
        <w:pStyle w:val="5"/>
        <w:spacing w:before="0" w:beforeAutospacing="0" w:after="0" w:afterAutospacing="0"/>
        <w:ind w:right="440"/>
        <w:jc w:val="center"/>
        <w:rPr>
          <w:rStyle w:val="30"/>
          <w:rFonts w:ascii="黑体" w:hAnsi="黑体" w:eastAsia="黑体"/>
          <w:b w:val="0"/>
          <w:bCs/>
          <w:color w:val="auto"/>
          <w:highlight w:val="none"/>
        </w:rPr>
      </w:pPr>
      <w:bookmarkStart w:id="41" w:name="_Toc8703"/>
      <w:bookmarkStart w:id="42" w:name="_Toc20330"/>
      <w:bookmarkStart w:id="43" w:name="_Toc15377205"/>
      <w:bookmarkStart w:id="44" w:name="_Toc15396603"/>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30"/>
          <w:rFonts w:hint="eastAsia" w:ascii="黑体" w:hAnsi="黑体" w:eastAsia="黑体"/>
          <w:b w:val="0"/>
          <w:bCs/>
          <w:color w:val="auto"/>
          <w:highlight w:val="none"/>
          <w:lang w:eastAsia="zh-CN"/>
        </w:rPr>
        <w:t>单位</w:t>
      </w:r>
      <w:r>
        <w:rPr>
          <w:rStyle w:val="30"/>
          <w:rFonts w:hint="eastAsia" w:ascii="黑体" w:hAnsi="黑体" w:eastAsia="黑体"/>
          <w:b w:val="0"/>
          <w:bCs/>
          <w:color w:val="auto"/>
          <w:highlight w:val="none"/>
        </w:rPr>
        <w:t>决算情况说明</w:t>
      </w:r>
      <w:bookmarkEnd w:id="41"/>
      <w:bookmarkEnd w:id="42"/>
    </w:p>
    <w:bookmarkEnd w:id="43"/>
    <w:bookmarkEnd w:id="44"/>
    <w:p>
      <w:pPr>
        <w:pStyle w:val="38"/>
        <w:numPr>
          <w:ilvl w:val="0"/>
          <w:numId w:val="2"/>
        </w:numPr>
        <w:spacing w:beforeAutospacing="0" w:line="600" w:lineRule="exact"/>
        <w:ind w:firstLineChars="0"/>
        <w:outlineLvl w:val="1"/>
        <w:rPr>
          <w:rStyle w:val="13"/>
          <w:rFonts w:ascii="黑体" w:hAnsi="黑体" w:eastAsia="黑体"/>
          <w:b w:val="0"/>
          <w:color w:val="auto"/>
          <w:highlight w:val="none"/>
        </w:rPr>
      </w:pPr>
      <w:bookmarkStart w:id="45" w:name="_Toc20932"/>
      <w:bookmarkStart w:id="46" w:name="_Toc9393"/>
      <w:r>
        <w:rPr>
          <w:rFonts w:hint="eastAsia" w:ascii="黑体" w:hAnsi="黑体" w:eastAsia="黑体"/>
          <w:color w:val="auto"/>
          <w:sz w:val="32"/>
          <w:szCs w:val="32"/>
          <w:highlight w:val="none"/>
        </w:rPr>
        <w:t>收</w:t>
      </w:r>
      <w:r>
        <w:rPr>
          <w:rStyle w:val="13"/>
          <w:rFonts w:hint="eastAsia" w:ascii="黑体" w:hAnsi="黑体" w:eastAsia="黑体"/>
          <w:b w:val="0"/>
          <w:color w:val="auto"/>
          <w:highlight w:val="none"/>
        </w:rPr>
        <w:t>入支出决算总体情况说明</w:t>
      </w:r>
      <w:bookmarkEnd w:id="45"/>
      <w:bookmarkEnd w:id="46"/>
    </w:p>
    <w:p>
      <w:pPr>
        <w:spacing w:line="600" w:lineRule="exact"/>
        <w:ind w:firstLine="640" w:firstLineChars="200"/>
        <w:rPr>
          <w:rFonts w:hint="default" w:ascii="仿宋" w:hAnsi="仿宋" w:eastAsia="仿宋"/>
          <w:color w:val="auto"/>
          <w:sz w:val="32"/>
          <w:szCs w:val="32"/>
          <w:highlight w:val="none"/>
          <w:lang w:val="en-US"/>
        </w:rPr>
      </w:pPr>
      <w:r>
        <w:rPr>
          <w:rFonts w:hint="eastAsia" w:ascii="仿宋" w:hAnsi="仿宋" w:eastAsia="仿宋" w:cs="仿宋"/>
          <w:color w:val="000000"/>
          <w:sz w:val="32"/>
          <w:szCs w:val="32"/>
          <w:lang w:val="en-US" w:eastAsia="zh-CN"/>
        </w:rPr>
        <w:t>2022</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射箭卫生院</w:t>
      </w:r>
      <w:r>
        <w:rPr>
          <w:rFonts w:hint="eastAsia" w:ascii="仿宋" w:hAnsi="仿宋" w:eastAsia="仿宋" w:cs="仿宋"/>
          <w:color w:val="000000"/>
          <w:sz w:val="32"/>
          <w:szCs w:val="32"/>
        </w:rPr>
        <w:t>收</w:t>
      </w:r>
      <w:r>
        <w:rPr>
          <w:rFonts w:hint="eastAsia" w:ascii="仿宋" w:hAnsi="仿宋" w:eastAsia="仿宋" w:cs="仿宋"/>
          <w:color w:val="000000"/>
          <w:sz w:val="32"/>
          <w:szCs w:val="32"/>
          <w:lang w:eastAsia="zh-CN"/>
        </w:rPr>
        <w:t>支</w:t>
      </w:r>
      <w:r>
        <w:rPr>
          <w:rFonts w:hint="eastAsia" w:ascii="仿宋" w:hAnsi="仿宋" w:eastAsia="仿宋" w:cs="仿宋"/>
          <w:color w:val="000000"/>
          <w:sz w:val="32"/>
          <w:szCs w:val="32"/>
        </w:rPr>
        <w:t>总计</w:t>
      </w:r>
      <w:r>
        <w:rPr>
          <w:rFonts w:hint="eastAsia" w:ascii="仿宋" w:hAnsi="仿宋" w:eastAsia="仿宋" w:cs="仿宋"/>
          <w:color w:val="000000"/>
          <w:sz w:val="32"/>
          <w:szCs w:val="32"/>
          <w:lang w:val="en-US" w:eastAsia="zh-CN"/>
        </w:rPr>
        <w:t>282.54</w:t>
      </w:r>
      <w:r>
        <w:rPr>
          <w:rFonts w:hint="eastAsia" w:ascii="仿宋" w:hAnsi="仿宋" w:eastAsia="仿宋" w:cs="仿宋"/>
          <w:color w:val="000000"/>
          <w:sz w:val="32"/>
          <w:szCs w:val="32"/>
        </w:rPr>
        <w:t>万元，与</w:t>
      </w:r>
      <w:r>
        <w:rPr>
          <w:rFonts w:hint="eastAsia" w:ascii="仿宋" w:hAnsi="仿宋" w:eastAsia="仿宋" w:cs="仿宋"/>
          <w:color w:val="000000"/>
          <w:sz w:val="32"/>
          <w:szCs w:val="32"/>
          <w:lang w:val="en-US" w:eastAsia="zh-CN"/>
        </w:rPr>
        <w:t>2021</w:t>
      </w:r>
      <w:r>
        <w:rPr>
          <w:rFonts w:hint="eastAsia" w:ascii="仿宋" w:hAnsi="仿宋" w:eastAsia="仿宋" w:cs="仿宋"/>
          <w:color w:val="000000"/>
          <w:sz w:val="32"/>
          <w:szCs w:val="32"/>
        </w:rPr>
        <w:t>年相比</w:t>
      </w:r>
      <w:r>
        <w:rPr>
          <w:rFonts w:hint="eastAsia" w:ascii="仿宋" w:hAnsi="仿宋" w:eastAsia="仿宋" w:cs="仿宋"/>
          <w:color w:val="000000"/>
          <w:sz w:val="32"/>
          <w:szCs w:val="32"/>
          <w:lang w:eastAsia="zh-CN"/>
        </w:rPr>
        <w:t>收、支总计各增加</w:t>
      </w:r>
      <w:r>
        <w:rPr>
          <w:rFonts w:hint="eastAsia" w:ascii="仿宋" w:hAnsi="仿宋" w:eastAsia="仿宋" w:cs="仿宋"/>
          <w:color w:val="000000"/>
          <w:sz w:val="32"/>
          <w:szCs w:val="32"/>
        </w:rPr>
        <w:t>了</w:t>
      </w:r>
      <w:r>
        <w:rPr>
          <w:rFonts w:hint="eastAsia" w:ascii="仿宋" w:hAnsi="仿宋" w:eastAsia="仿宋" w:cs="仿宋"/>
          <w:color w:val="000000"/>
          <w:sz w:val="32"/>
          <w:szCs w:val="32"/>
          <w:lang w:val="en-US" w:eastAsia="zh-CN"/>
        </w:rPr>
        <w:t>85</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lang w:val="en-US" w:eastAsia="zh-CN"/>
        </w:rPr>
        <w:t>43.03</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olor w:val="auto"/>
          <w:sz w:val="32"/>
          <w:szCs w:val="32"/>
          <w:highlight w:val="none"/>
          <w:lang w:eastAsia="zh-CN"/>
        </w:rPr>
        <w:t>收入</w:t>
      </w:r>
      <w:r>
        <w:rPr>
          <w:rFonts w:hint="eastAsia" w:ascii="仿宋" w:hAnsi="仿宋" w:eastAsia="仿宋"/>
          <w:color w:val="auto"/>
          <w:sz w:val="32"/>
          <w:szCs w:val="32"/>
          <w:highlight w:val="none"/>
        </w:rPr>
        <w:t>主要变动原因是</w:t>
      </w:r>
      <w:r>
        <w:rPr>
          <w:rFonts w:hint="eastAsia" w:ascii="仿宋" w:hAnsi="仿宋" w:eastAsia="仿宋" w:cs="仿宋"/>
          <w:color w:val="auto"/>
          <w:sz w:val="32"/>
          <w:szCs w:val="32"/>
          <w:lang w:val="en-US" w:eastAsia="zh-CN"/>
        </w:rPr>
        <w:t>2022年医疗收入相比上年增加了11.15万元，政府性基金增加7.9万元；人员经费投入增加了40.16万元。2022年支出主要变动的原因是：因区划调整，财政拨款收入增加。</w:t>
      </w:r>
    </w:p>
    <w:p>
      <w:pPr>
        <w:pageBreakBefore w:val="0"/>
        <w:wordWrap/>
        <w:overflowPunct/>
        <w:topLinePunct w:val="0"/>
        <w:bidi w:val="0"/>
        <w:spacing w:line="580" w:lineRule="exact"/>
        <w:ind w:firstLine="640" w:firstLineChars="200"/>
        <w:rPr>
          <w:rFonts w:hint="default" w:ascii="仿宋" w:hAnsi="仿宋" w:eastAsia="仿宋" w:cs="仿宋"/>
          <w:color w:val="auto"/>
          <w:sz w:val="32"/>
          <w:szCs w:val="32"/>
          <w:lang w:val="en-US" w:eastAsia="zh-CN"/>
        </w:rPr>
      </w:pPr>
    </w:p>
    <w:p>
      <w:pPr>
        <w:pStyle w:val="17"/>
        <w:pageBreakBefore w:val="0"/>
        <w:wordWrap/>
        <w:overflowPunct/>
        <w:topLinePunct w:val="0"/>
        <w:bidi w:val="0"/>
        <w:spacing w:line="240" w:lineRule="auto"/>
        <w:ind w:firstLine="0" w:firstLineChars="0"/>
        <w:jc w:val="center"/>
        <w:rPr>
          <w:rFonts w:hint="eastAsia"/>
          <w:lang w:val="en-US" w:eastAsia="zh-CN"/>
        </w:rPr>
      </w:pPr>
      <w:r>
        <w:pict>
          <v:shape id="_x0000_i1025" o:spt="75" type="#_x0000_t75" style="height:151.5pt;width:319.5pt;" filled="f" stroked="f" coordsize="21600,21600">
            <v:path/>
            <v:fill on="f" focussize="0,0"/>
            <v:stroke on="f"/>
            <v:imagedata r:id="rId8" o:title=""/>
            <o:lock v:ext="edit" aspectratio="t"/>
            <w10:wrap type="none"/>
            <w10:anchorlock/>
          </v:shape>
        </w:pict>
      </w:r>
    </w:p>
    <w:p>
      <w:pPr>
        <w:pageBreakBefore w:val="0"/>
        <w:wordWrap/>
        <w:overflowPunct/>
        <w:topLinePunct w:val="0"/>
        <w:bidi w:val="0"/>
        <w:spacing w:line="580" w:lineRule="exact"/>
        <w:ind w:firstLine="480" w:firstLineChars="200"/>
        <w:jc w:val="center"/>
        <w:rPr>
          <w:rFonts w:ascii="仿宋_GB2312" w:eastAsia="仿宋_GB2312"/>
          <w:color w:val="000000"/>
          <w:sz w:val="24"/>
          <w:szCs w:val="24"/>
        </w:rPr>
      </w:pPr>
      <w:r>
        <w:rPr>
          <w:rFonts w:hint="eastAsia" w:ascii="仿宋" w:hAnsi="仿宋" w:eastAsia="仿宋"/>
          <w:color w:val="auto"/>
          <w:sz w:val="24"/>
          <w:szCs w:val="24"/>
          <w:highlight w:val="none"/>
        </w:rPr>
        <w:t>（图</w:t>
      </w:r>
      <w:r>
        <w:rPr>
          <w:rFonts w:ascii="仿宋" w:hAnsi="仿宋" w:eastAsia="仿宋"/>
          <w:color w:val="auto"/>
          <w:sz w:val="24"/>
          <w:szCs w:val="24"/>
          <w:highlight w:val="none"/>
        </w:rPr>
        <w:t>1</w:t>
      </w:r>
      <w:r>
        <w:rPr>
          <w:rFonts w:hint="eastAsia" w:ascii="仿宋" w:hAnsi="仿宋" w:eastAsia="仿宋"/>
          <w:color w:val="auto"/>
          <w:sz w:val="24"/>
          <w:szCs w:val="24"/>
          <w:highlight w:val="none"/>
        </w:rPr>
        <w:t>：收、支决算总计变动情况图）（柱状图）</w:t>
      </w:r>
    </w:p>
    <w:p>
      <w:pPr>
        <w:pStyle w:val="38"/>
        <w:numPr>
          <w:ilvl w:val="0"/>
          <w:numId w:val="2"/>
        </w:numPr>
        <w:spacing w:line="600" w:lineRule="exact"/>
        <w:ind w:firstLineChars="0"/>
        <w:outlineLvl w:val="1"/>
        <w:rPr>
          <w:rStyle w:val="13"/>
          <w:rFonts w:ascii="黑体" w:hAnsi="黑体" w:eastAsia="黑体"/>
          <w:b w:val="0"/>
          <w:color w:val="auto"/>
          <w:highlight w:val="none"/>
        </w:rPr>
      </w:pPr>
      <w:bookmarkStart w:id="47" w:name="_Toc15396604"/>
      <w:bookmarkStart w:id="48" w:name="_Toc15377206"/>
      <w:bookmarkStart w:id="49" w:name="_Toc8553"/>
      <w:bookmarkStart w:id="50" w:name="_Toc8937"/>
      <w:bookmarkStart w:id="51" w:name="_Toc8493"/>
      <w:bookmarkStart w:id="52" w:name="_Toc7231"/>
      <w:bookmarkStart w:id="53" w:name="_Toc26913"/>
      <w:bookmarkStart w:id="54" w:name="_Toc20056"/>
      <w:bookmarkStart w:id="55" w:name="_Toc20415"/>
      <w:bookmarkStart w:id="56" w:name="_Toc2165"/>
      <w:r>
        <w:rPr>
          <w:rFonts w:hint="eastAsia" w:ascii="黑体" w:hAnsi="黑体" w:eastAsia="黑体"/>
          <w:color w:val="auto"/>
          <w:sz w:val="32"/>
          <w:szCs w:val="32"/>
          <w:highlight w:val="none"/>
        </w:rPr>
        <w:t>收</w:t>
      </w:r>
      <w:r>
        <w:rPr>
          <w:rStyle w:val="13"/>
          <w:rFonts w:hint="eastAsia" w:ascii="黑体" w:hAnsi="黑体" w:eastAsia="黑体"/>
          <w:b w:val="0"/>
          <w:color w:val="auto"/>
          <w:highlight w:val="none"/>
        </w:rPr>
        <w:t>入决算情况说明</w:t>
      </w:r>
      <w:bookmarkEnd w:id="47"/>
      <w:bookmarkEnd w:id="48"/>
      <w:bookmarkEnd w:id="49"/>
      <w:bookmarkEnd w:id="50"/>
    </w:p>
    <w:p>
      <w:pPr>
        <w:pageBreakBefore w:val="0"/>
        <w:wordWrap/>
        <w:overflowPunct/>
        <w:topLinePunct w:val="0"/>
        <w:bidi w:val="0"/>
        <w:spacing w:line="580" w:lineRule="exact"/>
        <w:ind w:firstLine="640" w:firstLineChars="200"/>
        <w:outlineLvl w:val="1"/>
        <w:rPr>
          <w:rFonts w:hint="eastAsia" w:ascii="仿宋" w:hAnsi="仿宋" w:eastAsia="仿宋"/>
          <w:color w:val="000000"/>
          <w:sz w:val="32"/>
          <w:szCs w:val="32"/>
          <w:lang w:val="en-US" w:eastAsia="zh-CN"/>
        </w:rPr>
      </w:pPr>
      <w:bookmarkStart w:id="57" w:name="_Toc17675"/>
      <w:bookmarkStart w:id="58" w:name="_Toc27730"/>
      <w:bookmarkStart w:id="59" w:name="_Toc20462"/>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282.54</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192.07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67.98</w:t>
      </w:r>
      <w:r>
        <w:rPr>
          <w:rFonts w:ascii="仿宋" w:hAnsi="仿宋" w:eastAsia="仿宋"/>
          <w:color w:val="000000"/>
          <w:sz w:val="32"/>
          <w:szCs w:val="32"/>
        </w:rPr>
        <w:t>%</w:t>
      </w:r>
      <w:r>
        <w:rPr>
          <w:rFonts w:hint="eastAsia" w:ascii="仿宋" w:hAnsi="仿宋" w:eastAsia="仿宋"/>
          <w:color w:val="000000"/>
          <w:sz w:val="32"/>
          <w:szCs w:val="32"/>
        </w:rPr>
        <w:t>；政府性基金</w:t>
      </w:r>
      <w:r>
        <w:rPr>
          <w:rFonts w:hint="eastAsia" w:ascii="仿宋" w:hAnsi="仿宋" w:eastAsia="仿宋"/>
          <w:color w:val="000000"/>
          <w:sz w:val="32"/>
          <w:szCs w:val="32"/>
          <w:lang w:val="en-US" w:eastAsia="zh-CN"/>
        </w:rPr>
        <w:t>7.9</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占</w:t>
      </w:r>
      <w:r>
        <w:rPr>
          <w:rFonts w:hint="eastAsia" w:ascii="仿宋" w:hAnsi="仿宋" w:eastAsia="仿宋"/>
          <w:color w:val="000000"/>
          <w:sz w:val="32"/>
          <w:szCs w:val="32"/>
          <w:lang w:val="en-US" w:eastAsia="zh-CN"/>
        </w:rPr>
        <w:t>2.8%，</w:t>
      </w:r>
      <w:r>
        <w:rPr>
          <w:rFonts w:hint="eastAsia" w:ascii="仿宋" w:hAnsi="仿宋" w:eastAsia="仿宋"/>
          <w:color w:val="000000"/>
          <w:sz w:val="32"/>
          <w:szCs w:val="32"/>
        </w:rPr>
        <w:t>国有资本经营预算财政拨款收入0万元，占0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82.58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29.22</w:t>
      </w:r>
      <w:r>
        <w:rPr>
          <w:rFonts w:ascii="仿宋" w:hAnsi="仿宋" w:eastAsia="仿宋"/>
          <w:color w:val="000000"/>
          <w:sz w:val="32"/>
          <w:szCs w:val="32"/>
        </w:rPr>
        <w:t>%</w:t>
      </w:r>
      <w:r>
        <w:rPr>
          <w:rFonts w:hint="eastAsia" w:ascii="仿宋" w:hAnsi="仿宋" w:eastAsia="仿宋"/>
          <w:color w:val="000000"/>
          <w:sz w:val="32"/>
          <w:szCs w:val="32"/>
        </w:rPr>
        <w:t>；经营收入0万元，占0</w:t>
      </w:r>
      <w:r>
        <w:rPr>
          <w:rFonts w:ascii="仿宋" w:hAnsi="仿宋" w:eastAsia="仿宋"/>
          <w:color w:val="000000"/>
          <w:sz w:val="32"/>
          <w:szCs w:val="32"/>
        </w:rPr>
        <w:t>%</w:t>
      </w:r>
      <w:r>
        <w:rPr>
          <w:rFonts w:hint="eastAsia" w:ascii="仿宋" w:hAnsi="仿宋" w:eastAsia="仿宋"/>
          <w:color w:val="000000"/>
          <w:sz w:val="32"/>
          <w:szCs w:val="32"/>
        </w:rPr>
        <w:t>；附属单位上缴收入0万元，占0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bookmarkEnd w:id="51"/>
      <w:bookmarkEnd w:id="52"/>
      <w:bookmarkEnd w:id="53"/>
      <w:bookmarkEnd w:id="54"/>
      <w:bookmarkEnd w:id="55"/>
      <w:bookmarkEnd w:id="56"/>
      <w:bookmarkEnd w:id="57"/>
      <w:bookmarkEnd w:id="58"/>
      <w:bookmarkEnd w:id="59"/>
    </w:p>
    <w:p>
      <w:pPr>
        <w:pStyle w:val="17"/>
        <w:pageBreakBefore w:val="0"/>
        <w:wordWrap/>
        <w:overflowPunct/>
        <w:topLinePunct w:val="0"/>
        <w:bidi w:val="0"/>
        <w:spacing w:line="240" w:lineRule="auto"/>
        <w:ind w:firstLine="0" w:firstLineChars="0"/>
        <w:jc w:val="center"/>
        <w:rPr>
          <w:rFonts w:ascii="仿宋" w:hAnsi="仿宋" w:eastAsia="仿宋"/>
          <w:color w:val="000000"/>
          <w:sz w:val="32"/>
          <w:szCs w:val="32"/>
        </w:rPr>
      </w:pPr>
      <w:r>
        <w:pict>
          <v:shape id="_x0000_i1026" o:spt="75" type="#_x0000_t75" style="height:139.5pt;width:334.5pt;" filled="f" stroked="f" coordsize="21600,21600">
            <v:path/>
            <v:fill on="f" focussize="0,0"/>
            <v:stroke on="f"/>
            <v:imagedata r:id="rId9" o:title=""/>
            <o:lock v:ext="edit" aspectratio="t"/>
            <w10:wrap type="none"/>
            <w10:anchorlock/>
          </v:shape>
        </w:pict>
      </w:r>
    </w:p>
    <w:p>
      <w:pPr>
        <w:pageBreakBefore w:val="0"/>
        <w:wordWrap/>
        <w:overflowPunct/>
        <w:topLinePunct w:val="0"/>
        <w:bidi w:val="0"/>
        <w:spacing w:line="580" w:lineRule="exact"/>
        <w:ind w:firstLine="480" w:firstLineChars="200"/>
        <w:jc w:val="center"/>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（图2：收入决算结构图）（饼状图）</w:t>
      </w:r>
    </w:p>
    <w:p>
      <w:pPr>
        <w:pStyle w:val="38"/>
        <w:numPr>
          <w:ilvl w:val="0"/>
          <w:numId w:val="2"/>
        </w:numPr>
        <w:spacing w:line="600" w:lineRule="exact"/>
        <w:ind w:firstLineChars="0"/>
        <w:outlineLvl w:val="1"/>
        <w:rPr>
          <w:rStyle w:val="13"/>
          <w:rFonts w:ascii="黑体" w:hAnsi="黑体" w:eastAsia="黑体"/>
          <w:b w:val="0"/>
          <w:color w:val="auto"/>
          <w:highlight w:val="none"/>
        </w:rPr>
      </w:pPr>
      <w:bookmarkStart w:id="60" w:name="_Toc21556"/>
      <w:bookmarkStart w:id="61" w:name="_Toc18751"/>
      <w:bookmarkStart w:id="62" w:name="_Toc15377207"/>
      <w:bookmarkStart w:id="63" w:name="_Toc15396605"/>
      <w:bookmarkStart w:id="64" w:name="_Toc3223"/>
      <w:bookmarkStart w:id="65" w:name="_Toc19720"/>
      <w:bookmarkStart w:id="66" w:name="_Toc14"/>
      <w:bookmarkStart w:id="67" w:name="_Toc32489"/>
      <w:bookmarkStart w:id="68" w:name="_Toc3304"/>
      <w:bookmarkStart w:id="69" w:name="_Toc11091"/>
      <w:r>
        <w:rPr>
          <w:rFonts w:hint="eastAsia" w:ascii="黑体" w:hAnsi="黑体" w:eastAsia="黑体"/>
          <w:color w:val="auto"/>
          <w:sz w:val="32"/>
          <w:szCs w:val="32"/>
          <w:highlight w:val="none"/>
        </w:rPr>
        <w:t>支</w:t>
      </w:r>
      <w:r>
        <w:rPr>
          <w:rStyle w:val="13"/>
          <w:rFonts w:hint="eastAsia" w:ascii="黑体" w:hAnsi="黑体" w:eastAsia="黑体"/>
          <w:b w:val="0"/>
          <w:color w:val="auto"/>
          <w:highlight w:val="none"/>
        </w:rPr>
        <w:t>出决算情况说明</w:t>
      </w:r>
      <w:bookmarkEnd w:id="60"/>
      <w:bookmarkEnd w:id="61"/>
      <w:bookmarkEnd w:id="62"/>
      <w:bookmarkEnd w:id="63"/>
    </w:p>
    <w:p>
      <w:pPr>
        <w:pageBreakBefore w:val="0"/>
        <w:wordWrap/>
        <w:overflowPunct/>
        <w:topLinePunct w:val="0"/>
        <w:bidi w:val="0"/>
        <w:spacing w:line="240" w:lineRule="auto"/>
        <w:ind w:firstLine="640" w:firstLineChars="200"/>
        <w:outlineLvl w:val="1"/>
        <w:rPr>
          <w:rFonts w:hint="eastAsia" w:ascii="仿宋" w:hAnsi="仿宋" w:eastAsia="仿宋"/>
          <w:color w:val="000000"/>
          <w:sz w:val="32"/>
          <w:szCs w:val="32"/>
        </w:rPr>
      </w:pPr>
      <w:bookmarkStart w:id="70" w:name="_Toc30705"/>
      <w:bookmarkStart w:id="71" w:name="_Toc11609"/>
      <w:bookmarkStart w:id="72" w:name="_Toc8766"/>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282.54</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184.57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65.33</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97.97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34.67</w:t>
      </w:r>
      <w:r>
        <w:rPr>
          <w:rFonts w:ascii="仿宋" w:hAnsi="仿宋" w:eastAsia="仿宋"/>
          <w:color w:val="000000"/>
          <w:sz w:val="32"/>
          <w:szCs w:val="32"/>
        </w:rPr>
        <w:t>%</w:t>
      </w:r>
      <w:r>
        <w:rPr>
          <w:rFonts w:hint="eastAsia" w:ascii="仿宋" w:hAnsi="仿宋" w:eastAsia="仿宋"/>
          <w:color w:val="000000"/>
          <w:sz w:val="32"/>
          <w:szCs w:val="32"/>
        </w:rPr>
        <w:t>；上缴上级支出0万元，占0</w:t>
      </w:r>
      <w:r>
        <w:rPr>
          <w:rFonts w:ascii="仿宋" w:hAnsi="仿宋" w:eastAsia="仿宋"/>
          <w:color w:val="000000"/>
          <w:sz w:val="32"/>
          <w:szCs w:val="32"/>
        </w:rPr>
        <w:t>%</w:t>
      </w:r>
      <w:r>
        <w:rPr>
          <w:rFonts w:hint="eastAsia" w:ascii="仿宋" w:hAnsi="仿宋" w:eastAsia="仿宋"/>
          <w:color w:val="000000"/>
          <w:sz w:val="32"/>
          <w:szCs w:val="32"/>
        </w:rPr>
        <w:t>；经营支出0万元，占0</w:t>
      </w:r>
      <w:r>
        <w:rPr>
          <w:rFonts w:ascii="仿宋" w:hAnsi="仿宋" w:eastAsia="仿宋"/>
          <w:color w:val="000000"/>
          <w:sz w:val="32"/>
          <w:szCs w:val="32"/>
        </w:rPr>
        <w:t>%</w:t>
      </w:r>
      <w:r>
        <w:rPr>
          <w:rFonts w:hint="eastAsia" w:ascii="仿宋" w:hAnsi="仿宋" w:eastAsia="仿宋"/>
          <w:color w:val="000000"/>
          <w:sz w:val="32"/>
          <w:szCs w:val="32"/>
        </w:rPr>
        <w:t>；对附属单位补助支出0万元，占0</w:t>
      </w:r>
      <w:r>
        <w:rPr>
          <w:rFonts w:ascii="仿宋" w:hAnsi="仿宋" w:eastAsia="仿宋"/>
          <w:color w:val="000000"/>
          <w:sz w:val="32"/>
          <w:szCs w:val="32"/>
        </w:rPr>
        <w:t>%</w:t>
      </w:r>
      <w:r>
        <w:rPr>
          <w:rFonts w:hint="eastAsia" w:ascii="仿宋" w:hAnsi="仿宋" w:eastAsia="仿宋"/>
          <w:color w:val="000000"/>
          <w:sz w:val="32"/>
          <w:szCs w:val="32"/>
        </w:rPr>
        <w:t>。</w:t>
      </w:r>
      <w:bookmarkEnd w:id="64"/>
      <w:bookmarkEnd w:id="65"/>
      <w:bookmarkEnd w:id="66"/>
      <w:bookmarkEnd w:id="67"/>
      <w:bookmarkEnd w:id="68"/>
      <w:bookmarkEnd w:id="69"/>
      <w:bookmarkEnd w:id="70"/>
      <w:bookmarkEnd w:id="71"/>
      <w:bookmarkEnd w:id="72"/>
    </w:p>
    <w:p>
      <w:pPr>
        <w:pStyle w:val="17"/>
        <w:pageBreakBefore w:val="0"/>
        <w:wordWrap/>
        <w:overflowPunct/>
        <w:topLinePunct w:val="0"/>
        <w:bidi w:val="0"/>
        <w:spacing w:line="240" w:lineRule="auto"/>
        <w:ind w:left="0" w:leftChars="0" w:firstLine="0" w:firstLineChars="0"/>
        <w:jc w:val="center"/>
        <w:rPr>
          <w:rFonts w:hint="eastAsia" w:ascii="黑体" w:hAnsi="黑体" w:eastAsia="黑体"/>
          <w:color w:val="000000"/>
          <w:sz w:val="32"/>
          <w:szCs w:val="32"/>
        </w:rPr>
      </w:pPr>
      <w:bookmarkStart w:id="73" w:name="_Toc15396606"/>
      <w:bookmarkStart w:id="74" w:name="_Toc15377208"/>
      <w:r>
        <w:pict>
          <v:shape id="_x0000_i1027" o:spt="75" type="#_x0000_t75" style="height:150pt;width:331.5pt;" filled="f" stroked="f" coordsize="21600,21600">
            <v:path/>
            <v:fill on="f" focussize="0,0"/>
            <v:stroke on="f"/>
            <v:imagedata r:id="rId10" o:title=""/>
            <o:lock v:ext="edit" aspectratio="t"/>
            <w10:wrap type="none"/>
            <w10:anchorlock/>
          </v:shape>
        </w:pict>
      </w:r>
    </w:p>
    <w:p>
      <w:pPr>
        <w:pageBreakBefore w:val="0"/>
        <w:wordWrap/>
        <w:overflowPunct/>
        <w:topLinePunct w:val="0"/>
        <w:bidi w:val="0"/>
        <w:spacing w:line="580" w:lineRule="exact"/>
        <w:ind w:firstLine="480" w:firstLineChars="200"/>
        <w:jc w:val="center"/>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（图3：支出决算结构图）（饼状图）</w:t>
      </w:r>
    </w:p>
    <w:p>
      <w:pPr>
        <w:pageBreakBefore w:val="0"/>
        <w:wordWrap/>
        <w:overflowPunct/>
        <w:topLinePunct w:val="0"/>
        <w:bidi w:val="0"/>
        <w:spacing w:line="580" w:lineRule="exact"/>
        <w:ind w:firstLine="640" w:firstLineChars="200"/>
        <w:outlineLvl w:val="1"/>
        <w:rPr>
          <w:rStyle w:val="31"/>
          <w:rFonts w:ascii="黑体" w:hAnsi="黑体" w:eastAsia="黑体"/>
          <w:b w:val="0"/>
        </w:rPr>
      </w:pPr>
      <w:bookmarkStart w:id="75" w:name="_Toc2206"/>
      <w:bookmarkStart w:id="76" w:name="_Toc18564"/>
      <w:r>
        <w:rPr>
          <w:rFonts w:hint="eastAsia" w:ascii="黑体" w:hAnsi="黑体" w:eastAsia="黑体"/>
          <w:color w:val="000000"/>
          <w:sz w:val="32"/>
          <w:szCs w:val="32"/>
        </w:rPr>
        <w:t>四、</w:t>
      </w:r>
      <w:bookmarkEnd w:id="73"/>
      <w:bookmarkEnd w:id="74"/>
      <w:r>
        <w:rPr>
          <w:rFonts w:hint="eastAsia" w:ascii="黑体" w:hAnsi="黑体" w:eastAsia="黑体"/>
          <w:color w:val="auto"/>
          <w:sz w:val="32"/>
          <w:szCs w:val="32"/>
          <w:highlight w:val="none"/>
        </w:rPr>
        <w:t>财</w:t>
      </w:r>
      <w:r>
        <w:rPr>
          <w:rStyle w:val="13"/>
          <w:rFonts w:hint="eastAsia" w:ascii="黑体" w:hAnsi="黑体" w:eastAsia="黑体"/>
          <w:b w:val="0"/>
          <w:color w:val="auto"/>
          <w:highlight w:val="none"/>
        </w:rPr>
        <w:t>政拨款收入支出决算总体情况说明</w:t>
      </w:r>
      <w:bookmarkEnd w:id="75"/>
      <w:bookmarkEnd w:id="76"/>
    </w:p>
    <w:p>
      <w:pPr>
        <w:pageBreakBefore w:val="0"/>
        <w:wordWrap/>
        <w:overflowPunct/>
        <w:topLinePunct w:val="0"/>
        <w:bidi w:val="0"/>
        <w:spacing w:line="58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199.96</w:t>
      </w:r>
      <w:r>
        <w:rPr>
          <w:rFonts w:hint="eastAsia" w:ascii="仿宋" w:hAnsi="仿宋" w:eastAsia="仿宋"/>
          <w:color w:val="000000"/>
          <w:sz w:val="32"/>
          <w:szCs w:val="32"/>
        </w:rPr>
        <w:t>万元。与</w:t>
      </w:r>
      <w:r>
        <w:rPr>
          <w:rFonts w:hint="eastAsia" w:ascii="仿宋" w:hAnsi="仿宋" w:eastAsia="仿宋"/>
          <w:color w:val="000000"/>
          <w:sz w:val="32"/>
          <w:szCs w:val="32"/>
          <w:lang w:eastAsia="zh-CN"/>
        </w:rPr>
        <w:t>2021</w:t>
      </w:r>
      <w:r>
        <w:rPr>
          <w:rFonts w:hint="eastAsia" w:ascii="仿宋" w:hAnsi="仿宋" w:eastAsia="仿宋"/>
          <w:color w:val="000000"/>
          <w:sz w:val="32"/>
          <w:szCs w:val="32"/>
          <w:lang w:val="en-US" w:eastAsia="zh-CN"/>
        </w:rPr>
        <w:t>年</w:t>
      </w:r>
    </w:p>
    <w:p>
      <w:pPr>
        <w:spacing w:line="600" w:lineRule="exact"/>
        <w:rPr>
          <w:rStyle w:val="28"/>
          <w:rFonts w:hint="default" w:ascii="仿宋_GB2312" w:eastAsia="仿宋"/>
          <w:b w:val="0"/>
          <w:color w:val="000000"/>
          <w:sz w:val="32"/>
          <w:szCs w:val="32"/>
          <w:lang w:val="en-US" w:eastAsia="zh-CN"/>
        </w:rPr>
      </w:pPr>
      <w:r>
        <w:rPr>
          <w:rFonts w:hint="eastAsia" w:ascii="仿宋" w:hAnsi="仿宋" w:eastAsia="仿宋"/>
          <w:color w:val="000000"/>
          <w:sz w:val="32"/>
          <w:szCs w:val="32"/>
        </w:rPr>
        <w:t>相比，财政拨款收、支总计各</w:t>
      </w:r>
      <w:r>
        <w:rPr>
          <w:rFonts w:hint="eastAsia" w:ascii="仿宋" w:hAnsi="仿宋" w:eastAsia="仿宋"/>
          <w:color w:val="000000"/>
          <w:sz w:val="32"/>
          <w:szCs w:val="32"/>
          <w:lang w:eastAsia="zh-CN"/>
        </w:rPr>
        <w:t>增加了</w:t>
      </w:r>
      <w:r>
        <w:rPr>
          <w:rFonts w:hint="eastAsia" w:ascii="仿宋" w:hAnsi="仿宋" w:eastAsia="仿宋"/>
          <w:color w:val="000000"/>
          <w:sz w:val="32"/>
          <w:szCs w:val="32"/>
          <w:lang w:val="en-US" w:eastAsia="zh-CN"/>
        </w:rPr>
        <w:t>73.85</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增加了</w:t>
      </w:r>
      <w:r>
        <w:rPr>
          <w:rFonts w:hint="eastAsia" w:ascii="仿宋" w:hAnsi="仿宋" w:eastAsia="仿宋"/>
          <w:color w:val="000000"/>
          <w:sz w:val="32"/>
          <w:szCs w:val="32"/>
          <w:lang w:val="en-US" w:eastAsia="zh-CN"/>
        </w:rPr>
        <w:t>58.56%。</w:t>
      </w:r>
      <w:r>
        <w:rPr>
          <w:rFonts w:hint="eastAsia" w:ascii="仿宋" w:hAnsi="仿宋" w:eastAsia="仿宋"/>
          <w:color w:val="auto"/>
          <w:sz w:val="32"/>
          <w:szCs w:val="32"/>
          <w:highlight w:val="none"/>
          <w:lang w:val="en-US" w:eastAsia="zh-CN"/>
        </w:rPr>
        <w:t>2022年收入</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是政府性基金增加了</w:t>
      </w:r>
      <w:r>
        <w:rPr>
          <w:rFonts w:hint="eastAsia" w:ascii="仿宋" w:hAnsi="仿宋" w:eastAsia="仿宋"/>
          <w:color w:val="auto"/>
          <w:sz w:val="32"/>
          <w:szCs w:val="32"/>
          <w:highlight w:val="none"/>
          <w:lang w:val="en-US" w:eastAsia="zh-CN"/>
        </w:rPr>
        <w:t>7.9万元，</w:t>
      </w:r>
      <w:r>
        <w:rPr>
          <w:rFonts w:hint="eastAsia" w:ascii="仿宋" w:hAnsi="仿宋" w:eastAsia="仿宋"/>
          <w:color w:val="auto"/>
          <w:sz w:val="32"/>
          <w:szCs w:val="32"/>
          <w:highlight w:val="none"/>
          <w:lang w:eastAsia="zh-CN"/>
        </w:rPr>
        <w:t>一般公共预算拨款增加</w:t>
      </w:r>
      <w:r>
        <w:rPr>
          <w:rFonts w:hint="eastAsia" w:ascii="仿宋" w:hAnsi="仿宋" w:eastAsia="仿宋" w:cs="仿宋"/>
          <w:color w:val="auto"/>
          <w:sz w:val="32"/>
          <w:szCs w:val="32"/>
          <w:lang w:val="en-US" w:eastAsia="zh-CN"/>
        </w:rPr>
        <w:t>了65.96元。2022年支出变动的主要原因是区划调整，人员经费增加，疫情防控，财政拨款增加。</w:t>
      </w:r>
    </w:p>
    <w:p>
      <w:pPr>
        <w:keepNext w:val="0"/>
        <w:keepLines w:val="0"/>
        <w:pageBreakBefore w:val="0"/>
        <w:widowControl/>
        <w:suppressLineNumbers w:val="0"/>
        <w:wordWrap/>
        <w:overflowPunct/>
        <w:topLinePunct w:val="0"/>
        <w:bidi w:val="0"/>
        <w:spacing w:line="240" w:lineRule="auto"/>
        <w:jc w:val="center"/>
      </w:pPr>
      <w:r>
        <w:pict>
          <v:shape id="_x0000_i1028" o:spt="75" type="#_x0000_t75" style="height:132pt;width:312pt;" filled="f" stroked="f" coordsize="21600,21600">
            <v:path/>
            <v:fill on="f" focussize="0,0"/>
            <v:stroke on="f"/>
            <v:imagedata r:id="rId11" o:title=""/>
            <o:lock v:ext="edit" aspectratio="t"/>
            <w10:wrap type="none"/>
            <w10:anchorlock/>
          </v:shape>
        </w:pict>
      </w:r>
    </w:p>
    <w:p>
      <w:pPr>
        <w:pageBreakBefore w:val="0"/>
        <w:wordWrap/>
        <w:overflowPunct/>
        <w:topLinePunct w:val="0"/>
        <w:bidi w:val="0"/>
        <w:spacing w:line="580" w:lineRule="exact"/>
        <w:ind w:firstLine="480" w:firstLineChars="200"/>
        <w:jc w:val="center"/>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（图4：财政拨款收、支决算总计变动情况）（柱状图）</w:t>
      </w:r>
    </w:p>
    <w:p>
      <w:pPr>
        <w:spacing w:line="600" w:lineRule="exact"/>
        <w:ind w:firstLine="640" w:firstLineChars="200"/>
        <w:outlineLvl w:val="1"/>
        <w:rPr>
          <w:rStyle w:val="31"/>
          <w:rFonts w:ascii="黑体" w:hAnsi="黑体" w:eastAsia="黑体"/>
          <w:b w:val="0"/>
        </w:rPr>
      </w:pPr>
      <w:bookmarkStart w:id="77" w:name="_Toc15396607"/>
      <w:bookmarkStart w:id="78" w:name="_Toc15377209"/>
      <w:bookmarkStart w:id="79" w:name="_Toc30910"/>
      <w:bookmarkStart w:id="80" w:name="_Toc23476"/>
      <w:r>
        <w:rPr>
          <w:rFonts w:hint="eastAsia" w:ascii="黑体" w:hAnsi="黑体" w:eastAsia="黑体"/>
          <w:color w:val="000000"/>
          <w:sz w:val="32"/>
          <w:szCs w:val="32"/>
        </w:rPr>
        <w:t>五、</w:t>
      </w:r>
      <w:bookmarkEnd w:id="77"/>
      <w:bookmarkEnd w:id="78"/>
      <w:r>
        <w:rPr>
          <w:rFonts w:hint="eastAsia" w:ascii="黑体" w:hAnsi="黑体" w:eastAsia="黑体"/>
          <w:b/>
          <w:color w:val="auto"/>
          <w:sz w:val="32"/>
          <w:szCs w:val="32"/>
          <w:highlight w:val="none"/>
        </w:rPr>
        <w:t>一</w:t>
      </w:r>
      <w:r>
        <w:rPr>
          <w:rStyle w:val="13"/>
          <w:rFonts w:hint="eastAsia" w:ascii="黑体" w:hAnsi="黑体" w:eastAsia="黑体"/>
          <w:b w:val="0"/>
          <w:color w:val="auto"/>
          <w:highlight w:val="none"/>
        </w:rPr>
        <w:t>般公共预算财政拨款支出决算情况说明</w:t>
      </w:r>
      <w:bookmarkEnd w:id="79"/>
      <w:bookmarkEnd w:id="80"/>
    </w:p>
    <w:p>
      <w:pPr>
        <w:pageBreakBefore w:val="0"/>
        <w:wordWrap/>
        <w:overflowPunct/>
        <w:topLinePunct w:val="0"/>
        <w:bidi w:val="0"/>
        <w:spacing w:line="580" w:lineRule="exact"/>
        <w:ind w:firstLine="643" w:firstLineChars="200"/>
        <w:outlineLvl w:val="2"/>
        <w:rPr>
          <w:rFonts w:ascii="仿宋" w:hAnsi="仿宋" w:eastAsia="仿宋"/>
          <w:b/>
          <w:color w:val="000000"/>
          <w:sz w:val="32"/>
          <w:szCs w:val="32"/>
        </w:rPr>
      </w:pPr>
      <w:bookmarkStart w:id="81" w:name="_Toc15377210"/>
      <w:bookmarkStart w:id="82" w:name="_Toc10888"/>
      <w:r>
        <w:rPr>
          <w:rFonts w:hint="eastAsia" w:ascii="仿宋" w:hAnsi="仿宋" w:eastAsia="仿宋"/>
          <w:b/>
          <w:color w:val="000000"/>
          <w:sz w:val="32"/>
          <w:szCs w:val="32"/>
        </w:rPr>
        <w:t>（一）</w:t>
      </w:r>
      <w:bookmarkEnd w:id="81"/>
      <w:r>
        <w:rPr>
          <w:rFonts w:hint="eastAsia" w:ascii="仿宋" w:hAnsi="仿宋" w:eastAsia="仿宋"/>
          <w:b/>
          <w:color w:val="auto"/>
          <w:sz w:val="32"/>
          <w:szCs w:val="32"/>
          <w:highlight w:val="none"/>
        </w:rPr>
        <w:t>一般公共预算财政拨款支出决算总体情况</w:t>
      </w:r>
      <w:bookmarkEnd w:id="82"/>
    </w:p>
    <w:p>
      <w:p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olor w:val="000000"/>
          <w:sz w:val="32"/>
          <w:szCs w:val="32"/>
          <w:lang w:eastAsia="zh-CN"/>
        </w:rPr>
        <w:t>2022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192.07</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67.98</w:t>
      </w:r>
      <w:r>
        <w:rPr>
          <w:rFonts w:ascii="仿宋" w:hAnsi="仿宋" w:eastAsia="仿宋"/>
          <w:color w:val="000000"/>
          <w:sz w:val="32"/>
          <w:szCs w:val="32"/>
        </w:rPr>
        <w:t>%</w:t>
      </w:r>
      <w:r>
        <w:rPr>
          <w:rFonts w:hint="eastAsia" w:ascii="仿宋" w:hAnsi="仿宋" w:eastAsia="仿宋"/>
          <w:color w:val="000000"/>
          <w:sz w:val="32"/>
          <w:szCs w:val="32"/>
        </w:rPr>
        <w:t>。与</w:t>
      </w:r>
      <w:r>
        <w:rPr>
          <w:rFonts w:hint="eastAsia" w:ascii="仿宋" w:hAnsi="仿宋" w:eastAsia="仿宋"/>
          <w:color w:val="000000"/>
          <w:sz w:val="32"/>
          <w:szCs w:val="32"/>
          <w:lang w:eastAsia="zh-CN"/>
        </w:rPr>
        <w:t>2021</w:t>
      </w:r>
      <w:r>
        <w:rPr>
          <w:rFonts w:hint="eastAsia" w:ascii="仿宋" w:hAnsi="仿宋" w:eastAsia="仿宋"/>
          <w:color w:val="000000"/>
          <w:sz w:val="32"/>
          <w:szCs w:val="32"/>
        </w:rPr>
        <w:t>年相比，一般公共预算财政拨款</w:t>
      </w:r>
      <w:r>
        <w:rPr>
          <w:rFonts w:hint="eastAsia" w:ascii="仿宋" w:hAnsi="仿宋" w:eastAsia="仿宋"/>
          <w:color w:val="000000"/>
          <w:sz w:val="32"/>
          <w:szCs w:val="32"/>
          <w:lang w:eastAsia="zh-CN"/>
        </w:rPr>
        <w:t>支出</w:t>
      </w:r>
      <w:r>
        <w:rPr>
          <w:rFonts w:hint="eastAsia" w:ascii="仿宋" w:hAnsi="仿宋" w:eastAsia="仿宋"/>
          <w:color w:val="000000"/>
          <w:sz w:val="32"/>
          <w:szCs w:val="32"/>
        </w:rPr>
        <w:t>增加</w:t>
      </w:r>
      <w:r>
        <w:rPr>
          <w:rFonts w:hint="eastAsia" w:ascii="仿宋" w:hAnsi="仿宋" w:eastAsia="仿宋"/>
          <w:color w:val="000000"/>
          <w:sz w:val="32"/>
          <w:szCs w:val="32"/>
          <w:lang w:val="en-US" w:eastAsia="zh-CN"/>
        </w:rPr>
        <w:t>65.96</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52.3</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合并卫生院，明觉分院人员经费拨至本院。</w:t>
      </w:r>
    </w:p>
    <w:p>
      <w:pPr>
        <w:keepNext w:val="0"/>
        <w:keepLines w:val="0"/>
        <w:pageBreakBefore w:val="0"/>
        <w:widowControl/>
        <w:suppressLineNumbers w:val="0"/>
        <w:wordWrap/>
        <w:overflowPunct/>
        <w:topLinePunct w:val="0"/>
        <w:bidi w:val="0"/>
        <w:spacing w:line="240" w:lineRule="auto"/>
        <w:jc w:val="center"/>
      </w:pPr>
      <w:r>
        <w:pict>
          <v:shape id="_x0000_i1029" o:spt="75" type="#_x0000_t75" style="height:136.5pt;width:277.5pt;" filled="f" stroked="f" coordsize="21600,21600">
            <v:path/>
            <v:fill on="f" focussize="0,0"/>
            <v:stroke on="f"/>
            <v:imagedata r:id="rId12" o:title=""/>
            <o:lock v:ext="edit" aspectratio="t"/>
            <w10:wrap type="none"/>
            <w10:anchorlock/>
          </v:shape>
        </w:pict>
      </w:r>
    </w:p>
    <w:p>
      <w:pPr>
        <w:pageBreakBefore w:val="0"/>
        <w:wordWrap/>
        <w:overflowPunct/>
        <w:topLinePunct w:val="0"/>
        <w:bidi w:val="0"/>
        <w:spacing w:line="580" w:lineRule="exact"/>
        <w:ind w:firstLine="480" w:firstLineChars="200"/>
        <w:jc w:val="center"/>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（图5：一般公共预算财政拨款支出决算变动情况）（柱状图）</w:t>
      </w:r>
    </w:p>
    <w:p>
      <w:pPr>
        <w:pageBreakBefore w:val="0"/>
        <w:wordWrap/>
        <w:overflowPunct/>
        <w:topLinePunct w:val="0"/>
        <w:bidi w:val="0"/>
        <w:spacing w:line="580" w:lineRule="exact"/>
        <w:ind w:firstLine="643" w:firstLineChars="200"/>
        <w:outlineLvl w:val="2"/>
        <w:rPr>
          <w:rFonts w:ascii="仿宋" w:hAnsi="仿宋" w:eastAsia="仿宋"/>
          <w:b/>
          <w:color w:val="000000"/>
          <w:sz w:val="32"/>
          <w:szCs w:val="32"/>
        </w:rPr>
      </w:pPr>
      <w:bookmarkStart w:id="83" w:name="_Toc15377211"/>
      <w:bookmarkStart w:id="84" w:name="_Toc5519"/>
      <w:r>
        <w:rPr>
          <w:rFonts w:hint="eastAsia" w:ascii="仿宋" w:hAnsi="仿宋" w:eastAsia="仿宋"/>
          <w:b/>
          <w:color w:val="000000"/>
          <w:sz w:val="32"/>
          <w:szCs w:val="32"/>
        </w:rPr>
        <w:t>（二）</w:t>
      </w:r>
      <w:bookmarkEnd w:id="83"/>
      <w:r>
        <w:rPr>
          <w:rFonts w:hint="eastAsia" w:ascii="仿宋" w:hAnsi="仿宋" w:eastAsia="仿宋"/>
          <w:b/>
          <w:color w:val="auto"/>
          <w:sz w:val="32"/>
          <w:szCs w:val="32"/>
          <w:highlight w:val="none"/>
        </w:rPr>
        <w:t>一般公共预算财政拨款支出决算结构情况</w:t>
      </w:r>
      <w:bookmarkEnd w:id="84"/>
    </w:p>
    <w:p>
      <w:pPr>
        <w:pageBreakBefore w:val="0"/>
        <w:wordWrap/>
        <w:overflowPunct/>
        <w:topLinePunct w:val="0"/>
        <w:bidi w:val="0"/>
        <w:spacing w:line="58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2022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192.07</w:t>
      </w:r>
      <w:r>
        <w:rPr>
          <w:rFonts w:hint="eastAsia" w:ascii="仿宋" w:hAnsi="仿宋" w:eastAsia="仿宋"/>
          <w:color w:val="000000"/>
          <w:sz w:val="32"/>
          <w:szCs w:val="32"/>
        </w:rPr>
        <w:t>万元，主要用</w:t>
      </w:r>
      <w:r>
        <w:rPr>
          <w:rFonts w:hint="eastAsia" w:ascii="仿宋" w:hAnsi="仿宋" w:eastAsia="仿宋"/>
          <w:color w:val="000000"/>
          <w:sz w:val="32"/>
          <w:szCs w:val="32"/>
          <w:lang w:eastAsia="zh-CN"/>
        </w:rPr>
        <w:t>于</w:t>
      </w:r>
      <w:r>
        <w:rPr>
          <w:rFonts w:hint="eastAsia" w:ascii="仿宋" w:hAnsi="仿宋" w:eastAsia="仿宋"/>
          <w:color w:val="000000"/>
          <w:sz w:val="32"/>
          <w:szCs w:val="32"/>
        </w:rPr>
        <w:t>；</w:t>
      </w:r>
      <w:r>
        <w:rPr>
          <w:rFonts w:hint="eastAsia" w:ascii="仿宋" w:hAnsi="仿宋" w:eastAsia="仿宋"/>
          <w:b/>
          <w:color w:val="000000"/>
          <w:sz w:val="32"/>
          <w:szCs w:val="32"/>
        </w:rPr>
        <w:t>社会保障和就业</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14.73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7.67</w:t>
      </w:r>
      <w:r>
        <w:rPr>
          <w:rFonts w:ascii="仿宋" w:hAnsi="仿宋" w:eastAsia="仿宋"/>
          <w:color w:val="000000"/>
          <w:sz w:val="32"/>
          <w:szCs w:val="32"/>
        </w:rPr>
        <w:t>%</w:t>
      </w:r>
      <w:r>
        <w:rPr>
          <w:rFonts w:hint="eastAsia" w:ascii="仿宋" w:hAnsi="仿宋" w:eastAsia="仿宋"/>
          <w:color w:val="000000"/>
          <w:sz w:val="32"/>
          <w:szCs w:val="32"/>
          <w:lang w:val="en-US" w:eastAsia="zh-CN"/>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167.93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87.43</w:t>
      </w:r>
      <w:r>
        <w:rPr>
          <w:rFonts w:ascii="仿宋" w:hAnsi="仿宋" w:eastAsia="仿宋"/>
          <w:color w:val="000000"/>
          <w:sz w:val="32"/>
          <w:szCs w:val="32"/>
        </w:rPr>
        <w:t>%</w:t>
      </w:r>
      <w:r>
        <w:rPr>
          <w:rFonts w:hint="eastAsia" w:ascii="仿宋" w:hAnsi="仿宋" w:eastAsia="仿宋"/>
          <w:color w:val="000000"/>
          <w:sz w:val="32"/>
          <w:szCs w:val="32"/>
          <w:lang w:val="en-US" w:eastAsia="zh-CN"/>
        </w:rPr>
        <w:t>；</w:t>
      </w:r>
      <w:r>
        <w:rPr>
          <w:rFonts w:hint="eastAsia" w:ascii="仿宋" w:hAnsi="仿宋" w:eastAsia="仿宋"/>
          <w:b/>
          <w:bCs/>
          <w:color w:val="000000"/>
          <w:sz w:val="32"/>
          <w:szCs w:val="32"/>
        </w:rPr>
        <w:t>住房保障支出</w:t>
      </w:r>
      <w:r>
        <w:rPr>
          <w:rFonts w:hint="eastAsia" w:ascii="仿宋" w:hAnsi="仿宋" w:eastAsia="仿宋"/>
          <w:color w:val="000000"/>
          <w:sz w:val="32"/>
          <w:szCs w:val="32"/>
          <w:lang w:val="en-US" w:eastAsia="zh-CN"/>
        </w:rPr>
        <w:t>9.41</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4.9</w:t>
      </w:r>
      <w:r>
        <w:rPr>
          <w:rFonts w:ascii="仿宋" w:hAnsi="仿宋" w:eastAsia="仿宋"/>
          <w:color w:val="000000"/>
          <w:sz w:val="32"/>
          <w:szCs w:val="32"/>
        </w:rPr>
        <w:t>%</w:t>
      </w:r>
      <w:r>
        <w:rPr>
          <w:rFonts w:hint="eastAsia" w:ascii="仿宋" w:hAnsi="仿宋" w:eastAsia="仿宋"/>
          <w:color w:val="000000"/>
          <w:sz w:val="32"/>
          <w:szCs w:val="32"/>
          <w:lang w:eastAsia="zh-CN"/>
        </w:rPr>
        <w:t>。</w:t>
      </w:r>
    </w:p>
    <w:p>
      <w:pPr>
        <w:pStyle w:val="17"/>
        <w:pageBreakBefore w:val="0"/>
        <w:wordWrap/>
        <w:overflowPunct/>
        <w:topLinePunct w:val="0"/>
        <w:bidi w:val="0"/>
        <w:spacing w:line="240" w:lineRule="auto"/>
        <w:ind w:firstLine="0" w:firstLineChars="0"/>
        <w:jc w:val="center"/>
        <w:rPr>
          <w:rFonts w:hint="eastAsia" w:eastAsia="仿宋_GB2312"/>
          <w:lang w:eastAsia="zh-CN"/>
        </w:rPr>
      </w:pPr>
      <w:r>
        <w:pict>
          <v:shape id="_x0000_i1030" o:spt="75" type="#_x0000_t75" style="height:163.5pt;width:319.5pt;" filled="f" stroked="f" coordsize="21600,21600">
            <v:path/>
            <v:fill on="f" focussize="0,0"/>
            <v:stroke on="f"/>
            <v:imagedata r:id="rId13" o:title=""/>
            <o:lock v:ext="edit" aspectratio="t"/>
            <w10:wrap type="none"/>
            <w10:anchorlock/>
          </v:shape>
        </w:pict>
      </w:r>
    </w:p>
    <w:p>
      <w:pPr>
        <w:pageBreakBefore w:val="0"/>
        <w:wordWrap/>
        <w:overflowPunct/>
        <w:topLinePunct w:val="0"/>
        <w:bidi w:val="0"/>
        <w:spacing w:line="580" w:lineRule="exact"/>
        <w:jc w:val="center"/>
        <w:rPr>
          <w:rFonts w:ascii="仿宋" w:hAnsi="仿宋" w:eastAsia="仿宋"/>
          <w:color w:val="000000"/>
          <w:sz w:val="24"/>
          <w:szCs w:val="24"/>
        </w:rPr>
      </w:pPr>
      <w:r>
        <w:rPr>
          <w:rFonts w:hint="eastAsia" w:ascii="仿宋" w:hAnsi="仿宋" w:eastAsia="仿宋"/>
          <w:color w:val="auto"/>
          <w:sz w:val="24"/>
          <w:szCs w:val="24"/>
          <w:highlight w:val="none"/>
        </w:rPr>
        <w:t>（图6：一般公共预算财政拨款支出决算结构）（饼状图）</w:t>
      </w:r>
    </w:p>
    <w:p>
      <w:pPr>
        <w:pageBreakBefore w:val="0"/>
        <w:wordWrap/>
        <w:overflowPunct/>
        <w:topLinePunct w:val="0"/>
        <w:bidi w:val="0"/>
        <w:spacing w:line="580" w:lineRule="exact"/>
        <w:ind w:firstLine="643" w:firstLineChars="200"/>
        <w:outlineLvl w:val="2"/>
        <w:rPr>
          <w:rFonts w:ascii="仿宋" w:hAnsi="仿宋" w:eastAsia="仿宋"/>
          <w:b/>
          <w:color w:val="000000"/>
          <w:sz w:val="32"/>
          <w:szCs w:val="32"/>
        </w:rPr>
      </w:pPr>
      <w:bookmarkStart w:id="85" w:name="_Toc15377212"/>
      <w:bookmarkStart w:id="86" w:name="_Toc15332"/>
      <w:r>
        <w:rPr>
          <w:rFonts w:hint="eastAsia" w:ascii="仿宋" w:hAnsi="仿宋" w:eastAsia="仿宋"/>
          <w:b/>
          <w:color w:val="000000"/>
          <w:sz w:val="32"/>
          <w:szCs w:val="32"/>
        </w:rPr>
        <w:t>（三）</w:t>
      </w:r>
      <w:bookmarkEnd w:id="85"/>
      <w:r>
        <w:rPr>
          <w:rFonts w:hint="eastAsia" w:ascii="仿宋" w:hAnsi="仿宋" w:eastAsia="仿宋"/>
          <w:b/>
          <w:color w:val="auto"/>
          <w:sz w:val="32"/>
          <w:szCs w:val="32"/>
          <w:highlight w:val="none"/>
        </w:rPr>
        <w:t>一般公共预算财政拨款支出决算具体情况</w:t>
      </w:r>
      <w:bookmarkEnd w:id="86"/>
    </w:p>
    <w:p>
      <w:pPr>
        <w:pageBreakBefore w:val="0"/>
        <w:wordWrap/>
        <w:overflowPunct/>
        <w:topLinePunct w:val="0"/>
        <w:bidi w:val="0"/>
        <w:spacing w:line="580" w:lineRule="exact"/>
        <w:ind w:firstLine="643" w:firstLineChars="200"/>
        <w:outlineLvl w:val="1"/>
        <w:rPr>
          <w:rStyle w:val="28"/>
          <w:rFonts w:hint="eastAsia" w:ascii="仿宋" w:hAnsi="仿宋" w:eastAsia="仿宋"/>
          <w:bCs/>
          <w:color w:val="000000"/>
          <w:sz w:val="32"/>
          <w:szCs w:val="32"/>
        </w:rPr>
      </w:pPr>
      <w:bookmarkStart w:id="87" w:name="_Toc2269"/>
      <w:bookmarkStart w:id="88" w:name="_Toc15377213"/>
      <w:bookmarkStart w:id="89" w:name="_Toc15377444"/>
      <w:bookmarkStart w:id="90" w:name="_Toc15378460"/>
      <w:r>
        <w:rPr>
          <w:rFonts w:hint="eastAsia" w:ascii="仿宋" w:hAnsi="仿宋" w:eastAsia="仿宋"/>
          <w:b/>
          <w:color w:val="000000"/>
          <w:sz w:val="32"/>
          <w:szCs w:val="32"/>
          <w:lang w:eastAsia="zh-CN"/>
        </w:rPr>
        <w:t>2022</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192.07万元</w:t>
      </w:r>
      <w:r>
        <w:rPr>
          <w:rFonts w:hint="eastAsia" w:ascii="仿宋" w:hAnsi="仿宋" w:eastAsia="仿宋"/>
          <w:color w:val="000000"/>
          <w:sz w:val="32"/>
          <w:szCs w:val="32"/>
        </w:rPr>
        <w:t>，</w:t>
      </w:r>
      <w:r>
        <w:rPr>
          <w:rStyle w:val="28"/>
          <w:rFonts w:hint="eastAsia" w:ascii="仿宋" w:hAnsi="仿宋" w:eastAsia="仿宋"/>
          <w:bCs/>
          <w:color w:val="000000"/>
          <w:sz w:val="32"/>
          <w:szCs w:val="32"/>
        </w:rPr>
        <w:t>完成预算</w:t>
      </w:r>
      <w:r>
        <w:rPr>
          <w:rStyle w:val="28"/>
          <w:rFonts w:hint="eastAsia" w:ascii="仿宋" w:hAnsi="仿宋" w:eastAsia="仿宋"/>
          <w:bCs/>
          <w:color w:val="000000"/>
          <w:sz w:val="32"/>
          <w:szCs w:val="32"/>
          <w:lang w:val="en-US" w:eastAsia="zh-CN"/>
        </w:rPr>
        <w:t>100</w:t>
      </w:r>
      <w:r>
        <w:rPr>
          <w:rStyle w:val="28"/>
          <w:rFonts w:ascii="仿宋" w:hAnsi="仿宋" w:eastAsia="仿宋"/>
          <w:bCs/>
          <w:color w:val="000000"/>
          <w:sz w:val="32"/>
          <w:szCs w:val="32"/>
        </w:rPr>
        <w:t>%</w:t>
      </w:r>
      <w:r>
        <w:rPr>
          <w:rStyle w:val="28"/>
          <w:rFonts w:hint="eastAsia" w:ascii="仿宋" w:hAnsi="仿宋" w:eastAsia="仿宋"/>
          <w:bCs/>
          <w:color w:val="000000"/>
          <w:sz w:val="32"/>
          <w:szCs w:val="32"/>
        </w:rPr>
        <w:t>。其中：</w:t>
      </w:r>
      <w:bookmarkEnd w:id="87"/>
      <w:bookmarkEnd w:id="88"/>
      <w:bookmarkEnd w:id="89"/>
      <w:bookmarkEnd w:id="90"/>
    </w:p>
    <w:p>
      <w:pPr>
        <w:pageBreakBefore w:val="0"/>
        <w:wordWrap/>
        <w:overflowPunct/>
        <w:topLinePunct w:val="0"/>
        <w:bidi w:val="0"/>
        <w:spacing w:line="580" w:lineRule="exact"/>
        <w:ind w:firstLine="643" w:firstLineChars="200"/>
        <w:rPr>
          <w:rFonts w:hint="eastAsia" w:ascii="仿宋_GB2312" w:eastAsia="仿宋_GB2312"/>
          <w:color w:val="000000"/>
          <w:sz w:val="32"/>
          <w:szCs w:val="32"/>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28"/>
          <w:rFonts w:hint="eastAsia" w:ascii="仿宋_GB2312" w:eastAsia="仿宋_GB2312"/>
          <w:color w:val="000000"/>
          <w:sz w:val="32"/>
          <w:szCs w:val="32"/>
        </w:rPr>
        <w:t>乡镇卫生院（项）</w:t>
      </w:r>
      <w:r>
        <w:rPr>
          <w:rStyle w:val="28"/>
          <w:rFonts w:hint="eastAsia" w:ascii="仿宋_GB2312" w:eastAsia="仿宋_GB2312"/>
          <w:color w:val="000000"/>
          <w:sz w:val="32"/>
          <w:szCs w:val="32"/>
          <w:lang w:eastAsia="zh-CN"/>
        </w:rPr>
        <w:t>：</w:t>
      </w:r>
      <w:r>
        <w:rPr>
          <w:rStyle w:val="28"/>
          <w:rFonts w:hint="eastAsia" w:ascii="仿宋_GB2312" w:eastAsia="仿宋_GB2312"/>
          <w:b w:val="0"/>
          <w:color w:val="000000"/>
          <w:sz w:val="32"/>
          <w:szCs w:val="32"/>
        </w:rPr>
        <w:t>主要</w:t>
      </w:r>
      <w:r>
        <w:rPr>
          <w:rStyle w:val="28"/>
          <w:rFonts w:hint="eastAsia" w:ascii="仿宋_GB2312" w:eastAsia="仿宋_GB2312"/>
          <w:b w:val="0"/>
          <w:color w:val="000000"/>
          <w:sz w:val="32"/>
          <w:szCs w:val="32"/>
          <w:lang w:eastAsia="zh-CN"/>
        </w:rPr>
        <w:t>用于乡镇</w:t>
      </w:r>
      <w:r>
        <w:rPr>
          <w:rStyle w:val="28"/>
          <w:rFonts w:hint="eastAsia" w:ascii="仿宋_GB2312" w:eastAsia="仿宋_GB2312"/>
          <w:b w:val="0"/>
          <w:color w:val="000000"/>
          <w:sz w:val="32"/>
          <w:szCs w:val="32"/>
        </w:rPr>
        <w:t>卫生院人员经费</w:t>
      </w:r>
      <w:r>
        <w:rPr>
          <w:rStyle w:val="28"/>
          <w:rFonts w:hint="eastAsia" w:ascii="仿宋_GB2312" w:eastAsia="仿宋_GB2312"/>
          <w:b w:val="0"/>
          <w:color w:val="000000"/>
          <w:sz w:val="32"/>
          <w:szCs w:val="32"/>
          <w:lang w:eastAsia="zh-CN"/>
        </w:rPr>
        <w:t>，</w:t>
      </w:r>
      <w:r>
        <w:rPr>
          <w:rStyle w:val="28"/>
          <w:rFonts w:hint="eastAsia" w:ascii="仿宋_GB2312" w:eastAsia="仿宋_GB2312"/>
          <w:b w:val="0"/>
          <w:bCs/>
          <w:color w:val="000000"/>
          <w:sz w:val="32"/>
          <w:szCs w:val="32"/>
        </w:rPr>
        <w:t>决算数</w:t>
      </w:r>
      <w:r>
        <w:rPr>
          <w:rStyle w:val="28"/>
          <w:rFonts w:hint="eastAsia" w:ascii="仿宋_GB2312" w:eastAsia="仿宋_GB2312"/>
          <w:b w:val="0"/>
          <w:bCs/>
          <w:color w:val="000000"/>
          <w:sz w:val="32"/>
          <w:szCs w:val="32"/>
          <w:lang w:val="en-US" w:eastAsia="zh-CN"/>
        </w:rPr>
        <w:t>130.29</w:t>
      </w:r>
      <w:r>
        <w:rPr>
          <w:rStyle w:val="28"/>
          <w:rFonts w:hint="eastAsia" w:ascii="仿宋_GB2312" w:eastAsia="仿宋_GB2312"/>
          <w:b w:val="0"/>
          <w:bCs/>
          <w:color w:val="000000"/>
          <w:sz w:val="32"/>
          <w:szCs w:val="32"/>
        </w:rPr>
        <w:t>万元</w:t>
      </w:r>
      <w:r>
        <w:rPr>
          <w:rStyle w:val="28"/>
          <w:rFonts w:hint="eastAsia" w:ascii="仿宋_GB2312" w:eastAsia="仿宋_GB2312"/>
          <w:color w:val="000000"/>
          <w:sz w:val="32"/>
          <w:szCs w:val="32"/>
        </w:rPr>
        <w:t>，</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pageBreakBefore w:val="0"/>
        <w:wordWrap/>
        <w:overflowPunct/>
        <w:topLinePunct w:val="0"/>
        <w:bidi w:val="0"/>
        <w:spacing w:line="580" w:lineRule="exact"/>
        <w:ind w:firstLine="643" w:firstLineChars="200"/>
        <w:rPr>
          <w:rStyle w:val="28"/>
          <w:rFonts w:ascii="仿宋_GB2312" w:eastAsia="仿宋_GB2312"/>
          <w:b w:val="0"/>
          <w:color w:val="000000"/>
          <w:sz w:val="32"/>
          <w:szCs w:val="32"/>
        </w:rPr>
      </w:pPr>
      <w:r>
        <w:rPr>
          <w:rStyle w:val="28"/>
          <w:rFonts w:hint="eastAsia" w:ascii="仿宋_GB2312" w:eastAsia="仿宋_GB2312"/>
          <w:color w:val="000000"/>
          <w:sz w:val="32"/>
          <w:szCs w:val="32"/>
        </w:rPr>
        <w:t>卫生健康支出</w:t>
      </w:r>
      <w:r>
        <w:rPr>
          <w:rFonts w:hint="eastAsia" w:ascii="仿宋_GB2312" w:eastAsia="仿宋_GB2312"/>
          <w:b/>
          <w:color w:val="000000"/>
          <w:sz w:val="32"/>
          <w:szCs w:val="32"/>
        </w:rPr>
        <w:t>（类）基层医疗卫生机构（款）其他基层医疗卫生机构支出（项）：</w:t>
      </w:r>
      <w:r>
        <w:rPr>
          <w:rStyle w:val="28"/>
          <w:rFonts w:hint="eastAsia" w:ascii="仿宋_GB2312" w:eastAsia="仿宋_GB2312"/>
          <w:b w:val="0"/>
          <w:color w:val="000000"/>
          <w:sz w:val="32"/>
          <w:szCs w:val="32"/>
        </w:rPr>
        <w:t>主要用于村卫生站实行基本药物制度后弥补人员经费。</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21.42</w:t>
      </w:r>
      <w:r>
        <w:rPr>
          <w:rFonts w:hint="eastAsia" w:ascii="仿宋_GB2312" w:eastAsia="仿宋_GB2312"/>
          <w:sz w:val="32"/>
          <w:szCs w:val="32"/>
        </w:rPr>
        <w:t>万元，完成预算</w:t>
      </w:r>
      <w:r>
        <w:rPr>
          <w:rFonts w:hint="eastAsia" w:ascii="仿宋_GB2312" w:eastAsia="仿宋_GB2312"/>
          <w:sz w:val="32"/>
          <w:szCs w:val="32"/>
          <w:lang w:val="en-US" w:eastAsia="zh-CN"/>
        </w:rPr>
        <w:t>100</w:t>
      </w:r>
      <w:r>
        <w:rPr>
          <w:rFonts w:hint="eastAsia" w:ascii="仿宋_GB2312" w:eastAsia="仿宋_GB2312"/>
          <w:sz w:val="32"/>
          <w:szCs w:val="32"/>
        </w:rPr>
        <w:t>%。</w:t>
      </w:r>
    </w:p>
    <w:p>
      <w:pPr>
        <w:pageBreakBefore w:val="0"/>
        <w:wordWrap/>
        <w:overflowPunct/>
        <w:topLinePunct w:val="0"/>
        <w:bidi w:val="0"/>
        <w:spacing w:line="580" w:lineRule="exact"/>
        <w:ind w:firstLine="643" w:firstLineChars="200"/>
        <w:rPr>
          <w:color w:val="000000"/>
          <w:sz w:val="32"/>
          <w:szCs w:val="32"/>
        </w:rPr>
      </w:pPr>
      <w:r>
        <w:rPr>
          <w:rStyle w:val="28"/>
          <w:rFonts w:hint="eastAsia" w:ascii="仿宋_GB2312" w:eastAsia="仿宋_GB2312"/>
          <w:bCs/>
          <w:color w:val="000000"/>
          <w:sz w:val="32"/>
          <w:szCs w:val="32"/>
        </w:rPr>
        <w:t>卫生健康支出（类）公共卫生（款）</w:t>
      </w:r>
      <w:r>
        <w:rPr>
          <w:rStyle w:val="28"/>
          <w:rFonts w:hint="eastAsia" w:ascii="仿宋_GB2312" w:eastAsia="仿宋_GB2312"/>
          <w:color w:val="000000"/>
          <w:sz w:val="32"/>
          <w:szCs w:val="32"/>
        </w:rPr>
        <w:t>基本公共卫生服务（项）:</w:t>
      </w:r>
      <w:r>
        <w:rPr>
          <w:rStyle w:val="28"/>
          <w:rFonts w:hint="eastAsia" w:ascii="仿宋_GB2312" w:eastAsia="仿宋_GB2312"/>
          <w:b w:val="0"/>
          <w:color w:val="000000"/>
          <w:sz w:val="32"/>
          <w:szCs w:val="32"/>
        </w:rPr>
        <w:t>主要用于乡镇卫生院、村卫生站开展基本公共卫生服务活动支出。</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11.47</w:t>
      </w:r>
      <w:r>
        <w:rPr>
          <w:rFonts w:hint="eastAsia" w:ascii="仿宋_GB2312" w:eastAsia="仿宋_GB2312"/>
          <w:color w:val="000000"/>
          <w:sz w:val="32"/>
          <w:szCs w:val="32"/>
        </w:rPr>
        <w:t>万元，完成预算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r>
        <w:rPr>
          <w:rFonts w:hint="eastAsia"/>
          <w:color w:val="000000"/>
          <w:sz w:val="32"/>
          <w:szCs w:val="32"/>
        </w:rPr>
        <w:t>。</w:t>
      </w:r>
    </w:p>
    <w:p>
      <w:pPr>
        <w:pageBreakBefore w:val="0"/>
        <w:wordWrap/>
        <w:overflowPunct/>
        <w:topLinePunct w:val="0"/>
        <w:bidi w:val="0"/>
        <w:spacing w:line="580" w:lineRule="exact"/>
        <w:ind w:firstLine="643" w:firstLineChars="200"/>
        <w:rPr>
          <w:rFonts w:ascii="仿宋_GB2312" w:eastAsia="仿宋_GB2312"/>
          <w:color w:val="000000"/>
          <w:sz w:val="32"/>
          <w:szCs w:val="32"/>
        </w:rPr>
      </w:pPr>
      <w:r>
        <w:rPr>
          <w:rStyle w:val="28"/>
          <w:rFonts w:hint="eastAsia" w:ascii="仿宋_GB2312" w:eastAsia="仿宋_GB2312"/>
          <w:bCs/>
          <w:color w:val="000000"/>
          <w:sz w:val="32"/>
          <w:szCs w:val="32"/>
        </w:rPr>
        <w:t>卫生健康支出（类）行政事业单位（款）事业单位医疗（项）</w:t>
      </w:r>
      <w:r>
        <w:rPr>
          <w:rStyle w:val="28"/>
          <w:rFonts w:hint="eastAsia" w:ascii="仿宋_GB2312" w:eastAsia="仿宋_GB2312"/>
          <w:b w:val="0"/>
          <w:color w:val="000000"/>
          <w:sz w:val="32"/>
          <w:szCs w:val="32"/>
        </w:rPr>
        <w:t>：用于在职</w:t>
      </w:r>
      <w:r>
        <w:rPr>
          <w:rStyle w:val="28"/>
          <w:rFonts w:hint="eastAsia" w:ascii="仿宋_GB2312" w:eastAsia="仿宋_GB2312"/>
          <w:b w:val="0"/>
          <w:color w:val="000000"/>
          <w:sz w:val="32"/>
          <w:szCs w:val="32"/>
          <w:lang w:eastAsia="zh-CN"/>
        </w:rPr>
        <w:t>在编人员</w:t>
      </w:r>
      <w:r>
        <w:rPr>
          <w:rStyle w:val="28"/>
          <w:rFonts w:hint="eastAsia" w:ascii="仿宋_GB2312" w:eastAsia="仿宋_GB2312"/>
          <w:b w:val="0"/>
          <w:color w:val="000000"/>
          <w:sz w:val="32"/>
          <w:szCs w:val="32"/>
        </w:rPr>
        <w:t>医疗保险支出，</w:t>
      </w:r>
      <w:r>
        <w:rPr>
          <w:rStyle w:val="28"/>
          <w:rFonts w:hint="eastAsia" w:ascii="仿宋_GB2312" w:eastAsia="仿宋_GB2312"/>
          <w:b w:val="0"/>
          <w:color w:val="000000"/>
          <w:sz w:val="32"/>
          <w:szCs w:val="32"/>
          <w:lang w:val="en-US" w:eastAsia="zh-CN"/>
        </w:rPr>
        <w:t>2022</w:t>
      </w:r>
      <w:r>
        <w:rPr>
          <w:rStyle w:val="28"/>
          <w:rFonts w:hint="eastAsia" w:ascii="仿宋_GB2312" w:eastAsia="仿宋_GB2312"/>
          <w:b w:val="0"/>
          <w:color w:val="000000"/>
          <w:sz w:val="32"/>
          <w:szCs w:val="32"/>
        </w:rPr>
        <w:t>年决算数</w:t>
      </w:r>
      <w:r>
        <w:rPr>
          <w:rStyle w:val="28"/>
          <w:rFonts w:hint="eastAsia" w:ascii="仿宋_GB2312" w:eastAsia="仿宋_GB2312"/>
          <w:b w:val="0"/>
          <w:color w:val="000000"/>
          <w:sz w:val="32"/>
          <w:szCs w:val="32"/>
          <w:lang w:val="en-US" w:eastAsia="zh-CN"/>
        </w:rPr>
        <w:t>4.75</w:t>
      </w:r>
      <w:r>
        <w:rPr>
          <w:rStyle w:val="28"/>
          <w:rFonts w:hint="eastAsia" w:ascii="仿宋_GB2312" w:eastAsia="仿宋_GB2312"/>
          <w:b w:val="0"/>
          <w:color w:val="000000"/>
          <w:sz w:val="32"/>
          <w:szCs w:val="32"/>
        </w:rPr>
        <w:t>万元，</w:t>
      </w:r>
      <w:r>
        <w:rPr>
          <w:rFonts w:hint="eastAsia" w:ascii="仿宋_GB2312" w:eastAsia="仿宋_GB2312"/>
          <w:color w:val="000000"/>
          <w:sz w:val="32"/>
          <w:szCs w:val="32"/>
        </w:rPr>
        <w:t>完成预算100%。</w:t>
      </w:r>
    </w:p>
    <w:p>
      <w:pPr>
        <w:pageBreakBefore w:val="0"/>
        <w:wordWrap/>
        <w:overflowPunct/>
        <w:topLinePunct w:val="0"/>
        <w:bidi w:val="0"/>
        <w:spacing w:line="580" w:lineRule="exact"/>
        <w:ind w:firstLine="643" w:firstLineChars="200"/>
        <w:rPr>
          <w:rStyle w:val="28"/>
          <w:rFonts w:hint="eastAsia" w:ascii="仿宋_GB2312" w:eastAsia="仿宋_GB2312"/>
          <w:b w:val="0"/>
          <w:color w:val="000000"/>
          <w:sz w:val="32"/>
          <w:szCs w:val="32"/>
          <w:lang w:eastAsia="zh-CN"/>
        </w:rPr>
      </w:pPr>
      <w:r>
        <w:rPr>
          <w:rStyle w:val="28"/>
          <w:rFonts w:hint="eastAsia" w:ascii="仿宋_GB2312" w:eastAsia="仿宋_GB2312"/>
          <w:color w:val="000000"/>
          <w:sz w:val="32"/>
          <w:szCs w:val="32"/>
        </w:rPr>
        <w:t>住房保障支出（类）住房改革支出（款）</w:t>
      </w:r>
      <w:r>
        <w:rPr>
          <w:rStyle w:val="28"/>
          <w:rFonts w:hint="eastAsia" w:ascii="仿宋_GB2312" w:eastAsia="仿宋_GB2312"/>
          <w:bCs/>
          <w:color w:val="000000"/>
          <w:sz w:val="32"/>
          <w:szCs w:val="32"/>
        </w:rPr>
        <w:t>住房公积金支出（项）</w:t>
      </w:r>
      <w:r>
        <w:rPr>
          <w:rStyle w:val="28"/>
          <w:rFonts w:hint="eastAsia" w:ascii="仿宋_GB2312" w:eastAsia="仿宋_GB2312"/>
          <w:b w:val="0"/>
          <w:color w:val="000000"/>
          <w:sz w:val="32"/>
          <w:szCs w:val="32"/>
        </w:rPr>
        <w:t>:主要用于</w:t>
      </w:r>
      <w:r>
        <w:rPr>
          <w:rStyle w:val="28"/>
          <w:rFonts w:hint="eastAsia" w:ascii="仿宋_GB2312" w:eastAsia="仿宋_GB2312"/>
          <w:b w:val="0"/>
          <w:color w:val="000000"/>
          <w:sz w:val="32"/>
          <w:szCs w:val="32"/>
          <w:lang w:eastAsia="zh-CN"/>
        </w:rPr>
        <w:t>在职在编人员</w:t>
      </w:r>
      <w:r>
        <w:rPr>
          <w:rStyle w:val="28"/>
          <w:rFonts w:hint="eastAsia" w:ascii="仿宋_GB2312" w:eastAsia="仿宋_GB2312"/>
          <w:b w:val="0"/>
          <w:color w:val="000000"/>
          <w:sz w:val="32"/>
          <w:szCs w:val="32"/>
        </w:rPr>
        <w:t>缴纳住房公积金支出。</w:t>
      </w:r>
      <w:r>
        <w:rPr>
          <w:rStyle w:val="28"/>
          <w:rFonts w:hint="eastAsia" w:ascii="仿宋_GB2312" w:eastAsia="仿宋_GB2312"/>
          <w:b w:val="0"/>
          <w:color w:val="000000"/>
          <w:sz w:val="32"/>
          <w:szCs w:val="32"/>
          <w:lang w:val="en-US" w:eastAsia="zh-CN"/>
        </w:rPr>
        <w:t>2022</w:t>
      </w:r>
      <w:r>
        <w:rPr>
          <w:rStyle w:val="28"/>
          <w:rFonts w:hint="eastAsia" w:ascii="仿宋_GB2312" w:eastAsia="仿宋_GB2312"/>
          <w:b w:val="0"/>
          <w:color w:val="000000"/>
          <w:sz w:val="32"/>
          <w:szCs w:val="32"/>
        </w:rPr>
        <w:t>年决算数为</w:t>
      </w:r>
      <w:r>
        <w:rPr>
          <w:rStyle w:val="28"/>
          <w:rFonts w:hint="eastAsia" w:ascii="仿宋_GB2312" w:eastAsia="仿宋_GB2312"/>
          <w:b w:val="0"/>
          <w:color w:val="000000"/>
          <w:sz w:val="32"/>
          <w:szCs w:val="32"/>
          <w:lang w:val="en-US" w:eastAsia="zh-CN"/>
        </w:rPr>
        <w:t>9.41</w:t>
      </w:r>
      <w:r>
        <w:rPr>
          <w:rStyle w:val="28"/>
          <w:rFonts w:hint="eastAsia" w:ascii="仿宋_GB2312" w:eastAsia="仿宋_GB2312"/>
          <w:b w:val="0"/>
          <w:color w:val="000000"/>
          <w:sz w:val="32"/>
          <w:szCs w:val="32"/>
        </w:rPr>
        <w:t>万元，完成预算</w:t>
      </w:r>
      <w:r>
        <w:rPr>
          <w:rStyle w:val="28"/>
          <w:rFonts w:hint="eastAsia" w:ascii="仿宋_GB2312" w:eastAsia="仿宋_GB2312"/>
          <w:b w:val="0"/>
          <w:color w:val="000000"/>
          <w:sz w:val="32"/>
          <w:szCs w:val="32"/>
          <w:lang w:val="en-US" w:eastAsia="zh-CN"/>
        </w:rPr>
        <w:t>100</w:t>
      </w:r>
      <w:r>
        <w:rPr>
          <w:rStyle w:val="28"/>
          <w:rFonts w:hint="eastAsia" w:ascii="仿宋_GB2312" w:eastAsia="仿宋_GB2312"/>
          <w:b w:val="0"/>
          <w:color w:val="000000"/>
          <w:sz w:val="32"/>
          <w:szCs w:val="32"/>
        </w:rPr>
        <w:t>%</w:t>
      </w:r>
      <w:r>
        <w:rPr>
          <w:rStyle w:val="28"/>
          <w:rFonts w:hint="eastAsia" w:ascii="仿宋_GB2312" w:eastAsia="仿宋_GB2312"/>
          <w:b w:val="0"/>
          <w:color w:val="000000"/>
          <w:sz w:val="32"/>
          <w:szCs w:val="32"/>
          <w:lang w:eastAsia="zh-CN"/>
        </w:rPr>
        <w:t>。</w:t>
      </w:r>
    </w:p>
    <w:p>
      <w:pPr>
        <w:pageBreakBefore w:val="0"/>
        <w:wordWrap/>
        <w:overflowPunct/>
        <w:topLinePunct w:val="0"/>
        <w:bidi w:val="0"/>
        <w:spacing w:line="580" w:lineRule="exact"/>
        <w:ind w:firstLine="643" w:firstLineChars="200"/>
        <w:rPr>
          <w:rFonts w:ascii="仿宋_GB2312" w:eastAsia="仿宋_GB2312"/>
          <w:sz w:val="32"/>
          <w:szCs w:val="32"/>
        </w:rPr>
      </w:pPr>
      <w:r>
        <w:rPr>
          <w:rStyle w:val="28"/>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_GB2312" w:eastAsia="仿宋_GB2312"/>
          <w:b w:val="0"/>
          <w:bCs/>
          <w:color w:val="000000"/>
          <w:sz w:val="32"/>
          <w:szCs w:val="32"/>
          <w:lang w:eastAsia="zh-CN"/>
        </w:rPr>
        <w:t>主要用于在职在编人员基本养老保险支出，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9.78</w:t>
      </w:r>
      <w:r>
        <w:rPr>
          <w:rFonts w:hint="eastAsia" w:ascii="仿宋_GB2312" w:eastAsia="仿宋_GB2312"/>
          <w:sz w:val="32"/>
          <w:szCs w:val="32"/>
        </w:rPr>
        <w:t>万元，完成预算100 %。</w:t>
      </w:r>
    </w:p>
    <w:p>
      <w:pPr>
        <w:pageBreakBefore w:val="0"/>
        <w:wordWrap/>
        <w:overflowPunct/>
        <w:topLinePunct w:val="0"/>
        <w:bidi w:val="0"/>
        <w:spacing w:line="580" w:lineRule="exact"/>
        <w:ind w:firstLine="643" w:firstLineChars="200"/>
        <w:rPr>
          <w:rFonts w:hint="eastAsia" w:ascii="仿宋_GB2312" w:eastAsia="仿宋_GB2312"/>
          <w:sz w:val="32"/>
          <w:szCs w:val="32"/>
          <w:lang w:eastAsia="zh-CN"/>
        </w:rPr>
      </w:pPr>
      <w:r>
        <w:rPr>
          <w:rStyle w:val="28"/>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4.95</w:t>
      </w:r>
      <w:r>
        <w:rPr>
          <w:rFonts w:hint="eastAsia" w:ascii="仿宋_GB2312" w:eastAsia="仿宋_GB2312"/>
          <w:sz w:val="32"/>
          <w:szCs w:val="32"/>
        </w:rPr>
        <w:t>万元，完成预算100%</w:t>
      </w:r>
      <w:r>
        <w:rPr>
          <w:rFonts w:hint="eastAsia" w:ascii="仿宋_GB2312" w:eastAsia="仿宋_GB2312"/>
          <w:sz w:val="32"/>
          <w:szCs w:val="32"/>
          <w:lang w:eastAsia="zh-CN"/>
        </w:rPr>
        <w:t>。</w:t>
      </w:r>
    </w:p>
    <w:p>
      <w:pPr>
        <w:pageBreakBefore w:val="0"/>
        <w:tabs>
          <w:tab w:val="right" w:pos="8306"/>
        </w:tabs>
        <w:wordWrap/>
        <w:overflowPunct/>
        <w:topLinePunct w:val="0"/>
        <w:bidi w:val="0"/>
        <w:spacing w:line="580" w:lineRule="exact"/>
        <w:ind w:firstLine="640" w:firstLineChars="200"/>
        <w:outlineLvl w:val="1"/>
        <w:rPr>
          <w:rStyle w:val="31"/>
        </w:rPr>
      </w:pPr>
      <w:bookmarkStart w:id="91" w:name="_Toc15396608"/>
      <w:bookmarkStart w:id="92" w:name="_Toc15377214"/>
      <w:bookmarkStart w:id="93" w:name="_Toc6299"/>
      <w:bookmarkStart w:id="94" w:name="_Toc16247"/>
      <w:r>
        <w:rPr>
          <w:rFonts w:hint="eastAsia" w:ascii="黑体" w:eastAsia="黑体"/>
          <w:color w:val="000000"/>
          <w:sz w:val="32"/>
          <w:szCs w:val="32"/>
        </w:rPr>
        <w:t>六</w:t>
      </w:r>
      <w:r>
        <w:rPr>
          <w:rFonts w:hint="eastAsia" w:ascii="黑体" w:eastAsia="黑体"/>
          <w:b/>
          <w:color w:val="000000"/>
          <w:sz w:val="32"/>
          <w:szCs w:val="32"/>
        </w:rPr>
        <w:t>、</w:t>
      </w:r>
      <w:bookmarkEnd w:id="91"/>
      <w:bookmarkEnd w:id="92"/>
      <w:r>
        <w:rPr>
          <w:rFonts w:hint="eastAsia" w:ascii="黑体" w:hAnsi="黑体" w:eastAsia="黑体"/>
          <w:b/>
          <w:color w:val="auto"/>
          <w:sz w:val="32"/>
          <w:szCs w:val="32"/>
          <w:highlight w:val="none"/>
        </w:rPr>
        <w:t>一</w:t>
      </w:r>
      <w:r>
        <w:rPr>
          <w:rStyle w:val="13"/>
          <w:rFonts w:hint="eastAsia" w:ascii="黑体" w:hAnsi="黑体" w:eastAsia="黑体"/>
          <w:b w:val="0"/>
          <w:color w:val="auto"/>
          <w:highlight w:val="none"/>
        </w:rPr>
        <w:t>般公共预算财政拨款基本支出决算情况说明</w:t>
      </w:r>
      <w:bookmarkEnd w:id="93"/>
      <w:bookmarkEnd w:id="94"/>
      <w:r>
        <w:rPr>
          <w:rStyle w:val="31"/>
          <w:rFonts w:ascii="黑体" w:hAnsi="黑体" w:eastAsia="黑体"/>
          <w:b w:val="0"/>
        </w:rPr>
        <w:tab/>
      </w:r>
    </w:p>
    <w:p>
      <w:pPr>
        <w:pageBreakBefore w:val="0"/>
        <w:wordWrap/>
        <w:overflowPunct/>
        <w:topLinePunct w:val="0"/>
        <w:bidi w:val="0"/>
        <w:spacing w:line="580" w:lineRule="exact"/>
        <w:ind w:firstLine="645"/>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2022</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101.99</w:t>
      </w:r>
      <w:r>
        <w:rPr>
          <w:rFonts w:hint="eastAsia" w:ascii="仿宋" w:hAnsi="仿宋" w:eastAsia="仿宋"/>
          <w:color w:val="000000"/>
          <w:sz w:val="32"/>
          <w:szCs w:val="32"/>
        </w:rPr>
        <w:t>万元，其中：人员经费</w:t>
      </w:r>
      <w:r>
        <w:rPr>
          <w:rFonts w:hint="eastAsia" w:ascii="仿宋" w:hAnsi="仿宋" w:eastAsia="仿宋"/>
          <w:color w:val="000000"/>
          <w:sz w:val="32"/>
          <w:szCs w:val="32"/>
          <w:lang w:val="en-US" w:eastAsia="zh-CN"/>
        </w:rPr>
        <w:t>101.47</w:t>
      </w:r>
      <w:r>
        <w:rPr>
          <w:rFonts w:hint="eastAsia" w:ascii="仿宋" w:hAnsi="仿宋" w:eastAsia="仿宋"/>
          <w:color w:val="000000"/>
          <w:sz w:val="32"/>
          <w:szCs w:val="32"/>
        </w:rPr>
        <w:t>万元，主要包括：基本工资</w:t>
      </w:r>
      <w:r>
        <w:rPr>
          <w:rFonts w:hint="eastAsia" w:ascii="仿宋" w:hAnsi="仿宋" w:eastAsia="仿宋"/>
          <w:color w:val="000000"/>
          <w:sz w:val="32"/>
          <w:szCs w:val="32"/>
          <w:lang w:val="en-US" w:eastAsia="zh-CN"/>
        </w:rPr>
        <w:t>45.75</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、津贴补贴</w:t>
      </w:r>
      <w:r>
        <w:rPr>
          <w:rFonts w:hint="eastAsia" w:ascii="仿宋" w:hAnsi="仿宋" w:eastAsia="仿宋"/>
          <w:color w:val="000000"/>
          <w:sz w:val="32"/>
          <w:szCs w:val="32"/>
          <w:lang w:val="en-US" w:eastAsia="zh-CN"/>
        </w:rPr>
        <w:t>14.62</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、绩效工资</w:t>
      </w:r>
      <w:r>
        <w:rPr>
          <w:rFonts w:hint="eastAsia" w:ascii="仿宋" w:hAnsi="仿宋" w:eastAsia="仿宋"/>
          <w:color w:val="000000"/>
          <w:sz w:val="32"/>
          <w:szCs w:val="32"/>
          <w:lang w:val="en-US" w:eastAsia="zh-CN"/>
        </w:rPr>
        <w:t>12.21</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、机关事业单位基本养老保险缴费</w:t>
      </w:r>
      <w:r>
        <w:rPr>
          <w:rFonts w:hint="eastAsia" w:ascii="仿宋" w:hAnsi="仿宋" w:eastAsia="仿宋"/>
          <w:color w:val="000000"/>
          <w:sz w:val="32"/>
          <w:szCs w:val="32"/>
          <w:lang w:val="en-US" w:eastAsia="zh-CN"/>
        </w:rPr>
        <w:t>9.78</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、职业年金缴费</w:t>
      </w:r>
      <w:r>
        <w:rPr>
          <w:rFonts w:hint="eastAsia" w:ascii="仿宋" w:hAnsi="仿宋" w:eastAsia="仿宋"/>
          <w:color w:val="000000"/>
          <w:sz w:val="32"/>
          <w:szCs w:val="32"/>
          <w:lang w:val="en-US" w:eastAsia="zh-CN"/>
        </w:rPr>
        <w:t>4.95</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w:t>
      </w:r>
      <w:r>
        <w:rPr>
          <w:rFonts w:hint="eastAsia" w:ascii="仿宋" w:hAnsi="仿宋" w:eastAsia="仿宋"/>
          <w:color w:val="000000"/>
          <w:sz w:val="32"/>
          <w:szCs w:val="32"/>
          <w:lang w:eastAsia="zh-CN"/>
        </w:rPr>
        <w:t>基本医疗保险</w:t>
      </w:r>
      <w:r>
        <w:rPr>
          <w:rFonts w:hint="eastAsia" w:ascii="仿宋" w:hAnsi="仿宋" w:eastAsia="仿宋"/>
          <w:color w:val="000000"/>
          <w:sz w:val="32"/>
          <w:szCs w:val="32"/>
        </w:rPr>
        <w:t>缴费</w:t>
      </w:r>
      <w:r>
        <w:rPr>
          <w:rFonts w:hint="eastAsia" w:ascii="仿宋" w:hAnsi="仿宋" w:eastAsia="仿宋"/>
          <w:color w:val="000000"/>
          <w:sz w:val="32"/>
          <w:szCs w:val="32"/>
          <w:lang w:val="en-US" w:eastAsia="zh-CN"/>
        </w:rPr>
        <w:t>4.75</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、住房公积金</w:t>
      </w:r>
      <w:r>
        <w:rPr>
          <w:rFonts w:hint="eastAsia" w:ascii="仿宋" w:hAnsi="仿宋" w:eastAsia="仿宋"/>
          <w:color w:val="000000"/>
          <w:sz w:val="32"/>
          <w:szCs w:val="32"/>
          <w:lang w:val="en-US" w:eastAsia="zh-CN"/>
        </w:rPr>
        <w:t>9.41万元</w:t>
      </w:r>
      <w:r>
        <w:rPr>
          <w:rFonts w:hint="eastAsia" w:ascii="仿宋" w:hAnsi="仿宋" w:eastAsia="仿宋"/>
          <w:color w:val="000000"/>
          <w:sz w:val="32"/>
          <w:szCs w:val="32"/>
          <w:lang w:eastAsia="zh-CN"/>
        </w:rPr>
        <w:t>。</w:t>
      </w:r>
    </w:p>
    <w:p>
      <w:pPr>
        <w:pageBreakBefore w:val="0"/>
        <w:wordWrap/>
        <w:overflowPunct/>
        <w:topLinePunct w:val="0"/>
        <w:bidi w:val="0"/>
        <w:spacing w:line="580" w:lineRule="exact"/>
        <w:ind w:firstLine="640" w:firstLineChars="200"/>
        <w:rPr>
          <w:rFonts w:ascii="仿宋" w:hAnsi="仿宋" w:eastAsia="仿宋"/>
          <w:b/>
          <w:color w:val="FF0000"/>
          <w:sz w:val="32"/>
          <w:szCs w:val="32"/>
        </w:rPr>
      </w:pPr>
      <w:r>
        <w:rPr>
          <w:rFonts w:hint="eastAsia" w:ascii="仿宋" w:hAnsi="仿宋" w:eastAsia="仿宋"/>
          <w:color w:val="000000"/>
          <w:sz w:val="32"/>
          <w:szCs w:val="32"/>
        </w:rPr>
        <w:t>日常公用经费</w:t>
      </w:r>
      <w:r>
        <w:rPr>
          <w:rFonts w:hint="eastAsia" w:ascii="仿宋" w:hAnsi="仿宋" w:eastAsia="仿宋"/>
          <w:color w:val="000000"/>
          <w:sz w:val="32"/>
          <w:szCs w:val="32"/>
          <w:lang w:val="en-US" w:eastAsia="zh-CN"/>
        </w:rPr>
        <w:t>0.52</w:t>
      </w:r>
      <w:r>
        <w:rPr>
          <w:rFonts w:hint="eastAsia" w:ascii="仿宋" w:hAnsi="仿宋" w:eastAsia="仿宋"/>
          <w:color w:val="000000"/>
          <w:sz w:val="32"/>
          <w:szCs w:val="32"/>
        </w:rPr>
        <w:t>万元，主要</w:t>
      </w:r>
      <w:r>
        <w:rPr>
          <w:rFonts w:hint="eastAsia" w:ascii="仿宋" w:hAnsi="仿宋" w:eastAsia="仿宋"/>
          <w:color w:val="000000"/>
          <w:sz w:val="32"/>
          <w:szCs w:val="32"/>
          <w:lang w:eastAsia="zh-CN"/>
        </w:rPr>
        <w:t>是</w:t>
      </w:r>
      <w:r>
        <w:rPr>
          <w:rFonts w:hint="eastAsia" w:ascii="仿宋" w:hAnsi="仿宋" w:eastAsia="仿宋"/>
          <w:color w:val="000000"/>
          <w:sz w:val="32"/>
          <w:szCs w:val="32"/>
        </w:rPr>
        <w:t>邮电费</w:t>
      </w:r>
      <w:r>
        <w:rPr>
          <w:rFonts w:hint="eastAsia" w:ascii="仿宋" w:hAnsi="仿宋" w:eastAsia="仿宋"/>
          <w:color w:val="000000"/>
          <w:sz w:val="32"/>
          <w:szCs w:val="32"/>
          <w:lang w:val="en-US" w:eastAsia="zh-CN"/>
        </w:rPr>
        <w:t>0.52万元。</w:t>
      </w:r>
    </w:p>
    <w:p>
      <w:pPr>
        <w:pageBreakBefore w:val="0"/>
        <w:wordWrap/>
        <w:overflowPunct/>
        <w:topLinePunct w:val="0"/>
        <w:bidi w:val="0"/>
        <w:spacing w:line="580" w:lineRule="exact"/>
        <w:ind w:firstLine="640"/>
        <w:outlineLvl w:val="1"/>
        <w:rPr>
          <w:rStyle w:val="31"/>
          <w:rFonts w:ascii="黑体" w:hAnsi="黑体" w:eastAsia="黑体"/>
          <w:b w:val="0"/>
        </w:rPr>
      </w:pPr>
      <w:bookmarkStart w:id="95" w:name="_Toc15377215"/>
      <w:bookmarkStart w:id="96" w:name="_Toc15396609"/>
      <w:bookmarkStart w:id="97" w:name="_Toc27335"/>
      <w:bookmarkStart w:id="98" w:name="_Toc9271"/>
      <w:r>
        <w:rPr>
          <w:rFonts w:hint="eastAsia" w:ascii="黑体" w:eastAsia="黑体"/>
          <w:color w:val="000000"/>
          <w:sz w:val="32"/>
          <w:szCs w:val="32"/>
        </w:rPr>
        <w:t>七、</w:t>
      </w:r>
      <w:bookmarkEnd w:id="95"/>
      <w:bookmarkEnd w:id="96"/>
      <w:r>
        <w:rPr>
          <w:rStyle w:val="13"/>
          <w:rFonts w:hint="eastAsia" w:ascii="黑体" w:hAnsi="黑体" w:eastAsia="黑体"/>
          <w:b w:val="0"/>
          <w:color w:val="auto"/>
          <w:highlight w:val="none"/>
        </w:rPr>
        <w:t>财政拨款</w:t>
      </w:r>
      <w:r>
        <w:rPr>
          <w:rStyle w:val="13"/>
          <w:rFonts w:hint="eastAsia" w:ascii="黑体" w:hAnsi="黑体" w:eastAsia="黑体"/>
          <w:color w:val="auto"/>
          <w:highlight w:val="none"/>
        </w:rPr>
        <w:t>“</w:t>
      </w:r>
      <w:r>
        <w:rPr>
          <w:rStyle w:val="13"/>
          <w:rFonts w:hint="eastAsia" w:ascii="黑体" w:hAnsi="黑体" w:eastAsia="黑体"/>
          <w:b w:val="0"/>
          <w:color w:val="auto"/>
          <w:highlight w:val="none"/>
        </w:rPr>
        <w:t>三公”经费支出决算情况说明</w:t>
      </w:r>
      <w:bookmarkEnd w:id="97"/>
      <w:bookmarkEnd w:id="98"/>
    </w:p>
    <w:p>
      <w:pPr>
        <w:pageBreakBefore w:val="0"/>
        <w:wordWrap/>
        <w:overflowPunct/>
        <w:topLinePunct w:val="0"/>
        <w:bidi w:val="0"/>
        <w:spacing w:line="580" w:lineRule="exact"/>
        <w:ind w:firstLine="640"/>
        <w:outlineLvl w:val="2"/>
        <w:rPr>
          <w:rFonts w:ascii="仿宋" w:hAnsi="仿宋" w:eastAsia="仿宋"/>
          <w:b/>
          <w:color w:val="000000"/>
          <w:sz w:val="32"/>
          <w:szCs w:val="32"/>
        </w:rPr>
      </w:pPr>
      <w:bookmarkStart w:id="99" w:name="_Toc15377216"/>
      <w:bookmarkStart w:id="100" w:name="_Toc17518"/>
      <w:bookmarkStart w:id="101" w:name="_Toc15377218"/>
      <w:bookmarkStart w:id="102" w:name="_Toc15396610"/>
      <w:r>
        <w:rPr>
          <w:rFonts w:hint="eastAsia" w:ascii="仿宋" w:hAnsi="仿宋" w:eastAsia="仿宋"/>
          <w:b/>
          <w:color w:val="000000"/>
          <w:sz w:val="32"/>
          <w:szCs w:val="32"/>
        </w:rPr>
        <w:t>（一）</w:t>
      </w:r>
      <w:bookmarkEnd w:id="99"/>
      <w:r>
        <w:rPr>
          <w:rFonts w:hint="eastAsia" w:ascii="仿宋" w:hAnsi="仿宋" w:eastAsia="仿宋"/>
          <w:b/>
          <w:color w:val="auto"/>
          <w:sz w:val="32"/>
          <w:szCs w:val="32"/>
          <w:highlight w:val="none"/>
        </w:rPr>
        <w:t>“三公”经费财政拨款支出决算总体情况说明</w:t>
      </w:r>
      <w:bookmarkEnd w:id="100"/>
    </w:p>
    <w:p>
      <w:pPr>
        <w:pageBreakBefore w:val="0"/>
        <w:wordWrap/>
        <w:overflowPunct/>
        <w:topLinePunct w:val="0"/>
        <w:bidi w:val="0"/>
        <w:spacing w:line="580" w:lineRule="exact"/>
        <w:ind w:firstLine="640"/>
        <w:rPr>
          <w:rFonts w:hint="eastAsia" w:ascii="仿宋" w:eastAsia="仿宋"/>
          <w:color w:val="000000"/>
          <w:sz w:val="32"/>
          <w:szCs w:val="32"/>
        </w:rPr>
      </w:pPr>
      <w:r>
        <w:rPr>
          <w:rFonts w:hint="eastAsia" w:ascii="仿宋" w:hAnsi="仿宋" w:eastAsia="仿宋"/>
          <w:color w:val="000000"/>
          <w:sz w:val="32"/>
          <w:szCs w:val="32"/>
          <w:highlight w:val="none"/>
          <w:lang w:eastAsia="zh-CN"/>
        </w:rPr>
        <w:t>2022</w:t>
      </w:r>
      <w:r>
        <w:rPr>
          <w:rFonts w:hint="eastAsia" w:ascii="仿宋" w:hAnsi="仿宋" w:eastAsia="仿宋"/>
          <w:color w:val="000000"/>
          <w:sz w:val="32"/>
          <w:szCs w:val="32"/>
          <w:highlight w:val="none"/>
        </w:rPr>
        <w:t>年“三公”经费财政拨款支出决算为</w:t>
      </w:r>
      <w:r>
        <w:rPr>
          <w:rFonts w:hint="eastAsia" w:ascii="仿宋" w:hAnsi="仿宋" w:eastAsia="仿宋"/>
          <w:color w:val="000000"/>
          <w:sz w:val="32"/>
          <w:szCs w:val="32"/>
          <w:highlight w:val="none"/>
          <w:lang w:val="en-US" w:eastAsia="zh-CN"/>
        </w:rPr>
        <w:t>0</w:t>
      </w:r>
      <w:r>
        <w:rPr>
          <w:rFonts w:hint="eastAsia" w:ascii="仿宋" w:hAnsi="仿宋" w:eastAsia="仿宋"/>
          <w:color w:val="000000"/>
          <w:sz w:val="32"/>
          <w:szCs w:val="32"/>
          <w:highlight w:val="none"/>
        </w:rPr>
        <w:t>万元，</w:t>
      </w:r>
      <w:bookmarkStart w:id="103" w:name="_Toc15377217"/>
      <w:r>
        <w:rPr>
          <w:rFonts w:hint="eastAsia" w:ascii="仿宋" w:eastAsia="仿宋"/>
          <w:color w:val="000000"/>
          <w:sz w:val="32"/>
          <w:szCs w:val="32"/>
        </w:rPr>
        <w:t>年初未安排预算。</w:t>
      </w:r>
    </w:p>
    <w:p>
      <w:pPr>
        <w:pageBreakBefore w:val="0"/>
        <w:wordWrap/>
        <w:overflowPunct/>
        <w:topLinePunct w:val="0"/>
        <w:bidi w:val="0"/>
        <w:spacing w:line="580" w:lineRule="exact"/>
        <w:ind w:firstLine="640"/>
        <w:outlineLvl w:val="2"/>
        <w:rPr>
          <w:rFonts w:ascii="仿宋" w:hAnsi="仿宋" w:eastAsia="仿宋"/>
          <w:b/>
          <w:color w:val="000000"/>
          <w:sz w:val="32"/>
          <w:szCs w:val="32"/>
        </w:rPr>
      </w:pPr>
      <w:bookmarkStart w:id="104" w:name="_Toc2529"/>
      <w:r>
        <w:rPr>
          <w:rFonts w:hint="eastAsia" w:ascii="仿宋" w:hAnsi="仿宋" w:eastAsia="仿宋"/>
          <w:b/>
          <w:color w:val="000000"/>
          <w:sz w:val="32"/>
          <w:szCs w:val="32"/>
        </w:rPr>
        <w:t>（二）</w:t>
      </w:r>
      <w:bookmarkEnd w:id="103"/>
      <w:r>
        <w:rPr>
          <w:rFonts w:hint="eastAsia" w:ascii="仿宋" w:hAnsi="仿宋" w:eastAsia="仿宋"/>
          <w:b/>
          <w:color w:val="auto"/>
          <w:sz w:val="32"/>
          <w:szCs w:val="32"/>
          <w:highlight w:val="none"/>
        </w:rPr>
        <w:t>“三公”经费财政拨款支出决算具体情况说明</w:t>
      </w:r>
      <w:bookmarkEnd w:id="104"/>
    </w:p>
    <w:p>
      <w:pPr>
        <w:pageBreakBefore w:val="0"/>
        <w:wordWrap/>
        <w:overflowPunct/>
        <w:topLinePunct w:val="0"/>
        <w:bidi w:val="0"/>
        <w:spacing w:line="580" w:lineRule="exact"/>
        <w:ind w:firstLine="640"/>
        <w:rPr>
          <w:rFonts w:hint="eastAsia" w:ascii="仿宋" w:hAnsi="仿宋" w:eastAsia="仿宋"/>
          <w:color w:val="000000"/>
          <w:sz w:val="32"/>
          <w:szCs w:val="32"/>
          <w:lang w:eastAsia="zh-CN"/>
        </w:rPr>
      </w:pPr>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年“三公”经费财政拨款支出决算中，因公出国（境）费支出决算0万元，</w:t>
      </w:r>
      <w:r>
        <w:rPr>
          <w:rFonts w:hint="eastAsia" w:ascii="仿宋" w:eastAsia="仿宋"/>
          <w:color w:val="000000"/>
          <w:sz w:val="32"/>
          <w:szCs w:val="32"/>
        </w:rPr>
        <w:t>年初未安排预算</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_GB2312" w:eastAsia="仿宋_GB2312"/>
          <w:color w:val="000000"/>
          <w:sz w:val="32"/>
          <w:szCs w:val="32"/>
        </w:rPr>
        <w:t>年初未安排预算，与上年数持平</w:t>
      </w:r>
      <w:r>
        <w:rPr>
          <w:rFonts w:hint="eastAsia" w:ascii="仿宋" w:eastAsia="仿宋"/>
          <w:color w:val="000000"/>
          <w:sz w:val="32"/>
          <w:szCs w:val="32"/>
          <w:lang w:eastAsia="zh-CN"/>
        </w:rPr>
        <w:t>；</w:t>
      </w:r>
      <w:r>
        <w:rPr>
          <w:rFonts w:hint="eastAsia" w:ascii="仿宋" w:hAnsi="仿宋" w:eastAsia="仿宋"/>
          <w:color w:val="000000"/>
          <w:sz w:val="32"/>
          <w:szCs w:val="32"/>
        </w:rPr>
        <w:t>公务接待费总支出决算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eastAsia="仿宋"/>
          <w:color w:val="000000"/>
          <w:sz w:val="32"/>
          <w:szCs w:val="32"/>
        </w:rPr>
        <w:t>年初未安排预算</w:t>
      </w:r>
      <w:r>
        <w:rPr>
          <w:rFonts w:hint="eastAsia" w:ascii="仿宋" w:eastAsia="仿宋"/>
          <w:color w:val="000000"/>
          <w:sz w:val="32"/>
          <w:szCs w:val="32"/>
          <w:lang w:eastAsia="zh-CN"/>
        </w:rPr>
        <w:t>。</w:t>
      </w:r>
    </w:p>
    <w:p>
      <w:pPr>
        <w:pageBreakBefore w:val="0"/>
        <w:wordWrap/>
        <w:overflowPunct/>
        <w:topLinePunct w:val="0"/>
        <w:bidi w:val="0"/>
        <w:spacing w:line="58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Style w:val="28"/>
          <w:rFonts w:hint="eastAsia" w:ascii="仿宋" w:hAnsi="仿宋" w:eastAsia="仿宋"/>
          <w:b w:val="0"/>
          <w:bCs/>
          <w:color w:val="000000"/>
          <w:sz w:val="32"/>
          <w:szCs w:val="32"/>
        </w:rPr>
        <w:t>。</w:t>
      </w:r>
      <w:r>
        <w:rPr>
          <w:rFonts w:hint="eastAsia" w:ascii="仿宋" w:eastAsia="仿宋"/>
          <w:color w:val="000000"/>
          <w:sz w:val="32"/>
          <w:szCs w:val="32"/>
        </w:rPr>
        <w:t>年初未安排预算</w:t>
      </w:r>
      <w:r>
        <w:rPr>
          <w:rFonts w:hint="eastAsia" w:ascii="仿宋" w:eastAsia="仿宋"/>
          <w:color w:val="000000"/>
          <w:sz w:val="32"/>
          <w:szCs w:val="32"/>
          <w:lang w:eastAsia="zh-CN"/>
        </w:rPr>
        <w:t>，</w:t>
      </w:r>
      <w:r>
        <w:rPr>
          <w:rStyle w:val="28"/>
          <w:rFonts w:hint="eastAsia" w:ascii="仿宋" w:eastAsia="仿宋"/>
          <w:b w:val="0"/>
          <w:bCs/>
          <w:color w:val="000000"/>
          <w:sz w:val="32"/>
          <w:szCs w:val="32"/>
        </w:rPr>
        <w:t>与上年数持平。</w:t>
      </w:r>
    </w:p>
    <w:p>
      <w:pPr>
        <w:pageBreakBefore w:val="0"/>
        <w:wordWrap/>
        <w:overflowPunct/>
        <w:topLinePunct w:val="0"/>
        <w:bidi w:val="0"/>
        <w:spacing w:line="580" w:lineRule="exact"/>
        <w:ind w:firstLine="640"/>
        <w:rPr>
          <w:rFonts w:hint="default" w:ascii="仿宋_GB2312" w:eastAsia="仿宋_GB2312"/>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 w:eastAsia="仿宋"/>
          <w:color w:val="000000"/>
          <w:sz w:val="32"/>
          <w:szCs w:val="32"/>
        </w:rPr>
        <w:t>年初未安排预算</w:t>
      </w:r>
      <w:r>
        <w:rPr>
          <w:rStyle w:val="28"/>
          <w:rFonts w:hint="eastAsia" w:ascii="仿宋" w:hAnsi="仿宋" w:eastAsia="仿宋"/>
          <w:b w:val="0"/>
          <w:bCs/>
          <w:color w:val="000000"/>
          <w:sz w:val="32"/>
          <w:szCs w:val="32"/>
        </w:rPr>
        <w:t>。</w:t>
      </w:r>
    </w:p>
    <w:p>
      <w:pPr>
        <w:pageBreakBefore w:val="0"/>
        <w:wordWrap/>
        <w:overflowPunct/>
        <w:topLinePunct w:val="0"/>
        <w:bidi w:val="0"/>
        <w:spacing w:line="580" w:lineRule="exact"/>
        <w:ind w:firstLine="640"/>
        <w:rPr>
          <w:rFonts w:hint="eastAsia" w:ascii="仿宋_GB2312" w:eastAsia="仿宋_GB2312"/>
          <w:color w:val="000000"/>
          <w:sz w:val="32"/>
          <w:szCs w:val="32"/>
        </w:rPr>
      </w:pPr>
      <w:r>
        <w:rPr>
          <w:rFonts w:hint="eastAsia" w:ascii="仿宋_GB2312" w:eastAsia="仿宋_GB2312"/>
          <w:b/>
          <w:color w:val="000000"/>
          <w:sz w:val="32"/>
          <w:szCs w:val="32"/>
          <w:lang w:val="en-US" w:eastAsia="zh-CN"/>
        </w:rPr>
        <w:t>3.</w:t>
      </w:r>
      <w:r>
        <w:rPr>
          <w:rFonts w:hint="eastAsia" w:ascii="仿宋_GB2312" w:eastAsia="仿宋_GB2312"/>
          <w:b/>
          <w:color w:val="000000"/>
          <w:sz w:val="32"/>
          <w:szCs w:val="32"/>
        </w:rPr>
        <w:t>公务用车运行维护费支出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ageBreakBefore w:val="0"/>
        <w:wordWrap/>
        <w:overflowPunct/>
        <w:topLinePunct w:val="0"/>
        <w:bidi w:val="0"/>
        <w:spacing w:line="580" w:lineRule="exact"/>
        <w:ind w:firstLine="640"/>
        <w:rPr>
          <w:rFonts w:hint="eastAsia" w:ascii="仿宋_GB2312" w:eastAsia="仿宋_GB2312"/>
          <w:color w:val="000000"/>
          <w:sz w:val="32"/>
          <w:szCs w:val="32"/>
          <w:lang w:eastAsia="zh-CN"/>
        </w:rPr>
      </w:pPr>
      <w:r>
        <w:rPr>
          <w:rFonts w:hint="eastAsia" w:ascii="仿宋_GB2312" w:eastAsia="仿宋_GB2312"/>
          <w:b/>
          <w:color w:val="000000"/>
          <w:sz w:val="32"/>
          <w:szCs w:val="32"/>
          <w:lang w:val="en-US" w:eastAsia="zh-CN"/>
        </w:rPr>
        <w:t>4</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Style w:val="28"/>
          <w:rFonts w:hint="eastAsia" w:ascii="仿宋" w:hAnsi="仿宋" w:eastAsia="仿宋"/>
          <w:b w:val="0"/>
          <w:bCs/>
          <w:color w:val="000000"/>
          <w:sz w:val="32"/>
          <w:szCs w:val="32"/>
        </w:rPr>
        <w:t>。</w:t>
      </w:r>
    </w:p>
    <w:p>
      <w:pPr>
        <w:pageBreakBefore w:val="0"/>
        <w:wordWrap/>
        <w:overflowPunct/>
        <w:topLinePunct w:val="0"/>
        <w:bidi w:val="0"/>
        <w:spacing w:line="580" w:lineRule="exact"/>
        <w:ind w:firstLine="640" w:firstLineChars="200"/>
        <w:outlineLvl w:val="1"/>
        <w:rPr>
          <w:rStyle w:val="31"/>
          <w:rFonts w:ascii="黑体" w:hAnsi="黑体" w:eastAsia="黑体"/>
        </w:rPr>
      </w:pPr>
      <w:bookmarkStart w:id="105" w:name="_Toc3880"/>
      <w:bookmarkStart w:id="106" w:name="_Toc25241"/>
      <w:bookmarkStart w:id="107" w:name="_Toc19444"/>
      <w:bookmarkStart w:id="108" w:name="_Toc21180"/>
      <w:r>
        <w:rPr>
          <w:rFonts w:hint="eastAsia" w:ascii="黑体" w:eastAsia="黑体"/>
          <w:color w:val="000000"/>
          <w:sz w:val="32"/>
          <w:szCs w:val="32"/>
        </w:rPr>
        <w:t>八、</w:t>
      </w:r>
      <w:bookmarkEnd w:id="105"/>
      <w:bookmarkEnd w:id="106"/>
      <w:r>
        <w:rPr>
          <w:rStyle w:val="13"/>
          <w:rFonts w:hint="eastAsia" w:ascii="黑体" w:hAnsi="黑体" w:eastAsia="黑体"/>
          <w:b w:val="0"/>
          <w:color w:val="auto"/>
          <w:highlight w:val="none"/>
        </w:rPr>
        <w:t>政府性基金预算支出决算情况说明</w:t>
      </w:r>
      <w:bookmarkEnd w:id="107"/>
      <w:bookmarkEnd w:id="108"/>
    </w:p>
    <w:p>
      <w:pPr>
        <w:pageBreakBefore w:val="0"/>
        <w:wordWrap/>
        <w:overflowPunct/>
        <w:topLinePunct w:val="0"/>
        <w:bidi w:val="0"/>
        <w:spacing w:line="580" w:lineRule="exact"/>
        <w:ind w:firstLine="640"/>
        <w:rPr>
          <w:rFonts w:hint="eastAsia" w:ascii="仿宋_GB2312" w:eastAsia="仿宋_GB2312"/>
          <w:color w:val="000000"/>
          <w:sz w:val="32"/>
          <w:szCs w:val="32"/>
          <w:lang w:val="en-US" w:eastAsia="zh-CN"/>
        </w:rPr>
      </w:pPr>
      <w:r>
        <w:rPr>
          <w:rFonts w:hint="eastAsia" w:ascii="仿宋_GB2312" w:eastAsia="仿宋_GB2312"/>
          <w:color w:val="000000"/>
          <w:sz w:val="32"/>
          <w:szCs w:val="32"/>
          <w:lang w:eastAsia="zh-CN"/>
        </w:rPr>
        <w:t>2022</w:t>
      </w:r>
      <w:r>
        <w:rPr>
          <w:rFonts w:hint="eastAsia" w:ascii="仿宋_GB2312" w:eastAsia="仿宋_GB2312"/>
          <w:color w:val="000000"/>
          <w:sz w:val="32"/>
          <w:szCs w:val="32"/>
        </w:rPr>
        <w:t>年政府性基金预算拨款支出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p>
    <w:p>
      <w:pPr>
        <w:pageBreakBefore w:val="0"/>
        <w:numPr>
          <w:ilvl w:val="0"/>
          <w:numId w:val="3"/>
        </w:numPr>
        <w:wordWrap/>
        <w:overflowPunct/>
        <w:topLinePunct w:val="0"/>
        <w:bidi w:val="0"/>
        <w:spacing w:line="580" w:lineRule="exact"/>
        <w:ind w:left="-10" w:leftChars="0" w:firstLine="640" w:firstLineChars="0"/>
        <w:outlineLvl w:val="1"/>
        <w:rPr>
          <w:rStyle w:val="31"/>
          <w:rFonts w:ascii="黑体" w:hAnsi="黑体" w:eastAsia="黑体"/>
          <w:b w:val="0"/>
        </w:rPr>
      </w:pPr>
      <w:bookmarkStart w:id="109" w:name="_Toc4222"/>
      <w:bookmarkStart w:id="110" w:name="_Toc6210"/>
      <w:bookmarkStart w:id="111" w:name="_Toc15002"/>
      <w:bookmarkStart w:id="112" w:name="_Toc15168"/>
      <w:r>
        <w:rPr>
          <w:rStyle w:val="31"/>
          <w:rFonts w:hint="eastAsia" w:ascii="黑体" w:hAnsi="黑体" w:eastAsia="黑体"/>
          <w:b w:val="0"/>
        </w:rPr>
        <w:t>国有资本经营预算支出决算情况说明</w:t>
      </w:r>
      <w:bookmarkEnd w:id="109"/>
      <w:bookmarkEnd w:id="110"/>
      <w:bookmarkEnd w:id="111"/>
      <w:bookmarkEnd w:id="112"/>
    </w:p>
    <w:p>
      <w:pPr>
        <w:pageBreakBefore w:val="0"/>
        <w:wordWrap/>
        <w:overflowPunct/>
        <w:topLinePunct w:val="0"/>
        <w:bidi w:val="0"/>
        <w:spacing w:line="580" w:lineRule="exact"/>
        <w:ind w:firstLine="640"/>
        <w:rPr>
          <w:rFonts w:hint="default" w:ascii="仿宋_GB2312" w:eastAsia="仿宋_GB2312"/>
          <w:color w:val="000000"/>
          <w:sz w:val="32"/>
          <w:szCs w:val="32"/>
          <w:lang w:val="en-US"/>
        </w:rPr>
      </w:pPr>
      <w:r>
        <w:rPr>
          <w:rFonts w:hint="eastAsia" w:ascii="仿宋_GB2312" w:eastAsia="仿宋_GB2312"/>
          <w:color w:val="000000"/>
          <w:sz w:val="32"/>
          <w:szCs w:val="32"/>
          <w:lang w:eastAsia="zh-CN"/>
        </w:rPr>
        <w:t>2022</w:t>
      </w:r>
      <w:r>
        <w:rPr>
          <w:rFonts w:hint="eastAsia" w:ascii="仿宋_GB2312" w:eastAsia="仿宋_GB2312"/>
          <w:color w:val="000000"/>
          <w:sz w:val="32"/>
          <w:szCs w:val="32"/>
        </w:rPr>
        <w:t>年国有资本经营预算拨款支出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bookmarkEnd w:id="101"/>
      <w:bookmarkEnd w:id="102"/>
    </w:p>
    <w:p>
      <w:pPr>
        <w:pageBreakBefore w:val="0"/>
        <w:wordWrap/>
        <w:overflowPunct/>
        <w:topLinePunct w:val="0"/>
        <w:bidi w:val="0"/>
        <w:spacing w:line="580" w:lineRule="exact"/>
        <w:ind w:firstLine="640" w:firstLineChars="200"/>
        <w:outlineLvl w:val="1"/>
        <w:rPr>
          <w:rStyle w:val="31"/>
          <w:rFonts w:ascii="黑体" w:hAnsi="黑体" w:eastAsia="黑体"/>
        </w:rPr>
      </w:pPr>
      <w:bookmarkStart w:id="113" w:name="_Toc19560"/>
      <w:bookmarkStart w:id="114" w:name="_Toc32082"/>
      <w:bookmarkStart w:id="115" w:name="_Toc15377221"/>
      <w:bookmarkStart w:id="116" w:name="_Toc15396612"/>
      <w:r>
        <w:rPr>
          <w:rFonts w:hint="eastAsia" w:ascii="黑体" w:hAnsi="黑体" w:eastAsia="黑体"/>
          <w:color w:val="000000"/>
          <w:sz w:val="32"/>
          <w:szCs w:val="32"/>
          <w:lang w:eastAsia="zh-CN"/>
        </w:rPr>
        <w:t>十</w:t>
      </w:r>
      <w:r>
        <w:rPr>
          <w:rStyle w:val="31"/>
          <w:rFonts w:hint="eastAsia" w:ascii="黑体" w:hAnsi="黑体" w:eastAsia="黑体"/>
        </w:rPr>
        <w:t>、</w:t>
      </w:r>
      <w:r>
        <w:rPr>
          <w:rStyle w:val="31"/>
          <w:rFonts w:hint="eastAsia" w:ascii="黑体" w:hAnsi="黑体" w:eastAsia="黑体"/>
          <w:b w:val="0"/>
        </w:rPr>
        <w:t>其他重要事项的情况说明</w:t>
      </w:r>
      <w:bookmarkEnd w:id="113"/>
      <w:bookmarkEnd w:id="114"/>
      <w:bookmarkEnd w:id="115"/>
      <w:bookmarkEnd w:id="116"/>
    </w:p>
    <w:p>
      <w:pPr>
        <w:pageBreakBefore w:val="0"/>
        <w:wordWrap/>
        <w:overflowPunct/>
        <w:topLinePunct w:val="0"/>
        <w:bidi w:val="0"/>
        <w:spacing w:line="580" w:lineRule="exact"/>
        <w:ind w:firstLine="643" w:firstLineChars="200"/>
        <w:outlineLvl w:val="2"/>
        <w:rPr>
          <w:rFonts w:hint="eastAsia" w:ascii="仿宋" w:hAnsi="仿宋" w:eastAsia="仿宋"/>
          <w:b/>
          <w:color w:val="000000"/>
          <w:sz w:val="32"/>
          <w:szCs w:val="32"/>
        </w:rPr>
      </w:pPr>
      <w:bookmarkStart w:id="117" w:name="_Toc15377222"/>
      <w:bookmarkStart w:id="118" w:name="_Toc15621"/>
      <w:r>
        <w:rPr>
          <w:rFonts w:hint="eastAsia" w:ascii="仿宋" w:hAnsi="仿宋" w:eastAsia="仿宋"/>
          <w:b/>
          <w:color w:val="000000"/>
          <w:sz w:val="32"/>
          <w:szCs w:val="32"/>
        </w:rPr>
        <w:t>（一）</w:t>
      </w:r>
      <w:r>
        <w:rPr>
          <w:rFonts w:hint="eastAsia" w:ascii="仿宋" w:hAnsi="仿宋" w:eastAsia="仿宋"/>
          <w:b/>
          <w:color w:val="000000"/>
          <w:sz w:val="32"/>
          <w:szCs w:val="32"/>
          <w:lang w:eastAsia="zh-CN"/>
        </w:rPr>
        <w:t>机关</w:t>
      </w:r>
      <w:r>
        <w:rPr>
          <w:rFonts w:hint="eastAsia" w:ascii="仿宋" w:hAnsi="仿宋" w:eastAsia="仿宋"/>
          <w:b/>
          <w:color w:val="000000"/>
          <w:sz w:val="32"/>
          <w:szCs w:val="32"/>
        </w:rPr>
        <w:t>运行经费支出情况</w:t>
      </w:r>
      <w:bookmarkEnd w:id="117"/>
      <w:bookmarkEnd w:id="118"/>
    </w:p>
    <w:p>
      <w:pPr>
        <w:pStyle w:val="10"/>
        <w:ind w:left="0" w:leftChars="0" w:firstLine="640" w:firstLineChars="0"/>
        <w:rPr>
          <w:rFonts w:hint="default"/>
          <w:lang w:val="en-US" w:eastAsia="zh-CN"/>
        </w:rPr>
      </w:pPr>
      <w:r>
        <w:rPr>
          <w:rFonts w:hint="eastAsia" w:ascii="仿宋" w:hAnsi="仿宋" w:eastAsia="仿宋" w:cs="仿宋"/>
          <w:b w:val="0"/>
          <w:bCs/>
          <w:color w:val="auto"/>
          <w:sz w:val="32"/>
          <w:szCs w:val="32"/>
          <w:highlight w:val="none"/>
          <w:lang w:val="en-US" w:eastAsia="zh-CN"/>
        </w:rPr>
        <w:t>2022年</w:t>
      </w:r>
      <w:r>
        <w:rPr>
          <w:rFonts w:hint="eastAsia" w:ascii="仿宋" w:hAnsi="仿宋" w:eastAsia="仿宋" w:cs="仿宋"/>
          <w:b w:val="0"/>
          <w:bCs/>
          <w:i w:val="0"/>
          <w:iCs w:val="0"/>
          <w:caps w:val="0"/>
          <w:color w:val="000000"/>
          <w:spacing w:val="0"/>
          <w:sz w:val="32"/>
          <w:szCs w:val="32"/>
          <w:highlight w:val="none"/>
        </w:rPr>
        <w:t>未发生机关运行经费支出</w:t>
      </w:r>
      <w:r>
        <w:rPr>
          <w:rFonts w:hint="eastAsia" w:ascii="仿宋" w:hAnsi="仿宋" w:eastAsia="仿宋" w:cs="仿宋"/>
          <w:b w:val="0"/>
          <w:bCs/>
          <w:i w:val="0"/>
          <w:iCs w:val="0"/>
          <w:caps w:val="0"/>
          <w:color w:val="000000"/>
          <w:spacing w:val="0"/>
          <w:sz w:val="32"/>
          <w:szCs w:val="32"/>
          <w:highlight w:val="none"/>
          <w:lang w:eastAsia="zh-CN"/>
        </w:rPr>
        <w:t>，</w:t>
      </w:r>
      <w:r>
        <w:rPr>
          <w:rFonts w:hint="eastAsia" w:ascii="仿宋" w:hAnsi="仿宋" w:eastAsia="仿宋" w:cs="仿宋"/>
          <w:b w:val="0"/>
          <w:bCs/>
          <w:i w:val="0"/>
          <w:iCs w:val="0"/>
          <w:caps w:val="0"/>
          <w:color w:val="000000"/>
          <w:spacing w:val="0"/>
          <w:sz w:val="32"/>
          <w:szCs w:val="32"/>
          <w:highlight w:val="none"/>
          <w:lang w:val="en-US" w:eastAsia="zh-CN"/>
        </w:rPr>
        <w:t>与上年决算数持平。</w:t>
      </w:r>
    </w:p>
    <w:p>
      <w:pPr>
        <w:pageBreakBefore w:val="0"/>
        <w:wordWrap/>
        <w:overflowPunct/>
        <w:topLinePunct w:val="0"/>
        <w:autoSpaceDE w:val="0"/>
        <w:autoSpaceDN w:val="0"/>
        <w:bidi w:val="0"/>
        <w:adjustRightInd w:val="0"/>
        <w:spacing w:line="580" w:lineRule="exact"/>
        <w:ind w:firstLine="643" w:firstLineChars="200"/>
        <w:jc w:val="left"/>
        <w:outlineLvl w:val="2"/>
        <w:rPr>
          <w:rFonts w:ascii="仿宋" w:hAnsi="仿宋" w:eastAsia="仿宋"/>
          <w:b/>
          <w:color w:val="000000"/>
          <w:sz w:val="32"/>
          <w:szCs w:val="32"/>
        </w:rPr>
      </w:pPr>
      <w:bookmarkStart w:id="119" w:name="_Toc15377223"/>
      <w:bookmarkStart w:id="120" w:name="_Toc12893"/>
      <w:r>
        <w:rPr>
          <w:rFonts w:hint="eastAsia" w:ascii="仿宋" w:hAnsi="仿宋" w:eastAsia="仿宋"/>
          <w:b/>
          <w:color w:val="000000"/>
          <w:sz w:val="32"/>
          <w:szCs w:val="32"/>
        </w:rPr>
        <w:t>（二）政府采购支出情况</w:t>
      </w:r>
      <w:bookmarkEnd w:id="119"/>
      <w:bookmarkEnd w:id="120"/>
    </w:p>
    <w:p>
      <w:pPr>
        <w:pageBreakBefore w:val="0"/>
        <w:wordWrap/>
        <w:overflowPunct/>
        <w:topLinePunct w:val="0"/>
        <w:bidi w:val="0"/>
        <w:spacing w:line="580" w:lineRule="exact"/>
        <w:ind w:firstLine="640" w:firstLineChars="200"/>
        <w:rPr>
          <w:rFonts w:hint="default" w:ascii="仿宋_GB2312" w:eastAsia="仿宋_GB2312"/>
          <w:color w:val="000000"/>
          <w:sz w:val="32"/>
          <w:szCs w:val="32"/>
          <w:highlight w:val="yellow"/>
          <w:lang w:val="en-US" w:eastAsia="zh-CN"/>
        </w:rPr>
      </w:pPr>
      <w:r>
        <w:rPr>
          <w:rFonts w:hint="eastAsia" w:ascii="仿宋_GB2312" w:eastAsia="仿宋_GB2312"/>
          <w:color w:val="000000"/>
          <w:sz w:val="32"/>
          <w:szCs w:val="32"/>
          <w:lang w:eastAsia="zh-CN"/>
        </w:rPr>
        <w:t>2022</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射箭卫生院政府采购</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highlight w:val="none"/>
          <w:lang w:val="en-US" w:eastAsia="zh-CN"/>
        </w:rPr>
        <w:t>。</w:t>
      </w:r>
    </w:p>
    <w:p>
      <w:pPr>
        <w:pageBreakBefore w:val="0"/>
        <w:wordWrap/>
        <w:overflowPunct/>
        <w:topLinePunct w:val="0"/>
        <w:autoSpaceDE w:val="0"/>
        <w:autoSpaceDN w:val="0"/>
        <w:bidi w:val="0"/>
        <w:adjustRightInd w:val="0"/>
        <w:spacing w:line="580" w:lineRule="exact"/>
        <w:ind w:firstLine="643" w:firstLineChars="200"/>
        <w:jc w:val="left"/>
        <w:outlineLvl w:val="2"/>
        <w:rPr>
          <w:rFonts w:ascii="仿宋" w:hAnsi="仿宋" w:eastAsia="仿宋"/>
          <w:b/>
          <w:color w:val="000000"/>
          <w:sz w:val="32"/>
          <w:szCs w:val="32"/>
        </w:rPr>
      </w:pPr>
      <w:bookmarkStart w:id="121" w:name="_Toc8829"/>
      <w:bookmarkStart w:id="122" w:name="_Toc15377224"/>
      <w:r>
        <w:rPr>
          <w:rFonts w:hint="eastAsia" w:ascii="仿宋" w:hAnsi="仿宋" w:eastAsia="仿宋"/>
          <w:b/>
          <w:color w:val="000000"/>
          <w:sz w:val="32"/>
          <w:szCs w:val="32"/>
        </w:rPr>
        <w:t>（三）国有资产占有使用情况</w:t>
      </w:r>
      <w:bookmarkEnd w:id="121"/>
      <w:bookmarkEnd w:id="122"/>
    </w:p>
    <w:p>
      <w:pPr>
        <w:pageBreakBefore w:val="0"/>
        <w:wordWrap/>
        <w:overflowPunct/>
        <w:topLinePunct w:val="0"/>
        <w:autoSpaceDE w:val="0"/>
        <w:autoSpaceDN w:val="0"/>
        <w:bidi w:val="0"/>
        <w:adjustRightInd w:val="0"/>
        <w:spacing w:line="580" w:lineRule="exact"/>
        <w:ind w:firstLine="640" w:firstLineChars="200"/>
        <w:jc w:val="left"/>
        <w:rPr>
          <w:rFonts w:hint="eastAsia" w:ascii="仿宋_GB2312" w:eastAsia="仿宋_GB2312"/>
          <w:color w:val="000000"/>
          <w:sz w:val="32"/>
          <w:szCs w:val="32"/>
        </w:rPr>
      </w:pPr>
      <w:r>
        <w:rPr>
          <w:rFonts w:hint="eastAsia" w:ascii="仿宋_GB2312" w:eastAsia="仿宋_GB2312"/>
          <w:color w:val="000000"/>
          <w:sz w:val="32"/>
          <w:szCs w:val="32"/>
        </w:rPr>
        <w:t>截至</w:t>
      </w:r>
      <w:r>
        <w:rPr>
          <w:rFonts w:hint="eastAsia" w:ascii="仿宋_GB2312" w:eastAsia="仿宋_GB2312"/>
          <w:color w:val="000000"/>
          <w:sz w:val="32"/>
          <w:szCs w:val="32"/>
          <w:lang w:eastAsia="zh-CN"/>
        </w:rPr>
        <w:t>2022</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eastAsia="仿宋_GB2312"/>
          <w:color w:val="000000"/>
          <w:sz w:val="32"/>
          <w:szCs w:val="32"/>
          <w:lang w:eastAsia="zh-CN"/>
        </w:rPr>
        <w:t>射箭卫生院</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123" w:name="_Toc12439"/>
      <w:r>
        <w:rPr>
          <w:rFonts w:hint="eastAsia" w:ascii="仿宋" w:hAnsi="仿宋" w:eastAsia="仿宋"/>
          <w:b/>
          <w:color w:val="auto"/>
          <w:sz w:val="32"/>
          <w:szCs w:val="32"/>
          <w:highlight w:val="none"/>
        </w:rPr>
        <w:t>（四）预算绩效管理情况</w:t>
      </w:r>
      <w:bookmarkEnd w:id="123"/>
    </w:p>
    <w:p>
      <w:pPr>
        <w:pStyle w:val="10"/>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3个</w:t>
      </w:r>
      <w:r>
        <w:rPr>
          <w:rFonts w:hint="eastAsia" w:ascii="仿宋_GB2312" w:hAnsi="仿宋_GB2312" w:eastAsia="仿宋_GB2312" w:cs="仿宋_GB2312"/>
          <w:color w:val="auto"/>
          <w:sz w:val="32"/>
          <w:szCs w:val="32"/>
          <w:highlight w:val="none"/>
        </w:rPr>
        <w:t>项目</w:t>
      </w:r>
      <w:r>
        <w:rPr>
          <w:rFonts w:hint="eastAsia" w:hAnsi="仿宋_GB2312" w:cs="仿宋_GB2312"/>
          <w:color w:val="auto"/>
          <w:sz w:val="32"/>
          <w:szCs w:val="32"/>
          <w:highlight w:val="none"/>
          <w:lang w:eastAsia="zh-CN"/>
        </w:rPr>
        <w:t>基本公共卫生、基本药物制度、二类疫苗服务费</w:t>
      </w:r>
      <w:r>
        <w:rPr>
          <w:rFonts w:hint="eastAsia" w:ascii="仿宋_GB2312" w:hAnsi="仿宋_GB2312" w:eastAsia="仿宋_GB2312" w:cs="仿宋_GB2312"/>
          <w:color w:val="auto"/>
          <w:sz w:val="32"/>
          <w:szCs w:val="32"/>
          <w:highlight w:val="none"/>
        </w:rPr>
        <w:t>开展了预算事前绩效评估，</w:t>
      </w:r>
      <w:r>
        <w:rPr>
          <w:rFonts w:hint="eastAsia" w:hAnsi="仿宋_GB2312" w:cs="仿宋_GB2312"/>
          <w:color w:val="auto"/>
          <w:sz w:val="32"/>
          <w:szCs w:val="32"/>
          <w:highlight w:val="none"/>
          <w:lang w:eastAsia="zh-CN"/>
        </w:rPr>
        <w:t>并对这</w:t>
      </w:r>
      <w:r>
        <w:rPr>
          <w:rFonts w:hint="eastAsia" w:hAnsi="仿宋_GB2312" w:cs="仿宋_GB2312"/>
          <w:color w:val="auto"/>
          <w:sz w:val="32"/>
          <w:szCs w:val="32"/>
          <w:highlight w:val="none"/>
          <w:lang w:val="en-US" w:eastAsia="zh-CN"/>
        </w:rPr>
        <w:t>3</w:t>
      </w:r>
      <w:r>
        <w:rPr>
          <w:rFonts w:hint="eastAsia" w:hAnsi="仿宋_GB2312" w:cs="仿宋_GB2312"/>
          <w:color w:val="auto"/>
          <w:sz w:val="32"/>
          <w:szCs w:val="32"/>
          <w:highlight w:val="none"/>
          <w:lang w:eastAsia="zh-CN"/>
        </w:rPr>
        <w:t>个项目</w:t>
      </w:r>
      <w:r>
        <w:rPr>
          <w:rFonts w:hint="eastAsia" w:ascii="仿宋_GB2312" w:hAnsi="仿宋_GB2312" w:eastAsia="仿宋_GB2312" w:cs="仿宋_GB2312"/>
          <w:color w:val="auto"/>
          <w:sz w:val="32"/>
          <w:szCs w:val="32"/>
          <w:highlight w:val="none"/>
        </w:rPr>
        <w:t>编制了绩效目标</w:t>
      </w:r>
      <w:r>
        <w:rPr>
          <w:rFonts w:hint="eastAsia" w:hAnsi="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开展绩效监控，组织对</w:t>
      </w:r>
      <w:r>
        <w:rPr>
          <w:rFonts w:hint="eastAsia" w:hAnsi="仿宋_GB2312" w:cs="仿宋_GB2312"/>
          <w:color w:val="auto"/>
          <w:sz w:val="32"/>
          <w:szCs w:val="32"/>
          <w:highlight w:val="none"/>
          <w:lang w:eastAsia="zh-CN"/>
        </w:rPr>
        <w:t>该项目</w:t>
      </w:r>
      <w:r>
        <w:rPr>
          <w:rFonts w:hint="eastAsia" w:ascii="仿宋_GB2312" w:hAnsi="仿宋_GB2312" w:eastAsia="仿宋_GB2312" w:cs="仿宋_GB2312"/>
          <w:color w:val="auto"/>
          <w:sz w:val="32"/>
          <w:szCs w:val="32"/>
          <w:highlight w:val="none"/>
        </w:rPr>
        <w:t>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黑体" w:eastAsia="仿宋_GB2312"/>
          <w:color w:val="000000"/>
          <w:sz w:val="32"/>
          <w:szCs w:val="32"/>
        </w:rPr>
      </w:pPr>
      <w:r>
        <w:rPr>
          <w:rFonts w:hint="eastAsia" w:ascii="仿宋_GB2312" w:hAnsi="黑体" w:eastAsia="仿宋_GB2312" w:cs="仿宋_GB2312"/>
          <w:sz w:val="32"/>
          <w:szCs w:val="32"/>
        </w:rPr>
        <w:t>基本公共卫生项目绩效目标完成情况综述。项目全年预算数</w:t>
      </w:r>
      <w:r>
        <w:rPr>
          <w:rFonts w:hint="eastAsia" w:ascii="仿宋_GB2312" w:hAnsi="黑体" w:eastAsia="仿宋_GB2312" w:cs="仿宋_GB2312"/>
          <w:sz w:val="32"/>
          <w:szCs w:val="32"/>
          <w:lang w:val="en-US" w:eastAsia="zh-CN"/>
        </w:rPr>
        <w:t>57.18</w:t>
      </w:r>
      <w:r>
        <w:rPr>
          <w:rFonts w:hint="eastAsia" w:ascii="仿宋_GB2312" w:hAnsi="黑体" w:eastAsia="仿宋_GB2312" w:cs="仿宋_GB2312"/>
          <w:sz w:val="32"/>
          <w:szCs w:val="32"/>
        </w:rPr>
        <w:t>万元，执行数为</w:t>
      </w:r>
      <w:r>
        <w:rPr>
          <w:rFonts w:hint="eastAsia" w:ascii="仿宋_GB2312" w:hAnsi="黑体" w:eastAsia="仿宋_GB2312" w:cs="仿宋_GB2312"/>
          <w:sz w:val="32"/>
          <w:szCs w:val="32"/>
          <w:lang w:val="en-US" w:eastAsia="zh-CN"/>
        </w:rPr>
        <w:t>57.18</w:t>
      </w:r>
      <w:r>
        <w:rPr>
          <w:rFonts w:hint="eastAsia" w:ascii="仿宋_GB2312" w:hAnsi="黑体" w:eastAsia="仿宋_GB2312" w:cs="仿宋_GB2312"/>
          <w:sz w:val="32"/>
          <w:szCs w:val="32"/>
        </w:rPr>
        <w:t>万元，完成预算的100%。</w:t>
      </w:r>
      <w:r>
        <w:rPr>
          <w:rFonts w:hint="eastAsia" w:ascii="仿宋" w:hAnsi="仿宋" w:eastAsia="仿宋" w:cs="仿宋"/>
          <w:sz w:val="32"/>
          <w:szCs w:val="32"/>
        </w:rPr>
        <w:t>全</w:t>
      </w:r>
      <w:r>
        <w:rPr>
          <w:rFonts w:hint="eastAsia" w:ascii="仿宋" w:hAnsi="仿宋" w:eastAsia="仿宋" w:cs="仿宋"/>
          <w:sz w:val="32"/>
          <w:szCs w:val="32"/>
          <w:lang w:eastAsia="zh-CN"/>
        </w:rPr>
        <w:t>镇有</w:t>
      </w:r>
      <w:r>
        <w:rPr>
          <w:rFonts w:hint="eastAsia" w:ascii="仿宋" w:hAnsi="仿宋" w:eastAsia="仿宋" w:cs="仿宋"/>
          <w:sz w:val="32"/>
          <w:szCs w:val="32"/>
          <w:lang w:val="en-US" w:eastAsia="zh-CN"/>
        </w:rPr>
        <w:t>9</w:t>
      </w:r>
      <w:r>
        <w:rPr>
          <w:rFonts w:hint="eastAsia" w:ascii="仿宋" w:hAnsi="仿宋" w:eastAsia="仿宋" w:cs="仿宋"/>
          <w:sz w:val="32"/>
          <w:szCs w:val="32"/>
        </w:rPr>
        <w:t>个</w:t>
      </w:r>
      <w:r>
        <w:rPr>
          <w:rFonts w:hint="eastAsia" w:ascii="仿宋" w:hAnsi="仿宋" w:eastAsia="仿宋" w:cs="仿宋"/>
          <w:sz w:val="32"/>
          <w:szCs w:val="32"/>
          <w:lang w:eastAsia="zh-CN"/>
        </w:rPr>
        <w:t>行政村和</w:t>
      </w:r>
      <w:r>
        <w:rPr>
          <w:rFonts w:hint="eastAsia" w:ascii="仿宋" w:hAnsi="仿宋" w:eastAsia="仿宋" w:cs="仿宋"/>
          <w:sz w:val="32"/>
          <w:szCs w:val="32"/>
          <w:lang w:val="en-US" w:eastAsia="zh-CN"/>
        </w:rPr>
        <w:t>2个社区</w:t>
      </w:r>
      <w:r>
        <w:rPr>
          <w:rFonts w:hint="eastAsia" w:ascii="仿宋" w:hAnsi="仿宋" w:eastAsia="仿宋" w:cs="仿宋"/>
          <w:sz w:val="32"/>
          <w:szCs w:val="32"/>
          <w:lang w:eastAsia="zh-CN"/>
        </w:rPr>
        <w:t>共有</w:t>
      </w:r>
      <w:r>
        <w:rPr>
          <w:rFonts w:hint="eastAsia" w:ascii="仿宋" w:hAnsi="仿宋" w:eastAsia="仿宋" w:cs="仿宋"/>
          <w:sz w:val="32"/>
          <w:szCs w:val="32"/>
          <w:lang w:val="en-US" w:eastAsia="zh-CN"/>
        </w:rPr>
        <w:t>常住人口7688人，其中7205</w:t>
      </w:r>
      <w:r>
        <w:rPr>
          <w:rFonts w:hint="eastAsia" w:ascii="仿宋" w:hAnsi="仿宋" w:eastAsia="仿宋" w:cs="仿宋"/>
          <w:sz w:val="32"/>
          <w:szCs w:val="32"/>
        </w:rPr>
        <w:t>人建立了</w:t>
      </w:r>
      <w:r>
        <w:rPr>
          <w:rFonts w:hint="eastAsia" w:ascii="仿宋" w:hAnsi="仿宋" w:eastAsia="仿宋" w:cs="仿宋"/>
          <w:sz w:val="32"/>
          <w:szCs w:val="32"/>
          <w:lang w:eastAsia="zh-CN"/>
        </w:rPr>
        <w:t>规范</w:t>
      </w:r>
      <w:r>
        <w:rPr>
          <w:rFonts w:hint="eastAsia" w:ascii="仿宋" w:hAnsi="仿宋" w:eastAsia="仿宋" w:cs="仿宋"/>
          <w:sz w:val="32"/>
          <w:szCs w:val="32"/>
          <w:lang w:val="en-US" w:eastAsia="zh-CN"/>
        </w:rPr>
        <w:t>化电子</w:t>
      </w:r>
      <w:r>
        <w:rPr>
          <w:rFonts w:hint="eastAsia" w:ascii="仿宋" w:hAnsi="仿宋" w:eastAsia="仿宋" w:cs="仿宋"/>
          <w:sz w:val="32"/>
          <w:szCs w:val="32"/>
        </w:rPr>
        <w:t>健康档案，居民建档率为</w:t>
      </w:r>
      <w:r>
        <w:rPr>
          <w:rFonts w:hint="eastAsia" w:ascii="仿宋" w:hAnsi="仿宋" w:eastAsia="仿宋" w:cs="仿宋"/>
          <w:sz w:val="32"/>
          <w:szCs w:val="32"/>
          <w:lang w:val="en-US" w:eastAsia="zh-CN"/>
        </w:rPr>
        <w:t>93.7</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累计筛查出慢性病病人</w:t>
      </w:r>
      <w:r>
        <w:rPr>
          <w:rFonts w:hint="eastAsia" w:ascii="仿宋" w:hAnsi="仿宋" w:eastAsia="仿宋" w:cs="仿宋"/>
          <w:sz w:val="32"/>
          <w:szCs w:val="32"/>
          <w:lang w:val="en-US" w:eastAsia="zh-CN"/>
        </w:rPr>
        <w:t>951</w:t>
      </w:r>
      <w:r>
        <w:rPr>
          <w:rFonts w:hint="eastAsia" w:ascii="仿宋" w:hAnsi="仿宋" w:eastAsia="仿宋" w:cs="仿宋"/>
          <w:sz w:val="32"/>
          <w:szCs w:val="32"/>
        </w:rPr>
        <w:t>人，其中高血压病人</w:t>
      </w:r>
      <w:r>
        <w:rPr>
          <w:rFonts w:hint="eastAsia" w:ascii="仿宋" w:hAnsi="仿宋" w:eastAsia="仿宋" w:cs="仿宋"/>
          <w:sz w:val="32"/>
          <w:szCs w:val="32"/>
          <w:lang w:val="en-US" w:eastAsia="zh-CN"/>
        </w:rPr>
        <w:t>747</w:t>
      </w:r>
      <w:r>
        <w:rPr>
          <w:rFonts w:hint="eastAsia" w:ascii="仿宋" w:hAnsi="仿宋" w:eastAsia="仿宋" w:cs="仿宋"/>
          <w:sz w:val="32"/>
          <w:szCs w:val="32"/>
        </w:rPr>
        <w:t>人，</w:t>
      </w:r>
      <w:r>
        <w:rPr>
          <w:rFonts w:hint="eastAsia" w:ascii="仿宋" w:hAnsi="仿宋" w:eastAsia="仿宋" w:cs="仿宋"/>
          <w:sz w:val="32"/>
          <w:szCs w:val="32"/>
          <w:lang w:val="en-US" w:eastAsia="zh-CN"/>
        </w:rPr>
        <w:t>高血压规范管理率71.14%；</w:t>
      </w:r>
      <w:r>
        <w:rPr>
          <w:rFonts w:hint="eastAsia" w:ascii="仿宋" w:hAnsi="仿宋" w:eastAsia="仿宋" w:cs="仿宋"/>
          <w:sz w:val="32"/>
          <w:szCs w:val="32"/>
        </w:rPr>
        <w:t>Ⅱ型糖尿病病人</w:t>
      </w:r>
      <w:r>
        <w:rPr>
          <w:rFonts w:hint="eastAsia" w:ascii="仿宋" w:hAnsi="仿宋" w:eastAsia="仿宋" w:cs="仿宋"/>
          <w:sz w:val="32"/>
          <w:szCs w:val="32"/>
          <w:lang w:val="en-US" w:eastAsia="zh-CN"/>
        </w:rPr>
        <w:t>135</w:t>
      </w:r>
      <w:r>
        <w:rPr>
          <w:rFonts w:hint="eastAsia" w:ascii="仿宋" w:hAnsi="仿宋" w:eastAsia="仿宋" w:cs="仿宋"/>
          <w:sz w:val="32"/>
          <w:szCs w:val="32"/>
        </w:rPr>
        <w:t>人，</w:t>
      </w:r>
      <w:r>
        <w:rPr>
          <w:rFonts w:hint="eastAsia" w:ascii="仿宋" w:hAnsi="仿宋" w:eastAsia="仿宋" w:cs="仿宋"/>
          <w:sz w:val="32"/>
          <w:szCs w:val="32"/>
          <w:lang w:val="en-US" w:eastAsia="zh-CN"/>
        </w:rPr>
        <w:t>糖尿病规范管理率74.07%，</w:t>
      </w:r>
      <w:r>
        <w:rPr>
          <w:rFonts w:hint="eastAsia" w:ascii="仿宋" w:hAnsi="仿宋" w:eastAsia="仿宋" w:cs="仿宋"/>
          <w:sz w:val="32"/>
          <w:szCs w:val="32"/>
        </w:rPr>
        <w:t>重性精神</w:t>
      </w:r>
      <w:r>
        <w:rPr>
          <w:rFonts w:hint="eastAsia" w:ascii="仿宋" w:hAnsi="仿宋" w:eastAsia="仿宋" w:cs="仿宋"/>
          <w:sz w:val="32"/>
          <w:szCs w:val="32"/>
          <w:lang w:val="en-US" w:eastAsia="zh-CN"/>
        </w:rPr>
        <w:t>障碍患者80</w:t>
      </w:r>
      <w:r>
        <w:rPr>
          <w:rFonts w:hint="eastAsia" w:ascii="仿宋" w:hAnsi="仿宋" w:eastAsia="仿宋" w:cs="仿宋"/>
          <w:sz w:val="32"/>
          <w:szCs w:val="32"/>
        </w:rPr>
        <w:t>人，</w:t>
      </w:r>
      <w:r>
        <w:rPr>
          <w:rFonts w:hint="eastAsia" w:ascii="仿宋" w:hAnsi="仿宋" w:eastAsia="仿宋" w:cs="仿宋"/>
          <w:sz w:val="32"/>
          <w:szCs w:val="32"/>
          <w:lang w:val="en-US" w:eastAsia="zh-CN"/>
        </w:rPr>
        <w:t>全镇有0-6岁儿童681人，孕产妇115人，</w:t>
      </w:r>
      <w:r>
        <w:rPr>
          <w:rFonts w:hint="eastAsia" w:ascii="仿宋" w:hAnsi="仿宋" w:eastAsia="仿宋" w:cs="仿宋"/>
          <w:sz w:val="32"/>
          <w:szCs w:val="32"/>
        </w:rPr>
        <w:t>孕产妇管理率</w:t>
      </w:r>
      <w:r>
        <w:rPr>
          <w:rFonts w:hint="eastAsia" w:ascii="仿宋" w:hAnsi="仿宋" w:eastAsia="仿宋" w:cs="仿宋"/>
          <w:sz w:val="32"/>
          <w:szCs w:val="32"/>
          <w:lang w:val="en-US" w:eastAsia="zh-CN"/>
        </w:rPr>
        <w:t xml:space="preserve">100 </w:t>
      </w:r>
      <w:r>
        <w:rPr>
          <w:rFonts w:hint="eastAsia" w:ascii="仿宋" w:hAnsi="仿宋" w:eastAsia="仿宋" w:cs="仿宋"/>
          <w:sz w:val="32"/>
          <w:szCs w:val="32"/>
        </w:rPr>
        <w:t>%，高危孕产妇</w:t>
      </w:r>
      <w:r>
        <w:rPr>
          <w:rFonts w:hint="eastAsia" w:ascii="仿宋" w:hAnsi="仿宋" w:eastAsia="仿宋" w:cs="仿宋"/>
          <w:sz w:val="32"/>
          <w:szCs w:val="32"/>
          <w:lang w:val="en-US" w:eastAsia="zh-CN"/>
        </w:rPr>
        <w:t>42人，</w:t>
      </w:r>
      <w:r>
        <w:rPr>
          <w:rFonts w:hint="eastAsia" w:ascii="仿宋" w:hAnsi="仿宋" w:eastAsia="仿宋" w:cs="仿宋"/>
          <w:sz w:val="32"/>
          <w:szCs w:val="32"/>
        </w:rPr>
        <w:t>管理率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1-12月推广接种二类疫苗</w:t>
      </w:r>
      <w:r>
        <w:rPr>
          <w:rFonts w:hint="eastAsia" w:ascii="仿宋" w:hAnsi="仿宋" w:eastAsia="仿宋" w:cs="仿宋"/>
          <w:sz w:val="32"/>
          <w:szCs w:val="32"/>
          <w:lang w:val="en-US" w:eastAsia="zh-CN"/>
        </w:rPr>
        <w:t>362</w:t>
      </w:r>
      <w:r>
        <w:rPr>
          <w:rFonts w:hint="eastAsia" w:ascii="仿宋" w:hAnsi="仿宋" w:eastAsia="仿宋" w:cs="仿宋"/>
          <w:sz w:val="32"/>
          <w:szCs w:val="32"/>
        </w:rPr>
        <w:t>人份，召开乡村医生例会12次，开展卫生法律法规及预防接种相关知识培训4次，乡村医生业务理论知识测试4次</w:t>
      </w:r>
      <w:r>
        <w:rPr>
          <w:rFonts w:hint="eastAsia" w:ascii="仿宋" w:hAnsi="仿宋" w:eastAsia="仿宋" w:cs="仿宋"/>
          <w:sz w:val="32"/>
          <w:szCs w:val="32"/>
          <w:lang w:eastAsia="zh-CN"/>
        </w:rPr>
        <w:t>；</w:t>
      </w:r>
      <w:r>
        <w:rPr>
          <w:rFonts w:hint="eastAsia" w:ascii="仿宋" w:hAnsi="仿宋" w:eastAsia="仿宋" w:cs="仿宋"/>
          <w:sz w:val="32"/>
          <w:szCs w:val="32"/>
        </w:rPr>
        <w:t>1-12月份卫生院开展健康教育知识讲座12期</w:t>
      </w:r>
      <w:r>
        <w:rPr>
          <w:rFonts w:hint="eastAsia" w:ascii="仿宋" w:hAnsi="仿宋" w:eastAsia="仿宋" w:cs="仿宋"/>
          <w:sz w:val="32"/>
          <w:szCs w:val="32"/>
          <w:lang w:val="en-US" w:eastAsia="zh-CN"/>
        </w:rPr>
        <w:t>3758人，</w:t>
      </w:r>
      <w:r>
        <w:rPr>
          <w:rFonts w:hint="eastAsia" w:ascii="仿宋" w:hAnsi="仿宋" w:eastAsia="仿宋" w:cs="仿宋"/>
          <w:sz w:val="32"/>
          <w:szCs w:val="32"/>
        </w:rPr>
        <w:t>健康教育咨询活动</w:t>
      </w:r>
      <w:r>
        <w:rPr>
          <w:rFonts w:hint="eastAsia" w:ascii="仿宋" w:hAnsi="仿宋" w:eastAsia="仿宋" w:cs="仿宋"/>
          <w:sz w:val="32"/>
          <w:szCs w:val="32"/>
          <w:lang w:val="en-US" w:eastAsia="zh-CN"/>
        </w:rPr>
        <w:t>10</w:t>
      </w:r>
      <w:r>
        <w:rPr>
          <w:rFonts w:hint="eastAsia" w:ascii="仿宋" w:hAnsi="仿宋" w:eastAsia="仿宋" w:cs="仿宋"/>
          <w:sz w:val="32"/>
          <w:szCs w:val="32"/>
        </w:rPr>
        <w:t>期</w:t>
      </w:r>
      <w:r>
        <w:rPr>
          <w:rFonts w:hint="eastAsia" w:ascii="仿宋" w:hAnsi="仿宋" w:eastAsia="仿宋" w:cs="仿宋"/>
          <w:sz w:val="32"/>
          <w:szCs w:val="32"/>
          <w:lang w:val="en-US" w:eastAsia="zh-CN"/>
        </w:rPr>
        <w:t>3052人</w:t>
      </w:r>
      <w:r>
        <w:rPr>
          <w:rFonts w:hint="eastAsia" w:ascii="仿宋" w:hAnsi="仿宋" w:eastAsia="仿宋" w:cs="仿宋"/>
          <w:sz w:val="32"/>
          <w:szCs w:val="32"/>
        </w:rPr>
        <w:t>，累计发放健康教育宣传材料</w:t>
      </w:r>
      <w:r>
        <w:rPr>
          <w:rFonts w:hint="eastAsia" w:ascii="仿宋" w:hAnsi="仿宋" w:eastAsia="仿宋" w:cs="仿宋"/>
          <w:sz w:val="32"/>
          <w:szCs w:val="32"/>
          <w:lang w:val="en-US" w:eastAsia="zh-CN"/>
        </w:rPr>
        <w:t>15</w:t>
      </w:r>
      <w:r>
        <w:rPr>
          <w:rFonts w:hint="eastAsia" w:ascii="仿宋" w:hAnsi="仿宋" w:eastAsia="仿宋" w:cs="仿宋"/>
          <w:sz w:val="32"/>
          <w:szCs w:val="32"/>
        </w:rPr>
        <w:t>种</w:t>
      </w:r>
      <w:r>
        <w:rPr>
          <w:rFonts w:hint="eastAsia" w:ascii="仿宋" w:hAnsi="仿宋" w:eastAsia="仿宋" w:cs="仿宋"/>
          <w:sz w:val="32"/>
          <w:szCs w:val="32"/>
          <w:lang w:val="en-US" w:eastAsia="zh-CN"/>
        </w:rPr>
        <w:t>1.2万</w:t>
      </w:r>
      <w:r>
        <w:rPr>
          <w:rFonts w:hint="eastAsia" w:ascii="仿宋" w:hAnsi="仿宋" w:eastAsia="仿宋" w:cs="仿宋"/>
          <w:sz w:val="32"/>
          <w:szCs w:val="32"/>
          <w:lang w:eastAsia="zh-CN"/>
        </w:rPr>
        <w:t>多</w:t>
      </w:r>
      <w:r>
        <w:rPr>
          <w:rFonts w:hint="eastAsia" w:ascii="仿宋" w:hAnsi="仿宋" w:eastAsia="仿宋" w:cs="仿宋"/>
          <w:sz w:val="32"/>
          <w:szCs w:val="32"/>
        </w:rPr>
        <w:t>份</w:t>
      </w:r>
      <w:r>
        <w:rPr>
          <w:rFonts w:hint="eastAsia" w:ascii="仿宋" w:hAnsi="仿宋" w:eastAsia="仿宋" w:cs="仿宋"/>
          <w:sz w:val="32"/>
          <w:szCs w:val="32"/>
          <w:lang w:eastAsia="zh-CN"/>
        </w:rPr>
        <w:t>。</w:t>
      </w:r>
      <w:r>
        <w:rPr>
          <w:rFonts w:hint="eastAsia" w:ascii="仿宋_GB2312" w:hAnsi="黑体" w:eastAsia="仿宋_GB2312"/>
          <w:color w:val="000000"/>
          <w:sz w:val="32"/>
          <w:szCs w:val="32"/>
        </w:rPr>
        <w:t>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10"/>
        <w:ind w:firstLine="640" w:firstLineChars="200"/>
        <w:rPr>
          <w:rFonts w:hint="default" w:ascii="仿宋_GB2312" w:hAnsi="黑体" w:eastAsia="仿宋_GB2312" w:cs="Times New Roman"/>
          <w:color w:val="000000"/>
          <w:kern w:val="2"/>
          <w:sz w:val="32"/>
          <w:szCs w:val="32"/>
          <w:lang w:val="en-US" w:eastAsia="zh-CN" w:bidi="ar-SA"/>
        </w:rPr>
      </w:pPr>
      <w:r>
        <w:rPr>
          <w:rFonts w:hint="eastAsia" w:ascii="仿宋_GB2312" w:hAnsi="黑体" w:eastAsia="仿宋_GB2312" w:cs="Times New Roman"/>
          <w:color w:val="000000"/>
          <w:kern w:val="2"/>
          <w:sz w:val="32"/>
          <w:szCs w:val="32"/>
          <w:lang w:val="en-US" w:eastAsia="zh-CN" w:bidi="ar-SA"/>
        </w:rPr>
        <w:t>基本药物制度项目完成情况综述。村卫生室国家基本药物制度覆盖率100%，政府办基层医疗卫生机构基本药物制度覆盖率100%，2022年</w:t>
      </w:r>
      <w:r>
        <w:rPr>
          <w:rFonts w:hint="eastAsia" w:hAnsi="黑体" w:cs="Times New Roman"/>
          <w:color w:val="000000"/>
          <w:kern w:val="2"/>
          <w:sz w:val="32"/>
          <w:szCs w:val="32"/>
          <w:lang w:val="en-US" w:eastAsia="zh-CN" w:bidi="ar-SA"/>
        </w:rPr>
        <w:t>11</w:t>
      </w:r>
      <w:r>
        <w:rPr>
          <w:rFonts w:hint="eastAsia" w:ascii="仿宋_GB2312" w:hAnsi="黑体" w:eastAsia="仿宋_GB2312" w:cs="Times New Roman"/>
          <w:color w:val="000000"/>
          <w:kern w:val="2"/>
          <w:sz w:val="32"/>
          <w:szCs w:val="32"/>
          <w:lang w:val="en-US" w:eastAsia="zh-CN" w:bidi="ar-SA"/>
        </w:rPr>
        <w:t>个村卫生室全面实施国家基本药物制度，确保基本药物制度的实施，保障药品安全、有效、经济，解决了老百姓看病贵的问题，稳定了乡村医生收入</w:t>
      </w:r>
      <w:r>
        <w:rPr>
          <w:rFonts w:hint="eastAsia" w:hAnsi="黑体" w:cs="Times New Roman"/>
          <w:color w:val="000000"/>
          <w:kern w:val="2"/>
          <w:sz w:val="32"/>
          <w:szCs w:val="32"/>
          <w:lang w:val="en-US" w:eastAsia="zh-CN" w:bidi="ar-SA"/>
        </w:rPr>
        <w:t>，</w:t>
      </w:r>
      <w:r>
        <w:rPr>
          <w:rFonts w:hint="eastAsia" w:ascii="仿宋_GB2312" w:hAnsi="仿宋_GB2312" w:eastAsia="仿宋_GB2312" w:cs="仿宋_GB2312"/>
          <w:sz w:val="32"/>
          <w:szCs w:val="32"/>
          <w:lang w:eastAsia="zh-CN"/>
        </w:rPr>
        <w:t>针对专项资金的使用，我局严格按照中央、省、市专项资金管理办法加强对资金的使用和管理，并出台了昭化区卫</w:t>
      </w:r>
      <w:r>
        <w:rPr>
          <w:rFonts w:hint="eastAsia" w:ascii="仿宋_GB2312" w:hAnsi="仿宋_GB2312" w:eastAsia="仿宋_GB2312" w:cs="仿宋_GB2312"/>
          <w:sz w:val="32"/>
          <w:szCs w:val="32"/>
          <w:lang w:val="en-US" w:eastAsia="zh-CN"/>
        </w:rPr>
        <w:t>健</w:t>
      </w:r>
      <w:r>
        <w:rPr>
          <w:rFonts w:hint="eastAsia" w:ascii="仿宋_GB2312" w:hAnsi="仿宋_GB2312" w:eastAsia="仿宋_GB2312" w:cs="仿宋_GB2312"/>
          <w:sz w:val="32"/>
          <w:szCs w:val="32"/>
          <w:lang w:eastAsia="zh-CN"/>
        </w:rPr>
        <w:t>局专项资金使用管理办法。资金下拨到各项目单位后，计划财务股严格执行项目跟踪，对项目使用情况进行监督管理，</w:t>
      </w:r>
      <w:r>
        <w:rPr>
          <w:rFonts w:hint="eastAsia" w:ascii="仿宋_GB2312" w:hAnsi="仿宋_GB2312" w:cs="仿宋_GB2312"/>
          <w:sz w:val="32"/>
          <w:szCs w:val="32"/>
          <w:lang w:val="en-US" w:eastAsia="zh-CN"/>
        </w:rPr>
        <w:t>同时要求各卫生院对村卫生室基本药物补助必须考核发放到位，没有出现挪用现象。</w:t>
      </w:r>
    </w:p>
    <w:p>
      <w:pPr>
        <w:pStyle w:val="10"/>
        <w:numPr>
          <w:ilvl w:val="0"/>
          <w:numId w:val="0"/>
        </w:numPr>
        <w:ind w:firstLine="640" w:firstLineChars="200"/>
        <w:rPr>
          <w:rFonts w:hint="eastAsia" w:ascii="仿宋_GB2312" w:eastAsia="仿宋_GB2312"/>
          <w:color w:val="000000"/>
          <w:sz w:val="32"/>
          <w:szCs w:val="32"/>
          <w:lang w:eastAsia="zh-CN"/>
        </w:rPr>
      </w:pPr>
      <w:r>
        <w:rPr>
          <w:rFonts w:hint="eastAsia"/>
          <w:color w:val="000000"/>
          <w:sz w:val="32"/>
          <w:szCs w:val="32"/>
          <w:lang w:val="en-US" w:eastAsia="zh-CN"/>
        </w:rPr>
        <w:t>二类疫苗服务费绩效评价</w:t>
      </w:r>
      <w:r>
        <w:rPr>
          <w:rFonts w:hint="eastAsia" w:ascii="仿宋_GB2312" w:eastAsia="仿宋_GB2312"/>
          <w:color w:val="000000"/>
          <w:sz w:val="32"/>
          <w:szCs w:val="32"/>
          <w:lang w:val="en-US" w:eastAsia="zh-CN"/>
        </w:rPr>
        <w:t xml:space="preserve"> </w:t>
      </w:r>
      <w:r>
        <w:rPr>
          <w:rFonts w:hint="eastAsia"/>
          <w:color w:val="000000"/>
          <w:sz w:val="32"/>
          <w:szCs w:val="32"/>
          <w:lang w:val="en-US" w:eastAsia="zh-CN"/>
        </w:rPr>
        <w:t>，</w:t>
      </w:r>
      <w:r>
        <w:rPr>
          <w:rFonts w:hint="eastAsia" w:ascii="仿宋_GB2312" w:eastAsia="仿宋_GB2312"/>
          <w:color w:val="000000"/>
          <w:sz w:val="32"/>
          <w:szCs w:val="32"/>
        </w:rPr>
        <w:t>《四川省发展和改革委员会四川省财政厅关于疫苗预防接种服务收费标准及有关问题的通知》（川发改价格〔2018〕331号）制定了我省非免疫规划疫苗预防接种服务费收费标准，试行期2年。从试行情况看，该收费政策对加强我省非免疫规划疫苗接种管理，规范收费行为起到了积极作用。结合试行期收支情况和国家相关文件精神</w:t>
      </w:r>
      <w:r>
        <w:rPr>
          <w:rFonts w:hint="eastAsia" w:ascii="仿宋_GB2312" w:eastAsia="仿宋_GB2312"/>
          <w:color w:val="000000"/>
          <w:sz w:val="32"/>
          <w:szCs w:val="32"/>
          <w:lang w:eastAsia="zh-CN"/>
        </w:rPr>
        <w:t>，</w:t>
      </w:r>
      <w:r>
        <w:rPr>
          <w:rFonts w:hint="eastAsia" w:ascii="仿宋_GB2312" w:eastAsia="仿宋_GB2312"/>
          <w:color w:val="000000"/>
          <w:sz w:val="32"/>
          <w:szCs w:val="32"/>
        </w:rPr>
        <w:t>非免疫规划疫苗预防接种服务费收费属行政事业性收费，</w:t>
      </w:r>
      <w:r>
        <w:rPr>
          <w:rFonts w:hint="eastAsia" w:ascii="仿宋_GB2312" w:eastAsia="仿宋_GB2312"/>
          <w:color w:val="000000"/>
          <w:sz w:val="32"/>
          <w:szCs w:val="32"/>
          <w:lang w:eastAsia="zh-CN"/>
        </w:rPr>
        <w:t>我单位</w:t>
      </w:r>
      <w:r>
        <w:rPr>
          <w:rFonts w:hint="eastAsia" w:ascii="仿宋_GB2312" w:eastAsia="仿宋_GB2312"/>
          <w:color w:val="000000"/>
          <w:sz w:val="32"/>
          <w:szCs w:val="32"/>
        </w:rPr>
        <w:t>按规定做好收费公示工作，在门户网站、收费场所醒目位置公示收费项目、收费性质、收费标准、收费依据和价格监督电话等信息，接受社会监督。</w:t>
      </w:r>
      <w:r>
        <w:rPr>
          <w:rFonts w:hint="eastAsia"/>
          <w:color w:val="000000"/>
          <w:sz w:val="32"/>
          <w:szCs w:val="32"/>
          <w:lang w:eastAsia="zh-CN"/>
        </w:rPr>
        <w:t>我单位</w:t>
      </w:r>
      <w:r>
        <w:rPr>
          <w:rFonts w:hint="eastAsia" w:ascii="仿宋_GB2312" w:eastAsia="仿宋_GB2312"/>
          <w:color w:val="000000"/>
          <w:sz w:val="32"/>
          <w:szCs w:val="32"/>
        </w:rPr>
        <w:t>使用省级财政监（印）制的财政票据，收费收入全额上缴地方国库，纳入财政预算管理。</w:t>
      </w:r>
    </w:p>
    <w:p>
      <w:pPr>
        <w:pStyle w:val="10"/>
        <w:numPr>
          <w:ilvl w:val="0"/>
          <w:numId w:val="0"/>
        </w:numPr>
        <w:ind w:left="0" w:leftChars="0"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我单位</w:t>
      </w:r>
      <w:r>
        <w:rPr>
          <w:rFonts w:hint="eastAsia" w:ascii="仿宋_GB2312" w:eastAsia="仿宋_GB2312"/>
          <w:color w:val="000000"/>
          <w:sz w:val="32"/>
          <w:szCs w:val="32"/>
        </w:rPr>
        <w:t>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按要求对</w:t>
      </w:r>
      <w:r>
        <w:rPr>
          <w:rFonts w:hint="eastAsia" w:ascii="仿宋_GB2312" w:hAnsi="仿宋_GB2312" w:eastAsia="仿宋_GB2312" w:cs="仿宋_GB2312"/>
          <w:sz w:val="32"/>
          <w:szCs w:val="32"/>
          <w:lang w:eastAsia="zh-CN"/>
        </w:rPr>
        <w:t>202</w:t>
      </w:r>
      <w:r>
        <w:rPr>
          <w:rFonts w:hint="eastAsia" w:hAnsi="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整体支出开展绩效自评，</w:t>
      </w:r>
      <w:r>
        <w:rPr>
          <w:rFonts w:hint="eastAsia" w:ascii="仿宋_GB2312" w:eastAsia="仿宋_GB2312"/>
          <w:color w:val="000000"/>
          <w:sz w:val="32"/>
          <w:szCs w:val="32"/>
        </w:rPr>
        <w:t>从评价情况来看未发现虚列支出，所有财政资金支出均履行了严格审批手续，未发现挤占、挪用、转移财政资金行为。基本支出严格执行国家有关政策及规定，无擅自扩大开支范围</w:t>
      </w:r>
      <w:r>
        <w:rPr>
          <w:rFonts w:hint="eastAsia" w:ascii="仿宋_GB2312" w:eastAsia="仿宋_GB2312"/>
          <w:color w:val="000000"/>
          <w:sz w:val="32"/>
          <w:szCs w:val="32"/>
          <w:lang w:eastAsia="zh-CN"/>
        </w:rPr>
        <w:t>和</w:t>
      </w:r>
      <w:r>
        <w:rPr>
          <w:rFonts w:hint="eastAsia" w:ascii="仿宋_GB2312" w:eastAsia="仿宋_GB2312"/>
          <w:color w:val="000000"/>
          <w:sz w:val="32"/>
          <w:szCs w:val="32"/>
        </w:rPr>
        <w:t>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w:t>
      </w:r>
      <w:r>
        <w:rPr>
          <w:rFonts w:hint="eastAsia" w:ascii="仿宋_GB2312" w:eastAsia="仿宋_GB2312"/>
          <w:color w:val="000000"/>
          <w:sz w:val="32"/>
          <w:szCs w:val="32"/>
          <w:lang w:eastAsia="zh-CN"/>
        </w:rPr>
        <w:t>有</w:t>
      </w:r>
      <w:r>
        <w:rPr>
          <w:rFonts w:hint="eastAsia" w:ascii="仿宋_GB2312" w:eastAsia="仿宋_GB2312"/>
          <w:color w:val="000000"/>
          <w:sz w:val="32"/>
          <w:szCs w:val="32"/>
        </w:rPr>
        <w:t>资金对外借、贷款问题。本</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ageBreakBefore w:val="0"/>
        <w:wordWrap/>
        <w:overflowPunct/>
        <w:topLinePunct w:val="0"/>
        <w:bidi w:val="0"/>
        <w:snapToGrid w:val="0"/>
        <w:spacing w:line="580" w:lineRule="exact"/>
        <w:ind w:firstLine="640" w:firstLineChars="200"/>
        <w:rPr>
          <w:rFonts w:hint="eastAsia" w:ascii="仿宋" w:hAnsi="仿宋" w:eastAsia="仿宋" w:cs="Times New Roman"/>
          <w:kern w:val="2"/>
          <w:sz w:val="32"/>
          <w:szCs w:val="32"/>
          <w:lang w:val="en-US" w:eastAsia="zh-CN" w:bidi="ar-SA"/>
        </w:rPr>
      </w:pPr>
    </w:p>
    <w:p>
      <w:pPr>
        <w:pStyle w:val="10"/>
        <w:rPr>
          <w:rFonts w:hint="eastAsia" w:ascii="仿宋" w:hAnsi="仿宋" w:eastAsia="仿宋" w:cs="Times New Roman"/>
          <w:kern w:val="2"/>
          <w:sz w:val="32"/>
          <w:szCs w:val="32"/>
          <w:lang w:val="en-US" w:eastAsia="zh-CN" w:bidi="ar-SA"/>
        </w:rPr>
      </w:pPr>
    </w:p>
    <w:p>
      <w:pPr>
        <w:rPr>
          <w:rFonts w:hint="eastAsia" w:ascii="仿宋" w:hAnsi="仿宋" w:eastAsia="仿宋" w:cs="Times New Roman"/>
          <w:kern w:val="2"/>
          <w:sz w:val="32"/>
          <w:szCs w:val="32"/>
          <w:lang w:val="en-US" w:eastAsia="zh-CN" w:bidi="ar-SA"/>
        </w:rPr>
      </w:pPr>
    </w:p>
    <w:p>
      <w:pPr>
        <w:pStyle w:val="10"/>
        <w:rPr>
          <w:rFonts w:hint="eastAsia" w:ascii="仿宋" w:hAnsi="仿宋" w:eastAsia="仿宋" w:cs="Times New Roman"/>
          <w:kern w:val="2"/>
          <w:sz w:val="32"/>
          <w:szCs w:val="32"/>
          <w:lang w:val="en-US" w:eastAsia="zh-CN" w:bidi="ar-SA"/>
        </w:rPr>
      </w:pPr>
    </w:p>
    <w:p>
      <w:pPr>
        <w:rPr>
          <w:rFonts w:hint="eastAsia" w:ascii="仿宋" w:hAnsi="仿宋" w:eastAsia="仿宋" w:cs="Times New Roman"/>
          <w:kern w:val="2"/>
          <w:sz w:val="32"/>
          <w:szCs w:val="32"/>
          <w:lang w:val="en-US" w:eastAsia="zh-CN" w:bidi="ar-SA"/>
        </w:rPr>
      </w:pPr>
    </w:p>
    <w:p>
      <w:pPr>
        <w:pStyle w:val="10"/>
        <w:rPr>
          <w:rFonts w:hint="eastAsia" w:ascii="仿宋" w:hAnsi="仿宋" w:eastAsia="仿宋" w:cs="Times New Roman"/>
          <w:kern w:val="2"/>
          <w:sz w:val="32"/>
          <w:szCs w:val="32"/>
          <w:lang w:val="en-US" w:eastAsia="zh-CN" w:bidi="ar-SA"/>
        </w:rPr>
      </w:pPr>
    </w:p>
    <w:p>
      <w:pPr>
        <w:rPr>
          <w:rFonts w:hint="eastAsia" w:ascii="仿宋" w:hAnsi="仿宋" w:eastAsia="仿宋" w:cs="Times New Roman"/>
          <w:kern w:val="2"/>
          <w:sz w:val="32"/>
          <w:szCs w:val="32"/>
          <w:lang w:val="en-US" w:eastAsia="zh-CN" w:bidi="ar-SA"/>
        </w:rPr>
      </w:pPr>
    </w:p>
    <w:p>
      <w:pPr>
        <w:pStyle w:val="10"/>
        <w:rPr>
          <w:rFonts w:hint="eastAsia" w:ascii="仿宋" w:hAnsi="仿宋" w:eastAsia="仿宋" w:cs="Times New Roman"/>
          <w:kern w:val="2"/>
          <w:sz w:val="32"/>
          <w:szCs w:val="32"/>
          <w:lang w:val="en-US" w:eastAsia="zh-CN" w:bidi="ar-SA"/>
        </w:rPr>
      </w:pPr>
    </w:p>
    <w:p>
      <w:pPr>
        <w:rPr>
          <w:rFonts w:hint="eastAsia" w:ascii="仿宋" w:hAnsi="仿宋" w:eastAsia="仿宋" w:cs="Times New Roman"/>
          <w:kern w:val="2"/>
          <w:sz w:val="32"/>
          <w:szCs w:val="32"/>
          <w:lang w:val="en-US" w:eastAsia="zh-CN" w:bidi="ar-SA"/>
        </w:rPr>
      </w:pPr>
    </w:p>
    <w:p>
      <w:pPr>
        <w:pStyle w:val="10"/>
        <w:rPr>
          <w:rFonts w:hint="eastAsia" w:ascii="仿宋" w:hAnsi="仿宋" w:eastAsia="仿宋" w:cs="Times New Roman"/>
          <w:kern w:val="2"/>
          <w:sz w:val="32"/>
          <w:szCs w:val="32"/>
          <w:lang w:val="en-US" w:eastAsia="zh-CN" w:bidi="ar-SA"/>
        </w:rPr>
      </w:pPr>
    </w:p>
    <w:p>
      <w:pPr>
        <w:rPr>
          <w:rFonts w:hint="eastAsia" w:ascii="仿宋" w:hAnsi="仿宋" w:eastAsia="仿宋" w:cs="Times New Roman"/>
          <w:kern w:val="2"/>
          <w:sz w:val="32"/>
          <w:szCs w:val="32"/>
          <w:lang w:val="en-US" w:eastAsia="zh-CN" w:bidi="ar-SA"/>
        </w:rPr>
      </w:pPr>
    </w:p>
    <w:p>
      <w:pPr>
        <w:pStyle w:val="10"/>
        <w:rPr>
          <w:rFonts w:hint="eastAsia" w:ascii="仿宋" w:hAnsi="仿宋" w:eastAsia="仿宋" w:cs="Times New Roman"/>
          <w:kern w:val="2"/>
          <w:sz w:val="32"/>
          <w:szCs w:val="32"/>
          <w:lang w:val="en-US" w:eastAsia="zh-CN" w:bidi="ar-SA"/>
        </w:rPr>
      </w:pPr>
    </w:p>
    <w:p>
      <w:pPr>
        <w:rPr>
          <w:rFonts w:hint="eastAsia" w:ascii="仿宋" w:hAnsi="仿宋" w:eastAsia="仿宋" w:cs="Times New Roman"/>
          <w:kern w:val="2"/>
          <w:sz w:val="32"/>
          <w:szCs w:val="32"/>
          <w:lang w:val="en-US" w:eastAsia="zh-CN" w:bidi="ar-SA"/>
        </w:rPr>
      </w:pPr>
    </w:p>
    <w:p>
      <w:pPr>
        <w:pStyle w:val="10"/>
        <w:rPr>
          <w:rFonts w:hint="eastAsia"/>
          <w:lang w:val="en-US" w:eastAsia="zh-CN"/>
        </w:rPr>
      </w:pPr>
    </w:p>
    <w:p>
      <w:pPr>
        <w:pageBreakBefore w:val="0"/>
        <w:numPr>
          <w:ilvl w:val="0"/>
          <w:numId w:val="4"/>
        </w:numPr>
        <w:wordWrap/>
        <w:overflowPunct/>
        <w:topLinePunct w:val="0"/>
        <w:bidi w:val="0"/>
        <w:spacing w:line="580" w:lineRule="exact"/>
        <w:ind w:firstLine="660" w:firstLineChars="150"/>
        <w:jc w:val="center"/>
        <w:outlineLvl w:val="0"/>
        <w:rPr>
          <w:rFonts w:ascii="宋体"/>
          <w:b/>
          <w:color w:val="000000"/>
          <w:sz w:val="44"/>
          <w:szCs w:val="44"/>
        </w:rPr>
      </w:pPr>
      <w:bookmarkStart w:id="124" w:name="_Toc15880"/>
      <w:bookmarkStart w:id="125" w:name="_Toc15377225"/>
      <w:bookmarkStart w:id="126" w:name="_Toc32370"/>
      <w:bookmarkStart w:id="127" w:name="_Toc15396613"/>
      <w:r>
        <w:rPr>
          <w:rFonts w:hint="eastAsia" w:ascii="黑体" w:hAnsi="黑体" w:eastAsia="黑体"/>
          <w:color w:val="000000"/>
          <w:sz w:val="44"/>
          <w:szCs w:val="44"/>
        </w:rPr>
        <w:t>名</w:t>
      </w:r>
      <w:r>
        <w:rPr>
          <w:rStyle w:val="12"/>
          <w:rFonts w:hint="eastAsia" w:ascii="黑体" w:hAnsi="黑体" w:eastAsia="黑体"/>
          <w:b w:val="0"/>
        </w:rPr>
        <w:t>词解释</w:t>
      </w:r>
      <w:bookmarkEnd w:id="124"/>
      <w:bookmarkEnd w:id="125"/>
      <w:bookmarkEnd w:id="126"/>
      <w:bookmarkEnd w:id="127"/>
    </w:p>
    <w:p>
      <w:pPr>
        <w:pStyle w:val="36"/>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w:t>
      </w:r>
      <w:r>
        <w:rPr>
          <w:rFonts w:hint="eastAsia" w:ascii="仿宋_GB2312" w:eastAsia="仿宋_GB2312"/>
          <w:sz w:val="32"/>
          <w:szCs w:val="32"/>
          <w:lang w:eastAsia="zh-CN"/>
        </w:rPr>
        <w:t>单位</w:t>
      </w:r>
      <w:r>
        <w:rPr>
          <w:rFonts w:hint="eastAsia" w:ascii="仿宋_GB2312" w:eastAsia="仿宋_GB2312"/>
          <w:sz w:val="32"/>
          <w:szCs w:val="32"/>
        </w:rPr>
        <w:t>取得的</w:t>
      </w:r>
      <w:r>
        <w:rPr>
          <w:rFonts w:hint="eastAsia" w:ascii="仿宋_GB2312" w:eastAsia="仿宋_GB2312"/>
          <w:sz w:val="32"/>
          <w:szCs w:val="32"/>
          <w:lang w:eastAsia="zh-CN"/>
        </w:rPr>
        <w:t>各类拨款</w:t>
      </w:r>
      <w:r>
        <w:rPr>
          <w:rFonts w:hint="eastAsia" w:ascii="仿宋_GB2312" w:eastAsia="仿宋_GB2312"/>
          <w:sz w:val="32"/>
          <w:szCs w:val="32"/>
        </w:rPr>
        <w:t>。</w:t>
      </w:r>
    </w:p>
    <w:p>
      <w:pPr>
        <w:pStyle w:val="36"/>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w:t>
      </w:r>
      <w:r>
        <w:rPr>
          <w:rFonts w:hint="eastAsia" w:ascii="仿宋_GB2312" w:eastAsia="仿宋_GB2312"/>
          <w:sz w:val="32"/>
          <w:szCs w:val="32"/>
          <w:lang w:eastAsia="zh-CN"/>
        </w:rPr>
        <w:t>区人民医院、区</w:t>
      </w:r>
      <w:r>
        <w:rPr>
          <w:rFonts w:hint="eastAsia" w:ascii="仿宋_GB2312" w:eastAsia="仿宋_GB2312"/>
          <w:sz w:val="32"/>
          <w:szCs w:val="32"/>
        </w:rPr>
        <w:t>妇幼保健计</w:t>
      </w:r>
      <w:r>
        <w:rPr>
          <w:rFonts w:hint="eastAsia" w:ascii="仿宋_GB2312" w:eastAsia="仿宋_GB2312"/>
          <w:sz w:val="32"/>
          <w:szCs w:val="32"/>
          <w:lang w:eastAsia="zh-CN"/>
        </w:rPr>
        <w:t>划</w:t>
      </w:r>
      <w:r>
        <w:rPr>
          <w:rFonts w:hint="eastAsia" w:ascii="仿宋_GB2312" w:eastAsia="仿宋_GB2312"/>
          <w:sz w:val="32"/>
          <w:szCs w:val="32"/>
        </w:rPr>
        <w:t>生育服务中心</w:t>
      </w:r>
      <w:r>
        <w:rPr>
          <w:rFonts w:hint="eastAsia" w:ascii="仿宋_GB2312" w:eastAsia="仿宋_GB2312"/>
          <w:sz w:val="32"/>
          <w:szCs w:val="32"/>
          <w:lang w:eastAsia="zh-CN"/>
        </w:rPr>
        <w:t>、区中医医院、乡镇卫生院医疗收入</w:t>
      </w:r>
      <w:r>
        <w:rPr>
          <w:rFonts w:hint="eastAsia" w:ascii="仿宋_GB2312" w:eastAsia="仿宋_GB2312"/>
          <w:sz w:val="32"/>
          <w:szCs w:val="32"/>
        </w:rPr>
        <w:t>等。</w:t>
      </w:r>
    </w:p>
    <w:p>
      <w:pPr>
        <w:pStyle w:val="36"/>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其他收入：指单位取得的除上述收入以外的各项收入。主要是</w:t>
      </w:r>
      <w:r>
        <w:rPr>
          <w:rFonts w:hint="eastAsia" w:ascii="仿宋_GB2312" w:eastAsia="仿宋_GB2312"/>
          <w:sz w:val="32"/>
          <w:szCs w:val="32"/>
          <w:lang w:eastAsia="zh-CN"/>
        </w:rPr>
        <w:t>利息收入</w:t>
      </w:r>
      <w:r>
        <w:rPr>
          <w:rFonts w:hint="eastAsia" w:ascii="仿宋_GB2312" w:eastAsia="仿宋_GB2312"/>
          <w:sz w:val="32"/>
          <w:szCs w:val="32"/>
        </w:rPr>
        <w:t>等。</w:t>
      </w:r>
    </w:p>
    <w:p>
      <w:pPr>
        <w:pStyle w:val="36"/>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6"/>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p>
    <w:p>
      <w:pPr>
        <w:pStyle w:val="36"/>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lang w:eastAsia="zh-CN"/>
        </w:rPr>
        <w:t>本年盈余</w:t>
      </w:r>
      <w:r>
        <w:rPr>
          <w:rFonts w:hint="eastAsia" w:ascii="仿宋_GB2312" w:eastAsia="仿宋_GB2312"/>
          <w:sz w:val="32"/>
          <w:szCs w:val="32"/>
        </w:rPr>
        <w:t>分配：指事业单位按照</w:t>
      </w:r>
      <w:r>
        <w:rPr>
          <w:rFonts w:hint="eastAsia" w:ascii="仿宋_GB2312" w:eastAsia="仿宋_GB2312"/>
          <w:sz w:val="32"/>
          <w:szCs w:val="32"/>
          <w:lang w:eastAsia="zh-CN"/>
        </w:rPr>
        <w:t>政府</w:t>
      </w:r>
      <w:r>
        <w:rPr>
          <w:rFonts w:hint="eastAsia" w:ascii="仿宋_GB2312" w:eastAsia="仿宋_GB2312"/>
          <w:sz w:val="32"/>
          <w:szCs w:val="32"/>
        </w:rPr>
        <w:t>会计制度的规定从非财政</w:t>
      </w:r>
      <w:r>
        <w:rPr>
          <w:rFonts w:hint="eastAsia" w:ascii="仿宋_GB2312" w:eastAsia="仿宋_GB2312"/>
          <w:sz w:val="32"/>
          <w:szCs w:val="32"/>
          <w:lang w:eastAsia="zh-CN"/>
        </w:rPr>
        <w:t>拨款</w:t>
      </w:r>
      <w:r>
        <w:rPr>
          <w:rFonts w:hint="eastAsia" w:ascii="仿宋_GB2312" w:eastAsia="仿宋_GB2312"/>
          <w:sz w:val="32"/>
          <w:szCs w:val="32"/>
        </w:rPr>
        <w:t>结余</w:t>
      </w:r>
      <w:r>
        <w:rPr>
          <w:rFonts w:hint="eastAsia" w:ascii="仿宋_GB2312" w:eastAsia="仿宋_GB2312"/>
          <w:sz w:val="32"/>
          <w:szCs w:val="32"/>
          <w:lang w:eastAsia="zh-CN"/>
        </w:rPr>
        <w:t>或事业结余</w:t>
      </w:r>
      <w:r>
        <w:rPr>
          <w:rFonts w:hint="eastAsia" w:ascii="仿宋_GB2312" w:eastAsia="仿宋_GB2312"/>
          <w:sz w:val="32"/>
          <w:szCs w:val="32"/>
        </w:rPr>
        <w:t>中</w:t>
      </w:r>
      <w:r>
        <w:rPr>
          <w:rFonts w:hint="eastAsia" w:ascii="仿宋_GB2312" w:eastAsia="仿宋_GB2312"/>
          <w:sz w:val="32"/>
          <w:szCs w:val="32"/>
          <w:lang w:eastAsia="zh-CN"/>
        </w:rPr>
        <w:t>提取</w:t>
      </w:r>
      <w:r>
        <w:rPr>
          <w:rFonts w:hint="eastAsia" w:ascii="仿宋_GB2312" w:eastAsia="仿宋_GB2312"/>
          <w:sz w:val="32"/>
          <w:szCs w:val="32"/>
        </w:rPr>
        <w:t>的</w:t>
      </w:r>
      <w:r>
        <w:rPr>
          <w:rFonts w:hint="eastAsia" w:ascii="仿宋_GB2312" w:eastAsia="仿宋_GB2312"/>
          <w:sz w:val="32"/>
          <w:szCs w:val="32"/>
          <w:lang w:eastAsia="zh-CN"/>
        </w:rPr>
        <w:t>奖励</w:t>
      </w:r>
      <w:r>
        <w:rPr>
          <w:rFonts w:hint="eastAsia" w:ascii="仿宋_GB2312" w:eastAsia="仿宋_GB2312"/>
          <w:sz w:val="32"/>
          <w:szCs w:val="32"/>
        </w:rPr>
        <w:t>基金和职工福利基金等。</w:t>
      </w:r>
    </w:p>
    <w:p>
      <w:pPr>
        <w:pStyle w:val="36"/>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年末结转和结余：指单位按有关规定结转到下年或以后年度继续使用的资金。</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仿宋_GB2312" w:eastAsia="仿宋_GB2312"/>
          <w:b w:val="0"/>
          <w:bCs w:val="0"/>
          <w:sz w:val="32"/>
          <w:szCs w:val="32"/>
          <w:lang w:eastAsia="zh-CN"/>
        </w:rPr>
      </w:pPr>
      <w:r>
        <w:rPr>
          <w:rFonts w:hint="eastAsia" w:ascii="仿宋_GB2312" w:eastAsia="仿宋_GB2312"/>
          <w:b w:val="0"/>
          <w:bCs w:val="0"/>
          <w:color w:val="000000"/>
          <w:sz w:val="32"/>
          <w:szCs w:val="32"/>
          <w:lang w:val="en-US" w:eastAsia="zh-CN"/>
        </w:rPr>
        <w:t>8</w:t>
      </w:r>
      <w:r>
        <w:rPr>
          <w:rFonts w:hint="eastAsia" w:ascii="仿宋_GB2312" w:eastAsia="仿宋_GB2312"/>
          <w:b w:val="0"/>
          <w:bCs w:val="0"/>
          <w:color w:val="000000"/>
          <w:sz w:val="32"/>
          <w:szCs w:val="32"/>
        </w:rPr>
        <w:t>.</w:t>
      </w:r>
      <w:r>
        <w:rPr>
          <w:rFonts w:hint="eastAsia" w:ascii="仿宋" w:hAnsi="仿宋" w:eastAsia="仿宋"/>
          <w:b w:val="0"/>
          <w:bCs w:val="0"/>
          <w:color w:val="000000"/>
          <w:sz w:val="32"/>
          <w:szCs w:val="32"/>
        </w:rPr>
        <w:t>卫生健康支出</w:t>
      </w:r>
      <w:r>
        <w:rPr>
          <w:rStyle w:val="28"/>
          <w:rFonts w:hint="eastAsia" w:ascii="仿宋" w:hAnsi="仿宋" w:eastAsia="仿宋"/>
          <w:b w:val="0"/>
          <w:bCs w:val="0"/>
          <w:color w:val="000000"/>
          <w:sz w:val="32"/>
          <w:szCs w:val="32"/>
        </w:rPr>
        <w:t>（类）卫生健康管理事务（款）行政运行（项）</w:t>
      </w:r>
      <w:r>
        <w:rPr>
          <w:rFonts w:hint="eastAsia" w:ascii="仿宋_GB2312" w:eastAsia="仿宋_GB2312"/>
          <w:b w:val="0"/>
          <w:bCs w:val="0"/>
          <w:color w:val="000000"/>
          <w:sz w:val="32"/>
          <w:szCs w:val="32"/>
        </w:rPr>
        <w:t>：指反映行政单位的基本支出；</w:t>
      </w:r>
      <w:r>
        <w:rPr>
          <w:rFonts w:hint="eastAsia" w:ascii="仿宋" w:hAnsi="仿宋" w:eastAsia="仿宋"/>
          <w:b w:val="0"/>
          <w:bCs w:val="0"/>
          <w:color w:val="000000"/>
          <w:sz w:val="32"/>
          <w:szCs w:val="32"/>
        </w:rPr>
        <w:t>卫生健康支出</w:t>
      </w:r>
      <w:r>
        <w:rPr>
          <w:rFonts w:hint="eastAsia" w:ascii="仿宋_GB2312" w:eastAsia="仿宋_GB2312"/>
          <w:b w:val="0"/>
          <w:bCs w:val="0"/>
          <w:color w:val="000000"/>
          <w:sz w:val="32"/>
          <w:szCs w:val="32"/>
          <w:highlight w:val="none"/>
          <w:lang w:val="en-US" w:eastAsia="zh-CN"/>
        </w:rPr>
        <w:t>(类)</w:t>
      </w:r>
      <w:r>
        <w:rPr>
          <w:rFonts w:hint="eastAsia" w:ascii="仿宋_GB2312" w:eastAsia="仿宋_GB2312"/>
          <w:b w:val="0"/>
          <w:bCs w:val="0"/>
          <w:color w:val="000000"/>
          <w:sz w:val="32"/>
          <w:szCs w:val="32"/>
          <w:highlight w:val="none"/>
        </w:rPr>
        <w:t>公立医院</w:t>
      </w:r>
      <w:r>
        <w:rPr>
          <w:rFonts w:hint="eastAsia" w:ascii="仿宋_GB2312" w:eastAsia="仿宋_GB2312"/>
          <w:b w:val="0"/>
          <w:bCs w:val="0"/>
          <w:color w:val="000000"/>
          <w:sz w:val="32"/>
          <w:szCs w:val="32"/>
          <w:highlight w:val="none"/>
          <w:lang w:eastAsia="zh-CN"/>
        </w:rPr>
        <w:t>（款）</w:t>
      </w:r>
      <w:r>
        <w:rPr>
          <w:rStyle w:val="28"/>
          <w:rFonts w:hint="eastAsia" w:ascii="仿宋_GB2312" w:eastAsia="仿宋_GB2312"/>
          <w:b w:val="0"/>
          <w:bCs w:val="0"/>
          <w:color w:val="000000"/>
          <w:sz w:val="32"/>
          <w:szCs w:val="32"/>
          <w:highlight w:val="none"/>
        </w:rPr>
        <w:t>中医（民族）医院（</w:t>
      </w:r>
      <w:r>
        <w:rPr>
          <w:rStyle w:val="28"/>
          <w:rFonts w:hint="eastAsia" w:ascii="仿宋_GB2312" w:eastAsia="仿宋_GB2312"/>
          <w:b w:val="0"/>
          <w:bCs w:val="0"/>
          <w:color w:val="000000"/>
          <w:sz w:val="32"/>
          <w:szCs w:val="32"/>
          <w:highlight w:val="none"/>
          <w:lang w:eastAsia="zh-CN"/>
        </w:rPr>
        <w:t>项</w:t>
      </w:r>
      <w:r>
        <w:rPr>
          <w:rStyle w:val="2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：指反映</w:t>
      </w:r>
      <w:r>
        <w:rPr>
          <w:rFonts w:hint="eastAsia" w:ascii="仿宋" w:hAnsi="仿宋" w:eastAsia="仿宋"/>
          <w:b w:val="0"/>
          <w:bCs w:val="0"/>
          <w:color w:val="000000"/>
          <w:sz w:val="32"/>
          <w:szCs w:val="32"/>
        </w:rPr>
        <w:t>卫生健康</w:t>
      </w:r>
      <w:r>
        <w:rPr>
          <w:rFonts w:hint="eastAsia" w:ascii="仿宋" w:hAnsi="仿宋" w:eastAsia="仿宋"/>
          <w:b w:val="0"/>
          <w:bCs w:val="0"/>
          <w:color w:val="000000"/>
          <w:sz w:val="32"/>
          <w:szCs w:val="32"/>
          <w:lang w:eastAsia="zh-CN"/>
        </w:rPr>
        <w:t>单位</w:t>
      </w:r>
      <w:r>
        <w:rPr>
          <w:rFonts w:hint="eastAsia" w:ascii="仿宋_GB2312" w:eastAsia="仿宋_GB2312"/>
          <w:b w:val="0"/>
          <w:bCs w:val="0"/>
          <w:color w:val="000000"/>
          <w:sz w:val="32"/>
          <w:szCs w:val="32"/>
        </w:rPr>
        <w:t>所属的中医院支出；</w:t>
      </w:r>
      <w:r>
        <w:rPr>
          <w:rFonts w:hint="eastAsia" w:ascii="仿宋" w:hAnsi="仿宋" w:eastAsia="仿宋"/>
          <w:b w:val="0"/>
          <w:bCs w:val="0"/>
          <w:color w:val="000000"/>
          <w:sz w:val="32"/>
          <w:szCs w:val="32"/>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Style w:val="28"/>
          <w:rFonts w:hint="eastAsia" w:ascii="仿宋_GB2312" w:eastAsia="仿宋_GB2312"/>
          <w:b w:val="0"/>
          <w:bCs w:val="0"/>
          <w:color w:val="000000"/>
          <w:sz w:val="32"/>
          <w:szCs w:val="32"/>
          <w:highlight w:val="none"/>
        </w:rPr>
        <w:t>乡镇卫生院（</w:t>
      </w:r>
      <w:r>
        <w:rPr>
          <w:rStyle w:val="28"/>
          <w:rFonts w:hint="eastAsia" w:ascii="仿宋_GB2312" w:eastAsia="仿宋_GB2312"/>
          <w:b w:val="0"/>
          <w:bCs w:val="0"/>
          <w:color w:val="000000"/>
          <w:sz w:val="32"/>
          <w:szCs w:val="32"/>
          <w:highlight w:val="none"/>
          <w:lang w:eastAsia="zh-CN"/>
        </w:rPr>
        <w:t>项</w:t>
      </w:r>
      <w:r>
        <w:rPr>
          <w:rStyle w:val="2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：反映乡镇卫生院的支出；</w:t>
      </w:r>
      <w:r>
        <w:rPr>
          <w:rFonts w:hint="eastAsia" w:ascii="仿宋" w:hAnsi="仿宋" w:eastAsia="仿宋"/>
          <w:b w:val="0"/>
          <w:bCs w:val="0"/>
          <w:color w:val="000000"/>
          <w:sz w:val="32"/>
          <w:szCs w:val="32"/>
        </w:rPr>
        <w:t>卫生健康支出</w:t>
      </w:r>
      <w:r>
        <w:rPr>
          <w:rStyle w:val="28"/>
          <w:rFonts w:hint="eastAsia" w:ascii="仿宋_GB2312" w:eastAsia="仿宋_GB2312"/>
          <w:b w:val="0"/>
          <w:bCs w:val="0"/>
          <w:color w:val="000000"/>
          <w:sz w:val="32"/>
          <w:szCs w:val="32"/>
          <w:highlight w:val="none"/>
          <w:lang w:eastAsia="zh-CN"/>
        </w:rPr>
        <w:t>（类）</w:t>
      </w:r>
      <w:r>
        <w:rPr>
          <w:rStyle w:val="28"/>
          <w:rFonts w:hint="eastAsia" w:ascii="仿宋_GB2312" w:eastAsia="仿宋_GB2312"/>
          <w:b w:val="0"/>
          <w:bCs w:val="0"/>
          <w:color w:val="000000"/>
          <w:sz w:val="32"/>
          <w:szCs w:val="32"/>
          <w:highlight w:val="none"/>
        </w:rPr>
        <w:t>公共卫生</w:t>
      </w:r>
      <w:r>
        <w:rPr>
          <w:rStyle w:val="28"/>
          <w:rFonts w:hint="eastAsia" w:ascii="仿宋_GB2312" w:eastAsia="仿宋_GB2312"/>
          <w:b w:val="0"/>
          <w:bCs w:val="0"/>
          <w:color w:val="000000"/>
          <w:sz w:val="32"/>
          <w:szCs w:val="32"/>
          <w:highlight w:val="none"/>
          <w:lang w:eastAsia="zh-CN"/>
        </w:rPr>
        <w:t>（款）</w:t>
      </w:r>
      <w:r>
        <w:rPr>
          <w:rStyle w:val="28"/>
          <w:rFonts w:hint="eastAsia" w:ascii="仿宋_GB2312" w:eastAsia="仿宋_GB2312"/>
          <w:b w:val="0"/>
          <w:bCs w:val="0"/>
          <w:color w:val="000000"/>
          <w:sz w:val="32"/>
          <w:szCs w:val="32"/>
          <w:highlight w:val="none"/>
        </w:rPr>
        <w:t>疾病预防控制机构（</w:t>
      </w:r>
      <w:r>
        <w:rPr>
          <w:rStyle w:val="28"/>
          <w:rFonts w:hint="eastAsia" w:ascii="仿宋_GB2312" w:eastAsia="仿宋_GB2312"/>
          <w:b w:val="0"/>
          <w:bCs w:val="0"/>
          <w:color w:val="000000"/>
          <w:sz w:val="32"/>
          <w:szCs w:val="32"/>
          <w:highlight w:val="none"/>
          <w:lang w:eastAsia="zh-CN"/>
        </w:rPr>
        <w:t>项</w:t>
      </w:r>
      <w:r>
        <w:rPr>
          <w:rStyle w:val="2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 w:hAnsi="仿宋" w:eastAsia="仿宋"/>
          <w:b w:val="0"/>
          <w:bCs w:val="0"/>
          <w:color w:val="000000"/>
          <w:sz w:val="32"/>
          <w:szCs w:val="32"/>
        </w:rPr>
        <w:t>卫生健康</w:t>
      </w:r>
      <w:r>
        <w:rPr>
          <w:rFonts w:hint="eastAsia" w:ascii="仿宋_GB2312" w:eastAsia="仿宋_GB2312"/>
          <w:b w:val="0"/>
          <w:bCs w:val="0"/>
          <w:color w:val="000000"/>
          <w:sz w:val="32"/>
          <w:szCs w:val="32"/>
          <w:lang w:eastAsia="zh-CN"/>
        </w:rPr>
        <w:t>单位</w:t>
      </w:r>
      <w:r>
        <w:rPr>
          <w:rFonts w:hint="eastAsia" w:ascii="仿宋_GB2312" w:eastAsia="仿宋_GB2312"/>
          <w:b w:val="0"/>
          <w:bCs w:val="0"/>
          <w:color w:val="000000"/>
          <w:sz w:val="32"/>
          <w:szCs w:val="32"/>
        </w:rPr>
        <w:t>所属的疾病预防控制机构的支出；</w:t>
      </w:r>
      <w:r>
        <w:rPr>
          <w:rFonts w:hint="eastAsia" w:ascii="仿宋" w:hAnsi="仿宋" w:eastAsia="仿宋"/>
          <w:b w:val="0"/>
          <w:bCs w:val="0"/>
          <w:color w:val="000000"/>
          <w:sz w:val="32"/>
          <w:szCs w:val="32"/>
        </w:rPr>
        <w:t>卫生健康支出</w:t>
      </w:r>
      <w:r>
        <w:rPr>
          <w:rStyle w:val="28"/>
          <w:rFonts w:hint="eastAsia" w:ascii="仿宋_GB2312" w:eastAsia="仿宋_GB2312"/>
          <w:b w:val="0"/>
          <w:bCs w:val="0"/>
          <w:color w:val="000000"/>
          <w:sz w:val="32"/>
          <w:szCs w:val="32"/>
          <w:highlight w:val="none"/>
          <w:lang w:eastAsia="zh-CN"/>
        </w:rPr>
        <w:t>（类）</w:t>
      </w:r>
      <w:r>
        <w:rPr>
          <w:rStyle w:val="28"/>
          <w:rFonts w:hint="eastAsia" w:ascii="仿宋_GB2312" w:eastAsia="仿宋_GB2312"/>
          <w:b w:val="0"/>
          <w:bCs w:val="0"/>
          <w:color w:val="000000"/>
          <w:sz w:val="32"/>
          <w:szCs w:val="32"/>
          <w:highlight w:val="none"/>
        </w:rPr>
        <w:t>公共卫生</w:t>
      </w:r>
      <w:r>
        <w:rPr>
          <w:rStyle w:val="28"/>
          <w:rFonts w:hint="eastAsia" w:ascii="仿宋_GB2312" w:eastAsia="仿宋_GB2312"/>
          <w:b w:val="0"/>
          <w:bCs w:val="0"/>
          <w:color w:val="000000"/>
          <w:sz w:val="32"/>
          <w:szCs w:val="32"/>
          <w:highlight w:val="none"/>
          <w:lang w:eastAsia="zh-CN"/>
        </w:rPr>
        <w:t>（款）卫生监督机构</w:t>
      </w:r>
      <w:r>
        <w:rPr>
          <w:rStyle w:val="28"/>
          <w:rFonts w:hint="eastAsia" w:ascii="仿宋_GB2312" w:eastAsia="仿宋_GB2312"/>
          <w:b w:val="0"/>
          <w:bCs w:val="0"/>
          <w:color w:val="000000"/>
          <w:sz w:val="32"/>
          <w:szCs w:val="32"/>
          <w:highlight w:val="none"/>
        </w:rPr>
        <w:t>（</w:t>
      </w:r>
      <w:r>
        <w:rPr>
          <w:rStyle w:val="28"/>
          <w:rFonts w:hint="eastAsia" w:ascii="仿宋_GB2312" w:eastAsia="仿宋_GB2312"/>
          <w:b w:val="0"/>
          <w:bCs w:val="0"/>
          <w:color w:val="000000"/>
          <w:sz w:val="32"/>
          <w:szCs w:val="32"/>
          <w:highlight w:val="none"/>
          <w:lang w:eastAsia="zh-CN"/>
        </w:rPr>
        <w:t>项</w:t>
      </w:r>
      <w:r>
        <w:rPr>
          <w:rStyle w:val="2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 w:hAnsi="仿宋" w:eastAsia="仿宋"/>
          <w:b w:val="0"/>
          <w:bCs w:val="0"/>
          <w:color w:val="000000"/>
          <w:sz w:val="32"/>
          <w:szCs w:val="32"/>
        </w:rPr>
        <w:t>卫生健康</w:t>
      </w:r>
      <w:r>
        <w:rPr>
          <w:rFonts w:hint="eastAsia" w:ascii="仿宋_GB2312" w:eastAsia="仿宋_GB2312"/>
          <w:b w:val="0"/>
          <w:bCs w:val="0"/>
          <w:color w:val="000000"/>
          <w:sz w:val="32"/>
          <w:szCs w:val="32"/>
          <w:lang w:eastAsia="zh-CN"/>
        </w:rPr>
        <w:t>单位</w:t>
      </w:r>
      <w:r>
        <w:rPr>
          <w:rFonts w:hint="eastAsia" w:ascii="仿宋_GB2312" w:eastAsia="仿宋_GB2312"/>
          <w:b w:val="0"/>
          <w:bCs w:val="0"/>
          <w:color w:val="000000"/>
          <w:sz w:val="32"/>
          <w:szCs w:val="32"/>
        </w:rPr>
        <w:t>所属卫生监督机构的支出；</w:t>
      </w:r>
      <w:r>
        <w:rPr>
          <w:rFonts w:hint="eastAsia" w:ascii="仿宋" w:hAnsi="仿宋" w:eastAsia="仿宋"/>
          <w:b w:val="0"/>
          <w:bCs w:val="0"/>
          <w:color w:val="000000"/>
          <w:sz w:val="32"/>
          <w:szCs w:val="32"/>
        </w:rPr>
        <w:t>卫生健康支出</w:t>
      </w:r>
      <w:r>
        <w:rPr>
          <w:rStyle w:val="28"/>
          <w:rFonts w:hint="eastAsia" w:ascii="仿宋_GB2312" w:eastAsia="仿宋_GB2312"/>
          <w:b w:val="0"/>
          <w:bCs w:val="0"/>
          <w:color w:val="000000"/>
          <w:sz w:val="32"/>
          <w:szCs w:val="32"/>
          <w:highlight w:val="none"/>
          <w:lang w:eastAsia="zh-CN"/>
        </w:rPr>
        <w:t>（类）</w:t>
      </w:r>
      <w:r>
        <w:rPr>
          <w:rStyle w:val="28"/>
          <w:rFonts w:hint="eastAsia" w:ascii="仿宋_GB2312" w:eastAsia="仿宋_GB2312"/>
          <w:b w:val="0"/>
          <w:bCs w:val="0"/>
          <w:color w:val="000000"/>
          <w:sz w:val="32"/>
          <w:szCs w:val="32"/>
          <w:highlight w:val="none"/>
        </w:rPr>
        <w:t>公共卫生</w:t>
      </w:r>
      <w:r>
        <w:rPr>
          <w:rStyle w:val="28"/>
          <w:rFonts w:hint="eastAsia" w:ascii="仿宋_GB2312" w:eastAsia="仿宋_GB2312"/>
          <w:b w:val="0"/>
          <w:bCs w:val="0"/>
          <w:color w:val="000000"/>
          <w:sz w:val="32"/>
          <w:szCs w:val="32"/>
          <w:highlight w:val="none"/>
          <w:lang w:eastAsia="zh-CN"/>
        </w:rPr>
        <w:t>（款）妇幼保健机构</w:t>
      </w:r>
      <w:r>
        <w:rPr>
          <w:rStyle w:val="28"/>
          <w:rFonts w:hint="eastAsia" w:ascii="仿宋_GB2312" w:eastAsia="仿宋_GB2312"/>
          <w:b w:val="0"/>
          <w:bCs w:val="0"/>
          <w:color w:val="000000"/>
          <w:sz w:val="32"/>
          <w:szCs w:val="32"/>
          <w:highlight w:val="none"/>
        </w:rPr>
        <w:t>（</w:t>
      </w:r>
      <w:r>
        <w:rPr>
          <w:rStyle w:val="28"/>
          <w:rFonts w:hint="eastAsia" w:ascii="仿宋_GB2312" w:eastAsia="仿宋_GB2312"/>
          <w:b w:val="0"/>
          <w:bCs w:val="0"/>
          <w:color w:val="000000"/>
          <w:sz w:val="32"/>
          <w:szCs w:val="32"/>
          <w:highlight w:val="none"/>
          <w:lang w:eastAsia="zh-CN"/>
        </w:rPr>
        <w:t>项</w:t>
      </w:r>
      <w:r>
        <w:rPr>
          <w:rStyle w:val="2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 w:hAnsi="仿宋" w:eastAsia="仿宋"/>
          <w:b w:val="0"/>
          <w:bCs w:val="0"/>
          <w:color w:val="000000"/>
          <w:sz w:val="32"/>
          <w:szCs w:val="32"/>
        </w:rPr>
        <w:t>卫生健康</w:t>
      </w:r>
      <w:r>
        <w:rPr>
          <w:rFonts w:hint="eastAsia" w:ascii="仿宋" w:hAnsi="仿宋" w:eastAsia="仿宋"/>
          <w:b w:val="0"/>
          <w:bCs w:val="0"/>
          <w:color w:val="000000"/>
          <w:sz w:val="32"/>
          <w:szCs w:val="32"/>
          <w:lang w:eastAsia="zh-CN"/>
        </w:rPr>
        <w:t>单位</w:t>
      </w:r>
      <w:r>
        <w:rPr>
          <w:rFonts w:hint="eastAsia" w:ascii="仿宋_GB2312" w:eastAsia="仿宋_GB2312"/>
          <w:b w:val="0"/>
          <w:bCs w:val="0"/>
          <w:color w:val="000000"/>
          <w:sz w:val="32"/>
          <w:szCs w:val="32"/>
        </w:rPr>
        <w:t>所属妇幼保健机构的支出；</w:t>
      </w:r>
      <w:r>
        <w:rPr>
          <w:rStyle w:val="28"/>
          <w:rFonts w:hint="eastAsia" w:ascii="仿宋_GB2312" w:eastAsia="仿宋_GB2312"/>
          <w:b w:val="0"/>
          <w:bCs w:val="0"/>
          <w:color w:val="000000"/>
          <w:sz w:val="32"/>
          <w:szCs w:val="32"/>
          <w:highlight w:val="none"/>
          <w:lang w:eastAsia="zh-CN"/>
        </w:rPr>
        <w:t>卫生健康支出（类）</w:t>
      </w:r>
      <w:r>
        <w:rPr>
          <w:rStyle w:val="28"/>
          <w:rFonts w:hint="eastAsia" w:ascii="仿宋_GB2312" w:eastAsia="仿宋_GB2312"/>
          <w:b w:val="0"/>
          <w:bCs w:val="0"/>
          <w:color w:val="000000"/>
          <w:sz w:val="32"/>
          <w:szCs w:val="32"/>
          <w:highlight w:val="none"/>
        </w:rPr>
        <w:t>公共卫生</w:t>
      </w:r>
      <w:r>
        <w:rPr>
          <w:rStyle w:val="28"/>
          <w:rFonts w:hint="eastAsia" w:ascii="仿宋_GB2312" w:eastAsia="仿宋_GB2312"/>
          <w:b w:val="0"/>
          <w:bCs w:val="0"/>
          <w:color w:val="000000"/>
          <w:sz w:val="32"/>
          <w:szCs w:val="32"/>
          <w:highlight w:val="none"/>
          <w:lang w:eastAsia="zh-CN"/>
        </w:rPr>
        <w:t>（款）</w:t>
      </w:r>
      <w:r>
        <w:rPr>
          <w:rStyle w:val="28"/>
          <w:rFonts w:hint="eastAsia" w:ascii="仿宋_GB2312" w:eastAsia="仿宋_GB2312"/>
          <w:b w:val="0"/>
          <w:bCs w:val="0"/>
          <w:color w:val="000000"/>
          <w:sz w:val="32"/>
          <w:szCs w:val="32"/>
          <w:highlight w:val="none"/>
        </w:rPr>
        <w:t>基本公共卫生服务（</w:t>
      </w:r>
      <w:r>
        <w:rPr>
          <w:rStyle w:val="28"/>
          <w:rFonts w:hint="eastAsia" w:ascii="仿宋_GB2312" w:eastAsia="仿宋_GB2312"/>
          <w:b w:val="0"/>
          <w:bCs w:val="0"/>
          <w:color w:val="000000"/>
          <w:sz w:val="32"/>
          <w:szCs w:val="32"/>
          <w:highlight w:val="none"/>
          <w:lang w:eastAsia="zh-CN"/>
        </w:rPr>
        <w:t>项</w:t>
      </w:r>
      <w:r>
        <w:rPr>
          <w:rStyle w:val="2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_GB2312" w:eastAsia="仿宋_GB2312"/>
          <w:b w:val="0"/>
          <w:bCs w:val="0"/>
          <w:color w:val="000000"/>
          <w:sz w:val="32"/>
          <w:szCs w:val="32"/>
          <w:lang w:eastAsia="zh-CN"/>
        </w:rPr>
        <w:t>乡镇卫生院、社区卫生机构开展</w:t>
      </w:r>
      <w:r>
        <w:rPr>
          <w:rFonts w:hint="eastAsia" w:ascii="仿宋_GB2312" w:eastAsia="仿宋_GB2312"/>
          <w:b w:val="0"/>
          <w:bCs w:val="0"/>
          <w:color w:val="000000"/>
          <w:sz w:val="32"/>
          <w:szCs w:val="32"/>
        </w:rPr>
        <w:t>基本公共卫生服务</w:t>
      </w:r>
      <w:r>
        <w:rPr>
          <w:rFonts w:hint="eastAsia" w:ascii="仿宋_GB2312" w:eastAsia="仿宋_GB2312"/>
          <w:b w:val="0"/>
          <w:bCs w:val="0"/>
          <w:color w:val="000000"/>
          <w:sz w:val="32"/>
          <w:szCs w:val="32"/>
          <w:lang w:eastAsia="zh-CN"/>
        </w:rPr>
        <w:t>的</w:t>
      </w:r>
      <w:r>
        <w:rPr>
          <w:rFonts w:hint="eastAsia" w:ascii="仿宋_GB2312" w:eastAsia="仿宋_GB2312"/>
          <w:b w:val="0"/>
          <w:bCs w:val="0"/>
          <w:color w:val="000000"/>
          <w:sz w:val="32"/>
          <w:szCs w:val="32"/>
        </w:rPr>
        <w:t>支出；</w:t>
      </w:r>
      <w:r>
        <w:rPr>
          <w:rStyle w:val="28"/>
          <w:rFonts w:hint="eastAsia" w:ascii="仿宋_GB2312" w:eastAsia="仿宋_GB2312"/>
          <w:b w:val="0"/>
          <w:bCs w:val="0"/>
          <w:color w:val="000000"/>
          <w:sz w:val="32"/>
          <w:szCs w:val="32"/>
          <w:highlight w:val="none"/>
          <w:lang w:eastAsia="zh-CN"/>
        </w:rPr>
        <w:t>卫生健康支出（类）</w:t>
      </w:r>
      <w:r>
        <w:rPr>
          <w:rStyle w:val="28"/>
          <w:rFonts w:hint="eastAsia" w:ascii="仿宋_GB2312" w:eastAsia="仿宋_GB2312"/>
          <w:b w:val="0"/>
          <w:bCs w:val="0"/>
          <w:color w:val="000000"/>
          <w:sz w:val="32"/>
          <w:szCs w:val="32"/>
          <w:highlight w:val="none"/>
        </w:rPr>
        <w:t>公共卫生</w:t>
      </w:r>
      <w:r>
        <w:rPr>
          <w:rStyle w:val="28"/>
          <w:rFonts w:hint="eastAsia" w:ascii="仿宋_GB2312" w:eastAsia="仿宋_GB2312"/>
          <w:b w:val="0"/>
          <w:bCs w:val="0"/>
          <w:color w:val="000000"/>
          <w:sz w:val="32"/>
          <w:szCs w:val="32"/>
          <w:highlight w:val="none"/>
          <w:lang w:eastAsia="zh-CN"/>
        </w:rPr>
        <w:t>（款）重大</w:t>
      </w:r>
      <w:r>
        <w:rPr>
          <w:rStyle w:val="28"/>
          <w:rFonts w:hint="eastAsia" w:ascii="仿宋_GB2312" w:eastAsia="仿宋_GB2312"/>
          <w:b w:val="0"/>
          <w:bCs w:val="0"/>
          <w:color w:val="000000"/>
          <w:sz w:val="32"/>
          <w:szCs w:val="32"/>
          <w:highlight w:val="none"/>
        </w:rPr>
        <w:t>公共卫生</w:t>
      </w:r>
      <w:r>
        <w:rPr>
          <w:rStyle w:val="28"/>
          <w:rFonts w:hint="eastAsia" w:ascii="仿宋_GB2312" w:eastAsia="仿宋_GB2312"/>
          <w:b w:val="0"/>
          <w:bCs w:val="0"/>
          <w:color w:val="000000"/>
          <w:sz w:val="32"/>
          <w:szCs w:val="32"/>
          <w:highlight w:val="none"/>
          <w:lang w:eastAsia="zh-CN"/>
        </w:rPr>
        <w:t>专项</w:t>
      </w:r>
      <w:r>
        <w:rPr>
          <w:rStyle w:val="28"/>
          <w:rFonts w:hint="eastAsia" w:ascii="仿宋_GB2312" w:eastAsia="仿宋_GB2312"/>
          <w:b w:val="0"/>
          <w:bCs w:val="0"/>
          <w:color w:val="000000"/>
          <w:sz w:val="32"/>
          <w:szCs w:val="32"/>
          <w:highlight w:val="none"/>
        </w:rPr>
        <w:t>（</w:t>
      </w:r>
      <w:r>
        <w:rPr>
          <w:rStyle w:val="28"/>
          <w:rFonts w:hint="eastAsia" w:ascii="仿宋_GB2312" w:eastAsia="仿宋_GB2312"/>
          <w:b w:val="0"/>
          <w:bCs w:val="0"/>
          <w:color w:val="000000"/>
          <w:sz w:val="32"/>
          <w:szCs w:val="32"/>
          <w:highlight w:val="none"/>
          <w:lang w:eastAsia="zh-CN"/>
        </w:rPr>
        <w:t>项</w:t>
      </w:r>
      <w:r>
        <w:rPr>
          <w:rStyle w:val="2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：反映重大疾病预防控制等重大公共卫生服务项目支出；</w:t>
      </w:r>
      <w:r>
        <w:rPr>
          <w:rFonts w:hint="eastAsia" w:ascii="仿宋_GB2312" w:eastAsia="仿宋_GB2312"/>
          <w:b w:val="0"/>
          <w:bCs/>
          <w:color w:val="000000"/>
          <w:sz w:val="32"/>
          <w:szCs w:val="32"/>
        </w:rPr>
        <w:t>卫生健康支出（类）中医药（款）中医药专项（项）</w:t>
      </w:r>
      <w:r>
        <w:rPr>
          <w:rFonts w:hint="eastAsia" w:ascii="仿宋_GB2312" w:eastAsia="仿宋_GB2312"/>
          <w:color w:val="000000"/>
          <w:sz w:val="32"/>
          <w:szCs w:val="32"/>
        </w:rPr>
        <w:t>:主要用于</w:t>
      </w:r>
      <w:r>
        <w:rPr>
          <w:rFonts w:hint="eastAsia" w:ascii="仿宋_GB2312" w:eastAsia="仿宋_GB2312"/>
          <w:color w:val="000000"/>
          <w:sz w:val="32"/>
          <w:szCs w:val="32"/>
          <w:lang w:eastAsia="zh-CN"/>
        </w:rPr>
        <w:t>中医专项支出：</w:t>
      </w:r>
      <w:r>
        <w:rPr>
          <w:rStyle w:val="28"/>
          <w:rFonts w:hint="eastAsia" w:ascii="仿宋_GB2312" w:eastAsia="仿宋_GB2312"/>
          <w:b w:val="0"/>
          <w:bCs w:val="0"/>
          <w:color w:val="000000"/>
          <w:sz w:val="32"/>
          <w:szCs w:val="32"/>
          <w:highlight w:val="none"/>
          <w:lang w:eastAsia="zh-CN"/>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其他基层医疗卫生机构支出（</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28"/>
          <w:rFonts w:hint="eastAsia" w:ascii="仿宋_GB2312" w:eastAsia="仿宋_GB2312"/>
          <w:b w:val="0"/>
          <w:bCs w:val="0"/>
          <w:color w:val="000000"/>
          <w:sz w:val="32"/>
          <w:szCs w:val="32"/>
        </w:rPr>
        <w:t>：反映除乡镇卫生院、城市社区卫生机构以外的其他用于基层医疗卫生机构的支出；</w:t>
      </w:r>
      <w:r>
        <w:rPr>
          <w:rStyle w:val="28"/>
          <w:rFonts w:hint="eastAsia" w:ascii="仿宋_GB2312" w:eastAsia="仿宋_GB2312"/>
          <w:b w:val="0"/>
          <w:bCs w:val="0"/>
          <w:color w:val="000000"/>
          <w:sz w:val="32"/>
          <w:szCs w:val="32"/>
          <w:highlight w:val="none"/>
          <w:lang w:eastAsia="zh-CN"/>
        </w:rPr>
        <w:t>卫生健康支出</w:t>
      </w:r>
      <w:r>
        <w:rPr>
          <w:rStyle w:val="28"/>
          <w:rFonts w:hint="eastAsia" w:ascii="仿宋_GB2312" w:eastAsia="仿宋_GB2312"/>
          <w:b w:val="0"/>
          <w:bCs w:val="0"/>
          <w:color w:val="000000"/>
          <w:sz w:val="32"/>
          <w:szCs w:val="32"/>
          <w:lang w:eastAsia="zh-CN"/>
        </w:rPr>
        <w:t>（类）</w:t>
      </w:r>
      <w:r>
        <w:rPr>
          <w:rStyle w:val="28"/>
          <w:rFonts w:hint="eastAsia" w:ascii="仿宋_GB2312" w:eastAsia="仿宋_GB2312"/>
          <w:b w:val="0"/>
          <w:bCs w:val="0"/>
          <w:color w:val="000000"/>
          <w:sz w:val="32"/>
          <w:szCs w:val="32"/>
        </w:rPr>
        <w:t>计划生育事务</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其他计划生育事务支出（</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28"/>
          <w:rFonts w:hint="eastAsia" w:ascii="仿宋_GB2312" w:eastAsia="仿宋_GB2312"/>
          <w:b w:val="0"/>
          <w:bCs w:val="0"/>
          <w:color w:val="000000"/>
          <w:sz w:val="32"/>
          <w:szCs w:val="32"/>
        </w:rPr>
        <w:t>:反映计划生育服务支出；</w:t>
      </w:r>
      <w:r>
        <w:rPr>
          <w:rStyle w:val="28"/>
          <w:rFonts w:hint="eastAsia" w:ascii="仿宋_GB2312" w:eastAsia="仿宋_GB2312"/>
          <w:b w:val="0"/>
          <w:bCs w:val="0"/>
          <w:color w:val="000000"/>
          <w:sz w:val="32"/>
          <w:szCs w:val="32"/>
          <w:highlight w:val="none"/>
          <w:lang w:eastAsia="zh-CN"/>
        </w:rPr>
        <w:t>卫生健康支出</w:t>
      </w:r>
      <w:r>
        <w:rPr>
          <w:rStyle w:val="28"/>
          <w:rFonts w:hint="eastAsia" w:ascii="仿宋_GB2312" w:eastAsia="仿宋_GB2312"/>
          <w:b w:val="0"/>
          <w:bCs w:val="0"/>
          <w:color w:val="000000"/>
          <w:sz w:val="32"/>
          <w:szCs w:val="32"/>
          <w:lang w:eastAsia="zh-CN"/>
        </w:rPr>
        <w:t>（类）</w:t>
      </w:r>
      <w:r>
        <w:rPr>
          <w:rStyle w:val="28"/>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 xml:space="preserve">  事业单位医疗（</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28"/>
          <w:rFonts w:hint="eastAsia" w:ascii="仿宋_GB2312" w:eastAsia="仿宋_GB2312"/>
          <w:b w:val="0"/>
          <w:bCs w:val="0"/>
          <w:color w:val="000000"/>
          <w:sz w:val="32"/>
          <w:szCs w:val="32"/>
        </w:rPr>
        <w:t>:</w:t>
      </w:r>
      <w:r>
        <w:rPr>
          <w:rStyle w:val="28"/>
          <w:rFonts w:hint="eastAsia" w:ascii="仿宋_GB2312" w:eastAsia="仿宋_GB2312"/>
          <w:b w:val="0"/>
          <w:bCs w:val="0"/>
          <w:color w:val="auto"/>
          <w:sz w:val="32"/>
          <w:szCs w:val="32"/>
        </w:rPr>
        <w:t>反映</w:t>
      </w:r>
      <w:r>
        <w:rPr>
          <w:rStyle w:val="28"/>
          <w:rFonts w:hint="eastAsia" w:ascii="仿宋_GB2312" w:eastAsia="仿宋_GB2312"/>
          <w:b w:val="0"/>
          <w:bCs w:val="0"/>
          <w:color w:val="000000"/>
          <w:sz w:val="32"/>
          <w:szCs w:val="32"/>
          <w:highlight w:val="none"/>
          <w:lang w:eastAsia="zh-CN"/>
        </w:rPr>
        <w:t>卫生健康支出中的在职人员医疗保险</w:t>
      </w:r>
      <w:r>
        <w:rPr>
          <w:rStyle w:val="28"/>
          <w:rFonts w:hint="eastAsia" w:ascii="仿宋_GB2312" w:eastAsia="仿宋_GB2312"/>
          <w:b w:val="0"/>
          <w:bCs w:val="0"/>
          <w:color w:val="000000"/>
          <w:sz w:val="32"/>
          <w:szCs w:val="32"/>
        </w:rPr>
        <w:t>；</w:t>
      </w:r>
      <w:r>
        <w:rPr>
          <w:rStyle w:val="28"/>
          <w:rFonts w:hint="eastAsia" w:ascii="仿宋_GB2312" w:eastAsia="仿宋_GB2312"/>
          <w:b w:val="0"/>
          <w:bCs w:val="0"/>
          <w:color w:val="000000"/>
          <w:sz w:val="32"/>
          <w:szCs w:val="32"/>
          <w:highlight w:val="none"/>
          <w:lang w:eastAsia="zh-CN"/>
        </w:rPr>
        <w:t>卫生健康支出</w:t>
      </w:r>
      <w:r>
        <w:rPr>
          <w:rStyle w:val="28"/>
          <w:rFonts w:hint="eastAsia" w:ascii="仿宋_GB2312" w:eastAsia="仿宋_GB2312"/>
          <w:b w:val="0"/>
          <w:bCs w:val="0"/>
          <w:color w:val="000000"/>
          <w:sz w:val="32"/>
          <w:szCs w:val="32"/>
          <w:lang w:eastAsia="zh-CN"/>
        </w:rPr>
        <w:t>（类）</w:t>
      </w:r>
      <w:r>
        <w:rPr>
          <w:rStyle w:val="28"/>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（款）其他卫生健康支出（项）反映基层医疗单位贫困人口体检支出：</w:t>
      </w:r>
      <w:r>
        <w:rPr>
          <w:rFonts w:hint="eastAsia" w:ascii="仿宋_GB2312" w:eastAsia="仿宋_GB2312"/>
          <w:b w:val="0"/>
          <w:bCs w:val="0"/>
          <w:sz w:val="32"/>
          <w:szCs w:val="32"/>
        </w:rPr>
        <w:t>农林水支出（类）扶贫（款）其他扶贫支出（项）</w:t>
      </w:r>
      <w:r>
        <w:rPr>
          <w:rFonts w:hint="eastAsia" w:ascii="仿宋_GB2312" w:eastAsia="仿宋_GB2312"/>
          <w:b w:val="0"/>
          <w:bCs w:val="0"/>
          <w:sz w:val="32"/>
          <w:szCs w:val="32"/>
          <w:lang w:eastAsia="zh-CN"/>
        </w:rPr>
        <w:t>主要反映健康扶贫支出。</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仿宋" w:hAnsi="仿宋" w:eastAsia="仿宋" w:cs="仿宋"/>
          <w:sz w:val="32"/>
          <w:szCs w:val="32"/>
          <w:lang w:val="en-US" w:eastAsia="zh-CN" w:bidi="en-AU"/>
        </w:rPr>
      </w:pPr>
      <w:r>
        <w:rPr>
          <w:rFonts w:hint="eastAsia" w:ascii="仿宋" w:hAnsi="仿宋" w:eastAsia="仿宋" w:cs="仿宋"/>
          <w:sz w:val="32"/>
          <w:szCs w:val="32"/>
          <w:lang w:val="en-US" w:eastAsia="zh-CN" w:bidi="en-AU"/>
        </w:rPr>
        <w:t>9.社会保障和就业支出：反映政府在社会保障和就业方面的支出。</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仿宋" w:hAnsi="仿宋" w:eastAsia="仿宋" w:cs="仿宋"/>
          <w:sz w:val="32"/>
          <w:szCs w:val="32"/>
          <w:lang w:val="en-US" w:eastAsia="zh-CN" w:bidi="en-AU"/>
        </w:rPr>
      </w:pPr>
      <w:r>
        <w:rPr>
          <w:rFonts w:hint="eastAsia" w:ascii="仿宋" w:hAnsi="仿宋" w:eastAsia="仿宋" w:cs="仿宋"/>
          <w:sz w:val="32"/>
          <w:szCs w:val="32"/>
          <w:lang w:val="en-US" w:eastAsia="zh-CN" w:bidi="en-AU"/>
        </w:rPr>
        <w:t>社会保障和就业支出-行政事业单位离退休-机关事业单位基本养老保险缴费支出：反映机关事业单位实施养老保险制度由单位缴纳的基本养老保险支出；</w:t>
      </w:r>
    </w:p>
    <w:p>
      <w:pPr>
        <w:keepNext w:val="0"/>
        <w:keepLines w:val="0"/>
        <w:pageBreakBefore w:val="0"/>
        <w:widowControl w:val="0"/>
        <w:kinsoku/>
        <w:wordWrap/>
        <w:overflowPunct/>
        <w:topLinePunct w:val="0"/>
        <w:bidi w:val="0"/>
        <w:snapToGrid/>
        <w:spacing w:line="540" w:lineRule="exact"/>
        <w:ind w:firstLine="640" w:firstLineChars="200"/>
        <w:textAlignment w:val="auto"/>
        <w:rPr>
          <w:rStyle w:val="28"/>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bidi="en-AU"/>
        </w:rPr>
        <w:t>10.住房保障支出：住房保障支出-住房改革支出-住房公积金：反映行政事业单位按人力资源和社会保障部、财政部规定的基本工资和津贴补贴以及规定比例为职工缴纳的住房公积金。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pStyle w:val="36"/>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“三公”经费：指</w:t>
      </w:r>
      <w:r>
        <w:rPr>
          <w:rFonts w:hint="eastAsia" w:ascii="仿宋_GB2312" w:eastAsia="仿宋_GB2312"/>
          <w:sz w:val="32"/>
          <w:szCs w:val="32"/>
          <w:lang w:eastAsia="zh-CN"/>
        </w:rPr>
        <w:t>单位</w:t>
      </w:r>
      <w:r>
        <w:rPr>
          <w:rFonts w:hint="eastAsia" w:ascii="仿宋_GB2312" w:eastAsia="仿宋_GB2312"/>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6"/>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黑体" w:hAnsi="黑体" w:eastAsia="黑体"/>
          <w:color w:val="auto"/>
          <w:sz w:val="44"/>
          <w:szCs w:val="44"/>
          <w:highlight w:val="none"/>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128" w:name="_Toc32618"/>
      <w:bookmarkStart w:id="129" w:name="_Toc13543"/>
      <w:bookmarkStart w:id="130" w:name="_Toc15396614"/>
      <w:bookmarkStart w:id="131" w:name="_Toc15377226"/>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ascii="仿宋_GB2312" w:hAnsi="仿宋_GB2312" w:eastAsia="仿宋_GB2312" w:cs="仿宋_GB2312"/>
          <w:color w:val="auto"/>
          <w:sz w:val="32"/>
          <w:szCs w:val="32"/>
          <w:highlight w:val="none"/>
        </w:rPr>
      </w:pPr>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四部分 附件</w:t>
      </w:r>
      <w:bookmarkEnd w:id="128"/>
      <w:bookmarkEnd w:id="129"/>
      <w:bookmarkEnd w:id="130"/>
    </w:p>
    <w:tbl>
      <w:tblPr>
        <w:tblStyle w:val="9"/>
        <w:tblpPr w:leftFromText="180" w:rightFromText="180" w:vertAnchor="text" w:horzAnchor="page" w:tblpX="1939" w:tblpY="633"/>
        <w:tblOverlap w:val="never"/>
        <w:tblW w:w="83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6"/>
        <w:gridCol w:w="35"/>
        <w:gridCol w:w="810"/>
        <w:gridCol w:w="55"/>
        <w:gridCol w:w="275"/>
        <w:gridCol w:w="416"/>
        <w:gridCol w:w="77"/>
        <w:gridCol w:w="18"/>
        <w:gridCol w:w="536"/>
        <w:gridCol w:w="1325"/>
        <w:gridCol w:w="64"/>
        <w:gridCol w:w="653"/>
        <w:gridCol w:w="418"/>
        <w:gridCol w:w="346"/>
        <w:gridCol w:w="440"/>
        <w:gridCol w:w="893"/>
        <w:gridCol w:w="505"/>
        <w:gridCol w:w="216"/>
        <w:gridCol w:w="158"/>
        <w:gridCol w:w="82"/>
        <w:gridCol w:w="7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318" w:type="dxa"/>
            <w:gridSpan w:val="21"/>
            <w:tcBorders>
              <w:top w:val="nil"/>
              <w:left w:val="nil"/>
              <w:bottom w:val="nil"/>
              <w:right w:val="nil"/>
            </w:tcBorders>
            <w:shd w:val="clear" w:color="auto" w:fill="auto"/>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6"/>
                <w:szCs w:val="36"/>
                <w:u w:val="none"/>
              </w:rPr>
            </w:pPr>
            <w:bookmarkStart w:id="132" w:name="_Hlk115001465"/>
            <w:bookmarkStart w:id="133" w:name="_Toc24416"/>
            <w:bookmarkStart w:id="134" w:name="_Toc7655"/>
            <w:r>
              <w:rPr>
                <w:rFonts w:hint="default" w:ascii="方正小标宋简体" w:hAnsi="方正小标宋简体" w:eastAsia="方正小标宋简体" w:cs="方正小标宋简体"/>
                <w:b/>
                <w:bCs/>
                <w:i w:val="0"/>
                <w:iCs w:val="0"/>
                <w:color w:val="000000"/>
                <w:kern w:val="0"/>
                <w:sz w:val="36"/>
                <w:szCs w:val="36"/>
                <w:u w:val="none"/>
                <w:lang w:val="en-US" w:eastAsia="zh-CN" w:bidi="en-AU"/>
              </w:rPr>
              <w:t>2022年基本公共卫生服务项目补助资金转移支付项目绩效目标自评表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8318" w:type="dxa"/>
            <w:gridSpan w:val="21"/>
            <w:tcBorders>
              <w:top w:val="nil"/>
              <w:left w:val="nil"/>
              <w:bottom w:val="single" w:color="000000" w:sz="4" w:space="0"/>
              <w:right w:val="nil"/>
            </w:tcBorders>
            <w:shd w:val="clear" w:color="auto" w:fill="auto"/>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en-AU"/>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3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转移支付（项目）名称</w:t>
            </w:r>
          </w:p>
        </w:tc>
        <w:tc>
          <w:tcPr>
            <w:tcW w:w="7182" w:type="dxa"/>
            <w:gridSpan w:val="1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2022年基本公共卫生服务项目补助资金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3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中央主管部门</w:t>
            </w:r>
          </w:p>
        </w:tc>
        <w:tc>
          <w:tcPr>
            <w:tcW w:w="7182" w:type="dxa"/>
            <w:gridSpan w:val="1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国家卫生健康委员会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13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地方主管部门</w:t>
            </w:r>
          </w:p>
        </w:tc>
        <w:tc>
          <w:tcPr>
            <w:tcW w:w="2711"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广元市昭化区卫生健康局</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资金使用单位</w:t>
            </w:r>
          </w:p>
        </w:tc>
        <w:tc>
          <w:tcPr>
            <w:tcW w:w="3818"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广元市昭化区射箭镇卫生院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3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（万元）</w:t>
            </w: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20"/>
                <w:szCs w:val="20"/>
                <w:u w:val="none"/>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全年预算数（A）</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全年执行数（B）</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年度资金总额：</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en-AU"/>
              </w:rPr>
              <w:t xml:space="preserve">57.18 </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en-AU"/>
              </w:rPr>
              <w:t xml:space="preserve">57.18 </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8"/>
                <w:lang w:val="en-US" w:eastAsia="zh-CN" w:bidi="en-AU"/>
              </w:rPr>
              <w:t xml:space="preserve"> </w:t>
            </w:r>
            <w:r>
              <w:rPr>
                <w:rStyle w:val="46"/>
                <w:lang w:val="en-US" w:eastAsia="zh-CN" w:bidi="en-AU"/>
              </w:rPr>
              <w:t>其中：中央财政资金</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45.39 </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45.39 </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8"/>
                <w:lang w:val="en-US" w:eastAsia="zh-CN" w:bidi="en-AU"/>
              </w:rPr>
              <w:t xml:space="preserve"> </w:t>
            </w:r>
            <w:r>
              <w:rPr>
                <w:rStyle w:val="49"/>
                <w:lang w:val="en-US" w:eastAsia="zh-CN" w:bidi="en-AU"/>
              </w:rPr>
              <w:t xml:space="preserve">      地方资金</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11.51 </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11.51 </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50"/>
                <w:lang w:val="en-US" w:eastAsia="zh-CN" w:bidi="en-AU"/>
              </w:rPr>
              <w:t xml:space="preserve">      </w:t>
            </w:r>
            <w:r>
              <w:rPr>
                <w:rStyle w:val="46"/>
                <w:lang w:val="en-US" w:eastAsia="zh-CN" w:bidi="en-AU"/>
              </w:rPr>
              <w:t xml:space="preserve">  其他资金</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0.28 </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0.28 </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3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资金管理情况</w:t>
            </w: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20"/>
                <w:szCs w:val="20"/>
                <w:u w:val="none"/>
              </w:rPr>
            </w:pP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情况说明</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分配科学性</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按照各镇服务常住人口数，结合省市区绩效评价方案将所有资金100%下达至项目实施单位，同时督促项目实施单位40%下达至村卫生室。</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下达及时性</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8月份下达到位资金的80%，12月底将所有资金全部拨付到位。</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拨付合规性</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按照各镇常住人口数，结合2022年绩效评价结果合理合规拨付资金。</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使用规范性</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本着专款专用的原则，严格按照项目资金审批要求使用项目资金。</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执行准确性</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所有资金全部用于基本公共卫生服务项目</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预算绩效管理情况</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按照全区常住人口数量预算全年项目资金，提升财政专项资金使用效益</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22"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支出责任履行情况</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建立由卫健支出，财政局监督的资金支出制度，确保资金使用的合理合法合规。</w:t>
            </w:r>
          </w:p>
        </w:tc>
        <w:tc>
          <w:tcPr>
            <w:tcW w:w="340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restart"/>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总体目标完成情况</w:t>
            </w:r>
          </w:p>
        </w:tc>
        <w:tc>
          <w:tcPr>
            <w:tcW w:w="5028" w:type="dxa"/>
            <w:gridSpan w:val="13"/>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总体目标</w:t>
            </w:r>
          </w:p>
        </w:tc>
        <w:tc>
          <w:tcPr>
            <w:tcW w:w="3054" w:type="dxa"/>
            <w:gridSpan w:val="7"/>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0" w:hRule="atLeast"/>
          <w:jc w:val="center"/>
        </w:trPr>
        <w:tc>
          <w:tcPr>
            <w:tcW w:w="236"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5028" w:type="dxa"/>
            <w:gridSpan w:val="1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1:免费向常住城乡居民提供12类国家基本公共卫生服务；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2、开展对重点疾病及危害因素检测，有效控制疾病流行，为制定相关政策提供科学依据；</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3、助力国家脱贫攻坚，保持重点地方病防治措施全面落实。</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4、开展职业病检测，最大限度地保护放射工作人员，患者和公众的健康权益。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5、同时推进妇幼健康、健康素养促进、医养结合和老年健康服务、卫生应急、计划生育等方面工作。</w:t>
            </w:r>
          </w:p>
        </w:tc>
        <w:tc>
          <w:tcPr>
            <w:tcW w:w="3054"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1.全乡承担基本公共卫生项目基层医疗卫生机构免费为辖区居民提供12类基本公共卫生服务。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2.开展对重点疾病及危害因素监测，有效控制疾病流行，为制定相关政策提供科学依据。重点疾病监测项目完成相应指标。</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3.助力国家脱贫攻坚，保持重点地方病防治措施全面落实。完成地方病监测任务。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4.全面完成职业病监测各项任务。最大限度地保护放射工作人员、患者和公众的健康权益。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5.推进妇幼健康、健康素养促进、医养结合和老年健康服务、卫生应急、计划生育等方面工作，确保各项指标达标及工作落实。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36" w:type="dxa"/>
            <w:vMerge w:val="restart"/>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绩效指标</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w:t>
            </w:r>
          </w:p>
        </w:tc>
        <w:tc>
          <w:tcPr>
            <w:tcW w:w="841" w:type="dxa"/>
            <w:gridSpan w:val="5"/>
            <w:tcBorders>
              <w:top w:val="single" w:color="000000" w:sz="4" w:space="0"/>
              <w:left w:val="single" w:color="000000" w:sz="4" w:space="0"/>
              <w:bottom w:val="single" w:color="auto"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二级指标</w:t>
            </w:r>
          </w:p>
        </w:tc>
        <w:tc>
          <w:tcPr>
            <w:tcW w:w="3342" w:type="dxa"/>
            <w:gridSpan w:val="6"/>
            <w:tcBorders>
              <w:top w:val="single" w:color="000000" w:sz="4" w:space="0"/>
              <w:left w:val="single" w:color="000000" w:sz="4" w:space="0"/>
              <w:bottom w:val="single" w:color="auto"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三级指标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指标值</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全年实际完成值</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restart"/>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restart"/>
            <w:tcBorders>
              <w:top w:val="single" w:color="auto" w:sz="4" w:space="0"/>
              <w:left w:val="single" w:color="auto"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数量指标</w:t>
            </w:r>
          </w:p>
        </w:tc>
        <w:tc>
          <w:tcPr>
            <w:tcW w:w="3342" w:type="dxa"/>
            <w:gridSpan w:val="6"/>
            <w:tcBorders>
              <w:top w:val="single" w:color="auto"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适龄儿童国家免疫规划疫苗接种率</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8"/>
                <w:lang w:val="en-US" w:eastAsia="zh-CN" w:bidi="en-AU"/>
              </w:rPr>
              <w:t>7</w:t>
            </w:r>
            <w:r>
              <w:rPr>
                <w:rStyle w:val="49"/>
                <w:lang w:val="en-US" w:eastAsia="zh-CN" w:bidi="en-AU"/>
              </w:rPr>
              <w:t>岁以下儿童健康管理率</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85%</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8"/>
                <w:lang w:val="en-US" w:eastAsia="zh-CN" w:bidi="en-AU"/>
              </w:rPr>
              <w:t>0-6</w:t>
            </w:r>
            <w:r>
              <w:rPr>
                <w:rStyle w:val="49"/>
                <w:lang w:val="en-US" w:eastAsia="zh-CN" w:bidi="en-AU"/>
              </w:rPr>
              <w:t>岁儿童眼保健和视力检查覆盖率</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93%</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孕产妇系统管理率</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en-AU"/>
              </w:rPr>
              <w:t>99.77%</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8"/>
                <w:lang w:val="en-US" w:eastAsia="zh-CN" w:bidi="en-AU"/>
              </w:rPr>
              <w:t>3</w:t>
            </w:r>
            <w:r>
              <w:rPr>
                <w:rStyle w:val="49"/>
                <w:lang w:val="en-US" w:eastAsia="zh-CN" w:bidi="en-AU"/>
              </w:rPr>
              <w:t>岁以下儿童系统管理率</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80%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高血压患者管理人数</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5"/>
                <w:rFonts w:hint="eastAsia" w:ascii="宋体" w:hAnsi="宋体" w:eastAsia="宋体" w:cs="宋体"/>
                <w:sz w:val="24"/>
                <w:szCs w:val="24"/>
                <w:lang w:val="en-US" w:eastAsia="zh-CN" w:bidi="en-AU"/>
              </w:rPr>
              <w:t>0.0747</w:t>
            </w:r>
            <w:r>
              <w:rPr>
                <w:rStyle w:val="49"/>
                <w:lang w:val="en-US" w:eastAsia="zh-CN" w:bidi="en-AU"/>
              </w:rPr>
              <w:t>万人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5"/>
                <w:rFonts w:hint="eastAsia" w:ascii="宋体" w:hAnsi="宋体" w:eastAsia="宋体" w:cs="宋体"/>
                <w:sz w:val="24"/>
                <w:szCs w:val="24"/>
                <w:lang w:val="en-US" w:eastAsia="zh-CN" w:bidi="en-AU"/>
              </w:rPr>
              <w:t>0.0747</w:t>
            </w:r>
            <w:r>
              <w:rPr>
                <w:rStyle w:val="49"/>
                <w:lang w:val="en-US" w:eastAsia="zh-CN" w:bidi="en-AU"/>
              </w:rPr>
              <w:t>万人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8"/>
                <w:lang w:val="en-US" w:eastAsia="zh-CN" w:bidi="en-AU"/>
              </w:rPr>
              <w:t>2</w:t>
            </w:r>
            <w:r>
              <w:rPr>
                <w:rStyle w:val="49"/>
                <w:lang w:val="en-US" w:eastAsia="zh-CN" w:bidi="en-AU"/>
              </w:rPr>
              <w:t>型糖尿病患者管理人数</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5"/>
                <w:rFonts w:hint="eastAsia" w:ascii="宋体" w:hAnsi="宋体" w:eastAsia="宋体" w:cs="宋体"/>
                <w:sz w:val="24"/>
                <w:szCs w:val="24"/>
                <w:lang w:val="en-US" w:eastAsia="zh-CN" w:bidi="en-AU"/>
              </w:rPr>
              <w:t>0.0135</w:t>
            </w:r>
            <w:r>
              <w:rPr>
                <w:rStyle w:val="49"/>
                <w:lang w:val="en-US" w:eastAsia="zh-CN" w:bidi="en-AU"/>
              </w:rPr>
              <w:t>万人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5"/>
                <w:rFonts w:hint="eastAsia" w:ascii="宋体" w:hAnsi="宋体" w:eastAsia="宋体" w:cs="宋体"/>
                <w:sz w:val="24"/>
                <w:szCs w:val="24"/>
                <w:lang w:val="en-US" w:eastAsia="zh-CN" w:bidi="en-AU"/>
              </w:rPr>
              <w:t>0.0135</w:t>
            </w:r>
            <w:r>
              <w:rPr>
                <w:rStyle w:val="49"/>
                <w:lang w:val="en-US" w:eastAsia="zh-CN" w:bidi="en-AU"/>
              </w:rPr>
              <w:t>万人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地方病核心指标监测率</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职业健康核心指标监测县区覆盖率</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92%</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肺结核患者管理率</w:t>
            </w:r>
          </w:p>
        </w:tc>
        <w:tc>
          <w:tcPr>
            <w:tcW w:w="133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auto"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auto"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社区在册居家严重精神障碍患者健康管理率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80%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99.99%</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儿童中医药健康管理率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65%</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老年人中医药健康管理率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65%</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75%</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8"/>
                <w:lang w:val="en-US" w:eastAsia="zh-CN" w:bidi="en-AU"/>
              </w:rPr>
              <w:t>卫生监督协管各专业每年巡查（访）</w:t>
            </w:r>
            <w:r>
              <w:rPr>
                <w:rStyle w:val="45"/>
                <w:rFonts w:ascii="宋体" w:hAnsi="宋体" w:eastAsia="宋体" w:cs="宋体"/>
                <w:sz w:val="24"/>
                <w:szCs w:val="24"/>
                <w:lang w:val="en-US" w:eastAsia="zh-CN" w:bidi="en-AU"/>
              </w:rPr>
              <w:t>2</w:t>
            </w:r>
            <w:r>
              <w:rPr>
                <w:rStyle w:val="49"/>
                <w:lang w:val="en-US" w:eastAsia="zh-CN" w:bidi="en-AU"/>
              </w:rPr>
              <w:t>次完成率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贫困地区儿童营养改善国家级贫困县覆盖率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100%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目标人群叶酸服用率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孕前优生健康检查目标人群覆盖率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80%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新生儿听力筛查率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85%</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99.91%</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“两癌”检查项目目标任务完成率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8"/>
                <w:lang w:val="en-US" w:eastAsia="zh-CN" w:bidi="en-AU"/>
              </w:rPr>
              <w:t>65</w:t>
            </w:r>
            <w:r>
              <w:rPr>
                <w:rStyle w:val="49"/>
                <w:lang w:val="en-US" w:eastAsia="zh-CN" w:bidi="en-AU"/>
              </w:rPr>
              <w:t>岁以上失能老年人健康服务率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≥18%</w:t>
            </w:r>
          </w:p>
        </w:tc>
        <w:tc>
          <w:tcPr>
            <w:tcW w:w="879"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45%</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居民规范化电子健康档案覆盖率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≥60%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改造尘肺病康复站</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培养康复医务人员</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完成尘肺病患者档案，采购设施设备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8份</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8份</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农村妇女免费“两癌”检查乳腺癌项目人数</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≥300人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8"/>
                <w:rFonts w:hint="eastAsia"/>
                <w:lang w:val="en-US" w:eastAsia="zh-CN" w:bidi="en-AU"/>
              </w:rPr>
              <w:t>365</w:t>
            </w:r>
            <w:r>
              <w:rPr>
                <w:rStyle w:val="49"/>
                <w:lang w:val="en-US" w:eastAsia="zh-CN" w:bidi="en-AU"/>
              </w:rPr>
              <w:t>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农村妇女免费“两癌”检查宫颈癌项目人数</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≥300人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325人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计划年度符合生育政策、计划怀孕的城乡夫妇（包括流动人口）参检对数</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≥80人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新生儿筛查人数</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≧20人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21人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质量指标</w:t>
            </w: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按照四川省、广元市第二批尘肺病康复站建设标准，规范建好“七个一”。</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达标</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达标</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创新中医药适宜技术参与尘肺病康复</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有机结合</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有机结合</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高血压患者基层规范管理服务率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60%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85%</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2型糖尿病患者基层规范管理服务率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60%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85%</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65岁及以上老年人城乡社区规范健康管理服务率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60%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传染病和突发公共卫生事件报告率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95%</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严重精神障碍患者规范管理率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lang w:val="en-US" w:eastAsia="zh-CN" w:bidi="en-AU"/>
              </w:rPr>
              <w:t>≥</w:t>
            </w:r>
            <w:r>
              <w:rPr>
                <w:rStyle w:val="45"/>
                <w:rFonts w:ascii="宋体" w:hAnsi="宋体" w:eastAsia="宋体" w:cs="宋体"/>
                <w:sz w:val="24"/>
                <w:szCs w:val="24"/>
                <w:lang w:val="en-US" w:eastAsia="zh-CN" w:bidi="en-AU"/>
              </w:rPr>
              <w:t>90%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99.61%</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农村妇女“两癌”筛查任务完成率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117.58%</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出生缺陷发生风险</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逐步降低</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逐步降低</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新生儿听力筛查率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≥85%</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新生儿两种遗传代谢病（ PKU和CH)筛查率</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≥95%</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时效指标</w:t>
            </w: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完成周期</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1年</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1年</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成本指标</w:t>
            </w: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“两癌”筛查项目标准：宫颈癌检查补助标准</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49元/人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49元/人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“两癌”筛查项目标准：乳腺癌检查补助标准</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79元/人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79元/人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新生儿筛查项目标准（共计120元/人）</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两种遗传代谢病筛查50元/人；听力筛查70元/人</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其中两种遗传代谢病筛查50元/人；听力筛查70元/人</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每对参检夫妇结算标准</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240元/对</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240元/对</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总成本</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≦1018.867万元</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1018.867万元</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标</w:t>
            </w:r>
          </w:p>
        </w:tc>
        <w:tc>
          <w:tcPr>
            <w:tcW w:w="84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经济效益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w:t>
            </w: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城乡居民公共卫生服务差距</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不断缩小</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居民健康素养水平</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可持续影响指标</w:t>
            </w: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指标2:城乡计划怀孕夫妇参加免费孕前优生健康检查的主动性和自觉性</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逐步提高</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逐步提高</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基本公共卫生服务水平</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6" w:hRule="atLeast"/>
          <w:jc w:val="center"/>
        </w:trPr>
        <w:tc>
          <w:tcPr>
            <w:tcW w:w="2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满意度指标</w:t>
            </w:r>
          </w:p>
        </w:tc>
        <w:tc>
          <w:tcPr>
            <w:tcW w:w="841"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满意度指标</w:t>
            </w:r>
          </w:p>
        </w:tc>
        <w:tc>
          <w:tcPr>
            <w:tcW w:w="3342"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服务对象满意度</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bookmarkEnd w:id="132"/>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318" w:type="dxa"/>
            <w:gridSpan w:val="21"/>
            <w:tcBorders>
              <w:top w:val="nil"/>
              <w:left w:val="nil"/>
              <w:bottom w:val="nil"/>
              <w:right w:val="nil"/>
            </w:tcBorders>
            <w:shd w:val="clear" w:color="auto" w:fill="auto"/>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2"/>
                <w:szCs w:val="32"/>
                <w:u w:val="none"/>
              </w:rPr>
            </w:pPr>
            <w:r>
              <w:rPr>
                <w:rFonts w:hint="default" w:ascii="方正小标宋简体" w:hAnsi="方正小标宋简体" w:eastAsia="方正小标宋简体" w:cs="方正小标宋简体"/>
                <w:b/>
                <w:bCs/>
                <w:i w:val="0"/>
                <w:iCs w:val="0"/>
                <w:color w:val="000000"/>
                <w:kern w:val="0"/>
                <w:sz w:val="32"/>
                <w:szCs w:val="32"/>
                <w:u w:val="none"/>
                <w:lang w:val="en-US" w:eastAsia="zh-CN" w:bidi="en-AU"/>
              </w:rPr>
              <w:t>基本药物制度中央补助转移支付项目绩效目标自评表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8318" w:type="dxa"/>
            <w:gridSpan w:val="21"/>
            <w:tcBorders>
              <w:top w:val="nil"/>
              <w:left w:val="nil"/>
              <w:bottom w:val="single" w:color="000000" w:sz="4" w:space="0"/>
              <w:right w:val="nil"/>
            </w:tcBorders>
            <w:shd w:val="clear" w:color="auto" w:fill="auto"/>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en-AU"/>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82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转移支付（项目）名称</w:t>
            </w:r>
          </w:p>
        </w:tc>
        <w:tc>
          <w:tcPr>
            <w:tcW w:w="6491"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基本药物制度中央补助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113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中央主管部门</w:t>
            </w:r>
          </w:p>
        </w:tc>
        <w:tc>
          <w:tcPr>
            <w:tcW w:w="7182" w:type="dxa"/>
            <w:gridSpan w:val="1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13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地方主管部门</w:t>
            </w:r>
          </w:p>
        </w:tc>
        <w:tc>
          <w:tcPr>
            <w:tcW w:w="4568"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广元市昭化区卫生健康局</w:t>
            </w: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资金使用单位</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射箭镇卫生院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13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（万元）</w:t>
            </w: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20"/>
                <w:szCs w:val="20"/>
                <w:u w:val="none"/>
              </w:rPr>
            </w:pPr>
          </w:p>
        </w:tc>
        <w:tc>
          <w:tcPr>
            <w:tcW w:w="1921"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全年预算数（A）</w:t>
            </w: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全年执行数（B）</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年度资金总额：</w:t>
            </w:r>
          </w:p>
        </w:tc>
        <w:tc>
          <w:tcPr>
            <w:tcW w:w="192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21.42 </w:t>
            </w: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21.42 </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 其中：中央财政资金</w:t>
            </w:r>
          </w:p>
        </w:tc>
        <w:tc>
          <w:tcPr>
            <w:tcW w:w="192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12.83 </w:t>
            </w: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12.83 </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       地方资金</w:t>
            </w:r>
          </w:p>
        </w:tc>
        <w:tc>
          <w:tcPr>
            <w:tcW w:w="1921"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8.59 </w:t>
            </w: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8.59 </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en-AU"/>
              </w:rPr>
              <w:t xml:space="preserve">      </w:t>
            </w:r>
            <w:r>
              <w:rPr>
                <w:rFonts w:hint="eastAsia" w:ascii="宋体" w:hAnsi="宋体" w:eastAsia="宋体" w:cs="宋体"/>
                <w:i w:val="0"/>
                <w:iCs w:val="0"/>
                <w:color w:val="000000"/>
                <w:kern w:val="0"/>
                <w:sz w:val="20"/>
                <w:szCs w:val="20"/>
                <w:u w:val="none"/>
                <w:lang w:val="en-US" w:eastAsia="zh-CN" w:bidi="en-AU"/>
              </w:rPr>
              <w:t xml:space="preserve">  其他资金</w:t>
            </w:r>
          </w:p>
        </w:tc>
        <w:tc>
          <w:tcPr>
            <w:tcW w:w="1921"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13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资金管理情况</w:t>
            </w: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20"/>
                <w:szCs w:val="20"/>
                <w:u w:val="none"/>
              </w:rPr>
            </w:pPr>
          </w:p>
        </w:tc>
        <w:tc>
          <w:tcPr>
            <w:tcW w:w="3319"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情况说明</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分配科学性</w:t>
            </w:r>
          </w:p>
        </w:tc>
        <w:tc>
          <w:tcPr>
            <w:tcW w:w="3319"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严格按照转移支付管理制度以及资金管理办法规定的范围和标准分配资金。</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下达及时性</w:t>
            </w:r>
          </w:p>
        </w:tc>
        <w:tc>
          <w:tcPr>
            <w:tcW w:w="3319"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严格按照预算法及其实施条例、转移支付管理制度规定以及资金管理办法规定的时限要求分解下达。</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拨付合规性</w:t>
            </w:r>
          </w:p>
        </w:tc>
        <w:tc>
          <w:tcPr>
            <w:tcW w:w="3319"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严格按照国库集中支付制度有关规定支付资金，未出现违规将资金从国库转入财政专户或支付到预算单位实有资金账户等问题。</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使用规范性</w:t>
            </w:r>
          </w:p>
        </w:tc>
        <w:tc>
          <w:tcPr>
            <w:tcW w:w="3319"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严格按照下达预算的科目和项目执行，未出现截留、挤占、挪用或擅自调整等问题。</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执行准确性</w:t>
            </w:r>
          </w:p>
        </w:tc>
        <w:tc>
          <w:tcPr>
            <w:tcW w:w="3319"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按照上级下达和本级预算安排的金额执行，不存在执行数偏离预算数较多的问题。</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7"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预算绩效管理情况</w:t>
            </w:r>
          </w:p>
        </w:tc>
        <w:tc>
          <w:tcPr>
            <w:tcW w:w="3319"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在细化下达预算时同步下达绩效目标，将有关资金纳入本级预算或对下转移支付绩效管理，开展绩效监控和绩效评价。</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7" w:hRule="atLeast"/>
          <w:jc w:val="center"/>
        </w:trPr>
        <w:tc>
          <w:tcPr>
            <w:tcW w:w="11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647"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支出责任履行情况</w:t>
            </w:r>
          </w:p>
        </w:tc>
        <w:tc>
          <w:tcPr>
            <w:tcW w:w="3319"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对共同财政事权转移支付，按照财政事权和支出责任划分有关规定，足额安排资金履行本级支出责任。</w:t>
            </w:r>
          </w:p>
        </w:tc>
        <w:tc>
          <w:tcPr>
            <w:tcW w:w="1216"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271" w:type="dxa"/>
            <w:gridSpan w:val="2"/>
            <w:vMerge w:val="restart"/>
            <w:tcBorders>
              <w:top w:val="single" w:color="auto"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总体目标完成情况</w:t>
            </w:r>
          </w:p>
        </w:tc>
        <w:tc>
          <w:tcPr>
            <w:tcW w:w="5433" w:type="dxa"/>
            <w:gridSpan w:val="13"/>
            <w:tcBorders>
              <w:top w:val="single" w:color="auto"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总体目标</w:t>
            </w:r>
          </w:p>
        </w:tc>
        <w:tc>
          <w:tcPr>
            <w:tcW w:w="2614" w:type="dxa"/>
            <w:gridSpan w:val="6"/>
            <w:tcBorders>
              <w:top w:val="nil"/>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3" w:hRule="atLeast"/>
          <w:jc w:val="center"/>
        </w:trPr>
        <w:tc>
          <w:tcPr>
            <w:tcW w:w="271" w:type="dxa"/>
            <w:gridSpan w:val="2"/>
            <w:vMerge w:val="continue"/>
            <w:tcBorders>
              <w:top w:val="nil"/>
              <w:left w:val="single" w:color="auto"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5433" w:type="dxa"/>
            <w:gridSpan w:val="13"/>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目标1：保证所有政府办基层医疗卫生机构实施国家基本药物制度，推进综合改革顺利进行；  目标2：对实施国家基本药物制度的村卫生室给予补助，支持国家基本药物制度在村卫生室顺利实施；</w:t>
            </w:r>
          </w:p>
        </w:tc>
        <w:tc>
          <w:tcPr>
            <w:tcW w:w="2614"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全镇11个村卫生站、11个村医全面实施国家基本药物制度，确保基本药物制度的实施，解决了老百姓看病贵的问题，稳定了乡村医生的收入。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27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绩效指标</w:t>
            </w:r>
          </w:p>
        </w:tc>
        <w:tc>
          <w:tcPr>
            <w:tcW w:w="114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w:t>
            </w:r>
          </w:p>
        </w:tc>
        <w:tc>
          <w:tcPr>
            <w:tcW w:w="49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二级指标</w:t>
            </w:r>
          </w:p>
        </w:tc>
        <w:tc>
          <w:tcPr>
            <w:tcW w:w="2596" w:type="dxa"/>
            <w:gridSpan w:val="5"/>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三级指标</w:t>
            </w:r>
          </w:p>
        </w:tc>
        <w:tc>
          <w:tcPr>
            <w:tcW w:w="1204" w:type="dxa"/>
            <w:gridSpan w:val="3"/>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指标值</w:t>
            </w:r>
          </w:p>
        </w:tc>
        <w:tc>
          <w:tcPr>
            <w:tcW w:w="1614"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全年实际完成值</w:t>
            </w:r>
          </w:p>
        </w:tc>
        <w:tc>
          <w:tcPr>
            <w:tcW w:w="100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27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标</w:t>
            </w:r>
          </w:p>
        </w:tc>
        <w:tc>
          <w:tcPr>
            <w:tcW w:w="493" w:type="dxa"/>
            <w:gridSpan w:val="2"/>
            <w:vMerge w:val="restart"/>
            <w:tcBorders>
              <w:top w:val="single" w:color="000000" w:sz="4" w:space="0"/>
              <w:left w:val="single" w:color="auto"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数量指标</w:t>
            </w:r>
          </w:p>
        </w:tc>
        <w:tc>
          <w:tcPr>
            <w:tcW w:w="2596" w:type="dxa"/>
            <w:gridSpan w:val="5"/>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实施基本药物制度的政府办基层医疗卫生机构数量</w:t>
            </w:r>
          </w:p>
        </w:tc>
        <w:tc>
          <w:tcPr>
            <w:tcW w:w="1204" w:type="dxa"/>
            <w:gridSpan w:val="3"/>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11个</w:t>
            </w:r>
          </w:p>
        </w:tc>
        <w:tc>
          <w:tcPr>
            <w:tcW w:w="177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11个</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93" w:type="dxa"/>
            <w:gridSpan w:val="2"/>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596" w:type="dxa"/>
            <w:gridSpan w:val="5"/>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实施基本药物制度的村卫生室占比</w:t>
            </w:r>
          </w:p>
        </w:tc>
        <w:tc>
          <w:tcPr>
            <w:tcW w:w="1204" w:type="dxa"/>
            <w:gridSpan w:val="3"/>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177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93" w:type="dxa"/>
            <w:gridSpan w:val="2"/>
            <w:vMerge w:val="restart"/>
            <w:tcBorders>
              <w:top w:val="single" w:color="000000" w:sz="4" w:space="0"/>
              <w:left w:val="single" w:color="auto"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质量指标</w:t>
            </w:r>
          </w:p>
        </w:tc>
        <w:tc>
          <w:tcPr>
            <w:tcW w:w="2596" w:type="dxa"/>
            <w:gridSpan w:val="5"/>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基层医疗卫生机构“优质服务基层行”活动开展评价机构数比例</w:t>
            </w:r>
          </w:p>
        </w:tc>
        <w:tc>
          <w:tcPr>
            <w:tcW w:w="1204" w:type="dxa"/>
            <w:gridSpan w:val="3"/>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w:t>
            </w:r>
          </w:p>
        </w:tc>
        <w:tc>
          <w:tcPr>
            <w:tcW w:w="177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3.00%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93" w:type="dxa"/>
            <w:gridSpan w:val="2"/>
            <w:vMerge w:val="continue"/>
            <w:tcBorders>
              <w:top w:val="single" w:color="000000" w:sz="4" w:space="0"/>
              <w:left w:val="single" w:color="auto"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596" w:type="dxa"/>
            <w:gridSpan w:val="5"/>
            <w:tcBorders>
              <w:top w:val="single" w:color="000000" w:sz="4" w:space="0"/>
              <w:left w:val="single" w:color="000000"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基层医疗卫生机构“优质服务基层行”活动达到基本标准及以上的比例</w:t>
            </w:r>
          </w:p>
        </w:tc>
        <w:tc>
          <w:tcPr>
            <w:tcW w:w="1204" w:type="dxa"/>
            <w:gridSpan w:val="3"/>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bidi="en-AU"/>
              </w:rPr>
              <w:t>≧</w:t>
            </w:r>
            <w:r>
              <w:rPr>
                <w:rFonts w:hint="eastAsia" w:ascii="宋体" w:hAnsi="宋体" w:eastAsia="宋体" w:cs="宋体"/>
                <w:i w:val="0"/>
                <w:iCs w:val="0"/>
                <w:color w:val="000000"/>
                <w:kern w:val="0"/>
                <w:sz w:val="20"/>
                <w:szCs w:val="20"/>
                <w:u w:val="none"/>
                <w:lang w:val="en-US" w:eastAsia="zh-CN" w:bidi="en-AU"/>
              </w:rPr>
              <w:t>90%</w:t>
            </w:r>
          </w:p>
        </w:tc>
        <w:tc>
          <w:tcPr>
            <w:tcW w:w="177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90.90%</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93" w:type="dxa"/>
            <w:gridSpan w:val="2"/>
            <w:tcBorders>
              <w:top w:val="single" w:color="auto"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时效指标</w:t>
            </w:r>
          </w:p>
        </w:tc>
        <w:tc>
          <w:tcPr>
            <w:tcW w:w="2596" w:type="dxa"/>
            <w:gridSpan w:val="5"/>
            <w:tcBorders>
              <w:top w:val="single" w:color="auto"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2022年12月以前完成项目实施</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bidi="en-AU"/>
              </w:rPr>
              <w:t>≦</w:t>
            </w:r>
            <w:r>
              <w:rPr>
                <w:rFonts w:hint="eastAsia" w:ascii="宋体" w:hAnsi="宋体" w:eastAsia="宋体" w:cs="宋体"/>
                <w:i w:val="0"/>
                <w:iCs w:val="0"/>
                <w:color w:val="000000"/>
                <w:kern w:val="0"/>
                <w:sz w:val="20"/>
                <w:szCs w:val="20"/>
                <w:u w:val="none"/>
                <w:lang w:val="en-US" w:eastAsia="zh-CN" w:bidi="en-AU"/>
              </w:rPr>
              <w:t>12个月</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12个月</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93"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成本指标</w:t>
            </w:r>
          </w:p>
        </w:tc>
        <w:tc>
          <w:tcPr>
            <w:tcW w:w="259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项目总成本</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≦21.42万元</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21.42万元</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restart"/>
            <w:tcBorders>
              <w:top w:val="single" w:color="auto" w:sz="4" w:space="0"/>
              <w:left w:val="single" w:color="000000" w:sz="4" w:space="0"/>
              <w:bottom w:val="single" w:color="auto"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效益指标</w:t>
            </w:r>
          </w:p>
        </w:tc>
        <w:tc>
          <w:tcPr>
            <w:tcW w:w="4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w:t>
            </w:r>
          </w:p>
        </w:tc>
        <w:tc>
          <w:tcPr>
            <w:tcW w:w="259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妇女、儿童生活质量及健康水平</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59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扩大艾滋病检查率</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≧25%</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≧25%</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93" w:type="dxa"/>
            <w:gridSpan w:val="2"/>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经济效益</w:t>
            </w:r>
          </w:p>
        </w:tc>
        <w:tc>
          <w:tcPr>
            <w:tcW w:w="259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乡村医生保持稳定收入情况</w:t>
            </w:r>
          </w:p>
        </w:tc>
        <w:tc>
          <w:tcPr>
            <w:tcW w:w="1204"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同比提升</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较上年提高5%</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2"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93" w:type="dxa"/>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可持续影响指标</w:t>
            </w:r>
          </w:p>
        </w:tc>
        <w:tc>
          <w:tcPr>
            <w:tcW w:w="259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基本药物制度在基层持续实施</w:t>
            </w:r>
          </w:p>
        </w:tc>
        <w:tc>
          <w:tcPr>
            <w:tcW w:w="209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稳步推进</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稳步推进</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7" w:hRule="atLeast"/>
          <w:jc w:val="center"/>
        </w:trPr>
        <w:tc>
          <w:tcPr>
            <w:tcW w:w="271" w:type="dxa"/>
            <w:gridSpan w:val="2"/>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93" w:type="dxa"/>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59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医共体建设符合“紧密型”、“控费用”、“同质化”、“促分工”发展方向</w:t>
            </w:r>
          </w:p>
        </w:tc>
        <w:tc>
          <w:tcPr>
            <w:tcW w:w="209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推进“医共体”试点</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制定规划，稳步推进</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1" w:hRule="atLeast"/>
          <w:jc w:val="center"/>
        </w:trPr>
        <w:tc>
          <w:tcPr>
            <w:tcW w:w="271" w:type="dxa"/>
            <w:gridSpan w:val="2"/>
            <w:vMerge w:val="continue"/>
            <w:tcBorders>
              <w:top w:val="single" w:color="auto" w:sz="4" w:space="0"/>
              <w:left w:val="single" w:color="auto" w:sz="4" w:space="0"/>
              <w:bottom w:val="nil"/>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1140" w:type="dxa"/>
            <w:gridSpan w:val="3"/>
            <w:tcBorders>
              <w:top w:val="single" w:color="auto"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满意度指标</w:t>
            </w:r>
          </w:p>
        </w:tc>
        <w:tc>
          <w:tcPr>
            <w:tcW w:w="493" w:type="dxa"/>
            <w:gridSpan w:val="2"/>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满意度指标</w:t>
            </w:r>
          </w:p>
        </w:tc>
        <w:tc>
          <w:tcPr>
            <w:tcW w:w="259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对基本药物制度</w:t>
            </w:r>
            <w:bookmarkStart w:id="177" w:name="_GoBack"/>
            <w:bookmarkEnd w:id="177"/>
            <w:r>
              <w:rPr>
                <w:rFonts w:hint="eastAsia" w:ascii="宋体" w:hAnsi="宋体" w:eastAsia="宋体" w:cs="宋体"/>
                <w:i w:val="0"/>
                <w:iCs w:val="0"/>
                <w:color w:val="000000"/>
                <w:kern w:val="0"/>
                <w:sz w:val="20"/>
                <w:szCs w:val="20"/>
                <w:u w:val="none"/>
                <w:lang w:val="en-US" w:eastAsia="zh-CN" w:bidi="en-AU"/>
              </w:rPr>
              <w:t>满意度</w:t>
            </w:r>
          </w:p>
        </w:tc>
        <w:tc>
          <w:tcPr>
            <w:tcW w:w="209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bidi="en-AU"/>
              </w:rPr>
              <w:t>≧</w:t>
            </w:r>
            <w:r>
              <w:rPr>
                <w:rFonts w:hint="eastAsia" w:ascii="宋体" w:hAnsi="宋体" w:eastAsia="宋体" w:cs="宋体"/>
                <w:i w:val="0"/>
                <w:iCs w:val="0"/>
                <w:color w:val="000000"/>
                <w:kern w:val="0"/>
                <w:sz w:val="20"/>
                <w:szCs w:val="20"/>
                <w:u w:val="none"/>
                <w:lang w:val="en-US" w:eastAsia="zh-CN" w:bidi="en-AU"/>
              </w:rPr>
              <w:t>90%</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95%</w:t>
            </w:r>
          </w:p>
        </w:tc>
        <w:tc>
          <w:tcPr>
            <w:tcW w:w="842"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271"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说明</w:t>
            </w:r>
          </w:p>
        </w:tc>
        <w:tc>
          <w:tcPr>
            <w:tcW w:w="8047" w:type="dxa"/>
            <w:gridSpan w:val="1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无</w:t>
            </w:r>
          </w:p>
        </w:tc>
      </w:tr>
    </w:tbl>
    <w:p>
      <w:pPr>
        <w:spacing w:line="600" w:lineRule="exact"/>
        <w:jc w:val="center"/>
        <w:outlineLvl w:val="1"/>
        <w:rPr>
          <w:rFonts w:hint="eastAsia" w:ascii="宋体" w:hAnsi="宋体" w:eastAsia="宋体" w:cs="宋体"/>
          <w:color w:val="auto"/>
          <w:kern w:val="0"/>
          <w:sz w:val="32"/>
          <w:szCs w:val="32"/>
          <w:highlight w:val="none"/>
          <w:lang w:val="en-US" w:eastAsia="zh-CN" w:bidi="ar-SA"/>
        </w:rPr>
      </w:pPr>
      <w:r>
        <w:rPr>
          <w:rFonts w:hint="eastAsia" w:ascii="宋体" w:hAnsi="宋体" w:eastAsia="宋体" w:cs="宋体"/>
          <w:color w:val="auto"/>
          <w:kern w:val="0"/>
          <w:sz w:val="32"/>
          <w:szCs w:val="32"/>
          <w:highlight w:val="none"/>
          <w:lang w:val="en-US" w:eastAsia="zh-CN" w:bidi="ar-SA"/>
        </w:rPr>
        <w:t>部门预算项目支出绩效自评表（2022年度）</w:t>
      </w:r>
      <w:bookmarkEnd w:id="133"/>
      <w:bookmarkEnd w:id="134"/>
    </w:p>
    <w:tbl>
      <w:tblPr>
        <w:tblStyle w:val="2"/>
        <w:tblpPr w:leftFromText="180" w:rightFromText="180" w:vertAnchor="text" w:horzAnchor="page" w:tblpX="1823" w:tblpY="416"/>
        <w:tblOverlap w:val="never"/>
        <w:tblW w:w="8336" w:type="dxa"/>
        <w:tblInd w:w="-10" w:type="dxa"/>
        <w:shd w:val="clear" w:color="auto" w:fill="auto"/>
        <w:tblLayout w:type="fixed"/>
        <w:tblCellMar>
          <w:top w:w="0" w:type="dxa"/>
          <w:left w:w="0" w:type="dxa"/>
          <w:bottom w:w="0" w:type="dxa"/>
          <w:right w:w="0" w:type="dxa"/>
        </w:tblCellMar>
      </w:tblPr>
      <w:tblGrid>
        <w:gridCol w:w="10"/>
        <w:gridCol w:w="850"/>
        <w:gridCol w:w="990"/>
        <w:gridCol w:w="990"/>
        <w:gridCol w:w="990"/>
        <w:gridCol w:w="810"/>
        <w:gridCol w:w="610"/>
        <w:gridCol w:w="440"/>
        <w:gridCol w:w="990"/>
        <w:gridCol w:w="552"/>
        <w:gridCol w:w="675"/>
        <w:gridCol w:w="429"/>
        <w:gridCol w:w="10"/>
      </w:tblGrid>
      <w:tr>
        <w:tblPrEx>
          <w:shd w:val="clear" w:color="auto" w:fill="auto"/>
          <w:tblCellMar>
            <w:top w:w="0" w:type="dxa"/>
            <w:left w:w="0" w:type="dxa"/>
            <w:bottom w:w="0" w:type="dxa"/>
            <w:right w:w="0" w:type="dxa"/>
          </w:tblCellMar>
        </w:tblPrEx>
        <w:trPr>
          <w:gridAfter w:val="1"/>
          <w:trHeight w:val="580" w:hRule="atLeast"/>
        </w:trPr>
        <w:tc>
          <w:tcPr>
            <w:tcW w:w="8336" w:type="dxa"/>
            <w:gridSpan w:val="1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en-AU"/>
              </w:rPr>
              <w:t>部门预算项目支出绩效自评表（2022年度）</w:t>
            </w:r>
          </w:p>
        </w:tc>
      </w:tr>
      <w:tr>
        <w:tblPrEx>
          <w:tblCellMar>
            <w:top w:w="0" w:type="dxa"/>
            <w:left w:w="0" w:type="dxa"/>
            <w:bottom w:w="0" w:type="dxa"/>
            <w:right w:w="0" w:type="dxa"/>
          </w:tblCellMar>
        </w:tblPrEx>
        <w:trPr>
          <w:gridBefore w:val="1"/>
          <w:trHeight w:val="759" w:hRule="atLeast"/>
        </w:trPr>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项目名称</w:t>
            </w:r>
          </w:p>
        </w:tc>
        <w:tc>
          <w:tcPr>
            <w:tcW w:w="6496" w:type="dxa"/>
            <w:gridSpan w:val="10"/>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二类疫苗服务费</w:t>
            </w:r>
          </w:p>
        </w:tc>
      </w:tr>
      <w:tr>
        <w:tblPrEx>
          <w:tblCellMar>
            <w:top w:w="0" w:type="dxa"/>
            <w:left w:w="0" w:type="dxa"/>
            <w:bottom w:w="0" w:type="dxa"/>
            <w:right w:w="0" w:type="dxa"/>
          </w:tblCellMar>
        </w:tblPrEx>
        <w:trPr>
          <w:gridBefore w:val="1"/>
          <w:trHeight w:val="903" w:hRule="atLeast"/>
        </w:trPr>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主管部门</w:t>
            </w:r>
          </w:p>
        </w:tc>
        <w:tc>
          <w:tcPr>
            <w:tcW w:w="3840"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广元市昭化区卫生健康局部门</w:t>
            </w:r>
          </w:p>
        </w:tc>
        <w:tc>
          <w:tcPr>
            <w:tcW w:w="990" w:type="dxa"/>
            <w:tcBorders>
              <w:top w:val="nil"/>
              <w:left w:val="nil"/>
              <w:bottom w:val="nil"/>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实施单位 （盖章）</w:t>
            </w:r>
          </w:p>
        </w:tc>
        <w:tc>
          <w:tcPr>
            <w:tcW w:w="1666"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射箭镇</w:t>
            </w:r>
            <w:r>
              <w:rPr>
                <w:rFonts w:ascii="宋体" w:hAnsi="宋体" w:eastAsia="宋体" w:cs="宋体"/>
                <w:i w:val="0"/>
                <w:color w:val="000000"/>
                <w:kern w:val="0"/>
                <w:sz w:val="18"/>
                <w:szCs w:val="18"/>
                <w:u w:val="none"/>
                <w:lang w:val="en-US" w:eastAsia="zh-CN" w:bidi="en-AU"/>
              </w:rPr>
              <w:t>卫生院</w:t>
            </w:r>
          </w:p>
        </w:tc>
      </w:tr>
      <w:tr>
        <w:tblPrEx>
          <w:tblCellMar>
            <w:top w:w="0" w:type="dxa"/>
            <w:left w:w="0" w:type="dxa"/>
            <w:bottom w:w="0" w:type="dxa"/>
            <w:right w:w="0" w:type="dxa"/>
          </w:tblCellMar>
        </w:tblPrEx>
        <w:trPr>
          <w:gridBefore w:val="1"/>
          <w:trHeight w:val="400" w:hRule="atLeast"/>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项目基本情况</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1.项目年度目标完成情况</w:t>
            </w:r>
          </w:p>
        </w:tc>
        <w:tc>
          <w:tcPr>
            <w:tcW w:w="3840"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项目年度目标</w:t>
            </w:r>
          </w:p>
        </w:tc>
        <w:tc>
          <w:tcPr>
            <w:tcW w:w="2656"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年度目标完成情况</w:t>
            </w:r>
          </w:p>
        </w:tc>
      </w:tr>
      <w:tr>
        <w:tblPrEx>
          <w:tblCellMar>
            <w:top w:w="0" w:type="dxa"/>
            <w:left w:w="0" w:type="dxa"/>
            <w:bottom w:w="0" w:type="dxa"/>
            <w:right w:w="0" w:type="dxa"/>
          </w:tblCellMar>
        </w:tblPrEx>
        <w:trPr>
          <w:gridBefore w:val="1"/>
          <w:trHeight w:val="280" w:hRule="atLeast"/>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3840"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2.09万元</w:t>
            </w:r>
          </w:p>
        </w:tc>
        <w:tc>
          <w:tcPr>
            <w:tcW w:w="2656"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bidi="en-AU"/>
              </w:rPr>
              <w:t>100%</w:t>
            </w:r>
          </w:p>
        </w:tc>
      </w:tr>
      <w:tr>
        <w:tblPrEx>
          <w:tblCellMar>
            <w:top w:w="0" w:type="dxa"/>
            <w:left w:w="0" w:type="dxa"/>
            <w:bottom w:w="0" w:type="dxa"/>
            <w:right w:w="0" w:type="dxa"/>
          </w:tblCellMar>
        </w:tblPrEx>
        <w:trPr>
          <w:gridBefore w:val="1"/>
          <w:trHeight w:val="1918" w:hRule="atLeast"/>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2.项目实施内容及过程概述</w:t>
            </w:r>
          </w:p>
        </w:tc>
        <w:tc>
          <w:tcPr>
            <w:tcW w:w="6496" w:type="dxa"/>
            <w:gridSpan w:val="10"/>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gridBefore w:val="1"/>
          <w:trHeight w:val="480" w:hRule="atLeast"/>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预算执行情况（10分）</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年度预算数（万元）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年初预算</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调整后预算数</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预算执行率</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439" w:type="dxa"/>
            <w:gridSpan w:val="2"/>
            <w:tcBorders>
              <w:top w:val="single" w:color="000000" w:sz="4" w:space="0"/>
              <w:left w:val="single" w:color="000000" w:sz="4" w:space="0"/>
              <w:bottom w:val="nil"/>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未完成原因分析</w:t>
            </w:r>
          </w:p>
        </w:tc>
      </w:tr>
      <w:tr>
        <w:tblPrEx>
          <w:tblCellMar>
            <w:top w:w="0" w:type="dxa"/>
            <w:left w:w="0" w:type="dxa"/>
            <w:bottom w:w="0" w:type="dxa"/>
            <w:right w:w="0" w:type="dxa"/>
          </w:tblCellMar>
        </w:tblPrEx>
        <w:trPr>
          <w:gridBefore w:val="1"/>
          <w:trHeight w:val="544" w:hRule="atLeast"/>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en-AU"/>
              </w:rPr>
              <w:t>2.09</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en-AU"/>
              </w:rPr>
              <w:t>2.09</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w:t>
            </w:r>
          </w:p>
        </w:tc>
        <w:tc>
          <w:tcPr>
            <w:tcW w:w="675"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4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gridBefore w:val="1"/>
          <w:trHeight w:val="480" w:hRule="atLeast"/>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其中：财政资金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en-AU"/>
              </w:rPr>
              <w:t>2.09</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en-AU"/>
              </w:rPr>
              <w:t>2.09</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675"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4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gridBefore w:val="1"/>
          <w:trHeight w:val="480" w:hRule="atLeast"/>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财政专户管理资金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675"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4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gridBefore w:val="1"/>
          <w:trHeight w:val="598" w:hRule="atLeast"/>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单位资金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675"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4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gridBefore w:val="1"/>
          <w:trHeight w:val="440" w:hRule="atLeast"/>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其他资金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675"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4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gridBefore w:val="1"/>
          <w:trHeight w:val="1178" w:hRule="atLeast"/>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绩效指标（90分）</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二级指标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三级指标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指标性质</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指标值</w:t>
            </w:r>
          </w:p>
        </w:tc>
        <w:tc>
          <w:tcPr>
            <w:tcW w:w="44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度量单位</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完成值</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675"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439"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Before w:val="1"/>
          <w:trHeight w:val="440" w:hRule="atLeast"/>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4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39" w:type="dxa"/>
            <w:gridSpan w:val="2"/>
            <w:tcBorders>
              <w:top w:val="nil"/>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Before w:val="1"/>
          <w:trHeight w:val="280" w:hRule="atLeast"/>
        </w:trPr>
        <w:tc>
          <w:tcPr>
            <w:tcW w:w="6670" w:type="dxa"/>
            <w:gridSpan w:val="8"/>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合计</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439"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Before w:val="1"/>
          <w:trHeight w:val="728"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评价结论</w:t>
            </w:r>
          </w:p>
        </w:tc>
        <w:tc>
          <w:tcPr>
            <w:tcW w:w="7486" w:type="dxa"/>
            <w:gridSpan w:val="11"/>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二类疫苗接种服务费收入全额上缴国库，纳入财政预算管理，实施效果较好</w:t>
            </w:r>
          </w:p>
        </w:tc>
      </w:tr>
      <w:tr>
        <w:tblPrEx>
          <w:tblCellMar>
            <w:top w:w="0" w:type="dxa"/>
            <w:left w:w="0" w:type="dxa"/>
            <w:bottom w:w="0" w:type="dxa"/>
            <w:right w:w="0" w:type="dxa"/>
          </w:tblCellMar>
        </w:tblPrEx>
        <w:trPr>
          <w:gridBefore w:val="1"/>
          <w:trHeight w:val="334"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存在问题</w:t>
            </w:r>
          </w:p>
        </w:tc>
        <w:tc>
          <w:tcPr>
            <w:tcW w:w="7486" w:type="dxa"/>
            <w:gridSpan w:val="11"/>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gridBefore w:val="1"/>
          <w:trHeight w:val="279"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改进措施</w:t>
            </w:r>
          </w:p>
        </w:tc>
        <w:tc>
          <w:tcPr>
            <w:tcW w:w="7486" w:type="dxa"/>
            <w:gridSpan w:val="11"/>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gridBefore w:val="1"/>
          <w:trHeight w:val="495" w:hRule="atLeast"/>
        </w:trPr>
        <w:tc>
          <w:tcPr>
            <w:tcW w:w="4630"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项目负责人：</w:t>
            </w:r>
          </w:p>
        </w:tc>
        <w:tc>
          <w:tcPr>
            <w:tcW w:w="3706" w:type="dxa"/>
            <w:gridSpan w:val="7"/>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财务负责人：</w:t>
            </w:r>
          </w:p>
        </w:tc>
      </w:tr>
    </w:tbl>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bookmarkStart w:id="135" w:name="_Toc4850"/>
      <w:bookmarkStart w:id="136" w:name="_Toc11428"/>
      <w:bookmarkStart w:id="137" w:name="_Toc15396618"/>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lang w:eastAsia="zh-CN"/>
        </w:rPr>
      </w:pPr>
    </w:p>
    <w:p>
      <w:pPr>
        <w:pageBreakBefore w:val="0"/>
        <w:numPr>
          <w:ilvl w:val="0"/>
          <w:numId w:val="0"/>
        </w:numPr>
        <w:wordWrap/>
        <w:overflowPunct/>
        <w:topLinePunct w:val="0"/>
        <w:bidi w:val="0"/>
        <w:spacing w:line="580" w:lineRule="exact"/>
        <w:jc w:val="center"/>
        <w:outlineLvl w:val="0"/>
        <w:rPr>
          <w:rStyle w:val="12"/>
          <w:rFonts w:hint="eastAsia" w:ascii="黑体" w:hAnsi="黑体" w:eastAsia="黑体"/>
          <w:b w:val="0"/>
        </w:rPr>
      </w:pPr>
      <w:r>
        <w:rPr>
          <w:rStyle w:val="12"/>
          <w:rFonts w:hint="eastAsia" w:ascii="黑体" w:hAnsi="黑体" w:eastAsia="黑体"/>
          <w:b w:val="0"/>
          <w:lang w:eastAsia="zh-CN"/>
        </w:rPr>
        <w:t>第五部分</w:t>
      </w:r>
      <w:r>
        <w:rPr>
          <w:rStyle w:val="12"/>
          <w:rFonts w:hint="eastAsia" w:ascii="黑体" w:hAnsi="黑体" w:eastAsia="黑体"/>
          <w:b w:val="0"/>
          <w:lang w:val="en-US" w:eastAsia="zh-CN"/>
        </w:rPr>
        <w:t xml:space="preserve"> </w:t>
      </w:r>
      <w:r>
        <w:rPr>
          <w:rStyle w:val="12"/>
          <w:rFonts w:hint="eastAsia" w:ascii="黑体" w:hAnsi="黑体" w:eastAsia="黑体"/>
          <w:b w:val="0"/>
        </w:rPr>
        <w:t>附表</w:t>
      </w:r>
      <w:bookmarkEnd w:id="131"/>
      <w:bookmarkEnd w:id="135"/>
      <w:bookmarkEnd w:id="136"/>
      <w:bookmarkEnd w:id="137"/>
      <w:bookmarkStart w:id="138" w:name="_Toc15396619"/>
    </w:p>
    <w:p>
      <w:pPr>
        <w:rPr>
          <w:rFonts w:hint="eastAsia" w:ascii="仿宋" w:hAnsi="仿宋" w:eastAsia="仿宋" w:cs="仿宋"/>
          <w:sz w:val="32"/>
          <w:szCs w:val="32"/>
          <w:lang w:val="en-US" w:eastAsia="zh-CN"/>
        </w:rPr>
      </w:pPr>
      <w:bookmarkStart w:id="139" w:name="_Toc25666"/>
      <w:bookmarkStart w:id="140" w:name="_Toc12540"/>
      <w:r>
        <w:rPr>
          <w:rFonts w:hint="eastAsia" w:ascii="仿宋" w:hAnsi="仿宋" w:eastAsia="仿宋" w:cs="仿宋"/>
          <w:sz w:val="32"/>
          <w:szCs w:val="32"/>
          <w:lang w:val="en-US" w:eastAsia="zh-CN"/>
        </w:rPr>
        <w:t>一、收入支出决算总表</w:t>
      </w:r>
      <w:bookmarkEnd w:id="138"/>
      <w:bookmarkEnd w:id="139"/>
      <w:bookmarkEnd w:id="140"/>
      <w:bookmarkStart w:id="141" w:name="_Toc15396620"/>
    </w:p>
    <w:p>
      <w:pPr>
        <w:rPr>
          <w:rFonts w:hint="eastAsia" w:ascii="仿宋" w:hAnsi="仿宋" w:eastAsia="仿宋" w:cs="仿宋"/>
          <w:sz w:val="32"/>
          <w:szCs w:val="32"/>
          <w:lang w:val="en-US" w:eastAsia="zh-CN"/>
        </w:rPr>
      </w:pPr>
      <w:bookmarkStart w:id="142" w:name="_Toc14639"/>
      <w:bookmarkStart w:id="143" w:name="_Toc10491"/>
      <w:r>
        <w:rPr>
          <w:rFonts w:hint="eastAsia" w:ascii="仿宋" w:hAnsi="仿宋" w:eastAsia="仿宋" w:cs="仿宋"/>
          <w:sz w:val="32"/>
          <w:szCs w:val="32"/>
          <w:lang w:val="en-US" w:eastAsia="zh-CN"/>
        </w:rPr>
        <w:t>二、收入决算表</w:t>
      </w:r>
      <w:bookmarkEnd w:id="141"/>
      <w:bookmarkEnd w:id="142"/>
      <w:bookmarkEnd w:id="143"/>
      <w:bookmarkStart w:id="144" w:name="_Toc15396621"/>
    </w:p>
    <w:p>
      <w:pPr>
        <w:rPr>
          <w:rFonts w:hint="eastAsia" w:ascii="仿宋" w:hAnsi="仿宋" w:eastAsia="仿宋" w:cs="仿宋"/>
          <w:sz w:val="32"/>
          <w:szCs w:val="32"/>
          <w:lang w:val="en-US" w:eastAsia="zh-CN"/>
        </w:rPr>
      </w:pPr>
      <w:bookmarkStart w:id="145" w:name="_Toc5533"/>
      <w:bookmarkStart w:id="146" w:name="_Toc4414"/>
      <w:r>
        <w:rPr>
          <w:rFonts w:hint="eastAsia" w:ascii="仿宋" w:hAnsi="仿宋" w:eastAsia="仿宋" w:cs="仿宋"/>
          <w:sz w:val="32"/>
          <w:szCs w:val="32"/>
          <w:lang w:val="en-US" w:eastAsia="zh-CN"/>
        </w:rPr>
        <w:t>三、支出决算表</w:t>
      </w:r>
      <w:bookmarkEnd w:id="144"/>
      <w:bookmarkEnd w:id="145"/>
      <w:bookmarkEnd w:id="146"/>
      <w:bookmarkStart w:id="147" w:name="_Toc15396622"/>
    </w:p>
    <w:p>
      <w:pPr>
        <w:rPr>
          <w:rFonts w:hint="eastAsia" w:ascii="仿宋" w:hAnsi="仿宋" w:eastAsia="仿宋" w:cs="仿宋"/>
          <w:sz w:val="32"/>
          <w:szCs w:val="32"/>
          <w:lang w:val="en-US" w:eastAsia="zh-CN"/>
        </w:rPr>
      </w:pPr>
      <w:bookmarkStart w:id="148" w:name="_Toc26309"/>
      <w:bookmarkStart w:id="149" w:name="_Toc12349"/>
      <w:r>
        <w:rPr>
          <w:rFonts w:hint="eastAsia" w:ascii="仿宋" w:hAnsi="仿宋" w:eastAsia="仿宋" w:cs="仿宋"/>
          <w:sz w:val="32"/>
          <w:szCs w:val="32"/>
          <w:lang w:val="en-US" w:eastAsia="zh-CN"/>
        </w:rPr>
        <w:t>四、财政拨款收入支出决算总表</w:t>
      </w:r>
      <w:bookmarkEnd w:id="147"/>
      <w:bookmarkEnd w:id="148"/>
      <w:bookmarkEnd w:id="149"/>
      <w:bookmarkStart w:id="150" w:name="_Toc15396623"/>
    </w:p>
    <w:p>
      <w:pPr>
        <w:rPr>
          <w:rFonts w:hint="eastAsia" w:ascii="仿宋" w:hAnsi="仿宋" w:eastAsia="仿宋" w:cs="仿宋"/>
          <w:sz w:val="32"/>
          <w:szCs w:val="32"/>
          <w:lang w:val="en-US" w:eastAsia="zh-CN"/>
        </w:rPr>
      </w:pPr>
      <w:bookmarkStart w:id="151" w:name="_Toc12116"/>
      <w:bookmarkStart w:id="152" w:name="_Toc6832"/>
      <w:r>
        <w:rPr>
          <w:rFonts w:hint="eastAsia" w:ascii="仿宋" w:hAnsi="仿宋" w:eastAsia="仿宋" w:cs="仿宋"/>
          <w:sz w:val="32"/>
          <w:szCs w:val="32"/>
          <w:lang w:val="en-US" w:eastAsia="zh-CN"/>
        </w:rPr>
        <w:t>五、财政拨款支出决算明细表</w:t>
      </w:r>
      <w:bookmarkEnd w:id="150"/>
      <w:bookmarkEnd w:id="151"/>
      <w:bookmarkEnd w:id="152"/>
      <w:bookmarkStart w:id="153" w:name="_Toc15396624"/>
    </w:p>
    <w:p>
      <w:pPr>
        <w:rPr>
          <w:rFonts w:hint="eastAsia" w:ascii="仿宋" w:hAnsi="仿宋" w:eastAsia="仿宋" w:cs="仿宋"/>
          <w:sz w:val="32"/>
          <w:szCs w:val="32"/>
          <w:lang w:val="en-US" w:eastAsia="zh-CN"/>
        </w:rPr>
      </w:pPr>
      <w:bookmarkStart w:id="154" w:name="_Toc3637"/>
      <w:bookmarkStart w:id="155" w:name="_Toc24073"/>
      <w:r>
        <w:rPr>
          <w:rFonts w:hint="eastAsia" w:ascii="仿宋" w:hAnsi="仿宋" w:eastAsia="仿宋" w:cs="仿宋"/>
          <w:sz w:val="32"/>
          <w:szCs w:val="32"/>
          <w:lang w:val="en-US" w:eastAsia="zh-CN"/>
        </w:rPr>
        <w:t>六、一般公共预算财政拨款支出决算表</w:t>
      </w:r>
      <w:bookmarkEnd w:id="153"/>
      <w:bookmarkEnd w:id="154"/>
      <w:bookmarkEnd w:id="155"/>
      <w:bookmarkStart w:id="156" w:name="_Toc15396625"/>
    </w:p>
    <w:p>
      <w:pPr>
        <w:rPr>
          <w:rFonts w:hint="eastAsia" w:ascii="仿宋" w:hAnsi="仿宋" w:eastAsia="仿宋" w:cs="仿宋"/>
          <w:sz w:val="32"/>
          <w:szCs w:val="32"/>
          <w:lang w:val="en-US" w:eastAsia="zh-CN"/>
        </w:rPr>
      </w:pPr>
      <w:bookmarkStart w:id="157" w:name="_Toc16250"/>
      <w:bookmarkStart w:id="158" w:name="_Toc17263"/>
      <w:r>
        <w:rPr>
          <w:rFonts w:hint="eastAsia" w:ascii="仿宋" w:hAnsi="仿宋" w:eastAsia="仿宋" w:cs="仿宋"/>
          <w:sz w:val="32"/>
          <w:szCs w:val="32"/>
          <w:lang w:val="en-US" w:eastAsia="zh-CN"/>
        </w:rPr>
        <w:t>七、一般公共预算财政拨款支出决算明细表</w:t>
      </w:r>
      <w:bookmarkEnd w:id="156"/>
      <w:bookmarkEnd w:id="157"/>
      <w:bookmarkEnd w:id="158"/>
      <w:bookmarkStart w:id="159" w:name="_Toc15396626"/>
    </w:p>
    <w:p>
      <w:pPr>
        <w:rPr>
          <w:rFonts w:hint="eastAsia" w:ascii="仿宋" w:hAnsi="仿宋" w:eastAsia="仿宋" w:cs="仿宋"/>
          <w:sz w:val="32"/>
          <w:szCs w:val="32"/>
          <w:lang w:val="en-US" w:eastAsia="zh-CN"/>
        </w:rPr>
      </w:pPr>
      <w:bookmarkStart w:id="160" w:name="_Toc23260"/>
      <w:bookmarkStart w:id="161" w:name="_Toc24217"/>
      <w:r>
        <w:rPr>
          <w:rFonts w:hint="eastAsia" w:ascii="仿宋" w:hAnsi="仿宋" w:eastAsia="仿宋" w:cs="仿宋"/>
          <w:sz w:val="32"/>
          <w:szCs w:val="32"/>
          <w:lang w:val="en-US" w:eastAsia="zh-CN"/>
        </w:rPr>
        <w:t>八、一般公共预算财政拨款基本支出决算表</w:t>
      </w:r>
      <w:bookmarkEnd w:id="159"/>
      <w:bookmarkEnd w:id="160"/>
      <w:bookmarkEnd w:id="161"/>
      <w:bookmarkStart w:id="162" w:name="_Toc15396627"/>
    </w:p>
    <w:p>
      <w:pPr>
        <w:rPr>
          <w:rFonts w:hint="eastAsia" w:ascii="仿宋" w:hAnsi="仿宋" w:eastAsia="仿宋" w:cs="仿宋"/>
          <w:sz w:val="32"/>
          <w:szCs w:val="32"/>
          <w:lang w:val="en-US" w:eastAsia="zh-CN"/>
        </w:rPr>
      </w:pPr>
      <w:bookmarkStart w:id="163" w:name="_Toc2877"/>
      <w:bookmarkStart w:id="164" w:name="_Toc17172"/>
      <w:r>
        <w:rPr>
          <w:rFonts w:hint="eastAsia" w:ascii="仿宋" w:hAnsi="仿宋" w:eastAsia="仿宋" w:cs="仿宋"/>
          <w:sz w:val="32"/>
          <w:szCs w:val="32"/>
          <w:lang w:val="en-US" w:eastAsia="zh-CN"/>
        </w:rPr>
        <w:t>九、一般公共预算财政拨款项目支出决算表</w:t>
      </w:r>
      <w:bookmarkEnd w:id="162"/>
      <w:bookmarkEnd w:id="163"/>
      <w:bookmarkEnd w:id="164"/>
    </w:p>
    <w:p>
      <w:pPr>
        <w:rPr>
          <w:rFonts w:hint="eastAsia" w:ascii="仿宋" w:hAnsi="仿宋" w:eastAsia="仿宋" w:cs="仿宋"/>
          <w:sz w:val="32"/>
          <w:szCs w:val="32"/>
        </w:rPr>
      </w:pPr>
      <w:bookmarkStart w:id="165" w:name="_Toc15396628"/>
      <w:bookmarkStart w:id="166" w:name="_Toc10844"/>
      <w:bookmarkStart w:id="167" w:name="_Toc17287"/>
      <w:r>
        <w:rPr>
          <w:rFonts w:hint="eastAsia" w:ascii="仿宋" w:hAnsi="仿宋" w:eastAsia="仿宋" w:cs="仿宋"/>
          <w:sz w:val="32"/>
          <w:szCs w:val="32"/>
        </w:rPr>
        <w:t>十、</w:t>
      </w:r>
      <w:bookmarkEnd w:id="165"/>
      <w:r>
        <w:rPr>
          <w:rFonts w:hint="eastAsia" w:ascii="仿宋" w:hAnsi="仿宋" w:eastAsia="仿宋" w:cs="仿宋"/>
          <w:sz w:val="32"/>
          <w:szCs w:val="32"/>
        </w:rPr>
        <w:t>政府性基金预算财政拨款收入支出决算表</w:t>
      </w:r>
      <w:bookmarkEnd w:id="166"/>
      <w:bookmarkEnd w:id="167"/>
    </w:p>
    <w:p>
      <w:pPr>
        <w:rPr>
          <w:rFonts w:hint="eastAsia" w:ascii="仿宋" w:hAnsi="仿宋" w:eastAsia="仿宋" w:cs="仿宋"/>
          <w:sz w:val="32"/>
          <w:szCs w:val="32"/>
        </w:rPr>
      </w:pPr>
      <w:bookmarkStart w:id="168" w:name="_Toc15396629"/>
      <w:bookmarkStart w:id="169" w:name="_Toc16266"/>
      <w:bookmarkStart w:id="170" w:name="_Toc7756"/>
      <w:r>
        <w:rPr>
          <w:rFonts w:hint="eastAsia" w:ascii="仿宋" w:hAnsi="仿宋" w:eastAsia="仿宋" w:cs="仿宋"/>
          <w:sz w:val="32"/>
          <w:szCs w:val="32"/>
        </w:rPr>
        <w:t>十一、</w:t>
      </w:r>
      <w:bookmarkEnd w:id="168"/>
      <w:r>
        <w:rPr>
          <w:rFonts w:hint="eastAsia" w:ascii="仿宋" w:hAnsi="仿宋" w:eastAsia="仿宋" w:cs="仿宋"/>
          <w:sz w:val="32"/>
          <w:szCs w:val="32"/>
        </w:rPr>
        <w:t>国有资本经营预算</w:t>
      </w:r>
      <w:r>
        <w:rPr>
          <w:rFonts w:hint="eastAsia" w:ascii="仿宋" w:hAnsi="仿宋" w:eastAsia="仿宋" w:cs="仿宋"/>
          <w:sz w:val="32"/>
          <w:szCs w:val="32"/>
          <w:lang w:eastAsia="zh-CN"/>
        </w:rPr>
        <w:t>财政拨款收入</w:t>
      </w:r>
      <w:r>
        <w:rPr>
          <w:rFonts w:hint="eastAsia" w:ascii="仿宋" w:hAnsi="仿宋" w:eastAsia="仿宋" w:cs="仿宋"/>
          <w:sz w:val="32"/>
          <w:szCs w:val="32"/>
        </w:rPr>
        <w:t>支出决算表</w:t>
      </w:r>
      <w:bookmarkEnd w:id="169"/>
      <w:bookmarkEnd w:id="170"/>
    </w:p>
    <w:p>
      <w:pPr>
        <w:rPr>
          <w:rFonts w:hint="eastAsia" w:ascii="仿宋" w:hAnsi="仿宋" w:eastAsia="仿宋" w:cs="仿宋"/>
          <w:sz w:val="32"/>
          <w:szCs w:val="32"/>
        </w:rPr>
      </w:pPr>
      <w:bookmarkStart w:id="171" w:name="_Toc15396630"/>
      <w:bookmarkStart w:id="172" w:name="_Toc9041"/>
      <w:bookmarkStart w:id="173" w:name="_Toc17235"/>
      <w:r>
        <w:rPr>
          <w:rFonts w:hint="eastAsia" w:ascii="仿宋" w:hAnsi="仿宋" w:eastAsia="仿宋" w:cs="仿宋"/>
          <w:sz w:val="32"/>
          <w:szCs w:val="32"/>
        </w:rPr>
        <w:t>十二、</w:t>
      </w:r>
      <w:bookmarkEnd w:id="171"/>
      <w:r>
        <w:rPr>
          <w:rFonts w:hint="eastAsia" w:ascii="仿宋" w:hAnsi="仿宋" w:eastAsia="仿宋" w:cs="仿宋"/>
          <w:sz w:val="32"/>
          <w:szCs w:val="32"/>
          <w:lang w:eastAsia="zh-CN"/>
        </w:rPr>
        <w:t>国有资本经营预算财政拨款支出决算表</w:t>
      </w:r>
      <w:bookmarkEnd w:id="172"/>
      <w:bookmarkEnd w:id="173"/>
    </w:p>
    <w:p>
      <w:pPr>
        <w:rPr>
          <w:rFonts w:hint="eastAsia" w:ascii="仿宋" w:hAnsi="仿宋" w:eastAsia="仿宋" w:cs="仿宋"/>
          <w:sz w:val="32"/>
          <w:szCs w:val="32"/>
          <w:lang w:eastAsia="zh-CN"/>
        </w:rPr>
      </w:pPr>
      <w:bookmarkStart w:id="174" w:name="_Toc15396631"/>
      <w:bookmarkStart w:id="175" w:name="_Toc5942"/>
      <w:bookmarkStart w:id="176" w:name="_Toc23858"/>
      <w:r>
        <w:rPr>
          <w:rFonts w:hint="eastAsia" w:ascii="仿宋" w:hAnsi="仿宋" w:eastAsia="仿宋" w:cs="仿宋"/>
          <w:sz w:val="32"/>
          <w:szCs w:val="32"/>
        </w:rPr>
        <w:t>十三、</w:t>
      </w:r>
      <w:bookmarkEnd w:id="174"/>
      <w:r>
        <w:rPr>
          <w:rFonts w:hint="eastAsia" w:ascii="仿宋" w:hAnsi="仿宋" w:eastAsia="仿宋" w:cs="仿宋"/>
          <w:sz w:val="32"/>
          <w:szCs w:val="32"/>
          <w:lang w:eastAsia="zh-CN"/>
        </w:rPr>
        <w:t>财政拨款“三公”经费支出决算表</w:t>
      </w:r>
      <w:bookmarkEnd w:id="175"/>
      <w:bookmarkEnd w:id="176"/>
    </w:p>
    <w:p>
      <w:pPr>
        <w:pStyle w:val="6"/>
        <w:pageBreakBefore w:val="0"/>
        <w:wordWrap/>
        <w:overflowPunct/>
        <w:topLinePunct w:val="0"/>
        <w:bidi w:val="0"/>
        <w:spacing w:line="580" w:lineRule="exact"/>
        <w:outlineLvl w:val="9"/>
        <w:rPr>
          <w:rFonts w:ascii="仿宋" w:hAnsi="仿宋" w:eastAsia="仿宋"/>
          <w:color w:val="000000"/>
        </w:rPr>
      </w:pPr>
    </w:p>
    <w:sectPr>
      <w:footerReference r:id="rId6"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文本框 8"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pPr>
                  <w:pStyle w:val="21"/>
                  <w:jc w:val="center"/>
                </w:pPr>
                <w:r>
                  <w:fldChar w:fldCharType="begin"/>
                </w:r>
                <w:r>
                  <w:instrText xml:space="preserve">PAGE   \* MERGEFORMAT</w:instrText>
                </w:r>
                <w:r>
                  <w:fldChar w:fldCharType="separate"/>
                </w:r>
                <w:r>
                  <w:rPr>
                    <w:lang w:val="zh-CN"/>
                  </w:rPr>
                  <w:t>3</w:t>
                </w:r>
                <w: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chineseCounting"/>
      <w:suff w:val="space"/>
      <w:lvlText w:val="第%1部分"/>
      <w:lvlJc w:val="left"/>
      <w:rPr>
        <w:rFonts w:hint="eastAsia" w:cs="Times New Roman"/>
      </w:rPr>
    </w:lvl>
  </w:abstractNum>
  <w:abstractNum w:abstractNumId="1">
    <w:nsid w:val="CF092B84"/>
    <w:multiLevelType w:val="multilevel"/>
    <w:tmpl w:val="CF092B84"/>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59ADCABA"/>
    <w:multiLevelType w:val="singleLevel"/>
    <w:tmpl w:val="59ADCABA"/>
    <w:lvl w:ilvl="0" w:tentative="0">
      <w:start w:val="9"/>
      <w:numFmt w:val="chineseCounting"/>
      <w:suff w:val="nothing"/>
      <w:lvlText w:val="%1、"/>
      <w:lvlJc w:val="left"/>
      <w:rPr>
        <w:rFonts w:hint="eastAsia"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1398733F"/>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30"/>
    <w:autoRedefine/>
    <w:qFormat/>
    <w:uiPriority w:val="9"/>
    <w:pPr>
      <w:keepNext/>
      <w:keepLines/>
      <w:spacing w:before="340" w:after="330" w:line="578" w:lineRule="auto"/>
      <w:outlineLvl w:val="0"/>
    </w:pPr>
    <w:rPr>
      <w:b/>
      <w:bCs/>
      <w:kern w:val="44"/>
      <w:sz w:val="44"/>
      <w:szCs w:val="44"/>
    </w:rPr>
  </w:style>
  <w:style w:type="paragraph" w:customStyle="1" w:styleId="6">
    <w:name w:val="标题 21"/>
    <w:basedOn w:val="1"/>
    <w:next w:val="1"/>
    <w:link w:val="31"/>
    <w:autoRedefine/>
    <w:unhideWhenUsed/>
    <w:qFormat/>
    <w:uiPriority w:val="9"/>
    <w:pPr>
      <w:keepNext/>
      <w:keepLines/>
      <w:spacing w:before="260" w:after="260" w:line="416" w:lineRule="auto"/>
      <w:outlineLvl w:val="1"/>
    </w:pPr>
    <w:rPr>
      <w:rFonts w:ascii="Cambria" w:hAnsi="Cambria"/>
      <w:b/>
      <w:bCs/>
      <w:sz w:val="32"/>
      <w:szCs w:val="32"/>
    </w:rPr>
  </w:style>
  <w:style w:type="paragraph" w:customStyle="1" w:styleId="7">
    <w:name w:val="标题 31"/>
    <w:basedOn w:val="1"/>
    <w:next w:val="1"/>
    <w:link w:val="14"/>
    <w:autoRedefine/>
    <w:unhideWhenUsed/>
    <w:qFormat/>
    <w:uiPriority w:val="9"/>
    <w:pPr>
      <w:keepNext/>
      <w:keepLines/>
      <w:spacing w:before="260" w:after="260" w:line="416" w:lineRule="auto"/>
      <w:outlineLvl w:val="2"/>
    </w:pPr>
    <w:rPr>
      <w:b/>
      <w:bCs/>
      <w:sz w:val="32"/>
      <w:szCs w:val="32"/>
    </w:rPr>
  </w:style>
  <w:style w:type="character" w:customStyle="1" w:styleId="8">
    <w:name w:val="默认段落字体1"/>
    <w:autoRedefine/>
    <w:unhideWhenUsed/>
    <w:qFormat/>
    <w:uiPriority w:val="1"/>
  </w:style>
  <w:style w:type="table" w:customStyle="1" w:styleId="9">
    <w:name w:val="普通表格1"/>
    <w:autoRedefine/>
    <w:unhideWhenUsed/>
    <w:qFormat/>
    <w:uiPriority w:val="99"/>
    <w:tblPr>
      <w:tblCellMar>
        <w:top w:w="0" w:type="dxa"/>
        <w:left w:w="108" w:type="dxa"/>
        <w:bottom w:w="0" w:type="dxa"/>
        <w:right w:w="108" w:type="dxa"/>
      </w:tblCellMar>
    </w:tblPr>
  </w:style>
  <w:style w:type="paragraph" w:customStyle="1" w:styleId="10">
    <w:name w:val="正文文本1"/>
    <w:basedOn w:val="1"/>
    <w:next w:val="1"/>
    <w:link w:val="11"/>
    <w:autoRedefine/>
    <w:qFormat/>
    <w:uiPriority w:val="99"/>
    <w:pPr>
      <w:spacing w:beforeLines="30"/>
    </w:pPr>
    <w:rPr>
      <w:rFonts w:ascii="仿宋_GB2312" w:eastAsia="仿宋_GB2312"/>
      <w:kern w:val="0"/>
      <w:sz w:val="24"/>
      <w:szCs w:val="20"/>
    </w:rPr>
  </w:style>
  <w:style w:type="character" w:customStyle="1" w:styleId="11">
    <w:name w:val=" Char Char3"/>
    <w:link w:val="10"/>
    <w:autoRedefine/>
    <w:qFormat/>
    <w:locked/>
    <w:uiPriority w:val="99"/>
    <w:rPr>
      <w:rFonts w:ascii="仿宋_GB2312" w:hAnsi="Times New Roman" w:eastAsia="仿宋_GB2312"/>
      <w:sz w:val="24"/>
    </w:rPr>
  </w:style>
  <w:style w:type="character" w:customStyle="1" w:styleId="12">
    <w:name w:val=" Char Char6"/>
    <w:basedOn w:val="8"/>
    <w:link w:val="5"/>
    <w:autoRedefine/>
    <w:qFormat/>
    <w:locked/>
    <w:uiPriority w:val="9"/>
    <w:rPr>
      <w:rFonts w:ascii="Times New Roman" w:hAnsi="Times New Roman" w:cs="Times New Roman"/>
      <w:b/>
      <w:bCs/>
      <w:kern w:val="44"/>
      <w:sz w:val="44"/>
      <w:szCs w:val="44"/>
    </w:rPr>
  </w:style>
  <w:style w:type="character" w:customStyle="1" w:styleId="13">
    <w:name w:val="标题 2 Char"/>
    <w:basedOn w:val="8"/>
    <w:link w:val="6"/>
    <w:autoRedefine/>
    <w:qFormat/>
    <w:uiPriority w:val="9"/>
    <w:rPr>
      <w:rFonts w:ascii="Cambria" w:hAnsi="Cambria" w:eastAsia="宋体" w:cs="Times New Roman"/>
      <w:b/>
      <w:bCs/>
      <w:kern w:val="2"/>
      <w:sz w:val="32"/>
      <w:szCs w:val="32"/>
    </w:rPr>
  </w:style>
  <w:style w:type="character" w:customStyle="1" w:styleId="14">
    <w:name w:val=" Char Char4"/>
    <w:basedOn w:val="8"/>
    <w:link w:val="7"/>
    <w:autoRedefine/>
    <w:qFormat/>
    <w:locked/>
    <w:uiPriority w:val="9"/>
    <w:rPr>
      <w:rFonts w:ascii="Times New Roman" w:hAnsi="Times New Roman" w:cs="Times New Roman"/>
      <w:b/>
      <w:bCs/>
      <w:kern w:val="2"/>
      <w:sz w:val="32"/>
      <w:szCs w:val="32"/>
    </w:rPr>
  </w:style>
  <w:style w:type="paragraph" w:customStyle="1" w:styleId="15">
    <w:name w:val="称呼1"/>
    <w:basedOn w:val="1"/>
    <w:next w:val="1"/>
    <w:autoRedefine/>
    <w:qFormat/>
    <w:uiPriority w:val="99"/>
    <w:rPr>
      <w:rFonts w:ascii="Times New Roman" w:hAnsi="Times New Roman"/>
      <w:szCs w:val="20"/>
    </w:rPr>
  </w:style>
  <w:style w:type="paragraph" w:customStyle="1" w:styleId="16">
    <w:name w:val="正文文本缩进1"/>
    <w:basedOn w:val="1"/>
    <w:next w:val="1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customStyle="1" w:styleId="17">
    <w:name w:val="正文首行缩进 21"/>
    <w:basedOn w:val="16"/>
    <w:next w:val="1"/>
    <w:qFormat/>
    <w:uiPriority w:val="0"/>
    <w:pPr>
      <w:ind w:firstLine="420" w:firstLineChars="200"/>
    </w:pPr>
  </w:style>
  <w:style w:type="paragraph" w:customStyle="1" w:styleId="18">
    <w:name w:val="目录 31"/>
    <w:basedOn w:val="1"/>
    <w:next w:val="1"/>
    <w:unhideWhenUsed/>
    <w:qFormat/>
    <w:uiPriority w:val="39"/>
    <w:pPr>
      <w:tabs>
        <w:tab w:val="right" w:leader="dot" w:pos="8296"/>
      </w:tabs>
      <w:ind w:left="840" w:leftChars="400"/>
    </w:pPr>
  </w:style>
  <w:style w:type="paragraph" w:customStyle="1" w:styleId="19">
    <w:name w:val="批注框文本1"/>
    <w:basedOn w:val="1"/>
    <w:link w:val="20"/>
    <w:unhideWhenUsed/>
    <w:qFormat/>
    <w:uiPriority w:val="99"/>
    <w:rPr>
      <w:sz w:val="18"/>
      <w:szCs w:val="18"/>
    </w:rPr>
  </w:style>
  <w:style w:type="character" w:customStyle="1" w:styleId="20">
    <w:name w:val=" Char Char2"/>
    <w:basedOn w:val="8"/>
    <w:link w:val="19"/>
    <w:semiHidden/>
    <w:qFormat/>
    <w:locked/>
    <w:uiPriority w:val="99"/>
    <w:rPr>
      <w:rFonts w:ascii="Times New Roman" w:hAnsi="Times New Roman" w:cs="Times New Roman"/>
      <w:kern w:val="2"/>
      <w:sz w:val="18"/>
      <w:szCs w:val="18"/>
    </w:rPr>
  </w:style>
  <w:style w:type="paragraph" w:customStyle="1" w:styleId="21">
    <w:name w:val="页脚1"/>
    <w:basedOn w:val="1"/>
    <w:link w:val="22"/>
    <w:qFormat/>
    <w:uiPriority w:val="99"/>
    <w:pPr>
      <w:tabs>
        <w:tab w:val="center" w:pos="4153"/>
        <w:tab w:val="right" w:pos="8306"/>
      </w:tabs>
      <w:snapToGrid w:val="0"/>
      <w:jc w:val="left"/>
    </w:pPr>
    <w:rPr>
      <w:rFonts w:ascii="Calibri" w:hAnsi="Calibri"/>
      <w:kern w:val="0"/>
      <w:sz w:val="18"/>
      <w:szCs w:val="20"/>
    </w:rPr>
  </w:style>
  <w:style w:type="character" w:customStyle="1" w:styleId="22">
    <w:name w:val=" Char Char1"/>
    <w:link w:val="21"/>
    <w:qFormat/>
    <w:locked/>
    <w:uiPriority w:val="99"/>
    <w:rPr>
      <w:sz w:val="18"/>
    </w:rPr>
  </w:style>
  <w:style w:type="paragraph" w:customStyle="1" w:styleId="23">
    <w:name w:val="页眉1"/>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character" w:customStyle="1" w:styleId="24">
    <w:name w:val=" Char Char"/>
    <w:link w:val="23"/>
    <w:semiHidden/>
    <w:qFormat/>
    <w:locked/>
    <w:uiPriority w:val="99"/>
    <w:rPr>
      <w:sz w:val="18"/>
    </w:rPr>
  </w:style>
  <w:style w:type="paragraph" w:customStyle="1" w:styleId="25">
    <w:name w:val="目录 11"/>
    <w:basedOn w:val="1"/>
    <w:next w:val="1"/>
    <w:unhideWhenUsed/>
    <w:qFormat/>
    <w:uiPriority w:val="39"/>
    <w:pPr>
      <w:tabs>
        <w:tab w:val="right" w:leader="dot" w:pos="8296"/>
      </w:tabs>
      <w:spacing w:before="93"/>
      <w:jc w:val="center"/>
    </w:pPr>
    <w:rPr>
      <w:rFonts w:ascii="仿宋" w:hAnsi="仿宋" w:eastAsia="仿宋"/>
      <w:sz w:val="28"/>
      <w:szCs w:val="28"/>
    </w:rPr>
  </w:style>
  <w:style w:type="paragraph" w:customStyle="1" w:styleId="26">
    <w:name w:val="目录 21"/>
    <w:basedOn w:val="1"/>
    <w:next w:val="1"/>
    <w:unhideWhenUsed/>
    <w:qFormat/>
    <w:uiPriority w:val="39"/>
    <w:pPr>
      <w:tabs>
        <w:tab w:val="right" w:leader="dot" w:pos="8296"/>
      </w:tabs>
      <w:ind w:left="420" w:leftChars="200"/>
    </w:pPr>
  </w:style>
  <w:style w:type="paragraph" w:customStyle="1" w:styleId="27">
    <w:name w:val="普通(网站)1"/>
    <w:basedOn w:val="1"/>
    <w:qFormat/>
    <w:uiPriority w:val="0"/>
    <w:pPr>
      <w:spacing w:before="100" w:beforeAutospacing="1" w:after="100" w:afterAutospacing="1"/>
      <w:ind w:left="0" w:right="0"/>
      <w:jc w:val="left"/>
    </w:pPr>
    <w:rPr>
      <w:kern w:val="0"/>
      <w:sz w:val="24"/>
      <w:lang w:val="en-US" w:eastAsia="zh-CN" w:bidi="en-AU"/>
    </w:rPr>
  </w:style>
  <w:style w:type="character" w:customStyle="1" w:styleId="28">
    <w:name w:val="要点1"/>
    <w:basedOn w:val="8"/>
    <w:qFormat/>
    <w:uiPriority w:val="99"/>
    <w:rPr>
      <w:rFonts w:cs="Times New Roman"/>
      <w:b/>
    </w:rPr>
  </w:style>
  <w:style w:type="character" w:customStyle="1" w:styleId="29">
    <w:name w:val="超链接1"/>
    <w:basedOn w:val="8"/>
    <w:unhideWhenUsed/>
    <w:qFormat/>
    <w:uiPriority w:val="99"/>
    <w:rPr>
      <w:rFonts w:cs="Times New Roman"/>
      <w:color w:val="0000FF"/>
      <w:u w:val="single"/>
    </w:rPr>
  </w:style>
  <w:style w:type="character" w:customStyle="1" w:styleId="30">
    <w:name w:val="标题 1 Char"/>
    <w:basedOn w:val="8"/>
    <w:link w:val="5"/>
    <w:qFormat/>
    <w:uiPriority w:val="9"/>
    <w:rPr>
      <w:rFonts w:ascii="Times New Roman" w:hAnsi="Times New Roman"/>
      <w:b/>
      <w:bCs/>
      <w:kern w:val="44"/>
      <w:sz w:val="44"/>
      <w:szCs w:val="44"/>
    </w:rPr>
  </w:style>
  <w:style w:type="character" w:customStyle="1" w:styleId="31">
    <w:name w:val=" Char Char5"/>
    <w:basedOn w:val="8"/>
    <w:link w:val="6"/>
    <w:qFormat/>
    <w:locked/>
    <w:uiPriority w:val="9"/>
    <w:rPr>
      <w:rFonts w:ascii="Cambria" w:hAnsi="Cambria" w:eastAsia="宋体" w:cs="Times New Roman"/>
      <w:b/>
      <w:bCs/>
      <w:kern w:val="2"/>
      <w:sz w:val="32"/>
      <w:szCs w:val="32"/>
    </w:rPr>
  </w:style>
  <w:style w:type="character" w:customStyle="1" w:styleId="32">
    <w:name w:val="Footer Char"/>
    <w:basedOn w:val="8"/>
    <w:semiHidden/>
    <w:qFormat/>
    <w:uiPriority w:val="99"/>
    <w:rPr>
      <w:rFonts w:ascii="Times New Roman" w:hAnsi="Times New Roman" w:cs="Times New Roman"/>
      <w:sz w:val="18"/>
      <w:szCs w:val="18"/>
    </w:rPr>
  </w:style>
  <w:style w:type="character" w:customStyle="1" w:styleId="33">
    <w:name w:val="Body Text Char"/>
    <w:basedOn w:val="8"/>
    <w:semiHidden/>
    <w:qFormat/>
    <w:uiPriority w:val="99"/>
    <w:rPr>
      <w:rFonts w:ascii="Times New Roman" w:hAnsi="Times New Roman" w:cs="Times New Roman"/>
      <w:sz w:val="24"/>
      <w:szCs w:val="24"/>
    </w:rPr>
  </w:style>
  <w:style w:type="character" w:customStyle="1" w:styleId="34">
    <w:name w:val="Header Char"/>
    <w:basedOn w:val="8"/>
    <w:semiHidden/>
    <w:qFormat/>
    <w:uiPriority w:val="99"/>
    <w:rPr>
      <w:rFonts w:ascii="Times New Roman" w:hAnsi="Times New Roman" w:cs="Times New Roman"/>
      <w:sz w:val="18"/>
      <w:szCs w:val="18"/>
    </w:rPr>
  </w:style>
  <w:style w:type="paragraph" w:customStyle="1" w:styleId="35">
    <w:name w:val="TOC 标题1"/>
    <w:basedOn w:val="5"/>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6">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7">
    <w:name w:val="Normal_0"/>
    <w:uiPriority w:val="0"/>
    <w:pPr>
      <w:jc w:val="both"/>
    </w:pPr>
    <w:rPr>
      <w:rFonts w:ascii="Times New Roman" w:hAnsi="Times New Roman" w:eastAsia="宋体" w:cs="Times New Roman"/>
      <w:kern w:val="2"/>
      <w:sz w:val="21"/>
      <w:szCs w:val="21"/>
      <w:lang w:val="en-US" w:eastAsia="zh-CN" w:bidi="ar-SA"/>
    </w:rPr>
  </w:style>
  <w:style w:type="paragraph" w:styleId="38">
    <w:name w:val="List Paragraph"/>
    <w:basedOn w:val="1"/>
    <w:qFormat/>
    <w:uiPriority w:val="34"/>
    <w:pPr>
      <w:ind w:firstLine="420" w:firstLineChars="200"/>
    </w:pPr>
  </w:style>
  <w:style w:type="paragraph" w:customStyle="1" w:styleId="39">
    <w:name w:val="WPSOffice手动目录 2"/>
    <w:qFormat/>
    <w:uiPriority w:val="0"/>
    <w:pPr>
      <w:ind w:leftChars="200"/>
    </w:pPr>
    <w:rPr>
      <w:rFonts w:ascii="Times New Roman" w:hAnsi="Times New Roman" w:eastAsia="宋体" w:cs="Times New Roman"/>
      <w:sz w:val="20"/>
      <w:szCs w:val="20"/>
    </w:rPr>
  </w:style>
  <w:style w:type="paragraph" w:customStyle="1" w:styleId="40">
    <w:name w:val="TOC Heading1"/>
    <w:basedOn w:val="5"/>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1">
    <w:name w:val="WPSOffice手动目录 1"/>
    <w:qFormat/>
    <w:uiPriority w:val="0"/>
    <w:pPr>
      <w:ind w:leftChars="0"/>
    </w:pPr>
    <w:rPr>
      <w:rFonts w:ascii="Times New Roman" w:hAnsi="Times New Roman" w:eastAsia="宋体" w:cs="Times New Roman"/>
      <w:sz w:val="20"/>
      <w:szCs w:val="20"/>
    </w:rPr>
  </w:style>
  <w:style w:type="character" w:customStyle="1" w:styleId="42">
    <w:name w:val="font131"/>
    <w:basedOn w:val="8"/>
    <w:uiPriority w:val="0"/>
    <w:rPr>
      <w:rFonts w:hint="eastAsia" w:ascii="宋体" w:hAnsi="宋体" w:eastAsia="宋体" w:cs="宋体"/>
      <w:color w:val="000000"/>
      <w:sz w:val="20"/>
      <w:szCs w:val="20"/>
      <w:u w:val="none"/>
    </w:rPr>
  </w:style>
  <w:style w:type="character" w:customStyle="1" w:styleId="43">
    <w:name w:val="font11"/>
    <w:basedOn w:val="8"/>
    <w:uiPriority w:val="0"/>
    <w:rPr>
      <w:rFonts w:hint="eastAsia" w:ascii="宋体" w:hAnsi="宋体" w:eastAsia="宋体" w:cs="宋体"/>
      <w:color w:val="000000"/>
      <w:sz w:val="20"/>
      <w:szCs w:val="20"/>
      <w:u w:val="none"/>
    </w:rPr>
  </w:style>
  <w:style w:type="character" w:customStyle="1" w:styleId="44">
    <w:name w:val="font141"/>
    <w:basedOn w:val="8"/>
    <w:uiPriority w:val="0"/>
    <w:rPr>
      <w:rFonts w:hint="eastAsia" w:ascii="宋体" w:hAnsi="宋体" w:eastAsia="宋体" w:cs="宋体"/>
      <w:color w:val="000000"/>
      <w:sz w:val="18"/>
      <w:szCs w:val="18"/>
      <w:u w:val="none"/>
    </w:rPr>
  </w:style>
  <w:style w:type="character" w:customStyle="1" w:styleId="45">
    <w:name w:val="font112"/>
    <w:basedOn w:val="8"/>
    <w:uiPriority w:val="0"/>
    <w:rPr>
      <w:rFonts w:hint="eastAsia" w:ascii="宋体" w:hAnsi="宋体" w:eastAsia="宋体" w:cs="宋体"/>
      <w:color w:val="000000"/>
      <w:sz w:val="20"/>
      <w:szCs w:val="20"/>
      <w:u w:val="none"/>
    </w:rPr>
  </w:style>
  <w:style w:type="character" w:customStyle="1" w:styleId="46">
    <w:name w:val="font121"/>
    <w:basedOn w:val="8"/>
    <w:uiPriority w:val="0"/>
    <w:rPr>
      <w:rFonts w:hint="eastAsia" w:ascii="宋体" w:hAnsi="宋体" w:eastAsia="宋体" w:cs="宋体"/>
      <w:color w:val="000000"/>
      <w:sz w:val="18"/>
      <w:szCs w:val="18"/>
      <w:u w:val="none"/>
    </w:rPr>
  </w:style>
  <w:style w:type="paragraph" w:customStyle="1" w:styleId="47">
    <w:name w:val="列表段落1"/>
    <w:basedOn w:val="1"/>
    <w:qFormat/>
    <w:uiPriority w:val="34"/>
    <w:pPr>
      <w:ind w:firstLine="420" w:firstLineChars="200"/>
    </w:pPr>
    <w:rPr>
      <w:rFonts w:eastAsia="宋体"/>
    </w:rPr>
  </w:style>
  <w:style w:type="character" w:customStyle="1" w:styleId="48">
    <w:name w:val="font31"/>
    <w:basedOn w:val="8"/>
    <w:qFormat/>
    <w:uiPriority w:val="0"/>
    <w:rPr>
      <w:rFonts w:hint="eastAsia" w:ascii="宋体" w:hAnsi="宋体" w:eastAsia="宋体" w:cs="宋体"/>
      <w:color w:val="000000"/>
      <w:sz w:val="20"/>
      <w:szCs w:val="20"/>
      <w:u w:val="none"/>
    </w:rPr>
  </w:style>
  <w:style w:type="character" w:customStyle="1" w:styleId="49">
    <w:name w:val="font101"/>
    <w:basedOn w:val="8"/>
    <w:uiPriority w:val="0"/>
    <w:rPr>
      <w:rFonts w:hint="eastAsia" w:ascii="宋体" w:hAnsi="宋体" w:eastAsia="宋体" w:cs="宋体"/>
      <w:color w:val="000000"/>
      <w:sz w:val="18"/>
      <w:szCs w:val="18"/>
      <w:u w:val="none"/>
    </w:rPr>
  </w:style>
  <w:style w:type="character" w:customStyle="1" w:styleId="50">
    <w:name w:val="font71"/>
    <w:basedOn w:val="8"/>
    <w:qFormat/>
    <w:uiPriority w:val="0"/>
    <w:rPr>
      <w:rFonts w:hint="eastAsia" w:ascii="宋体" w:hAnsi="宋体" w:eastAsia="宋体" w:cs="宋体"/>
      <w:color w:val="000000"/>
      <w:sz w:val="18"/>
      <w:szCs w:val="18"/>
      <w:u w:val="none"/>
    </w:rPr>
  </w:style>
  <w:style w:type="paragraph" w:customStyle="1" w:styleId="51">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24</Pages>
  <Words>10206</Words>
  <Characters>11153</Characters>
  <Lines>61</Lines>
  <Paragraphs>17</Paragraphs>
  <TotalTime>2</TotalTime>
  <ScaleCrop>false</ScaleCrop>
  <LinksUpToDate>false</LinksUpToDate>
  <CharactersWithSpaces>11281</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WPS_1651227375</cp:lastModifiedBy>
  <cp:lastPrinted>2021-10-11T04:02:00Z</cp:lastPrinted>
  <dcterms:modified xsi:type="dcterms:W3CDTF">2024-08-12T07:25:10Z</dcterms:modified>
  <dc:title>四川省_x002A__x002A__x002A_</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7121E97BE82E4CBABDE01F0AC7ACD046</vt:lpwstr>
  </property>
</Properties>
</file>