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bookmarkEnd w:id="0"/>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96475"/>
      <w:bookmarkStart w:id="2" w:name="_Toc24615"/>
      <w:bookmarkStart w:id="3" w:name="_Toc15377425"/>
      <w:bookmarkStart w:id="4" w:name="_Toc15377193"/>
      <w:bookmarkStart w:id="5" w:name="_Toc15378441"/>
      <w:bookmarkStart w:id="6" w:name="_Toc15396597"/>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7" w:name="_Toc15377194"/>
      <w:bookmarkStart w:id="8" w:name="_Toc15396598"/>
      <w:bookmarkStart w:id="9" w:name="_Toc15377426"/>
      <w:bookmarkStart w:id="10" w:name="_Toc15378442"/>
      <w:bookmarkStart w:id="11" w:name="_Toc28891"/>
      <w:bookmarkStart w:id="12" w:name="_Toc15396476"/>
      <w:r>
        <w:rPr>
          <w:rFonts w:hint="eastAsia" w:ascii="方正小标宋简体" w:eastAsia="方正小标宋简体" w:cs="方正小标宋简体"/>
          <w:color w:val="auto"/>
          <w:sz w:val="72"/>
          <w:szCs w:val="72"/>
          <w:highlight w:val="none"/>
        </w:rPr>
        <w:t>四川省</w:t>
      </w:r>
      <w:bookmarkStart w:id="13" w:name="_Toc15306268"/>
      <w:r>
        <w:rPr>
          <w:rFonts w:hint="eastAsia" w:ascii="方正小标宋简体" w:eastAsia="方正小标宋简体" w:cs="方正小标宋简体"/>
          <w:color w:val="auto"/>
          <w:sz w:val="72"/>
          <w:szCs w:val="72"/>
          <w:highlight w:val="none"/>
        </w:rPr>
        <w:t>广元市</w:t>
      </w:r>
      <w:r>
        <w:rPr>
          <w:rFonts w:hint="eastAsia" w:ascii="方正小标宋简体" w:eastAsia="方正小标宋简体" w:cs="方正小标宋简体"/>
          <w:color w:val="auto"/>
          <w:sz w:val="72"/>
          <w:szCs w:val="72"/>
          <w:highlight w:val="none"/>
          <w:lang w:eastAsia="zh-CN"/>
        </w:rPr>
        <w:t>昭化区张家乡</w:t>
      </w:r>
      <w:r>
        <w:rPr>
          <w:rFonts w:hint="eastAsia" w:ascii="方正小标宋简体" w:eastAsia="方正小标宋简体" w:cs="方正小标宋简体"/>
          <w:color w:val="auto"/>
          <w:sz w:val="72"/>
          <w:szCs w:val="72"/>
          <w:highlight w:val="none"/>
        </w:rPr>
        <w:t>卫生院</w:t>
      </w:r>
      <w:r>
        <w:rPr>
          <w:rFonts w:hint="eastAsia" w:ascii="方正小标宋简体" w:eastAsia="方正小标宋简体" w:cs="方正小标宋简体"/>
          <w:color w:val="auto"/>
          <w:sz w:val="72"/>
          <w:szCs w:val="72"/>
          <w:highlight w:val="none"/>
          <w:lang w:eastAsia="zh-CN"/>
        </w:rPr>
        <w:t>单位</w:t>
      </w:r>
      <w:r>
        <w:rPr>
          <w:rFonts w:hint="eastAsia" w:asci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eastAsia="黑体" w:cs="Arial"/>
          <w:color w:val="auto"/>
          <w:sz w:val="28"/>
          <w:szCs w:val="28"/>
          <w:highlight w:val="none"/>
        </w:rPr>
      </w:pPr>
      <w:r>
        <w:br w:type="page"/>
      </w:r>
      <w:r>
        <w:rPr>
          <w:rFonts w:hint="eastAsia" w:ascii="黑体" w:eastAsia="黑体"/>
          <w:color w:val="auto"/>
          <w:sz w:val="48"/>
          <w:szCs w:val="48"/>
          <w:highlight w:val="none"/>
        </w:rPr>
        <w:t>目录</w:t>
      </w:r>
    </w:p>
    <w:p>
      <w:pPr>
        <w:spacing w:before="0" w:beforeLines="0" w:after="0" w:afterLines="0" w:line="240" w:lineRule="auto"/>
        <w:ind w:left="0" w:leftChars="0" w:right="0" w:rightChars="0" w:firstLine="0" w:firstLineChars="0"/>
        <w:jc w:val="cente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74244"/>
        <w:docPartObj>
          <w:docPartGallery w:val="Table of Contents"/>
          <w:docPartUnique/>
        </w:docPartObj>
      </w:sdtPr>
      <w:sdtEndPr>
        <w:rPr>
          <w:rFonts w:ascii="Times New Roman" w:hAnsi="Times New Roman"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p>
        <w:p>
          <w:pPr>
            <w:pStyle w:val="21"/>
            <w:tabs>
              <w:tab w:val="right" w:leader="dot" w:pos="8306"/>
            </w:tabs>
          </w:pPr>
          <w:r>
            <w:fldChar w:fldCharType="begin"/>
          </w:r>
          <w:r>
            <w:instrText xml:space="preserve"> HYPERLINK \l "_Toc23254_WPSOffice_Level1" </w:instrText>
          </w:r>
          <w:r>
            <w:fldChar w:fldCharType="separate"/>
          </w:r>
          <w:sdt>
            <w:sdtPr>
              <w:rPr>
                <w:rFonts w:ascii="Times New Roman" w:hAnsi="Times New Roman" w:eastAsia="宋体" w:cs="Times New Roman"/>
                <w:kern w:val="2"/>
                <w:sz w:val="21"/>
                <w:szCs w:val="24"/>
                <w:lang w:val="en-US" w:eastAsia="zh-CN" w:bidi="ar-SA"/>
              </w:rPr>
              <w:id w:val="147474244"/>
              <w:placeholder>
                <w:docPart w:val="{e2aee606-3c98-4d4d-990f-952d96d31050}"/>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第一部分 单位概况</w:t>
              </w:r>
            </w:sdtContent>
          </w:sdt>
          <w:r>
            <w:tab/>
          </w:r>
          <w:r>
            <w:t>1</w:t>
          </w:r>
          <w:r>
            <w:fldChar w:fldCharType="end"/>
          </w:r>
        </w:p>
        <w:p>
          <w:pPr>
            <w:pStyle w:val="22"/>
            <w:tabs>
              <w:tab w:val="right" w:leader="dot" w:pos="8306"/>
            </w:tabs>
          </w:pPr>
          <w:r>
            <w:fldChar w:fldCharType="begin"/>
          </w:r>
          <w:r>
            <w:instrText xml:space="preserve"> HYPERLINK \l "_Toc3275_WPSOffice_Level2"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abdaa1a3-8db6-4065-aa99-48d23d615e91}"/>
              </w:placeholder>
            </w:sdtPr>
            <w:sdtEndPr>
              <w:rPr>
                <w:rFonts w:ascii="Times New Roman" w:hAnsi="Times New Roman" w:eastAsia="宋体" w:cs="Times New Roman"/>
                <w:kern w:val="2"/>
                <w:sz w:val="21"/>
                <w:szCs w:val="24"/>
                <w:lang w:val="en-US" w:eastAsia="zh-CN" w:bidi="ar-SA"/>
              </w:rPr>
            </w:sdtEndPr>
            <w:sdtContent>
              <w:r>
                <w:rPr>
                  <w:rFonts w:hint="eastAsia" w:ascii="黑体" w:hAnsi="Calibri Light" w:eastAsia="黑体" w:cs="Times New Roman"/>
                </w:rPr>
                <w:t>一、主要职责</w:t>
              </w:r>
            </w:sdtContent>
          </w:sdt>
          <w:r>
            <w:tab/>
          </w:r>
          <w:r>
            <w:t>1</w:t>
          </w:r>
          <w:r>
            <w:fldChar w:fldCharType="end"/>
          </w:r>
        </w:p>
        <w:p>
          <w:pPr>
            <w:pStyle w:val="22"/>
            <w:tabs>
              <w:tab w:val="right" w:leader="dot" w:pos="8306"/>
            </w:tabs>
          </w:pPr>
          <w:r>
            <w:fldChar w:fldCharType="begin"/>
          </w:r>
          <w:r>
            <w:instrText xml:space="preserve"> HYPERLINK \l "_Toc27201_WPSOffice_Level2"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ac52c4f1-312f-461b-8a84-b16be0da794a}"/>
              </w:placeholder>
            </w:sdtPr>
            <w:sdtEndPr>
              <w:rPr>
                <w:rFonts w:ascii="Times New Roman" w:hAnsi="Times New Roman" w:eastAsia="宋体" w:cs="Times New Roman"/>
                <w:kern w:val="2"/>
                <w:sz w:val="21"/>
                <w:szCs w:val="24"/>
                <w:lang w:val="en-US" w:eastAsia="zh-CN" w:bidi="ar-SA"/>
              </w:rPr>
            </w:sdtEndPr>
            <w:sdtContent>
              <w:r>
                <w:rPr>
                  <w:rFonts w:hint="eastAsia" w:ascii="黑体" w:hAnsi="Calibri Light" w:eastAsia="黑体" w:cs="Times New Roman"/>
                </w:rPr>
                <w:t>二、机构设置</w:t>
              </w:r>
            </w:sdtContent>
          </w:sdt>
          <w:r>
            <w:tab/>
          </w:r>
          <w:r>
            <w:t>2</w:t>
          </w:r>
          <w:r>
            <w:fldChar w:fldCharType="end"/>
          </w:r>
        </w:p>
        <w:p>
          <w:pPr>
            <w:pStyle w:val="21"/>
            <w:tabs>
              <w:tab w:val="right" w:leader="dot" w:pos="8306"/>
            </w:tabs>
          </w:pPr>
          <w:r>
            <w:fldChar w:fldCharType="begin"/>
          </w:r>
          <w:r>
            <w:instrText xml:space="preserve"> HYPERLINK \l "_Toc3275_WPSOffice_Level1" </w:instrText>
          </w:r>
          <w:r>
            <w:fldChar w:fldCharType="separate"/>
          </w:r>
          <w:sdt>
            <w:sdtPr>
              <w:rPr>
                <w:rFonts w:ascii="Times New Roman" w:hAnsi="Times New Roman" w:eastAsia="宋体" w:cs="Times New Roman"/>
                <w:kern w:val="2"/>
                <w:sz w:val="21"/>
                <w:szCs w:val="24"/>
                <w:lang w:val="en-US" w:eastAsia="zh-CN" w:bidi="ar-SA"/>
              </w:rPr>
              <w:id w:val="147474244"/>
              <w:placeholder>
                <w:docPart w:val="{000a4df3-3f5d-4a0c-9ee7-40f61a0fbd1d}"/>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第二部分 2022年度单位决算情况说明</w:t>
              </w:r>
            </w:sdtContent>
          </w:sdt>
          <w:r>
            <w:tab/>
          </w:r>
          <w:r>
            <w:t>3</w:t>
          </w:r>
          <w:r>
            <w:fldChar w:fldCharType="end"/>
          </w:r>
        </w:p>
        <w:p>
          <w:pPr>
            <w:pStyle w:val="22"/>
            <w:tabs>
              <w:tab w:val="right" w:leader="dot" w:pos="8306"/>
            </w:tabs>
          </w:pPr>
          <w:r>
            <w:fldChar w:fldCharType="begin"/>
          </w:r>
          <w:r>
            <w:instrText xml:space="preserve"> HYPERLINK \l "_Toc12506_WPSOffice_Level2"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e4828622-61f7-45aa-b707-38fa8f6e9619}"/>
              </w:placeholder>
            </w:sdtPr>
            <w:sdtEndPr>
              <w:rPr>
                <w:rFonts w:ascii="Times New Roman" w:hAnsi="Times New Roman" w:eastAsia="宋体" w:cs="Times New Roman"/>
                <w:kern w:val="2"/>
                <w:sz w:val="21"/>
                <w:szCs w:val="24"/>
                <w:lang w:val="en-US" w:eastAsia="zh-CN" w:bidi="ar-SA"/>
              </w:rPr>
            </w:sdtEndPr>
            <w:sdtContent>
              <w:r>
                <w:rPr>
                  <w:rFonts w:hint="default" w:ascii="黑体" w:hAnsi="Calibri Light" w:eastAsia="黑体" w:cs="Times New Roman"/>
                </w:rPr>
                <w:t>一、</w:t>
              </w:r>
              <w:r>
                <w:rPr>
                  <w:rFonts w:hint="eastAsia" w:ascii="黑体" w:hAnsi="Times New Roman" w:eastAsia="黑体" w:cs="Times New Roman"/>
                </w:rPr>
                <w:t>收</w:t>
              </w:r>
              <w:r>
                <w:rPr>
                  <w:rFonts w:hint="eastAsia" w:ascii="黑体" w:hAnsi="Calibri Light" w:eastAsia="黑体" w:cs="Times New Roman"/>
                </w:rPr>
                <w:t>入支出决算总体情况说明</w:t>
              </w:r>
            </w:sdtContent>
          </w:sdt>
          <w:r>
            <w:tab/>
          </w:r>
          <w:r>
            <w:t>3</w:t>
          </w:r>
          <w:r>
            <w:fldChar w:fldCharType="end"/>
          </w:r>
        </w:p>
        <w:p>
          <w:pPr>
            <w:pStyle w:val="22"/>
            <w:tabs>
              <w:tab w:val="right" w:leader="dot" w:pos="8306"/>
            </w:tabs>
          </w:pPr>
          <w:r>
            <w:fldChar w:fldCharType="begin"/>
          </w:r>
          <w:r>
            <w:instrText xml:space="preserve"> HYPERLINK \l "_Toc8274_WPSOffice_Level2"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42f4a939-9f82-4d6c-a503-f57f95cebead}"/>
              </w:placeholder>
            </w:sdtPr>
            <w:sdtEndPr>
              <w:rPr>
                <w:rFonts w:ascii="Times New Roman" w:hAnsi="Times New Roman" w:eastAsia="宋体" w:cs="Times New Roman"/>
                <w:kern w:val="2"/>
                <w:sz w:val="21"/>
                <w:szCs w:val="24"/>
                <w:lang w:val="en-US" w:eastAsia="zh-CN" w:bidi="ar-SA"/>
              </w:rPr>
            </w:sdtEndPr>
            <w:sdtContent>
              <w:r>
                <w:rPr>
                  <w:rFonts w:hint="default" w:ascii="黑体" w:hAnsi="Calibri Light" w:eastAsia="黑体" w:cs="Times New Roman"/>
                </w:rPr>
                <w:t>二、</w:t>
              </w:r>
              <w:r>
                <w:rPr>
                  <w:rFonts w:hint="eastAsia" w:ascii="黑体" w:hAnsi="Times New Roman" w:eastAsia="黑体" w:cs="Times New Roman"/>
                </w:rPr>
                <w:t>收</w:t>
              </w:r>
              <w:r>
                <w:rPr>
                  <w:rFonts w:hint="eastAsia" w:ascii="黑体" w:hAnsi="Calibri Light" w:eastAsia="黑体" w:cs="Times New Roman"/>
                </w:rPr>
                <w:t>入决算情况说明</w:t>
              </w:r>
            </w:sdtContent>
          </w:sdt>
          <w:r>
            <w:tab/>
          </w:r>
          <w:r>
            <w:t>3</w:t>
          </w:r>
          <w:r>
            <w:fldChar w:fldCharType="end"/>
          </w:r>
        </w:p>
        <w:p>
          <w:pPr>
            <w:pStyle w:val="22"/>
            <w:tabs>
              <w:tab w:val="right" w:leader="dot" w:pos="8306"/>
            </w:tabs>
          </w:pPr>
          <w:r>
            <w:fldChar w:fldCharType="begin"/>
          </w:r>
          <w:r>
            <w:instrText xml:space="preserve"> HYPERLINK \l "_Toc10134_WPSOffice_Level2"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f14a841e-aa0a-465a-bb13-bf2e731d37dd}"/>
              </w:placeholder>
            </w:sdtPr>
            <w:sdtEndPr>
              <w:rPr>
                <w:rFonts w:ascii="Times New Roman" w:hAnsi="Times New Roman" w:eastAsia="宋体" w:cs="Times New Roman"/>
                <w:kern w:val="2"/>
                <w:sz w:val="21"/>
                <w:szCs w:val="24"/>
                <w:lang w:val="en-US" w:eastAsia="zh-CN" w:bidi="ar-SA"/>
              </w:rPr>
            </w:sdtEndPr>
            <w:sdtContent>
              <w:r>
                <w:rPr>
                  <w:rFonts w:hint="default" w:ascii="黑体" w:hAnsi="Calibri Light" w:eastAsia="黑体" w:cs="Times New Roman"/>
                </w:rPr>
                <w:t>三、</w:t>
              </w:r>
              <w:r>
                <w:rPr>
                  <w:rFonts w:hint="eastAsia" w:ascii="黑体" w:hAnsi="Times New Roman" w:eastAsia="黑体" w:cs="Times New Roman"/>
                </w:rPr>
                <w:t>支</w:t>
              </w:r>
              <w:r>
                <w:rPr>
                  <w:rFonts w:hint="eastAsia" w:ascii="黑体" w:hAnsi="Calibri Light" w:eastAsia="黑体" w:cs="Times New Roman"/>
                </w:rPr>
                <w:t>出决算情况说明</w:t>
              </w:r>
            </w:sdtContent>
          </w:sdt>
          <w:r>
            <w:tab/>
          </w:r>
          <w:r>
            <w:t>4</w:t>
          </w:r>
          <w:r>
            <w:fldChar w:fldCharType="end"/>
          </w:r>
        </w:p>
        <w:p>
          <w:pPr>
            <w:pStyle w:val="22"/>
            <w:tabs>
              <w:tab w:val="right" w:leader="dot" w:pos="8306"/>
            </w:tabs>
          </w:pPr>
          <w:r>
            <w:fldChar w:fldCharType="begin"/>
          </w:r>
          <w:r>
            <w:instrText xml:space="preserve"> HYPERLINK \l "_Toc29300_WPSOffice_Level2"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1f7486e5-acb1-4068-acc3-381e72f8ffa6}"/>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四、财</w:t>
              </w:r>
              <w:r>
                <w:rPr>
                  <w:rFonts w:hint="eastAsia" w:ascii="黑体" w:hAnsi="Calibri Light" w:eastAsia="黑体" w:cs="Times New Roman"/>
                </w:rPr>
                <w:t>政拨款收入支出决算总体情况说明</w:t>
              </w:r>
            </w:sdtContent>
          </w:sdt>
          <w:r>
            <w:tab/>
          </w:r>
          <w:r>
            <w:t>4</w:t>
          </w:r>
          <w:r>
            <w:fldChar w:fldCharType="end"/>
          </w:r>
        </w:p>
        <w:p>
          <w:pPr>
            <w:pStyle w:val="22"/>
            <w:tabs>
              <w:tab w:val="right" w:leader="dot" w:pos="8306"/>
            </w:tabs>
          </w:pPr>
          <w:r>
            <w:fldChar w:fldCharType="begin"/>
          </w:r>
          <w:r>
            <w:instrText xml:space="preserve"> HYPERLINK \l "_Toc2762_WPSOffice_Level2"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43311341-d5fd-4f59-96e7-d23d7d137ca4}"/>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五、一</w:t>
              </w:r>
              <w:r>
                <w:rPr>
                  <w:rFonts w:hint="eastAsia" w:ascii="黑体" w:hAnsi="Calibri Light" w:eastAsia="黑体" w:cs="Times New Roman"/>
                </w:rPr>
                <w:t>般公共预算财政拨款支出决算情况说明</w:t>
              </w:r>
            </w:sdtContent>
          </w:sdt>
          <w:r>
            <w:tab/>
          </w:r>
          <w:r>
            <w:t>5</w:t>
          </w:r>
          <w:r>
            <w:fldChar w:fldCharType="end"/>
          </w:r>
        </w:p>
        <w:p>
          <w:pPr>
            <w:pStyle w:val="23"/>
            <w:tabs>
              <w:tab w:val="right" w:leader="dot" w:pos="8306"/>
            </w:tabs>
          </w:pPr>
          <w:r>
            <w:fldChar w:fldCharType="begin"/>
          </w:r>
          <w:r>
            <w:instrText xml:space="preserve"> HYPERLINK \l "_Toc27201_WPSOffice_Level3"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f0839dbf-9683-40f3-94e1-6e6929527116}"/>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（一）一般公共预算财政拨款支出决算总体情况</w:t>
              </w:r>
            </w:sdtContent>
          </w:sdt>
          <w:r>
            <w:tab/>
          </w:r>
          <w:r>
            <w:t>5</w:t>
          </w:r>
          <w:r>
            <w:fldChar w:fldCharType="end"/>
          </w:r>
        </w:p>
        <w:p>
          <w:pPr>
            <w:pStyle w:val="23"/>
            <w:tabs>
              <w:tab w:val="right" w:leader="dot" w:pos="8306"/>
            </w:tabs>
          </w:pPr>
          <w:r>
            <w:fldChar w:fldCharType="begin"/>
          </w:r>
          <w:r>
            <w:instrText xml:space="preserve"> HYPERLINK \l "_Toc12506_WPSOffice_Level3"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ce08947b-c696-4931-9ca2-72bce7baee8e}"/>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（二）一般公共预算财政拨款支出决算结构情况</w:t>
              </w:r>
            </w:sdtContent>
          </w:sdt>
          <w:r>
            <w:tab/>
          </w:r>
          <w:r>
            <w:t>6</w:t>
          </w:r>
          <w:r>
            <w:fldChar w:fldCharType="end"/>
          </w:r>
        </w:p>
        <w:p>
          <w:pPr>
            <w:pStyle w:val="23"/>
            <w:tabs>
              <w:tab w:val="right" w:leader="dot" w:pos="8306"/>
            </w:tabs>
          </w:pPr>
          <w:r>
            <w:fldChar w:fldCharType="begin"/>
          </w:r>
          <w:r>
            <w:instrText xml:space="preserve"> HYPERLINK \l "_Toc8274_WPSOffice_Level3"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4448ee58-547b-48bf-b0f9-65e656117ac9}"/>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（三）一般公共预算财政拨款支出决算具体情况</w:t>
              </w:r>
            </w:sdtContent>
          </w:sdt>
          <w:r>
            <w:tab/>
          </w:r>
          <w:r>
            <w:t>6</w:t>
          </w:r>
          <w:r>
            <w:fldChar w:fldCharType="end"/>
          </w:r>
        </w:p>
        <w:p>
          <w:pPr>
            <w:pStyle w:val="22"/>
            <w:tabs>
              <w:tab w:val="right" w:leader="dot" w:pos="8306"/>
            </w:tabs>
          </w:pPr>
          <w:r>
            <w:fldChar w:fldCharType="begin"/>
          </w:r>
          <w:r>
            <w:instrText xml:space="preserve"> HYPERLINK \l "_Toc17954_WPSOffice_Level2"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e4d698fb-03d9-46d3-acb0-1500c88af0cd}"/>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六、一</w:t>
              </w:r>
              <w:r>
                <w:rPr>
                  <w:rFonts w:hint="eastAsia" w:ascii="黑体" w:hAnsi="Calibri Light" w:eastAsia="黑体" w:cs="Times New Roman"/>
                </w:rPr>
                <w:t>般公共预算财政拨款基本支出决算情况说明</w:t>
              </w:r>
            </w:sdtContent>
          </w:sdt>
          <w:r>
            <w:tab/>
          </w:r>
          <w:r>
            <w:t>7</w:t>
          </w:r>
          <w:r>
            <w:fldChar w:fldCharType="end"/>
          </w:r>
        </w:p>
        <w:p>
          <w:pPr>
            <w:pStyle w:val="22"/>
            <w:tabs>
              <w:tab w:val="right" w:leader="dot" w:pos="8306"/>
            </w:tabs>
          </w:pPr>
          <w:r>
            <w:fldChar w:fldCharType="begin"/>
          </w:r>
          <w:r>
            <w:instrText xml:space="preserve"> HYPERLINK \l "_Toc31102_WPSOffice_Level2"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31b79a69-2aef-4e72-94b4-c85ee7e2b66d}"/>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七、</w:t>
              </w:r>
              <w:r>
                <w:rPr>
                  <w:rFonts w:hint="eastAsia" w:ascii="黑体" w:hAnsi="Calibri Light" w:eastAsia="黑体" w:cs="Times New Roman"/>
                </w:rPr>
                <w:t>财政拨款“三公”经费支出决算情况说明</w:t>
              </w:r>
            </w:sdtContent>
          </w:sdt>
          <w:r>
            <w:tab/>
          </w:r>
          <w:r>
            <w:t>7</w:t>
          </w:r>
          <w:r>
            <w:fldChar w:fldCharType="end"/>
          </w:r>
        </w:p>
        <w:p>
          <w:pPr>
            <w:pStyle w:val="23"/>
            <w:tabs>
              <w:tab w:val="right" w:leader="dot" w:pos="8306"/>
            </w:tabs>
          </w:pPr>
          <w:r>
            <w:fldChar w:fldCharType="begin"/>
          </w:r>
          <w:r>
            <w:instrText xml:space="preserve"> HYPERLINK \l "_Toc10134_WPSOffice_Level3"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dc8b1cf3-dedc-4ef1-8cd8-cc8617ae431c}"/>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（一）“三公”经费财政拨款支出决算总体情况说明</w:t>
              </w:r>
            </w:sdtContent>
          </w:sdt>
          <w:r>
            <w:tab/>
          </w:r>
          <w:r>
            <w:t>8</w:t>
          </w:r>
          <w:r>
            <w:fldChar w:fldCharType="end"/>
          </w:r>
        </w:p>
        <w:p>
          <w:pPr>
            <w:pStyle w:val="23"/>
            <w:tabs>
              <w:tab w:val="right" w:leader="dot" w:pos="8306"/>
            </w:tabs>
          </w:pPr>
          <w:r>
            <w:fldChar w:fldCharType="begin"/>
          </w:r>
          <w:r>
            <w:instrText xml:space="preserve"> HYPERLINK \l "_Toc29300_WPSOffice_Level3"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d85567c0-fdea-42c5-89d4-3aabec32f441}"/>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（二）“三公”经费财政拨款支出决算具体情况说明</w:t>
              </w:r>
            </w:sdtContent>
          </w:sdt>
          <w:r>
            <w:tab/>
          </w:r>
          <w:r>
            <w:t>8</w:t>
          </w:r>
          <w:r>
            <w:fldChar w:fldCharType="end"/>
          </w:r>
        </w:p>
        <w:p>
          <w:pPr>
            <w:pStyle w:val="22"/>
            <w:tabs>
              <w:tab w:val="right" w:leader="dot" w:pos="8306"/>
            </w:tabs>
          </w:pPr>
          <w:r>
            <w:fldChar w:fldCharType="begin"/>
          </w:r>
          <w:r>
            <w:instrText xml:space="preserve"> HYPERLINK \l "_Toc6129_WPSOffice_Level2"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06925b80-73e3-4295-8209-a97ca2d253f0}"/>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八、</w:t>
              </w:r>
              <w:r>
                <w:rPr>
                  <w:rFonts w:hint="eastAsia" w:ascii="黑体" w:hAnsi="Calibri Light" w:eastAsia="黑体" w:cs="Times New Roman"/>
                </w:rPr>
                <w:t>政府性基金预算支出决算情况说明</w:t>
              </w:r>
            </w:sdtContent>
          </w:sdt>
          <w:r>
            <w:tab/>
          </w:r>
          <w:r>
            <w:t>8</w:t>
          </w:r>
          <w:r>
            <w:fldChar w:fldCharType="end"/>
          </w:r>
        </w:p>
        <w:p>
          <w:pPr>
            <w:pStyle w:val="22"/>
            <w:tabs>
              <w:tab w:val="right" w:leader="dot" w:pos="8306"/>
            </w:tabs>
          </w:pPr>
          <w:r>
            <w:fldChar w:fldCharType="begin"/>
          </w:r>
          <w:r>
            <w:instrText xml:space="preserve"> HYPERLINK \l "_Toc6383_WPSOffice_Level2"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807e3489-cc4d-48a6-ab8b-f4d99a5bc94d}"/>
              </w:placeholder>
            </w:sdtPr>
            <w:sdtEndPr>
              <w:rPr>
                <w:rFonts w:ascii="Times New Roman" w:hAnsi="Times New Roman" w:eastAsia="宋体" w:cs="Times New Roman"/>
                <w:kern w:val="2"/>
                <w:sz w:val="21"/>
                <w:szCs w:val="24"/>
                <w:lang w:val="en-US" w:eastAsia="zh-CN" w:bidi="ar-SA"/>
              </w:rPr>
            </w:sdtEndPr>
            <w:sdtContent>
              <w:r>
                <w:rPr>
                  <w:rFonts w:hint="eastAsia" w:ascii="黑体" w:hAnsi="Calibri Light" w:eastAsia="黑体" w:cs="Times New Roman"/>
                </w:rPr>
                <w:t>九、国有资本经营预算支出决算情况说明</w:t>
              </w:r>
            </w:sdtContent>
          </w:sdt>
          <w:r>
            <w:tab/>
          </w:r>
          <w:r>
            <w:t>8</w:t>
          </w:r>
          <w:r>
            <w:fldChar w:fldCharType="end"/>
          </w:r>
        </w:p>
        <w:p>
          <w:pPr>
            <w:pStyle w:val="22"/>
            <w:tabs>
              <w:tab w:val="right" w:leader="dot" w:pos="8306"/>
            </w:tabs>
          </w:pPr>
          <w:r>
            <w:fldChar w:fldCharType="begin"/>
          </w:r>
          <w:r>
            <w:instrText xml:space="preserve"> HYPERLINK \l "_Toc12068_WPSOffice_Level2"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c8dd5f9a-f74f-454b-9f2c-0cc2ba323848}"/>
              </w:placeholder>
            </w:sdtPr>
            <w:sdtEndPr>
              <w:rPr>
                <w:rFonts w:ascii="Times New Roman" w:hAnsi="Times New Roman" w:eastAsia="宋体" w:cs="Times New Roman"/>
                <w:kern w:val="2"/>
                <w:sz w:val="21"/>
                <w:szCs w:val="24"/>
                <w:lang w:val="en-US" w:eastAsia="zh-CN" w:bidi="ar-SA"/>
              </w:rPr>
            </w:sdtEndPr>
            <w:sdtContent>
              <w:r>
                <w:rPr>
                  <w:rFonts w:hint="eastAsia" w:ascii="黑体" w:hAnsi="Calibri Light" w:eastAsia="黑体" w:cs="Times New Roman"/>
                </w:rPr>
                <w:t>十、其他重要事项的情况说明</w:t>
              </w:r>
            </w:sdtContent>
          </w:sdt>
          <w:r>
            <w:tab/>
          </w:r>
          <w:r>
            <w:t>8</w:t>
          </w:r>
          <w:r>
            <w:fldChar w:fldCharType="end"/>
          </w:r>
        </w:p>
        <w:p>
          <w:pPr>
            <w:pStyle w:val="23"/>
            <w:tabs>
              <w:tab w:val="right" w:leader="dot" w:pos="8306"/>
            </w:tabs>
          </w:pPr>
          <w:r>
            <w:fldChar w:fldCharType="begin"/>
          </w:r>
          <w:r>
            <w:instrText xml:space="preserve"> HYPERLINK \l "_Toc2762_WPSOffice_Level3"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ff3416d7-01ce-4e41-b555-22c1206c8240}"/>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（一）机关运行经费支出情况</w:t>
              </w:r>
            </w:sdtContent>
          </w:sdt>
          <w:r>
            <w:tab/>
          </w:r>
          <w:r>
            <w:t>8</w:t>
          </w:r>
          <w:r>
            <w:fldChar w:fldCharType="end"/>
          </w:r>
        </w:p>
        <w:p>
          <w:pPr>
            <w:pStyle w:val="23"/>
            <w:tabs>
              <w:tab w:val="right" w:leader="dot" w:pos="8306"/>
            </w:tabs>
          </w:pPr>
          <w:r>
            <w:fldChar w:fldCharType="begin"/>
          </w:r>
          <w:r>
            <w:instrText xml:space="preserve"> HYPERLINK \l "_Toc17954_WPSOffice_Level3"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960be542-ccb3-4501-aeff-c34666b174df}"/>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（二）政府采购支出情况</w:t>
              </w:r>
            </w:sdtContent>
          </w:sdt>
          <w:r>
            <w:tab/>
          </w:r>
          <w:r>
            <w:t>8</w:t>
          </w:r>
          <w:r>
            <w:fldChar w:fldCharType="end"/>
          </w:r>
        </w:p>
        <w:p>
          <w:pPr>
            <w:pStyle w:val="23"/>
            <w:tabs>
              <w:tab w:val="right" w:leader="dot" w:pos="8306"/>
            </w:tabs>
          </w:pPr>
          <w:r>
            <w:fldChar w:fldCharType="begin"/>
          </w:r>
          <w:r>
            <w:instrText xml:space="preserve"> HYPERLINK \l "_Toc31102_WPSOffice_Level3"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6b8fd9e0-dceb-4ef7-8a1e-8491f16fd9b0}"/>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（三） 国有资产占有使用情况</w:t>
              </w:r>
            </w:sdtContent>
          </w:sdt>
          <w:r>
            <w:tab/>
          </w:r>
          <w:r>
            <w:t>8</w:t>
          </w:r>
          <w:r>
            <w:fldChar w:fldCharType="end"/>
          </w:r>
        </w:p>
        <w:p>
          <w:pPr>
            <w:pStyle w:val="23"/>
            <w:tabs>
              <w:tab w:val="right" w:leader="dot" w:pos="8306"/>
            </w:tabs>
          </w:pPr>
          <w:r>
            <w:fldChar w:fldCharType="begin"/>
          </w:r>
          <w:r>
            <w:instrText xml:space="preserve"> HYPERLINK \l "_Toc6129_WPSOffice_Level3" </w:instrText>
          </w:r>
          <w:r>
            <w:fldChar w:fldCharType="separate"/>
          </w:r>
          <w:sdt>
            <w:sdtPr>
              <w:rPr>
                <w:rFonts w:ascii="Times New Roman" w:hAnsi="Times New Roman" w:eastAsia="宋体" w:cs="Times New Roman"/>
                <w:kern w:val="2"/>
                <w:sz w:val="21"/>
                <w:szCs w:val="24"/>
                <w:lang w:val="en-US" w:eastAsia="zh-CN" w:bidi="ar-SA"/>
              </w:rPr>
              <w:id w:val="147474244"/>
              <w:placeholder>
                <w:docPart w:val="{2fc33b46-79e2-4e4a-8070-8470b23c8b84}"/>
              </w:placeholder>
            </w:sdtPr>
            <w:sdtEndPr>
              <w:rPr>
                <w:rFonts w:ascii="Times New Roman" w:hAnsi="Times New Roman" w:eastAsia="宋体" w:cs="Times New Roman"/>
                <w:kern w:val="2"/>
                <w:sz w:val="21"/>
                <w:szCs w:val="24"/>
                <w:lang w:val="en-US" w:eastAsia="zh-CN" w:bidi="ar-SA"/>
              </w:rPr>
            </w:sdtEndPr>
            <w:sdtContent>
              <w:r>
                <w:rPr>
                  <w:rFonts w:hint="eastAsia" w:ascii="仿宋" w:hAnsi="Times New Roman" w:eastAsia="仿宋" w:cs="Times New Roman"/>
                </w:rPr>
                <w:t>（四）预算绩效管理情况</w:t>
              </w:r>
            </w:sdtContent>
          </w:sdt>
          <w:r>
            <w:tab/>
          </w:r>
          <w:r>
            <w:t>8</w:t>
          </w:r>
          <w:r>
            <w:fldChar w:fldCharType="end"/>
          </w:r>
        </w:p>
        <w:p>
          <w:pPr>
            <w:pStyle w:val="21"/>
            <w:tabs>
              <w:tab w:val="right" w:leader="dot" w:pos="8306"/>
            </w:tabs>
          </w:pPr>
          <w:r>
            <w:fldChar w:fldCharType="begin"/>
          </w:r>
          <w:r>
            <w:instrText xml:space="preserve"> HYPERLINK \l "_Toc27201_WPSOffice_Level1" </w:instrText>
          </w:r>
          <w:r>
            <w:fldChar w:fldCharType="separate"/>
          </w:r>
          <w:sdt>
            <w:sdtPr>
              <w:rPr>
                <w:rFonts w:ascii="Times New Roman" w:hAnsi="Times New Roman" w:eastAsia="宋体" w:cs="Times New Roman"/>
                <w:kern w:val="2"/>
                <w:sz w:val="21"/>
                <w:szCs w:val="24"/>
                <w:lang w:val="en-US" w:eastAsia="zh-CN" w:bidi="ar-SA"/>
              </w:rPr>
              <w:id w:val="147474244"/>
              <w:placeholder>
                <w:docPart w:val="{3a176694-0e9c-4fc4-9272-7c1bb410fdf1}"/>
              </w:placeholder>
            </w:sdtPr>
            <w:sdtEndPr>
              <w:rPr>
                <w:rFonts w:ascii="Times New Roman" w:hAnsi="Times New Roman" w:eastAsia="宋体" w:cs="Times New Roman"/>
                <w:kern w:val="2"/>
                <w:sz w:val="21"/>
                <w:szCs w:val="24"/>
                <w:lang w:val="en-US" w:eastAsia="zh-CN" w:bidi="ar-SA"/>
              </w:rPr>
            </w:sdtEndPr>
            <w:sdtContent>
              <w:r>
                <w:rPr>
                  <w:rFonts w:hint="eastAsia" w:ascii="黑体" w:hAnsi="黑体" w:eastAsia="黑体" w:cs="黑体"/>
                </w:rPr>
                <w:t xml:space="preserve">第三部分 </w:t>
              </w:r>
              <w:r>
                <w:rPr>
                  <w:rFonts w:hint="eastAsia" w:ascii="黑体" w:hAnsi="Times New Roman" w:eastAsia="黑体" w:cs="Times New Roman"/>
                </w:rPr>
                <w:t>名词解释</w:t>
              </w:r>
            </w:sdtContent>
          </w:sdt>
          <w:r>
            <w:tab/>
          </w:r>
          <w:r>
            <w:t>11</w:t>
          </w:r>
          <w:r>
            <w:fldChar w:fldCharType="end"/>
          </w:r>
        </w:p>
        <w:p>
          <w:pPr>
            <w:pStyle w:val="21"/>
            <w:tabs>
              <w:tab w:val="right" w:leader="dot" w:pos="8306"/>
            </w:tabs>
          </w:pPr>
          <w:r>
            <w:fldChar w:fldCharType="begin"/>
          </w:r>
          <w:r>
            <w:instrText xml:space="preserve"> HYPERLINK \l "_Toc12506_WPSOffice_Level1" </w:instrText>
          </w:r>
          <w:r>
            <w:fldChar w:fldCharType="separate"/>
          </w:r>
          <w:sdt>
            <w:sdtPr>
              <w:rPr>
                <w:rFonts w:ascii="Times New Roman" w:hAnsi="Times New Roman" w:eastAsia="宋体" w:cs="Times New Roman"/>
                <w:kern w:val="2"/>
                <w:sz w:val="21"/>
                <w:szCs w:val="24"/>
                <w:lang w:val="en-US" w:eastAsia="zh-CN" w:bidi="ar-SA"/>
              </w:rPr>
              <w:id w:val="147474244"/>
              <w:placeholder>
                <w:docPart w:val="{babb10fd-ff86-40c6-9163-3c08268f93bb}"/>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第四部分 附件</w:t>
              </w:r>
            </w:sdtContent>
          </w:sdt>
          <w:r>
            <w:tab/>
          </w:r>
          <w:r>
            <w:t>14</w:t>
          </w:r>
          <w:r>
            <w:fldChar w:fldCharType="end"/>
          </w:r>
        </w:p>
        <w:p>
          <w:pPr>
            <w:pStyle w:val="21"/>
            <w:tabs>
              <w:tab w:val="right" w:leader="dot" w:pos="8306"/>
            </w:tabs>
          </w:pPr>
          <w:r>
            <w:fldChar w:fldCharType="begin"/>
          </w:r>
          <w:r>
            <w:instrText xml:space="preserve"> HYPERLINK \l "_Toc8274_WPSOffice_Level1" </w:instrText>
          </w:r>
          <w:r>
            <w:fldChar w:fldCharType="separate"/>
          </w:r>
          <w:sdt>
            <w:sdtPr>
              <w:rPr>
                <w:rFonts w:ascii="Times New Roman" w:hAnsi="Times New Roman" w:eastAsia="宋体" w:cs="Times New Roman"/>
                <w:kern w:val="2"/>
                <w:sz w:val="21"/>
                <w:szCs w:val="24"/>
                <w:lang w:val="en-US" w:eastAsia="zh-CN" w:bidi="ar-SA"/>
              </w:rPr>
              <w:id w:val="147474244"/>
              <w:placeholder>
                <w:docPart w:val="{02fda6ff-18f2-462e-8ca4-f67f36969b71}"/>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第五部分 附表</w:t>
              </w:r>
            </w:sdtContent>
          </w:sdt>
          <w:r>
            <w:tab/>
          </w:r>
          <w:r>
            <w:t>15</w:t>
          </w:r>
          <w:r>
            <w:fldChar w:fldCharType="end"/>
          </w:r>
        </w:p>
        <w:p>
          <w:pPr>
            <w:pStyle w:val="22"/>
            <w:tabs>
              <w:tab w:val="right" w:leader="dot" w:pos="8306"/>
            </w:tabs>
          </w:pPr>
          <w:r>
            <w:fldChar w:fldCharType="begin"/>
          </w:r>
          <w:r>
            <w:instrText xml:space="preserve"> HYPERLINK \l "_Toc22121_WPSOffice_Level2"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1620657e-10d4-4229-8322-64815b6876b4}"/>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一、收入支出决算总表</w:t>
              </w:r>
            </w:sdtContent>
          </w:sdt>
          <w:r>
            <w:tab/>
          </w:r>
          <w:r>
            <w:t>15</w:t>
          </w:r>
          <w:r>
            <w:fldChar w:fldCharType="end"/>
          </w:r>
        </w:p>
        <w:p>
          <w:pPr>
            <w:pStyle w:val="22"/>
            <w:tabs>
              <w:tab w:val="right" w:leader="dot" w:pos="8306"/>
            </w:tabs>
          </w:pPr>
          <w:r>
            <w:fldChar w:fldCharType="begin"/>
          </w:r>
          <w:r>
            <w:instrText xml:space="preserve"> HYPERLINK \l "_Toc17053_WPSOffice_Level2"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86b241eb-bdc7-4f1c-bfc8-c2364ed677a8}"/>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二、收入决算表</w:t>
              </w:r>
            </w:sdtContent>
          </w:sdt>
          <w:r>
            <w:tab/>
          </w:r>
          <w:r>
            <w:t>15</w:t>
          </w:r>
          <w:r>
            <w:fldChar w:fldCharType="end"/>
          </w:r>
        </w:p>
        <w:p>
          <w:pPr>
            <w:pStyle w:val="22"/>
            <w:tabs>
              <w:tab w:val="right" w:leader="dot" w:pos="8306"/>
            </w:tabs>
          </w:pPr>
          <w:r>
            <w:fldChar w:fldCharType="begin"/>
          </w:r>
          <w:r>
            <w:instrText xml:space="preserve"> HYPERLINK \l "_Toc14568_WPSOffice_Level2"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622fa8ff-6889-4003-ab16-0d204397341b}"/>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三、支出决算表</w:t>
              </w:r>
            </w:sdtContent>
          </w:sdt>
          <w:r>
            <w:tab/>
          </w:r>
          <w:r>
            <w:t>15</w:t>
          </w:r>
          <w:r>
            <w:fldChar w:fldCharType="end"/>
          </w:r>
        </w:p>
        <w:p>
          <w:pPr>
            <w:pStyle w:val="22"/>
            <w:tabs>
              <w:tab w:val="right" w:leader="dot" w:pos="8306"/>
            </w:tabs>
          </w:pPr>
          <w:r>
            <w:fldChar w:fldCharType="begin"/>
          </w:r>
          <w:r>
            <w:instrText xml:space="preserve"> HYPERLINK \l "_Toc17030_WPSOffice_Level2"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08356e8d-b37d-4a4f-8284-3ea6b2ab1f44}"/>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四、财政拨款收入支出决算总表</w:t>
              </w:r>
            </w:sdtContent>
          </w:sdt>
          <w:r>
            <w:tab/>
          </w:r>
          <w:r>
            <w:t>15</w:t>
          </w:r>
          <w:r>
            <w:fldChar w:fldCharType="end"/>
          </w:r>
        </w:p>
        <w:p>
          <w:pPr>
            <w:pStyle w:val="22"/>
            <w:tabs>
              <w:tab w:val="right" w:leader="dot" w:pos="8306"/>
            </w:tabs>
          </w:pPr>
          <w:r>
            <w:fldChar w:fldCharType="begin"/>
          </w:r>
          <w:r>
            <w:instrText xml:space="preserve"> HYPERLINK \l "_Toc18589_WPSOffice_Level2"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6ad41725-c080-44db-ad6c-e832ac8e4c65}"/>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五、财政拨款支出决算明细表</w:t>
              </w:r>
            </w:sdtContent>
          </w:sdt>
          <w:r>
            <w:tab/>
          </w:r>
          <w:r>
            <w:t>15</w:t>
          </w:r>
          <w:r>
            <w:fldChar w:fldCharType="end"/>
          </w:r>
        </w:p>
        <w:p>
          <w:pPr>
            <w:pStyle w:val="22"/>
            <w:tabs>
              <w:tab w:val="right" w:leader="dot" w:pos="8306"/>
            </w:tabs>
          </w:pPr>
          <w:r>
            <w:fldChar w:fldCharType="begin"/>
          </w:r>
          <w:r>
            <w:instrText xml:space="preserve"> HYPERLINK \l "_Toc21555_WPSOffice_Level2"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5b5089f0-ddd3-4ae3-8788-300b94c33c24}"/>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六、一般公共预算财政拨款支出决算表</w:t>
              </w:r>
            </w:sdtContent>
          </w:sdt>
          <w:r>
            <w:tab/>
          </w:r>
          <w:r>
            <w:t>15</w:t>
          </w:r>
          <w:r>
            <w:fldChar w:fldCharType="end"/>
          </w:r>
        </w:p>
        <w:p>
          <w:pPr>
            <w:pStyle w:val="22"/>
            <w:tabs>
              <w:tab w:val="right" w:leader="dot" w:pos="8306"/>
            </w:tabs>
          </w:pPr>
          <w:r>
            <w:fldChar w:fldCharType="begin"/>
          </w:r>
          <w:r>
            <w:instrText xml:space="preserve"> HYPERLINK \l "_Toc979_WPSOffice_Level2"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c62309b3-8d04-4c91-bcd2-198a213f2b77}"/>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七、一般公共预算财政拨款支出决算明细表</w:t>
              </w:r>
            </w:sdtContent>
          </w:sdt>
          <w:r>
            <w:tab/>
          </w:r>
          <w:r>
            <w:t>15</w:t>
          </w:r>
          <w:r>
            <w:fldChar w:fldCharType="end"/>
          </w:r>
        </w:p>
        <w:p>
          <w:pPr>
            <w:pStyle w:val="22"/>
            <w:tabs>
              <w:tab w:val="right" w:leader="dot" w:pos="8306"/>
            </w:tabs>
          </w:pPr>
          <w:r>
            <w:fldChar w:fldCharType="begin"/>
          </w:r>
          <w:r>
            <w:instrText xml:space="preserve"> HYPERLINK \l "_Toc14846_WPSOffice_Level2"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3da2eb1d-48ab-484b-9237-c704bb000b45}"/>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八、一般公共预算财政拨款基本支出决算表</w:t>
              </w:r>
            </w:sdtContent>
          </w:sdt>
          <w:r>
            <w:tab/>
          </w:r>
          <w:r>
            <w:t>15</w:t>
          </w:r>
          <w:r>
            <w:fldChar w:fldCharType="end"/>
          </w:r>
        </w:p>
        <w:p>
          <w:pPr>
            <w:pStyle w:val="22"/>
            <w:tabs>
              <w:tab w:val="right" w:leader="dot" w:pos="8306"/>
            </w:tabs>
          </w:pPr>
          <w:r>
            <w:fldChar w:fldCharType="begin"/>
          </w:r>
          <w:r>
            <w:instrText xml:space="preserve"> HYPERLINK \l "_Toc21448_WPSOffice_Level2"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2727c496-2021-44da-9d8e-9f1a9e3f7902}"/>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九、一般公共预算财政拨款项目支出决算表</w:t>
              </w:r>
            </w:sdtContent>
          </w:sdt>
          <w:r>
            <w:tab/>
          </w:r>
          <w:r>
            <w:t>15</w:t>
          </w:r>
          <w:r>
            <w:fldChar w:fldCharType="end"/>
          </w:r>
        </w:p>
        <w:p>
          <w:pPr>
            <w:pStyle w:val="22"/>
            <w:tabs>
              <w:tab w:val="right" w:leader="dot" w:pos="8306"/>
            </w:tabs>
          </w:pPr>
          <w:r>
            <w:fldChar w:fldCharType="begin"/>
          </w:r>
          <w:r>
            <w:instrText xml:space="preserve"> HYPERLINK \l "_Toc28472_WPSOffice_Level2"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49756d85-c689-4b25-84fe-32beef0591ce}"/>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十、政府性基金预算财政拨款收入支出决算表</w:t>
              </w:r>
            </w:sdtContent>
          </w:sdt>
          <w:r>
            <w:tab/>
          </w:r>
          <w:r>
            <w:t>15</w:t>
          </w:r>
          <w:r>
            <w:fldChar w:fldCharType="end"/>
          </w:r>
        </w:p>
        <w:p>
          <w:pPr>
            <w:pStyle w:val="22"/>
            <w:tabs>
              <w:tab w:val="right" w:leader="dot" w:pos="8306"/>
            </w:tabs>
          </w:pPr>
          <w:r>
            <w:fldChar w:fldCharType="begin"/>
          </w:r>
          <w:r>
            <w:instrText xml:space="preserve"> HYPERLINK \l "_Toc18800_WPSOffice_Level2"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9f9d9dac-b177-45f9-b731-3f4ed8c2065c}"/>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十一、国有资本经营预算财政拨款收入支出决算表</w:t>
              </w:r>
            </w:sdtContent>
          </w:sdt>
          <w:r>
            <w:tab/>
          </w:r>
          <w:r>
            <w:t>15</w:t>
          </w:r>
          <w:r>
            <w:fldChar w:fldCharType="end"/>
          </w:r>
        </w:p>
        <w:p>
          <w:pPr>
            <w:pStyle w:val="22"/>
            <w:tabs>
              <w:tab w:val="right" w:leader="dot" w:pos="8306"/>
            </w:tabs>
          </w:pPr>
          <w:r>
            <w:fldChar w:fldCharType="begin"/>
          </w:r>
          <w:r>
            <w:instrText xml:space="preserve"> HYPERLINK \l "_Toc16479_WPSOffice_Level2"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e83e72c3-5676-4cba-8616-6263f40dede4}"/>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十二、国有资本经营预算财政拨款支出决算表</w:t>
              </w:r>
            </w:sdtContent>
          </w:sdt>
          <w:r>
            <w:tab/>
          </w:r>
          <w:r>
            <w:t>15</w:t>
          </w:r>
          <w:r>
            <w:fldChar w:fldCharType="end"/>
          </w:r>
        </w:p>
        <w:p>
          <w:pPr>
            <w:pStyle w:val="22"/>
            <w:tabs>
              <w:tab w:val="right" w:leader="dot" w:pos="8306"/>
            </w:tabs>
          </w:pPr>
          <w:r>
            <w:fldChar w:fldCharType="begin"/>
          </w:r>
          <w:r>
            <w:instrText xml:space="preserve"> HYPERLINK \l "_Toc26947_WPSOffice_Level2" </w:instrText>
          </w:r>
          <w:r>
            <w:fldChar w:fldCharType="separate"/>
          </w:r>
          <w:sdt>
            <w:sdtPr>
              <w:rPr>
                <w:rFonts w:ascii="Times New Roman" w:hAnsi="Times New Roman" w:eastAsia="宋体" w:cs="Times New Roman"/>
                <w:kern w:val="2"/>
                <w:sz w:val="21"/>
                <w:szCs w:val="24"/>
                <w:lang w:val="en-US" w:eastAsia="zh-CN" w:bidi="ar-SA"/>
              </w:rPr>
              <w:id w:val="147474244"/>
              <w:placeholder>
                <w:docPart w:val="{a34f1bd9-cbc3-49f5-80c4-3c880eb19d75}"/>
              </w:placeholder>
            </w:sdtPr>
            <w:sdtEndPr>
              <w:rPr>
                <w:rFonts w:ascii="Times New Roman" w:hAnsi="Times New Roman" w:eastAsia="宋体" w:cs="Times New Roman"/>
                <w:kern w:val="2"/>
                <w:sz w:val="21"/>
                <w:szCs w:val="24"/>
                <w:lang w:val="en-US" w:eastAsia="zh-CN" w:bidi="ar-SA"/>
              </w:rPr>
            </w:sdtEndPr>
            <w:sdtContent>
              <w:r>
                <w:rPr>
                  <w:rFonts w:hint="eastAsia" w:ascii="仿宋" w:hAnsi="Calibri Light" w:eastAsia="仿宋" w:cs="Times New Roman"/>
                </w:rPr>
                <w:t>十三、财政拨款“三公”经费支出决算表</w:t>
              </w:r>
            </w:sdtContent>
          </w:sdt>
          <w:r>
            <w:tab/>
          </w:r>
          <w:r>
            <w:t>15</w:t>
          </w:r>
          <w:r>
            <w:fldChar w:fldCharType="end"/>
          </w:r>
        </w:p>
      </w:sdtContent>
    </w:sdt>
    <w:p>
      <w:pPr>
        <w:rPr>
          <w:rFonts w:hint="eastAsia"/>
        </w:rPr>
        <w:sectPr>
          <w:headerReference r:id="rId3" w:type="default"/>
          <w:pgSz w:w="11906" w:h="16838"/>
          <w:pgMar w:top="1440" w:right="1800" w:bottom="1440" w:left="1800" w:header="851" w:footer="992" w:gutter="0"/>
          <w:pgNumType w:start="1"/>
          <w:cols w:space="720" w:num="1"/>
          <w:titlePg/>
          <w:docGrid w:type="lines" w:linePitch="312" w:charSpace="0"/>
        </w:sectPr>
      </w:pPr>
    </w:p>
    <w:p>
      <w:pPr>
        <w:pStyle w:val="2"/>
        <w:rPr>
          <w:rFonts w:hint="eastAsia"/>
        </w:rPr>
      </w:pPr>
    </w:p>
    <w:p>
      <w:pPr>
        <w:pStyle w:val="3"/>
        <w:jc w:val="center"/>
        <w:rPr>
          <w:rFonts w:hint="eastAsia" w:ascii="黑体" w:hAnsi="黑体" w:eastAsia="黑体" w:cs="黑体"/>
          <w:b/>
          <w:bCs/>
          <w:color w:val="auto"/>
          <w:sz w:val="32"/>
          <w:szCs w:val="32"/>
          <w:highlight w:val="none"/>
        </w:rPr>
      </w:pPr>
      <w:bookmarkStart w:id="14" w:name="_Toc32056_WPSOffice_Level1"/>
      <w:bookmarkStart w:id="15" w:name="_Toc23254_WPSOffice_Level1"/>
      <w:r>
        <w:rPr>
          <w:rFonts w:hint="eastAsia" w:ascii="黑体" w:hAnsi="黑体" w:eastAsia="黑体" w:cs="黑体"/>
          <w:b w:val="0"/>
          <w:color w:val="auto"/>
          <w:highlight w:val="none"/>
        </w:rPr>
        <w:t xml:space="preserve">第一部分 </w:t>
      </w:r>
      <w:r>
        <w:rPr>
          <w:rFonts w:hint="eastAsia" w:ascii="黑体" w:hAnsi="黑体" w:eastAsia="黑体" w:cs="黑体"/>
          <w:b w:val="0"/>
          <w:color w:val="auto"/>
          <w:highlight w:val="none"/>
          <w:lang w:eastAsia="zh-CN"/>
        </w:rPr>
        <w:t>单位</w:t>
      </w:r>
      <w:r>
        <w:rPr>
          <w:rStyle w:val="17"/>
          <w:rFonts w:hint="eastAsia" w:ascii="黑体" w:hAnsi="黑体" w:eastAsia="黑体" w:cs="黑体"/>
          <w:b w:val="0"/>
          <w:bCs w:val="0"/>
          <w:color w:val="auto"/>
          <w:highlight w:val="none"/>
        </w:rPr>
        <w:t>概况</w:t>
      </w:r>
      <w:bookmarkEnd w:id="14"/>
      <w:bookmarkEnd w:id="15"/>
    </w:p>
    <w:p>
      <w:pPr>
        <w:ind w:firstLine="640" w:firstLineChars="200"/>
        <w:rPr>
          <w:rFonts w:hint="eastAsia" w:ascii="黑体" w:hAnsi="黑体" w:eastAsia="黑体" w:cs="黑体"/>
          <w:sz w:val="32"/>
          <w:szCs w:val="32"/>
          <w:lang w:eastAsia="zh-CN"/>
        </w:rPr>
      </w:pPr>
      <w:bookmarkStart w:id="16" w:name="_Toc15124_WPSOffice_Level2"/>
      <w:bookmarkStart w:id="17" w:name="_Toc12547_WPSOffice_Level2"/>
      <w:bookmarkStart w:id="18" w:name="_Toc15420_WPSOffice_Level2"/>
      <w:bookmarkStart w:id="19" w:name="_Toc6095_WPSOffice_Level2"/>
      <w:bookmarkStart w:id="20" w:name="_Toc3275_WPSOffice_Level2"/>
      <w:bookmarkStart w:id="21" w:name="_Toc3326_WPSOffice_Level2"/>
      <w:bookmarkStart w:id="22" w:name="_Toc30058_WPSOffice_Level2"/>
      <w:bookmarkStart w:id="23" w:name="_Toc15377197"/>
      <w:bookmarkStart w:id="24" w:name="_Toc15396600"/>
      <w:r>
        <w:rPr>
          <w:rFonts w:hint="eastAsia" w:ascii="黑体" w:hAnsi="黑体" w:eastAsia="黑体" w:cs="黑体"/>
          <w:sz w:val="32"/>
          <w:szCs w:val="32"/>
          <w:lang w:eastAsia="zh-CN"/>
        </w:rPr>
        <w:t>一、主要职责</w:t>
      </w:r>
      <w:bookmarkEnd w:id="16"/>
      <w:bookmarkEnd w:id="17"/>
      <w:bookmarkEnd w:id="18"/>
      <w:bookmarkEnd w:id="19"/>
      <w:bookmarkEnd w:id="20"/>
      <w:bookmarkEnd w:id="21"/>
      <w:bookmarkEnd w:id="22"/>
    </w:p>
    <w:p>
      <w:pPr>
        <w:ind w:firstLine="643" w:firstLineChars="200"/>
        <w:rPr>
          <w:rFonts w:hint="eastAsia" w:ascii="仿宋" w:eastAsia="仿宋" w:cs="Times New Roman"/>
          <w:color w:val="auto"/>
          <w:kern w:val="2"/>
          <w:sz w:val="32"/>
          <w:szCs w:val="32"/>
          <w:highlight w:val="none"/>
          <w:lang w:val="en-US" w:eastAsia="zh-CN" w:bidi="ar-SA"/>
        </w:rPr>
      </w:pPr>
      <w:r>
        <w:rPr>
          <w:rFonts w:hint="eastAsia" w:ascii="仿宋" w:eastAsia="仿宋" w:cs="Times New Roman"/>
          <w:b/>
          <w:bCs/>
          <w:color w:val="auto"/>
          <w:kern w:val="2"/>
          <w:sz w:val="32"/>
          <w:szCs w:val="32"/>
          <w:highlight w:val="none"/>
          <w:lang w:val="en-US" w:eastAsia="zh-CN" w:bidi="ar-SA"/>
        </w:rPr>
        <w:t>一是基本公共卫生服务方面。</w:t>
      </w:r>
      <w:r>
        <w:rPr>
          <w:rFonts w:hint="eastAsia" w:ascii="仿宋" w:eastAsia="仿宋" w:cs="Times New Roman"/>
          <w:color w:val="auto"/>
          <w:kern w:val="2"/>
          <w:sz w:val="32"/>
          <w:szCs w:val="32"/>
          <w:highlight w:val="none"/>
          <w:lang w:val="en-US" w:eastAsia="zh-CN" w:bidi="ar-SA"/>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r>
        <w:rPr>
          <w:rFonts w:hint="eastAsia" w:ascii="仿宋" w:eastAsia="仿宋" w:cs="Times New Roman"/>
          <w:b/>
          <w:bCs/>
          <w:color w:val="auto"/>
          <w:kern w:val="2"/>
          <w:sz w:val="32"/>
          <w:szCs w:val="32"/>
          <w:highlight w:val="none"/>
          <w:lang w:val="en-US" w:eastAsia="zh-CN" w:bidi="ar-SA"/>
        </w:rPr>
        <w:t>二是基本医疗服务方面。</w:t>
      </w:r>
      <w:r>
        <w:rPr>
          <w:rFonts w:hint="eastAsia" w:ascii="仿宋" w:eastAsia="仿宋" w:cs="Times New Roman"/>
          <w:color w:val="auto"/>
          <w:kern w:val="2"/>
          <w:sz w:val="32"/>
          <w:szCs w:val="32"/>
          <w:highlight w:val="none"/>
          <w:lang w:val="en-US" w:eastAsia="zh-CN" w:bidi="ar-SA"/>
        </w:rPr>
        <w:t>正确处理常见病，多发病，对疑难杂症进行恰当的处理与转诊；加强急诊救护体系建设，承担本辖区及周边乡村现场应急救护，转诊和康复服务；认真执行国家基本药物制度，加强医疗质量管理及院感防控。</w:t>
      </w:r>
      <w:r>
        <w:rPr>
          <w:rFonts w:hint="eastAsia" w:ascii="仿宋" w:eastAsia="仿宋" w:cs="Times New Roman"/>
          <w:b/>
          <w:bCs/>
          <w:color w:val="auto"/>
          <w:kern w:val="2"/>
          <w:sz w:val="32"/>
          <w:szCs w:val="32"/>
          <w:highlight w:val="none"/>
          <w:lang w:val="en-US" w:eastAsia="zh-CN" w:bidi="ar-SA"/>
        </w:rPr>
        <w:t>三是基本管理服务。</w:t>
      </w:r>
      <w:r>
        <w:rPr>
          <w:rFonts w:hint="eastAsia" w:ascii="仿宋" w:eastAsia="仿宋" w:cs="Times New Roman"/>
          <w:color w:val="auto"/>
          <w:kern w:val="2"/>
          <w:sz w:val="32"/>
          <w:szCs w:val="32"/>
          <w:highlight w:val="none"/>
          <w:lang w:val="en-US" w:eastAsia="zh-CN" w:bidi="ar-SA"/>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pPr>
        <w:ind w:firstLine="640" w:firstLineChars="200"/>
        <w:rPr>
          <w:rFonts w:hint="eastAsia" w:ascii="黑体" w:hAnsi="黑体" w:eastAsia="黑体" w:cs="黑体"/>
          <w:sz w:val="32"/>
          <w:szCs w:val="32"/>
          <w:lang w:val="en-US" w:eastAsia="zh-CN"/>
        </w:rPr>
      </w:pPr>
      <w:bookmarkStart w:id="25" w:name="_Toc15464_WPSOffice_Level2"/>
      <w:bookmarkStart w:id="26" w:name="_Toc826_WPSOffice_Level2"/>
      <w:bookmarkStart w:id="27" w:name="_Toc28422_WPSOffice_Level2"/>
      <w:bookmarkStart w:id="28" w:name="_Toc23888_WPSOffice_Level2"/>
      <w:bookmarkStart w:id="29" w:name="_Toc5925_WPSOffice_Level2"/>
      <w:bookmarkStart w:id="30" w:name="_Toc7564_WPSOffice_Level2"/>
      <w:bookmarkStart w:id="31" w:name="_Toc27201_WPSOffice_Level2"/>
      <w:r>
        <w:rPr>
          <w:rFonts w:hint="eastAsia" w:ascii="黑体" w:hAnsi="黑体" w:eastAsia="黑体" w:cs="黑体"/>
          <w:sz w:val="32"/>
          <w:szCs w:val="32"/>
          <w:lang w:val="en-US" w:eastAsia="zh-CN"/>
        </w:rPr>
        <w:t>二、机构设置</w:t>
      </w:r>
      <w:bookmarkEnd w:id="23"/>
      <w:bookmarkEnd w:id="24"/>
      <w:bookmarkEnd w:id="25"/>
      <w:bookmarkEnd w:id="26"/>
      <w:bookmarkEnd w:id="27"/>
      <w:bookmarkEnd w:id="28"/>
      <w:bookmarkEnd w:id="29"/>
      <w:bookmarkEnd w:id="30"/>
      <w:bookmarkEnd w:id="31"/>
    </w:p>
    <w:p>
      <w:pPr>
        <w:ind w:firstLine="640" w:firstLineChars="200"/>
        <w:rPr>
          <w:rFonts w:hint="eastAsia"/>
          <w:lang w:val="en-US" w:eastAsia="zh-CN"/>
        </w:rPr>
      </w:pPr>
      <w:r>
        <w:rPr>
          <w:rFonts w:hint="eastAsia" w:ascii="仿宋" w:eastAsia="仿宋" w:cs="Times New Roman"/>
          <w:color w:val="auto"/>
          <w:kern w:val="2"/>
          <w:sz w:val="32"/>
          <w:szCs w:val="32"/>
          <w:highlight w:val="none"/>
          <w:lang w:val="en-US" w:eastAsia="zh-CN" w:bidi="ar-SA"/>
        </w:rPr>
        <w:t>广元市昭化区张家乡卫生院属主管部门下属单位，属于二级预算单位，无下属机构。</w:t>
      </w:r>
    </w:p>
    <w:p>
      <w:pPr>
        <w:widowControl/>
        <w:ind w:firstLine="420" w:firstLineChars="200"/>
        <w:jc w:val="left"/>
        <w:rPr>
          <w:rFonts w:ascii="仿宋" w:eastAsia="仿宋"/>
          <w:color w:val="auto"/>
          <w:kern w:val="0"/>
          <w:sz w:val="32"/>
          <w:szCs w:val="32"/>
          <w:highlight w:val="none"/>
        </w:rPr>
      </w:pPr>
      <w:r>
        <w:br w:type="page"/>
      </w:r>
    </w:p>
    <w:p>
      <w:pPr>
        <w:pStyle w:val="3"/>
        <w:ind w:right="440"/>
        <w:jc w:val="center"/>
        <w:rPr>
          <w:rFonts w:hint="eastAsia" w:ascii="黑体" w:eastAsia="黑体"/>
          <w:b w:val="0"/>
          <w:bCs/>
          <w:color w:val="auto"/>
          <w:highlight w:val="none"/>
        </w:rPr>
      </w:pPr>
      <w:bookmarkStart w:id="32" w:name="_Toc3275_WPSOffice_Level1"/>
      <w:bookmarkStart w:id="33" w:name="_Toc15396602"/>
      <w:bookmarkStart w:id="34" w:name="_Toc15377204"/>
      <w:bookmarkStart w:id="35" w:name="_Toc5471_WPSOffice_Level1"/>
      <w:bookmarkStart w:id="36" w:name="_Toc4481_WPSOffice_Level1"/>
      <w:bookmarkStart w:id="37" w:name="_Toc30493_WPSOffice_Level1"/>
      <w:bookmarkStart w:id="38" w:name="_Toc15420_WPSOffice_Level1"/>
      <w:bookmarkStart w:id="39" w:name="_Toc20574_WPSOffice_Level1"/>
      <w:bookmarkStart w:id="40" w:name="_Toc26935_WPSOffice_Level1"/>
    </w:p>
    <w:p>
      <w:pPr>
        <w:pStyle w:val="3"/>
        <w:ind w:right="440"/>
        <w:jc w:val="center"/>
        <w:rPr>
          <w:color w:val="auto"/>
          <w:highlight w:val="none"/>
        </w:rPr>
      </w:pPr>
      <w:r>
        <w:rPr>
          <w:rFonts w:hint="eastAsia" w:ascii="黑体" w:eastAsia="黑体"/>
          <w:b w:val="0"/>
          <w:bCs/>
          <w:color w:val="auto"/>
          <w:highlight w:val="none"/>
          <w:lang w:val="en-US" w:eastAsia="zh-CN"/>
        </w:rPr>
        <w:t xml:space="preserve">  </w:t>
      </w:r>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17"/>
          <w:rFonts w:hint="eastAsia" w:ascii="黑体" w:eastAsia="黑体"/>
          <w:b w:val="0"/>
          <w:bCs/>
          <w:color w:val="auto"/>
          <w:highlight w:val="none"/>
          <w:lang w:eastAsia="zh-CN"/>
        </w:rPr>
        <w:t>单位</w:t>
      </w:r>
      <w:r>
        <w:rPr>
          <w:rStyle w:val="17"/>
          <w:rFonts w:hint="eastAsia" w:ascii="黑体" w:eastAsia="黑体"/>
          <w:b w:val="0"/>
          <w:bCs/>
          <w:color w:val="auto"/>
          <w:highlight w:val="none"/>
        </w:rPr>
        <w:t>决算情况说明</w:t>
      </w:r>
      <w:bookmarkEnd w:id="32"/>
      <w:bookmarkEnd w:id="33"/>
      <w:bookmarkEnd w:id="34"/>
      <w:bookmarkEnd w:id="35"/>
      <w:bookmarkEnd w:id="36"/>
      <w:bookmarkEnd w:id="37"/>
      <w:bookmarkEnd w:id="38"/>
      <w:bookmarkEnd w:id="39"/>
      <w:bookmarkEnd w:id="40"/>
    </w:p>
    <w:p>
      <w:pPr>
        <w:pStyle w:val="19"/>
        <w:numPr>
          <w:ilvl w:val="0"/>
          <w:numId w:val="1"/>
        </w:numPr>
        <w:spacing w:line="600" w:lineRule="exact"/>
        <w:ind w:firstLineChars="0"/>
        <w:outlineLvl w:val="1"/>
        <w:rPr>
          <w:rStyle w:val="18"/>
          <w:rFonts w:ascii="黑体" w:eastAsia="黑体"/>
          <w:b w:val="0"/>
          <w:color w:val="auto"/>
          <w:highlight w:val="none"/>
        </w:rPr>
      </w:pPr>
      <w:bookmarkStart w:id="41" w:name="_Toc20574_WPSOffice_Level2"/>
      <w:bookmarkStart w:id="42" w:name="_Toc12506_WPSOffice_Level2"/>
      <w:bookmarkStart w:id="43" w:name="_Toc30552_WPSOffice_Level2"/>
      <w:bookmarkStart w:id="44" w:name="_Toc4859_WPSOffice_Level2"/>
      <w:bookmarkStart w:id="45" w:name="_Toc26913_WPSOffice_Level2"/>
      <w:bookmarkStart w:id="46" w:name="_Toc2865_WPSOffice_Level2"/>
      <w:bookmarkStart w:id="47" w:name="_Toc15157_WPSOffice_Level2"/>
      <w:bookmarkStart w:id="48" w:name="_Toc15377205"/>
      <w:bookmarkStart w:id="49" w:name="_Toc15396603"/>
      <w:r>
        <w:rPr>
          <w:rFonts w:hint="eastAsia" w:ascii="黑体" w:eastAsia="黑体"/>
          <w:color w:val="auto"/>
          <w:sz w:val="32"/>
          <w:szCs w:val="32"/>
          <w:highlight w:val="none"/>
        </w:rPr>
        <w:t>收</w:t>
      </w:r>
      <w:r>
        <w:rPr>
          <w:rStyle w:val="18"/>
          <w:rFonts w:hint="eastAsia" w:ascii="黑体" w:eastAsia="黑体"/>
          <w:b w:val="0"/>
          <w:color w:val="auto"/>
          <w:highlight w:val="none"/>
        </w:rPr>
        <w:t>入支出决算总体情况说明</w:t>
      </w:r>
      <w:bookmarkEnd w:id="41"/>
      <w:bookmarkEnd w:id="42"/>
      <w:bookmarkEnd w:id="43"/>
      <w:bookmarkEnd w:id="44"/>
      <w:bookmarkEnd w:id="45"/>
      <w:bookmarkEnd w:id="46"/>
      <w:bookmarkEnd w:id="47"/>
      <w:bookmarkEnd w:id="48"/>
      <w:bookmarkEnd w:id="49"/>
    </w:p>
    <w:p>
      <w:pPr>
        <w:spacing w:line="600" w:lineRule="exact"/>
        <w:ind w:firstLine="640" w:firstLineChars="200"/>
        <w:rPr>
          <w:rFonts w:hint="eastAsia" w:ascii="仿宋" w:eastAsia="仿宋" w:cs="仿宋"/>
          <w:color w:val="auto"/>
          <w:sz w:val="32"/>
          <w:szCs w:val="32"/>
          <w:lang w:val="en-US"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hint="eastAsia" w:ascii="仿宋" w:eastAsia="仿宋"/>
          <w:color w:val="auto"/>
          <w:sz w:val="32"/>
          <w:szCs w:val="32"/>
          <w:highlight w:val="none"/>
          <w:lang w:val="en-US" w:eastAsia="zh-CN"/>
        </w:rPr>
        <w:t>108.58</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hint="eastAsia" w:ascii="仿宋" w:eastAsia="仿宋"/>
          <w:color w:val="auto"/>
          <w:sz w:val="32"/>
          <w:szCs w:val="32"/>
          <w:highlight w:val="none"/>
          <w:lang w:eastAsia="zh-CN"/>
        </w:rPr>
        <w:t>减少</w:t>
      </w:r>
      <w:r>
        <w:rPr>
          <w:rFonts w:hint="eastAsia" w:ascii="仿宋" w:eastAsia="仿宋"/>
          <w:color w:val="auto"/>
          <w:sz w:val="32"/>
          <w:szCs w:val="32"/>
          <w:highlight w:val="none"/>
          <w:lang w:val="en-US" w:eastAsia="zh-CN"/>
        </w:rPr>
        <w:t>70.15</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降低</w:t>
      </w:r>
      <w:r>
        <w:rPr>
          <w:rFonts w:hint="eastAsia" w:ascii="仿宋" w:eastAsia="仿宋"/>
          <w:color w:val="auto"/>
          <w:sz w:val="32"/>
          <w:szCs w:val="32"/>
          <w:highlight w:val="none"/>
          <w:lang w:val="en-US" w:eastAsia="zh-CN"/>
        </w:rPr>
        <w:t>39.25</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收入</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w:t>
      </w:r>
      <w:r>
        <w:rPr>
          <w:rFonts w:hint="eastAsia" w:ascii="仿宋" w:eastAsia="仿宋" w:cs="仿宋"/>
          <w:color w:val="auto"/>
          <w:sz w:val="32"/>
          <w:szCs w:val="32"/>
          <w:lang w:val="en-US" w:eastAsia="zh-CN"/>
        </w:rPr>
        <w:t>2022年一般公共预算财政拨款收入相比上年减少了69.05万元；政府性基金预算财政拨款收入相比上年增加了1.71万元；事业收入相比上年减少了2.81万元。2022年支出主要变动的原因是：社会保障和就业支出减少了0.24万元；城乡社区支出增加了1.71万元；卫生健康支出减少了71.11万元；住房保障支出减少了0.51万元。</w:t>
      </w:r>
    </w:p>
    <w:p>
      <w:pPr>
        <w:pStyle w:val="2"/>
        <w:ind w:firstLine="600" w:firstLineChars="200"/>
      </w:pPr>
      <w:r>
        <w:rPr>
          <w:rFonts w:hint="eastAsia"/>
          <w:lang w:val="en-US" w:eastAsia="zh-CN"/>
        </w:rPr>
        <w:t xml:space="preserve">     </w:t>
      </w:r>
      <w:r>
        <w:drawing>
          <wp:inline distT="0" distB="0" distL="114300" distR="114300">
            <wp:extent cx="3636010" cy="2026920"/>
            <wp:effectExtent l="0" t="0" r="0" b="0"/>
            <wp:docPr id="9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ind w:firstLine="640" w:firstLineChars="200"/>
        <w:rPr>
          <w:rFonts w:ascii="仿宋_GB2312" w:eastAsia="仿宋_GB2312"/>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19"/>
        <w:numPr>
          <w:ilvl w:val="0"/>
          <w:numId w:val="1"/>
        </w:numPr>
        <w:spacing w:line="600" w:lineRule="exact"/>
        <w:ind w:firstLineChars="0"/>
        <w:outlineLvl w:val="1"/>
        <w:rPr>
          <w:rStyle w:val="18"/>
          <w:rFonts w:ascii="黑体" w:eastAsia="黑体"/>
          <w:b w:val="0"/>
          <w:color w:val="auto"/>
          <w:highlight w:val="none"/>
        </w:rPr>
      </w:pPr>
      <w:bookmarkStart w:id="50" w:name="_Toc15377206"/>
      <w:bookmarkStart w:id="51" w:name="_Toc15396604"/>
      <w:bookmarkStart w:id="52" w:name="_Toc4481_WPSOffice_Level2"/>
      <w:bookmarkStart w:id="53" w:name="_Toc17241_WPSOffice_Level2"/>
      <w:bookmarkStart w:id="54" w:name="_Toc26452_WPSOffice_Level2"/>
      <w:bookmarkStart w:id="55" w:name="_Toc880_WPSOffice_Level2"/>
      <w:bookmarkStart w:id="56" w:name="_Toc10716_WPSOffice_Level2"/>
      <w:bookmarkStart w:id="57" w:name="_Toc18937_WPSOffice_Level2"/>
      <w:bookmarkStart w:id="58" w:name="_Toc8274_WPSOffice_Level2"/>
      <w:r>
        <w:rPr>
          <w:rFonts w:hint="eastAsia" w:ascii="黑体" w:eastAsia="黑体"/>
          <w:color w:val="auto"/>
          <w:sz w:val="32"/>
          <w:szCs w:val="32"/>
          <w:highlight w:val="none"/>
        </w:rPr>
        <w:t>收</w:t>
      </w:r>
      <w:r>
        <w:rPr>
          <w:rStyle w:val="18"/>
          <w:rFonts w:hint="eastAsia" w:ascii="黑体" w:eastAsia="黑体"/>
          <w:b w:val="0"/>
          <w:color w:val="auto"/>
          <w:highlight w:val="none"/>
        </w:rPr>
        <w:t>入决算情况说明</w:t>
      </w:r>
      <w:bookmarkEnd w:id="50"/>
      <w:bookmarkEnd w:id="51"/>
      <w:bookmarkEnd w:id="52"/>
      <w:bookmarkEnd w:id="53"/>
      <w:bookmarkEnd w:id="54"/>
      <w:bookmarkEnd w:id="55"/>
      <w:bookmarkEnd w:id="56"/>
      <w:bookmarkEnd w:id="57"/>
      <w:bookmarkEnd w:id="58"/>
    </w:p>
    <w:p>
      <w:pPr>
        <w:spacing w:line="600" w:lineRule="exact"/>
        <w:ind w:firstLine="640" w:firstLineChars="200"/>
        <w:outlineLvl w:val="1"/>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hint="eastAsia" w:ascii="仿宋" w:eastAsia="仿宋"/>
          <w:color w:val="auto"/>
          <w:sz w:val="32"/>
          <w:szCs w:val="32"/>
          <w:highlight w:val="none"/>
          <w:lang w:val="en-US" w:eastAsia="zh-CN"/>
        </w:rPr>
        <w:t>108.58</w:t>
      </w:r>
      <w:r>
        <w:rPr>
          <w:rFonts w:hint="eastAsia" w:ascii="仿宋" w:eastAsia="仿宋"/>
          <w:color w:val="auto"/>
          <w:sz w:val="32"/>
          <w:szCs w:val="32"/>
          <w:highlight w:val="none"/>
        </w:rPr>
        <w:t>万元，其中：财政拨款收入</w:t>
      </w:r>
      <w:r>
        <w:rPr>
          <w:rFonts w:hint="eastAsia" w:ascii="仿宋" w:eastAsia="仿宋"/>
          <w:color w:val="auto"/>
          <w:sz w:val="32"/>
          <w:szCs w:val="32"/>
          <w:highlight w:val="none"/>
          <w:lang w:val="en-US" w:eastAsia="zh-CN"/>
        </w:rPr>
        <w:t>80.82</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74.43</w:t>
      </w:r>
      <w:r>
        <w:rPr>
          <w:rFonts w:ascii="仿宋" w:eastAsia="仿宋"/>
          <w:color w:val="auto"/>
          <w:sz w:val="32"/>
          <w:szCs w:val="32"/>
          <w:highlight w:val="none"/>
        </w:rPr>
        <w:t>%</w:t>
      </w:r>
      <w:r>
        <w:rPr>
          <w:rFonts w:hint="eastAsia" w:ascii="仿宋" w:eastAsia="仿宋"/>
          <w:color w:val="auto"/>
          <w:sz w:val="32"/>
          <w:szCs w:val="32"/>
          <w:highlight w:val="none"/>
        </w:rPr>
        <w:t>；事业收入27.76万元，占</w:t>
      </w:r>
      <w:r>
        <w:rPr>
          <w:rFonts w:hint="eastAsia" w:ascii="仿宋" w:eastAsia="仿宋"/>
          <w:color w:val="auto"/>
          <w:sz w:val="32"/>
          <w:szCs w:val="32"/>
          <w:highlight w:val="none"/>
          <w:lang w:val="en-US" w:eastAsia="zh-CN"/>
        </w:rPr>
        <w:t>25.57</w:t>
      </w:r>
      <w:r>
        <w:rPr>
          <w:rFonts w:ascii="仿宋" w:eastAsia="仿宋"/>
          <w:color w:val="auto"/>
          <w:sz w:val="32"/>
          <w:szCs w:val="32"/>
          <w:highlight w:val="none"/>
        </w:rPr>
        <w:t>%</w:t>
      </w:r>
      <w:r>
        <w:rPr>
          <w:rFonts w:hint="eastAsia" w:ascii="仿宋" w:eastAsia="仿宋"/>
          <w:color w:val="auto"/>
          <w:sz w:val="32"/>
          <w:szCs w:val="32"/>
          <w:highlight w:val="none"/>
          <w:lang w:eastAsia="zh-CN"/>
        </w:rPr>
        <w:t>。</w:t>
      </w:r>
    </w:p>
    <w:p>
      <w:pPr>
        <w:spacing w:line="600" w:lineRule="exact"/>
        <w:outlineLvl w:val="1"/>
        <w:rPr>
          <w:rFonts w:ascii="仿宋_GB2312" w:eastAsia="仿宋_GB2312"/>
          <w:color w:val="auto"/>
          <w:sz w:val="32"/>
          <w:szCs w:val="32"/>
          <w:highlight w:val="none"/>
        </w:rPr>
      </w:pPr>
      <w:r>
        <w:drawing>
          <wp:anchor distT="0" distB="0" distL="114300" distR="114300" simplePos="0" relativeHeight="251660288" behindDoc="0" locked="0" layoutInCell="1" allowOverlap="1">
            <wp:simplePos x="0" y="0"/>
            <wp:positionH relativeFrom="column">
              <wp:posOffset>789305</wp:posOffset>
            </wp:positionH>
            <wp:positionV relativeFrom="paragraph">
              <wp:posOffset>382270</wp:posOffset>
            </wp:positionV>
            <wp:extent cx="3817620" cy="1874520"/>
            <wp:effectExtent l="0" t="0" r="0" b="0"/>
            <wp:wrapTopAndBottom/>
            <wp:docPr id="9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lang w:val="en-US" w:eastAsia="zh-CN"/>
        </w:rPr>
        <w:t xml:space="preserve">               </w:t>
      </w:r>
      <w:bookmarkStart w:id="59" w:name="_Toc3275_WPSOffice_Level3"/>
      <w:r>
        <w:rPr>
          <w:rFonts w:hint="eastAsia" w:ascii="仿宋" w:eastAsia="仿宋"/>
          <w:color w:val="auto"/>
          <w:sz w:val="32"/>
          <w:szCs w:val="32"/>
          <w:highlight w:val="none"/>
        </w:rPr>
        <w:t>（图2：收入决算结构图）（饼状图）</w:t>
      </w:r>
      <w:bookmarkEnd w:id="59"/>
    </w:p>
    <w:p>
      <w:pPr>
        <w:pStyle w:val="19"/>
        <w:numPr>
          <w:ilvl w:val="0"/>
          <w:numId w:val="1"/>
        </w:numPr>
        <w:spacing w:line="600" w:lineRule="exact"/>
        <w:ind w:firstLineChars="0"/>
        <w:outlineLvl w:val="1"/>
        <w:rPr>
          <w:rStyle w:val="18"/>
          <w:rFonts w:ascii="黑体" w:eastAsia="黑体"/>
          <w:b w:val="0"/>
          <w:color w:val="auto"/>
          <w:highlight w:val="none"/>
        </w:rPr>
      </w:pPr>
      <w:bookmarkStart w:id="60" w:name="_Toc10134_WPSOffice_Level2"/>
      <w:bookmarkStart w:id="61" w:name="_Toc15396605"/>
      <w:bookmarkStart w:id="62" w:name="_Toc15377207"/>
      <w:bookmarkStart w:id="63" w:name="_Toc27766_WPSOffice_Level2"/>
      <w:bookmarkStart w:id="64" w:name="_Toc16073_WPSOffice_Level2"/>
      <w:bookmarkStart w:id="65" w:name="_Toc31568_WPSOffice_Level2"/>
      <w:bookmarkStart w:id="66" w:name="_Toc23906_WPSOffice_Level2"/>
      <w:bookmarkStart w:id="67" w:name="_Toc14407_WPSOffice_Level2"/>
      <w:bookmarkStart w:id="68" w:name="_Toc29932_WPSOffice_Level2"/>
      <w:r>
        <w:rPr>
          <w:rFonts w:hint="eastAsia" w:ascii="黑体" w:eastAsia="黑体"/>
          <w:color w:val="auto"/>
          <w:sz w:val="32"/>
          <w:szCs w:val="32"/>
          <w:highlight w:val="none"/>
        </w:rPr>
        <w:t>支</w:t>
      </w:r>
      <w:r>
        <w:rPr>
          <w:rStyle w:val="18"/>
          <w:rFonts w:hint="eastAsia" w:ascii="黑体" w:eastAsia="黑体"/>
          <w:b w:val="0"/>
          <w:color w:val="auto"/>
          <w:highlight w:val="none"/>
        </w:rPr>
        <w:t>出决算情况说明</w:t>
      </w:r>
      <w:bookmarkEnd w:id="60"/>
      <w:bookmarkEnd w:id="61"/>
      <w:bookmarkEnd w:id="62"/>
      <w:bookmarkEnd w:id="63"/>
      <w:bookmarkEnd w:id="64"/>
      <w:bookmarkEnd w:id="65"/>
      <w:bookmarkEnd w:id="66"/>
      <w:bookmarkEnd w:id="67"/>
      <w:bookmarkEnd w:id="68"/>
    </w:p>
    <w:p>
      <w:pPr>
        <w:spacing w:line="600" w:lineRule="exact"/>
        <w:ind w:firstLine="640" w:firstLineChars="200"/>
        <w:outlineLvl w:val="1"/>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hint="eastAsia" w:ascii="仿宋" w:eastAsia="仿宋"/>
          <w:color w:val="auto"/>
          <w:sz w:val="32"/>
          <w:szCs w:val="32"/>
          <w:highlight w:val="none"/>
          <w:lang w:val="en-US" w:eastAsia="zh-CN"/>
        </w:rPr>
        <w:t>108.58</w:t>
      </w:r>
      <w:r>
        <w:rPr>
          <w:rFonts w:hint="eastAsia" w:ascii="仿宋" w:eastAsia="仿宋"/>
          <w:color w:val="auto"/>
          <w:sz w:val="32"/>
          <w:szCs w:val="32"/>
          <w:highlight w:val="none"/>
        </w:rPr>
        <w:t>万元，其中：基本支出106.87万元，占</w:t>
      </w:r>
      <w:r>
        <w:rPr>
          <w:rFonts w:hint="eastAsia" w:ascii="仿宋" w:eastAsia="仿宋"/>
          <w:color w:val="auto"/>
          <w:sz w:val="32"/>
          <w:szCs w:val="32"/>
          <w:highlight w:val="none"/>
          <w:lang w:val="en-US" w:eastAsia="zh-CN"/>
        </w:rPr>
        <w:t>98.42</w:t>
      </w:r>
      <w:r>
        <w:rPr>
          <w:rFonts w:ascii="仿宋" w:eastAsia="仿宋"/>
          <w:color w:val="auto"/>
          <w:sz w:val="32"/>
          <w:szCs w:val="32"/>
          <w:highlight w:val="none"/>
        </w:rPr>
        <w:t>%</w:t>
      </w:r>
      <w:r>
        <w:rPr>
          <w:rFonts w:hint="eastAsia" w:ascii="仿宋" w:eastAsia="仿宋"/>
          <w:color w:val="auto"/>
          <w:sz w:val="32"/>
          <w:szCs w:val="32"/>
          <w:highlight w:val="none"/>
        </w:rPr>
        <w:t>；项目支出1.71万元，占</w:t>
      </w:r>
      <w:r>
        <w:rPr>
          <w:rFonts w:hint="eastAsia" w:ascii="仿宋" w:eastAsia="仿宋"/>
          <w:color w:val="auto"/>
          <w:sz w:val="32"/>
          <w:szCs w:val="32"/>
          <w:highlight w:val="none"/>
          <w:lang w:val="en-US" w:eastAsia="zh-CN"/>
        </w:rPr>
        <w:t>1.58</w:t>
      </w:r>
      <w:r>
        <w:rPr>
          <w:rFonts w:ascii="仿宋" w:eastAsia="仿宋"/>
          <w:color w:val="auto"/>
          <w:sz w:val="32"/>
          <w:szCs w:val="32"/>
          <w:highlight w:val="none"/>
        </w:rPr>
        <w:t>%</w:t>
      </w:r>
      <w:r>
        <w:rPr>
          <w:rFonts w:hint="eastAsia" w:ascii="仿宋" w:eastAsia="仿宋"/>
          <w:color w:val="auto"/>
          <w:sz w:val="32"/>
          <w:szCs w:val="32"/>
          <w:highlight w:val="none"/>
        </w:rPr>
        <w:t>。</w:t>
      </w:r>
    </w:p>
    <w:p>
      <w:pPr>
        <w:spacing w:line="600" w:lineRule="exact"/>
        <w:ind w:firstLine="640"/>
        <w:rPr>
          <w:rFonts w:ascii="仿宋_GB2312" w:eastAsia="仿宋_GB2312"/>
          <w:color w:val="auto"/>
          <w:sz w:val="32"/>
          <w:szCs w:val="32"/>
          <w:highlight w:val="none"/>
        </w:rPr>
      </w:pPr>
      <w:r>
        <w:drawing>
          <wp:anchor distT="0" distB="0" distL="114935" distR="114935" simplePos="0" relativeHeight="251660288" behindDoc="0" locked="0" layoutInCell="1" allowOverlap="1">
            <wp:simplePos x="0" y="0"/>
            <wp:positionH relativeFrom="column">
              <wp:posOffset>845820</wp:posOffset>
            </wp:positionH>
            <wp:positionV relativeFrom="paragraph">
              <wp:posOffset>57785</wp:posOffset>
            </wp:positionV>
            <wp:extent cx="3788410" cy="2172335"/>
            <wp:effectExtent l="0" t="0" r="0" b="0"/>
            <wp:wrapTopAndBottom/>
            <wp:docPr id="93"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lang w:val="en-US" w:eastAsia="zh-CN"/>
        </w:rPr>
        <w:t xml:space="preserve">           </w:t>
      </w: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18"/>
          <w:rFonts w:ascii="黑体" w:eastAsia="黑体"/>
          <w:b w:val="0"/>
          <w:color w:val="auto"/>
          <w:highlight w:val="none"/>
        </w:rPr>
      </w:pPr>
      <w:bookmarkStart w:id="69" w:name="_Toc15421_WPSOffice_Level2"/>
      <w:bookmarkStart w:id="70" w:name="_Toc15377208"/>
      <w:bookmarkStart w:id="71" w:name="_Toc27474_WPSOffice_Level2"/>
      <w:bookmarkStart w:id="72" w:name="_Toc23860_WPSOffice_Level2"/>
      <w:bookmarkStart w:id="73" w:name="_Toc23867_WPSOffice_Level2"/>
      <w:bookmarkStart w:id="74" w:name="_Toc29300_WPSOffice_Level2"/>
      <w:bookmarkStart w:id="75" w:name="_Toc15396606"/>
      <w:bookmarkStart w:id="76" w:name="_Toc2439_WPSOffice_Level2"/>
      <w:bookmarkStart w:id="77" w:name="_Toc16119_WPSOffice_Level2"/>
      <w:r>
        <w:rPr>
          <w:rFonts w:hint="eastAsia" w:ascii="黑体" w:eastAsia="黑体"/>
          <w:color w:val="auto"/>
          <w:sz w:val="32"/>
          <w:szCs w:val="32"/>
          <w:highlight w:val="none"/>
        </w:rPr>
        <w:t>四、财</w:t>
      </w:r>
      <w:r>
        <w:rPr>
          <w:rStyle w:val="18"/>
          <w:rFonts w:hint="eastAsia" w:ascii="黑体" w:eastAsia="黑体"/>
          <w:b w:val="0"/>
          <w:color w:val="auto"/>
          <w:highlight w:val="none"/>
        </w:rPr>
        <w:t>政拨款收入支出决算总体情况说明</w:t>
      </w:r>
      <w:bookmarkEnd w:id="69"/>
      <w:bookmarkEnd w:id="70"/>
      <w:bookmarkEnd w:id="71"/>
      <w:bookmarkEnd w:id="72"/>
      <w:bookmarkEnd w:id="73"/>
      <w:bookmarkEnd w:id="74"/>
      <w:bookmarkEnd w:id="75"/>
      <w:bookmarkEnd w:id="76"/>
      <w:bookmarkEnd w:id="77"/>
    </w:p>
    <w:p>
      <w:pPr>
        <w:spacing w:line="600" w:lineRule="exact"/>
        <w:ind w:firstLine="640"/>
        <w:rPr>
          <w:rFonts w:hint="eastAsia" w:ascii="仿宋" w:eastAsia="仿宋" w:cs="仿宋"/>
          <w:color w:val="auto"/>
          <w:sz w:val="32"/>
          <w:szCs w:val="32"/>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hint="eastAsia" w:ascii="仿宋" w:eastAsia="仿宋"/>
          <w:color w:val="auto"/>
          <w:sz w:val="32"/>
          <w:szCs w:val="32"/>
          <w:highlight w:val="none"/>
          <w:lang w:val="en-US" w:eastAsia="zh-CN"/>
        </w:rPr>
        <w:t>80.82</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hint="eastAsia" w:ascii="仿宋" w:eastAsia="仿宋"/>
          <w:color w:val="auto"/>
          <w:sz w:val="32"/>
          <w:szCs w:val="32"/>
          <w:highlight w:val="none"/>
          <w:lang w:eastAsia="zh-CN"/>
        </w:rPr>
        <w:t>减少</w:t>
      </w:r>
      <w:r>
        <w:rPr>
          <w:rFonts w:hint="eastAsia" w:ascii="仿宋" w:eastAsia="仿宋"/>
          <w:color w:val="auto"/>
          <w:sz w:val="32"/>
          <w:szCs w:val="32"/>
          <w:highlight w:val="none"/>
          <w:lang w:val="en-US" w:eastAsia="zh-CN"/>
        </w:rPr>
        <w:t>67.34</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45.45</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olor w:val="auto"/>
          <w:sz w:val="32"/>
          <w:szCs w:val="32"/>
          <w:highlight w:val="none"/>
          <w:lang w:val="en-US" w:eastAsia="zh-CN"/>
        </w:rPr>
        <w:t>2022年收入</w:t>
      </w:r>
      <w:r>
        <w:rPr>
          <w:rFonts w:hint="eastAsia" w:ascii="仿宋" w:eastAsia="仿宋"/>
          <w:color w:val="auto"/>
          <w:sz w:val="32"/>
          <w:szCs w:val="32"/>
          <w:highlight w:val="none"/>
        </w:rPr>
        <w:t>主要变动原因</w:t>
      </w:r>
      <w:r>
        <w:rPr>
          <w:rFonts w:hint="eastAsia" w:ascii="仿宋" w:eastAsia="仿宋"/>
          <w:color w:val="auto"/>
          <w:sz w:val="32"/>
          <w:szCs w:val="32"/>
          <w:highlight w:val="none"/>
          <w:lang w:eastAsia="zh-CN"/>
        </w:rPr>
        <w:t>是：政府性基金预算财政拨款收入增加了</w:t>
      </w:r>
      <w:r>
        <w:rPr>
          <w:rFonts w:hint="eastAsia" w:ascii="仿宋" w:eastAsia="仿宋"/>
          <w:color w:val="auto"/>
          <w:sz w:val="32"/>
          <w:szCs w:val="32"/>
          <w:highlight w:val="none"/>
          <w:lang w:val="en-US" w:eastAsia="zh-CN"/>
        </w:rPr>
        <w:t>1.71万元，</w:t>
      </w:r>
      <w:r>
        <w:rPr>
          <w:rFonts w:hint="eastAsia" w:ascii="仿宋" w:eastAsia="仿宋"/>
          <w:color w:val="auto"/>
          <w:sz w:val="32"/>
          <w:szCs w:val="32"/>
          <w:highlight w:val="none"/>
          <w:lang w:eastAsia="zh-CN"/>
        </w:rPr>
        <w:t>一般公共预算财政拨款收入减少</w:t>
      </w:r>
      <w:r>
        <w:rPr>
          <w:rFonts w:hint="eastAsia" w:ascii="仿宋" w:eastAsia="仿宋" w:cs="仿宋"/>
          <w:color w:val="auto"/>
          <w:sz w:val="32"/>
          <w:szCs w:val="32"/>
          <w:lang w:val="en-US" w:eastAsia="zh-CN"/>
        </w:rPr>
        <w:t>了69.05万元。2022年支出变动主要原因是：社会保障和就业支出减少了0.24万元；卫生健康支出减少了68.29万元；住房保障支出减少了0.51万元；城乡社区支出增加了1.71万元。</w:t>
      </w:r>
    </w:p>
    <w:p>
      <w:pPr>
        <w:pStyle w:val="2"/>
        <w:rPr>
          <w:rFonts w:hint="eastAsia" w:ascii="仿宋" w:eastAsia="仿宋" w:cs="仿宋"/>
          <w:color w:val="auto"/>
          <w:sz w:val="32"/>
          <w:szCs w:val="32"/>
          <w:lang w:val="en-US" w:eastAsia="zh-CN"/>
        </w:rPr>
      </w:pPr>
    </w:p>
    <w:p>
      <w:pPr>
        <w:pStyle w:val="2"/>
        <w:rPr>
          <w:lang w:val="en-US"/>
        </w:rPr>
      </w:pPr>
      <w:r>
        <w:rPr>
          <w:rFonts w:hint="eastAsia"/>
          <w:lang w:val="en-US" w:eastAsia="zh-CN"/>
        </w:rPr>
        <w:t xml:space="preserve">         </w:t>
      </w:r>
      <w:r>
        <w:drawing>
          <wp:inline distT="0" distB="0" distL="114300" distR="114300">
            <wp:extent cx="3444875" cy="1699895"/>
            <wp:effectExtent l="0" t="0" r="0" b="0"/>
            <wp:docPr id="94"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hint="eastAsia" w:ascii="仿宋" w:eastAsia="仿宋"/>
          <w:color w:val="auto"/>
          <w:sz w:val="32"/>
          <w:szCs w:val="32"/>
          <w:highlight w:val="none"/>
        </w:rPr>
      </w:pPr>
      <w:r>
        <w:rPr>
          <w:rFonts w:hint="eastAsia" w:ascii="仿宋" w:eastAsia="仿宋"/>
          <w:color w:val="auto"/>
          <w:sz w:val="32"/>
          <w:szCs w:val="32"/>
          <w:highlight w:val="none"/>
        </w:rPr>
        <w:t>（图4：财政拨款收、支决算总计变动情况）（柱状图）</w:t>
      </w:r>
    </w:p>
    <w:p>
      <w:pPr>
        <w:pStyle w:val="2"/>
      </w:pPr>
    </w:p>
    <w:p>
      <w:pPr>
        <w:spacing w:line="600" w:lineRule="exact"/>
        <w:ind w:firstLine="640" w:firstLineChars="200"/>
        <w:outlineLvl w:val="1"/>
        <w:rPr>
          <w:rStyle w:val="18"/>
          <w:rFonts w:ascii="黑体" w:eastAsia="黑体"/>
          <w:b w:val="0"/>
          <w:color w:val="auto"/>
          <w:highlight w:val="none"/>
        </w:rPr>
      </w:pPr>
      <w:bookmarkStart w:id="78" w:name="_Toc15377209"/>
      <w:bookmarkStart w:id="79" w:name="_Toc15396607"/>
      <w:bookmarkStart w:id="80" w:name="_Toc26244_WPSOffice_Level2"/>
      <w:bookmarkStart w:id="81" w:name="_Toc23754_WPSOffice_Level2"/>
      <w:bookmarkStart w:id="82" w:name="_Toc6688_WPSOffice_Level2"/>
      <w:bookmarkStart w:id="83" w:name="_Toc16686_WPSOffice_Level2"/>
      <w:bookmarkStart w:id="84" w:name="_Toc1723_WPSOffice_Level2"/>
      <w:bookmarkStart w:id="85" w:name="_Toc9729_WPSOffice_Level2"/>
      <w:bookmarkStart w:id="86" w:name="_Toc2762_WPSOffice_Level2"/>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18"/>
          <w:rFonts w:hint="eastAsia" w:ascii="黑体" w:eastAsia="黑体"/>
          <w:b w:val="0"/>
          <w:color w:val="auto"/>
          <w:highlight w:val="none"/>
        </w:rPr>
        <w:t>般公共预算财政拨款支出决算情况说明</w:t>
      </w:r>
      <w:bookmarkEnd w:id="78"/>
      <w:bookmarkEnd w:id="79"/>
      <w:bookmarkEnd w:id="80"/>
      <w:bookmarkEnd w:id="81"/>
      <w:bookmarkEnd w:id="82"/>
      <w:bookmarkEnd w:id="83"/>
      <w:bookmarkEnd w:id="84"/>
      <w:bookmarkEnd w:id="85"/>
      <w:bookmarkEnd w:id="86"/>
    </w:p>
    <w:p>
      <w:pPr>
        <w:spacing w:line="600" w:lineRule="exact"/>
        <w:ind w:firstLine="643" w:firstLineChars="200"/>
        <w:outlineLvl w:val="2"/>
        <w:rPr>
          <w:rFonts w:ascii="仿宋" w:eastAsia="仿宋"/>
          <w:b/>
          <w:color w:val="auto"/>
          <w:sz w:val="32"/>
          <w:szCs w:val="32"/>
          <w:highlight w:val="none"/>
        </w:rPr>
      </w:pPr>
      <w:bookmarkStart w:id="87" w:name="_Toc15377210"/>
      <w:bookmarkStart w:id="88" w:name="_Toc27201_WPSOffice_Level3"/>
      <w:r>
        <w:rPr>
          <w:rFonts w:hint="eastAsia" w:ascii="仿宋" w:eastAsia="仿宋"/>
          <w:b/>
          <w:color w:val="auto"/>
          <w:sz w:val="32"/>
          <w:szCs w:val="32"/>
          <w:highlight w:val="none"/>
        </w:rPr>
        <w:t>（一）一般公共预算财政拨款支出决算总体情况</w:t>
      </w:r>
      <w:bookmarkEnd w:id="87"/>
      <w:bookmarkEnd w:id="88"/>
    </w:p>
    <w:p>
      <w:pPr>
        <w:spacing w:line="600" w:lineRule="exact"/>
        <w:ind w:firstLine="640" w:firstLineChars="20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79.11</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97.88</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支出减少了</w:t>
      </w:r>
      <w:r>
        <w:rPr>
          <w:rFonts w:hint="eastAsia" w:ascii="仿宋" w:eastAsia="仿宋"/>
          <w:color w:val="auto"/>
          <w:sz w:val="32"/>
          <w:szCs w:val="32"/>
          <w:highlight w:val="none"/>
          <w:lang w:val="en-US" w:eastAsia="zh-CN"/>
        </w:rPr>
        <w:t>69.05</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下降</w:t>
      </w:r>
      <w:r>
        <w:rPr>
          <w:rFonts w:hint="eastAsia" w:ascii="仿宋" w:eastAsia="仿宋"/>
          <w:color w:val="auto"/>
          <w:sz w:val="32"/>
          <w:szCs w:val="32"/>
          <w:highlight w:val="none"/>
          <w:lang w:val="en-US" w:eastAsia="zh-CN"/>
        </w:rPr>
        <w:t>46.6</w:t>
      </w:r>
      <w:r>
        <w:rPr>
          <w:rFonts w:ascii="仿宋" w:eastAsia="仿宋"/>
          <w:color w:val="auto"/>
          <w:sz w:val="32"/>
          <w:szCs w:val="32"/>
          <w:highlight w:val="none"/>
        </w:rPr>
        <w:t>%</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基本支出减少了</w:t>
      </w:r>
      <w:r>
        <w:rPr>
          <w:rFonts w:hint="eastAsia" w:ascii="仿宋" w:eastAsia="仿宋"/>
          <w:color w:val="auto"/>
          <w:sz w:val="32"/>
          <w:szCs w:val="32"/>
          <w:highlight w:val="none"/>
          <w:lang w:val="en-US" w:eastAsia="zh-CN"/>
        </w:rPr>
        <w:t>6.2万元，项目支出减少了62.85万元。</w:t>
      </w:r>
    </w:p>
    <w:p>
      <w:pPr>
        <w:pStyle w:val="2"/>
        <w:rPr>
          <w:lang w:val="en-US" w:eastAsia="zh-CN"/>
        </w:rPr>
      </w:pPr>
      <w:r>
        <w:rPr>
          <w:rFonts w:hint="eastAsia"/>
          <w:lang w:val="en-US" w:eastAsia="zh-CN"/>
        </w:rPr>
        <w:t xml:space="preserve">           </w:t>
      </w:r>
      <w:r>
        <w:drawing>
          <wp:inline distT="0" distB="0" distL="114300" distR="114300">
            <wp:extent cx="3162935" cy="1828800"/>
            <wp:effectExtent l="0" t="0" r="0" b="0"/>
            <wp:docPr id="95"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0" w:firstLineChars="200"/>
        <w:rPr>
          <w:rFonts w:ascii="仿宋" w:eastAsia="仿宋"/>
          <w:color w:val="auto"/>
          <w:sz w:val="32"/>
          <w:szCs w:val="32"/>
          <w:highlight w:val="none"/>
        </w:rPr>
      </w:pPr>
    </w:p>
    <w:p>
      <w:pPr>
        <w:spacing w:line="600" w:lineRule="exact"/>
        <w:ind w:firstLine="643" w:firstLineChars="200"/>
        <w:outlineLvl w:val="2"/>
        <w:rPr>
          <w:rFonts w:ascii="仿宋" w:eastAsia="仿宋"/>
          <w:b/>
          <w:color w:val="auto"/>
          <w:sz w:val="32"/>
          <w:szCs w:val="32"/>
          <w:highlight w:val="none"/>
        </w:rPr>
      </w:pPr>
      <w:bookmarkStart w:id="89" w:name="_Toc15377211"/>
      <w:bookmarkStart w:id="90" w:name="_Toc12506_WPSOffice_Level3"/>
      <w:r>
        <w:rPr>
          <w:rFonts w:hint="eastAsia" w:ascii="仿宋" w:eastAsia="仿宋"/>
          <w:b/>
          <w:color w:val="auto"/>
          <w:sz w:val="32"/>
          <w:szCs w:val="32"/>
          <w:highlight w:val="none"/>
        </w:rPr>
        <w:t>（二）一般公共预算财政拨款支出决算结构情况</w:t>
      </w:r>
      <w:bookmarkEnd w:id="89"/>
      <w:bookmarkEnd w:id="90"/>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hint="eastAsia" w:ascii="仿宋" w:eastAsia="仿宋"/>
          <w:color w:val="auto"/>
          <w:sz w:val="32"/>
          <w:szCs w:val="32"/>
          <w:highlight w:val="none"/>
          <w:lang w:val="en-US" w:eastAsia="zh-CN"/>
        </w:rPr>
        <w:t>79.11</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w:t>
      </w:r>
      <w:r>
        <w:rPr>
          <w:rFonts w:hint="eastAsia" w:ascii="仿宋" w:eastAsia="仿宋" w:cs="Times New Roman"/>
          <w:b/>
          <w:color w:val="auto"/>
          <w:sz w:val="32"/>
          <w:szCs w:val="32"/>
          <w:highlight w:val="none"/>
        </w:rPr>
        <w:t>就业支出</w:t>
      </w:r>
      <w:r>
        <w:rPr>
          <w:rFonts w:hint="eastAsia" w:ascii="仿宋" w:eastAsia="仿宋"/>
          <w:color w:val="auto"/>
          <w:sz w:val="32"/>
          <w:szCs w:val="32"/>
          <w:highlight w:val="none"/>
          <w:lang w:val="en-US" w:eastAsia="zh-CN"/>
        </w:rPr>
        <w:t>11.38</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14.38</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hint="eastAsia" w:ascii="仿宋" w:eastAsia="仿宋"/>
          <w:color w:val="auto"/>
          <w:sz w:val="32"/>
          <w:szCs w:val="32"/>
          <w:highlight w:val="none"/>
          <w:lang w:val="en-US" w:eastAsia="zh-CN"/>
        </w:rPr>
        <w:t>59.9</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75.71</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cs="Times New Roman"/>
          <w:b/>
          <w:color w:val="auto"/>
          <w:sz w:val="32"/>
          <w:szCs w:val="32"/>
          <w:highlight w:val="none"/>
        </w:rPr>
        <w:t>住房保障支出</w:t>
      </w:r>
      <w:r>
        <w:rPr>
          <w:rFonts w:hint="eastAsia" w:ascii="仿宋" w:eastAsia="仿宋"/>
          <w:color w:val="auto"/>
          <w:sz w:val="32"/>
          <w:szCs w:val="32"/>
          <w:highlight w:val="none"/>
          <w:lang w:val="en-US" w:eastAsia="zh-CN"/>
        </w:rPr>
        <w:t>7.84</w:t>
      </w:r>
      <w:r>
        <w:rPr>
          <w:rFonts w:hint="eastAsia" w:ascii="仿宋" w:eastAsia="仿宋"/>
          <w:color w:val="auto"/>
          <w:sz w:val="32"/>
          <w:szCs w:val="32"/>
          <w:highlight w:val="none"/>
        </w:rPr>
        <w:t>万元，占</w:t>
      </w:r>
      <w:r>
        <w:rPr>
          <w:rFonts w:hint="eastAsia" w:ascii="仿宋" w:eastAsia="仿宋"/>
          <w:color w:val="auto"/>
          <w:sz w:val="32"/>
          <w:szCs w:val="32"/>
          <w:highlight w:val="none"/>
          <w:lang w:val="en-US" w:eastAsia="zh-CN"/>
        </w:rPr>
        <w:t>9.91</w:t>
      </w:r>
      <w:r>
        <w:rPr>
          <w:rFonts w:ascii="仿宋" w:eastAsia="仿宋"/>
          <w:color w:val="auto"/>
          <w:sz w:val="32"/>
          <w:szCs w:val="32"/>
          <w:highlight w:val="none"/>
        </w:rPr>
        <w:t>%</w:t>
      </w:r>
      <w:r>
        <w:rPr>
          <w:rFonts w:hint="eastAsia" w:ascii="仿宋" w:eastAsia="仿宋"/>
          <w:color w:val="auto"/>
          <w:sz w:val="32"/>
          <w:szCs w:val="32"/>
          <w:highlight w:val="none"/>
        </w:rPr>
        <w:t>。</w:t>
      </w:r>
    </w:p>
    <w:p>
      <w:pPr>
        <w:spacing w:line="600" w:lineRule="exact"/>
        <w:rPr>
          <w:rFonts w:ascii="仿宋" w:eastAsia="仿宋"/>
          <w:color w:val="auto"/>
          <w:sz w:val="32"/>
          <w:szCs w:val="32"/>
          <w:highlight w:val="none"/>
        </w:rPr>
      </w:pPr>
      <w:r>
        <w:drawing>
          <wp:anchor distT="0" distB="0" distL="114935" distR="114935" simplePos="0" relativeHeight="251660288" behindDoc="0" locked="0" layoutInCell="1" allowOverlap="1">
            <wp:simplePos x="0" y="0"/>
            <wp:positionH relativeFrom="column">
              <wp:posOffset>746125</wp:posOffset>
            </wp:positionH>
            <wp:positionV relativeFrom="paragraph">
              <wp:posOffset>95885</wp:posOffset>
            </wp:positionV>
            <wp:extent cx="3633470" cy="2263140"/>
            <wp:effectExtent l="0" t="0" r="0" b="0"/>
            <wp:wrapTopAndBottom/>
            <wp:docPr id="96"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eastAsia="仿宋"/>
          <w:color w:val="auto"/>
          <w:sz w:val="32"/>
          <w:szCs w:val="32"/>
          <w:highlight w:val="none"/>
        </w:rPr>
        <w:t>（图6：一般公共预算财政拨款支出决算结构）（饼状图）</w:t>
      </w:r>
    </w:p>
    <w:p>
      <w:pPr>
        <w:spacing w:line="600" w:lineRule="exact"/>
        <w:ind w:firstLine="640" w:firstLineChars="200"/>
        <w:rPr>
          <w:rFonts w:ascii="仿宋" w:eastAsia="仿宋"/>
          <w:color w:val="auto"/>
          <w:sz w:val="32"/>
          <w:szCs w:val="32"/>
          <w:highlight w:val="none"/>
        </w:rPr>
      </w:pPr>
    </w:p>
    <w:p>
      <w:pPr>
        <w:spacing w:line="600" w:lineRule="exact"/>
        <w:ind w:firstLine="643" w:firstLineChars="200"/>
        <w:outlineLvl w:val="2"/>
        <w:rPr>
          <w:rFonts w:ascii="仿宋" w:eastAsia="仿宋"/>
          <w:b/>
          <w:color w:val="auto"/>
          <w:sz w:val="32"/>
          <w:szCs w:val="32"/>
          <w:highlight w:val="none"/>
        </w:rPr>
      </w:pPr>
      <w:bookmarkStart w:id="91" w:name="_Toc15377212"/>
      <w:bookmarkStart w:id="92" w:name="_Toc8274_WPSOffice_Level3"/>
      <w:r>
        <w:rPr>
          <w:rFonts w:hint="eastAsia" w:ascii="仿宋" w:eastAsia="仿宋"/>
          <w:b/>
          <w:color w:val="auto"/>
          <w:sz w:val="32"/>
          <w:szCs w:val="32"/>
          <w:highlight w:val="none"/>
        </w:rPr>
        <w:t>（三）一般公共预算财政拨款支出决算具体情况</w:t>
      </w:r>
      <w:bookmarkEnd w:id="91"/>
      <w:bookmarkEnd w:id="92"/>
    </w:p>
    <w:p>
      <w:pPr>
        <w:spacing w:line="600" w:lineRule="exact"/>
        <w:ind w:firstLine="643" w:firstLineChars="200"/>
        <w:outlineLvl w:val="2"/>
        <w:rPr>
          <w:rStyle w:val="16"/>
          <w:rFonts w:hint="eastAsia" w:ascii="仿宋" w:eastAsia="仿宋"/>
          <w:bCs/>
          <w:color w:val="000000"/>
          <w:sz w:val="32"/>
          <w:szCs w:val="32"/>
        </w:rPr>
      </w:pPr>
      <w:bookmarkStart w:id="93" w:name="_Toc15377444"/>
      <w:bookmarkStart w:id="94" w:name="_Toc15377213"/>
      <w:bookmarkStart w:id="95" w:name="_Toc15378460"/>
      <w:r>
        <w:rPr>
          <w:rFonts w:hint="eastAsia" w:ascii="仿宋" w:eastAsia="仿宋"/>
          <w:b/>
          <w:color w:val="000000"/>
          <w:sz w:val="32"/>
          <w:szCs w:val="32"/>
          <w:lang w:eastAsia="zh-CN"/>
        </w:rPr>
        <w:t>202</w:t>
      </w:r>
      <w:r>
        <w:rPr>
          <w:rFonts w:hint="eastAsia" w:ascii="仿宋" w:eastAsia="仿宋"/>
          <w:b/>
          <w:color w:val="000000"/>
          <w:sz w:val="32"/>
          <w:szCs w:val="32"/>
          <w:lang w:val="en-US" w:eastAsia="zh-CN"/>
        </w:rPr>
        <w:t>2</w:t>
      </w:r>
      <w:r>
        <w:rPr>
          <w:rFonts w:hint="eastAsia" w:ascii="仿宋" w:eastAsia="仿宋"/>
          <w:b/>
          <w:color w:val="000000"/>
          <w:sz w:val="32"/>
          <w:szCs w:val="32"/>
        </w:rPr>
        <w:t>年一般公共预算支出决算数为</w:t>
      </w:r>
      <w:r>
        <w:rPr>
          <w:rFonts w:hint="eastAsia" w:ascii="仿宋" w:eastAsia="仿宋"/>
          <w:b/>
          <w:color w:val="000000"/>
          <w:sz w:val="32"/>
          <w:szCs w:val="32"/>
          <w:lang w:val="en-US" w:eastAsia="zh-CN"/>
        </w:rPr>
        <w:t>79.11万元</w:t>
      </w:r>
      <w:r>
        <w:rPr>
          <w:rFonts w:hint="eastAsia" w:ascii="仿宋" w:eastAsia="仿宋"/>
          <w:color w:val="000000"/>
          <w:sz w:val="32"/>
          <w:szCs w:val="32"/>
        </w:rPr>
        <w:t>，</w:t>
      </w:r>
      <w:r>
        <w:rPr>
          <w:rStyle w:val="16"/>
          <w:rFonts w:hint="eastAsia" w:ascii="仿宋" w:eastAsia="仿宋"/>
          <w:bCs/>
          <w:color w:val="000000"/>
          <w:sz w:val="32"/>
          <w:szCs w:val="32"/>
        </w:rPr>
        <w:t>完成预算</w:t>
      </w:r>
      <w:r>
        <w:rPr>
          <w:rStyle w:val="16"/>
          <w:rFonts w:hint="eastAsia" w:ascii="仿宋" w:eastAsia="仿宋"/>
          <w:bCs/>
          <w:color w:val="000000"/>
          <w:sz w:val="32"/>
          <w:szCs w:val="32"/>
          <w:lang w:val="en-US" w:eastAsia="zh-CN"/>
        </w:rPr>
        <w:t>100</w:t>
      </w:r>
      <w:r>
        <w:rPr>
          <w:rStyle w:val="16"/>
          <w:rFonts w:ascii="仿宋" w:eastAsia="仿宋"/>
          <w:bCs/>
          <w:color w:val="000000"/>
          <w:sz w:val="32"/>
          <w:szCs w:val="32"/>
        </w:rPr>
        <w:t>%</w:t>
      </w:r>
      <w:r>
        <w:rPr>
          <w:rStyle w:val="16"/>
          <w:rFonts w:hint="eastAsia" w:ascii="仿宋" w:eastAsia="仿宋"/>
          <w:bCs/>
          <w:color w:val="000000"/>
          <w:sz w:val="32"/>
          <w:szCs w:val="32"/>
        </w:rPr>
        <w:t>。其中：</w:t>
      </w:r>
      <w:bookmarkEnd w:id="93"/>
      <w:bookmarkEnd w:id="94"/>
      <w:bookmarkEnd w:id="95"/>
    </w:p>
    <w:p>
      <w:pPr>
        <w:spacing w:line="600" w:lineRule="exact"/>
        <w:ind w:firstLine="643" w:firstLineChars="200"/>
        <w:rPr>
          <w:rFonts w:hint="eastAsia" w:ascii="仿宋_GB2312" w:eastAsia="仿宋_GB2312"/>
          <w:color w:val="000000"/>
          <w:sz w:val="32"/>
          <w:szCs w:val="32"/>
        </w:rPr>
      </w:pPr>
      <w:r>
        <w:rPr>
          <w:rFonts w:hint="eastAsia" w:asci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6"/>
          <w:rFonts w:hint="eastAsia" w:ascii="仿宋_GB2312" w:eastAsia="仿宋_GB2312"/>
          <w:color w:val="000000"/>
          <w:sz w:val="32"/>
          <w:szCs w:val="32"/>
        </w:rPr>
        <w:t>乡镇卫生院（项）</w:t>
      </w:r>
      <w:r>
        <w:rPr>
          <w:rStyle w:val="16"/>
          <w:rFonts w:hint="eastAsia" w:ascii="仿宋_GB2312" w:eastAsia="仿宋_GB2312"/>
          <w:color w:val="000000"/>
          <w:sz w:val="32"/>
          <w:szCs w:val="32"/>
          <w:lang w:eastAsia="zh-CN"/>
        </w:rPr>
        <w:t>：</w:t>
      </w:r>
      <w:r>
        <w:rPr>
          <w:rStyle w:val="16"/>
          <w:rFonts w:hint="eastAsia" w:ascii="仿宋_GB2312" w:eastAsia="仿宋_GB2312"/>
          <w:b w:val="0"/>
          <w:color w:val="000000"/>
          <w:sz w:val="32"/>
          <w:szCs w:val="32"/>
        </w:rPr>
        <w:t>主要</w:t>
      </w:r>
      <w:r>
        <w:rPr>
          <w:rStyle w:val="16"/>
          <w:rFonts w:hint="eastAsia" w:ascii="仿宋_GB2312" w:eastAsia="仿宋_GB2312"/>
          <w:b w:val="0"/>
          <w:color w:val="000000"/>
          <w:sz w:val="32"/>
          <w:szCs w:val="32"/>
          <w:lang w:eastAsia="zh-CN"/>
        </w:rPr>
        <w:t>用于乡镇</w:t>
      </w:r>
      <w:r>
        <w:rPr>
          <w:rStyle w:val="16"/>
          <w:rFonts w:hint="eastAsia" w:ascii="仿宋_GB2312" w:eastAsia="仿宋_GB2312"/>
          <w:b w:val="0"/>
          <w:color w:val="000000"/>
          <w:sz w:val="32"/>
          <w:szCs w:val="32"/>
        </w:rPr>
        <w:t>卫生院人员</w:t>
      </w:r>
      <w:r>
        <w:rPr>
          <w:rStyle w:val="16"/>
          <w:rFonts w:hint="eastAsia" w:ascii="仿宋_GB2312" w:eastAsia="仿宋_GB2312"/>
          <w:b w:val="0"/>
          <w:color w:val="000000"/>
          <w:sz w:val="32"/>
          <w:szCs w:val="32"/>
          <w:lang w:eastAsia="zh-CN"/>
        </w:rPr>
        <w:t>工资、保险，</w:t>
      </w:r>
      <w:r>
        <w:rPr>
          <w:rStyle w:val="16"/>
          <w:rFonts w:hint="eastAsia" w:ascii="仿宋_GB2312" w:eastAsia="仿宋_GB2312"/>
          <w:b w:val="0"/>
          <w:bCs/>
          <w:color w:val="000000"/>
          <w:sz w:val="32"/>
          <w:szCs w:val="32"/>
        </w:rPr>
        <w:t>决算数</w:t>
      </w:r>
      <w:r>
        <w:rPr>
          <w:rStyle w:val="16"/>
          <w:rFonts w:hint="eastAsia" w:ascii="仿宋_GB2312" w:eastAsia="仿宋_GB2312"/>
          <w:b w:val="0"/>
          <w:bCs/>
          <w:color w:val="000000"/>
          <w:sz w:val="32"/>
          <w:szCs w:val="32"/>
          <w:lang w:val="en-US" w:eastAsia="zh-CN"/>
        </w:rPr>
        <w:t>54.4</w:t>
      </w:r>
      <w:r>
        <w:rPr>
          <w:rStyle w:val="16"/>
          <w:rFonts w:hint="eastAsia" w:ascii="仿宋_GB2312" w:eastAsia="仿宋_GB2312"/>
          <w:b w:val="0"/>
          <w:bCs/>
          <w:color w:val="000000"/>
          <w:sz w:val="32"/>
          <w:szCs w:val="32"/>
        </w:rPr>
        <w:t>万元</w:t>
      </w:r>
      <w:r>
        <w:rPr>
          <w:rStyle w:val="16"/>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spacing w:line="600" w:lineRule="exact"/>
        <w:ind w:firstLine="643" w:firstLineChars="200"/>
        <w:rPr>
          <w:rStyle w:val="16"/>
          <w:rFonts w:hint="eastAsia" w:ascii="仿宋_GB2312" w:eastAsia="仿宋_GB2312"/>
          <w:b w:val="0"/>
          <w:color w:val="000000"/>
          <w:sz w:val="32"/>
          <w:szCs w:val="32"/>
          <w:lang w:eastAsia="zh-CN"/>
        </w:rPr>
      </w:pPr>
      <w:r>
        <w:rPr>
          <w:rFonts w:hint="eastAsia" w:ascii="仿宋" w:eastAsia="仿宋"/>
          <w:b/>
          <w:bCs/>
          <w:color w:val="000000"/>
          <w:sz w:val="32"/>
          <w:szCs w:val="32"/>
        </w:rPr>
        <w:t>卫生健康支出</w:t>
      </w:r>
      <w:r>
        <w:rPr>
          <w:rFonts w:hint="eastAsia" w:ascii="仿宋_GB2312" w:eastAsia="仿宋_GB2312"/>
          <w:b/>
          <w:color w:val="000000"/>
          <w:sz w:val="32"/>
          <w:szCs w:val="32"/>
        </w:rPr>
        <w:t>（类）行政事业单位医疗（款）</w:t>
      </w:r>
      <w:r>
        <w:rPr>
          <w:rStyle w:val="16"/>
          <w:rFonts w:hint="eastAsia" w:ascii="仿宋_GB2312" w:eastAsia="仿宋_GB2312"/>
          <w:color w:val="000000"/>
          <w:sz w:val="32"/>
          <w:szCs w:val="32"/>
        </w:rPr>
        <w:t xml:space="preserve">    事业单位医疗（项）</w:t>
      </w:r>
      <w:r>
        <w:rPr>
          <w:rStyle w:val="16"/>
          <w:rFonts w:hint="eastAsia" w:ascii="仿宋_GB2312" w:eastAsia="仿宋_GB2312"/>
          <w:color w:val="000000"/>
          <w:sz w:val="32"/>
          <w:szCs w:val="32"/>
          <w:lang w:eastAsia="zh-CN"/>
        </w:rPr>
        <w:t>：</w:t>
      </w:r>
      <w:r>
        <w:rPr>
          <w:rStyle w:val="16"/>
          <w:rFonts w:hint="eastAsia" w:ascii="仿宋_GB2312" w:eastAsia="仿宋_GB2312"/>
          <w:b w:val="0"/>
          <w:color w:val="000000"/>
          <w:sz w:val="32"/>
          <w:szCs w:val="32"/>
          <w:lang w:eastAsia="zh-CN"/>
        </w:rPr>
        <w:t>主要用于乡镇卫生院专用材料费、劳务费，</w:t>
      </w:r>
      <w:r>
        <w:rPr>
          <w:rStyle w:val="16"/>
          <w:rFonts w:hint="eastAsia" w:ascii="仿宋_GB2312" w:eastAsia="仿宋_GB2312"/>
          <w:b w:val="0"/>
          <w:bCs/>
          <w:color w:val="000000"/>
          <w:sz w:val="32"/>
          <w:szCs w:val="32"/>
        </w:rPr>
        <w:t>决算数</w:t>
      </w:r>
      <w:r>
        <w:rPr>
          <w:rStyle w:val="16"/>
          <w:rFonts w:hint="eastAsia" w:ascii="仿宋_GB2312" w:eastAsia="仿宋_GB2312"/>
          <w:b w:val="0"/>
          <w:bCs/>
          <w:color w:val="000000"/>
          <w:sz w:val="32"/>
          <w:szCs w:val="32"/>
          <w:lang w:val="en-US" w:eastAsia="zh-CN"/>
        </w:rPr>
        <w:t>5.5</w:t>
      </w:r>
      <w:r>
        <w:rPr>
          <w:rStyle w:val="16"/>
          <w:rFonts w:hint="eastAsia" w:ascii="仿宋_GB2312" w:eastAsia="仿宋_GB2312"/>
          <w:b w:val="0"/>
          <w:bCs/>
          <w:color w:val="000000"/>
          <w:sz w:val="32"/>
          <w:szCs w:val="32"/>
        </w:rPr>
        <w:t>万元</w:t>
      </w:r>
      <w:r>
        <w:rPr>
          <w:rStyle w:val="16"/>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spacing w:line="600" w:lineRule="exact"/>
        <w:ind w:firstLine="643" w:firstLineChars="200"/>
        <w:rPr>
          <w:rStyle w:val="16"/>
          <w:rFonts w:hint="eastAsia" w:ascii="仿宋_GB2312" w:eastAsia="仿宋_GB2312"/>
          <w:b w:val="0"/>
          <w:color w:val="000000"/>
          <w:sz w:val="32"/>
          <w:szCs w:val="32"/>
          <w:lang w:eastAsia="zh-CN"/>
        </w:rPr>
      </w:pPr>
      <w:r>
        <w:rPr>
          <w:rStyle w:val="16"/>
          <w:rFonts w:hint="eastAsia" w:ascii="仿宋_GB2312" w:eastAsia="仿宋_GB2312"/>
          <w:color w:val="000000"/>
          <w:sz w:val="32"/>
          <w:szCs w:val="32"/>
        </w:rPr>
        <w:t>住房保障支出（类）住房改革支出（款）</w:t>
      </w:r>
      <w:r>
        <w:rPr>
          <w:rStyle w:val="16"/>
          <w:rFonts w:hint="eastAsia" w:ascii="仿宋_GB2312" w:eastAsia="仿宋_GB2312"/>
          <w:bCs/>
          <w:color w:val="000000"/>
          <w:sz w:val="32"/>
          <w:szCs w:val="32"/>
        </w:rPr>
        <w:t>住房公积金支出（项）</w:t>
      </w:r>
      <w:r>
        <w:rPr>
          <w:rStyle w:val="16"/>
          <w:rFonts w:hint="eastAsia" w:ascii="仿宋_GB2312" w:eastAsia="仿宋_GB2312"/>
          <w:b w:val="0"/>
          <w:color w:val="000000"/>
          <w:sz w:val="32"/>
          <w:szCs w:val="32"/>
        </w:rPr>
        <w:t>:主要用于</w:t>
      </w:r>
      <w:r>
        <w:rPr>
          <w:rStyle w:val="16"/>
          <w:rFonts w:hint="eastAsia" w:ascii="仿宋_GB2312" w:eastAsia="仿宋_GB2312"/>
          <w:b w:val="0"/>
          <w:color w:val="000000"/>
          <w:sz w:val="32"/>
          <w:szCs w:val="32"/>
          <w:lang w:eastAsia="zh-CN"/>
        </w:rPr>
        <w:t>在职在编人员</w:t>
      </w:r>
      <w:r>
        <w:rPr>
          <w:rStyle w:val="16"/>
          <w:rFonts w:hint="eastAsia" w:ascii="仿宋_GB2312" w:eastAsia="仿宋_GB2312"/>
          <w:b w:val="0"/>
          <w:color w:val="000000"/>
          <w:sz w:val="32"/>
          <w:szCs w:val="32"/>
        </w:rPr>
        <w:t>缴纳住房公积金支出。决算数为</w:t>
      </w:r>
      <w:r>
        <w:rPr>
          <w:rStyle w:val="16"/>
          <w:rFonts w:hint="eastAsia" w:ascii="仿宋_GB2312" w:eastAsia="仿宋_GB2312"/>
          <w:b w:val="0"/>
          <w:color w:val="000000"/>
          <w:sz w:val="32"/>
          <w:szCs w:val="32"/>
          <w:lang w:val="en-US" w:eastAsia="zh-CN"/>
        </w:rPr>
        <w:t>7.84</w:t>
      </w:r>
      <w:r>
        <w:rPr>
          <w:rStyle w:val="16"/>
          <w:rFonts w:hint="eastAsia" w:ascii="仿宋_GB2312" w:eastAsia="仿宋_GB2312"/>
          <w:b w:val="0"/>
          <w:color w:val="000000"/>
          <w:sz w:val="32"/>
          <w:szCs w:val="32"/>
        </w:rPr>
        <w:t>万元，完成预算</w:t>
      </w:r>
      <w:r>
        <w:rPr>
          <w:rStyle w:val="16"/>
          <w:rFonts w:hint="eastAsia" w:ascii="仿宋_GB2312" w:eastAsia="仿宋_GB2312"/>
          <w:b w:val="0"/>
          <w:color w:val="000000"/>
          <w:sz w:val="32"/>
          <w:szCs w:val="32"/>
          <w:lang w:val="en-US" w:eastAsia="zh-CN"/>
        </w:rPr>
        <w:t>100</w:t>
      </w:r>
      <w:r>
        <w:rPr>
          <w:rStyle w:val="16"/>
          <w:rFonts w:hint="eastAsia" w:ascii="仿宋_GB2312" w:eastAsia="仿宋_GB2312"/>
          <w:b w:val="0"/>
          <w:color w:val="000000"/>
          <w:sz w:val="32"/>
          <w:szCs w:val="32"/>
        </w:rPr>
        <w:t>%</w:t>
      </w:r>
      <w:r>
        <w:rPr>
          <w:rStyle w:val="16"/>
          <w:rFonts w:hint="eastAsia" w:ascii="仿宋_GB2312" w:eastAsia="仿宋_GB2312"/>
          <w:b w:val="0"/>
          <w:color w:val="000000"/>
          <w:sz w:val="32"/>
          <w:szCs w:val="32"/>
          <w:lang w:eastAsia="zh-CN"/>
        </w:rPr>
        <w:t>。</w:t>
      </w:r>
    </w:p>
    <w:p>
      <w:pPr>
        <w:spacing w:line="600" w:lineRule="exact"/>
        <w:ind w:firstLine="643" w:firstLineChars="200"/>
        <w:rPr>
          <w:rFonts w:ascii="仿宋_GB2312" w:eastAsia="仿宋_GB2312"/>
          <w:sz w:val="32"/>
          <w:szCs w:val="32"/>
        </w:rPr>
      </w:pPr>
      <w:r>
        <w:rPr>
          <w:rStyle w:val="16"/>
          <w:rFonts w:hint="eastAsia" w:ascii="仿宋_GB2312" w:eastAsia="仿宋_GB2312"/>
          <w:color w:val="000000"/>
          <w:sz w:val="32"/>
          <w:szCs w:val="32"/>
        </w:rPr>
        <w:t>社会保障和就业支出(类)行政事业单位养老支出（款）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rPr>
        <w:t>决算数为</w:t>
      </w:r>
      <w:r>
        <w:rPr>
          <w:rFonts w:hint="eastAsia" w:ascii="仿宋_GB2312" w:eastAsia="仿宋_GB2312"/>
          <w:sz w:val="32"/>
          <w:szCs w:val="32"/>
          <w:lang w:val="en-US" w:eastAsia="zh-CN"/>
        </w:rPr>
        <w:t>7.45</w:t>
      </w:r>
      <w:r>
        <w:rPr>
          <w:rFonts w:hint="eastAsia" w:ascii="仿宋_GB2312" w:eastAsia="仿宋_GB2312"/>
          <w:sz w:val="32"/>
          <w:szCs w:val="32"/>
        </w:rPr>
        <w:t>万元，完成预算100%。</w:t>
      </w:r>
    </w:p>
    <w:p>
      <w:pPr>
        <w:spacing w:line="600" w:lineRule="exact"/>
        <w:ind w:firstLine="643" w:firstLineChars="200"/>
        <w:rPr>
          <w:rFonts w:hint="eastAsia" w:ascii="仿宋_GB2312" w:eastAsia="仿宋_GB2312"/>
          <w:sz w:val="32"/>
          <w:szCs w:val="32"/>
          <w:lang w:eastAsia="zh-CN"/>
        </w:rPr>
      </w:pPr>
      <w:r>
        <w:rPr>
          <w:rStyle w:val="16"/>
          <w:rFonts w:hint="eastAsia" w:ascii="仿宋_GB2312" w:eastAsia="仿宋_GB2312"/>
          <w:color w:val="000000"/>
          <w:sz w:val="32"/>
          <w:szCs w:val="32"/>
        </w:rPr>
        <w:t>社会保障和就业支出(类)行政事业单位养老支出（款）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rPr>
        <w:t>决算数为</w:t>
      </w:r>
      <w:r>
        <w:rPr>
          <w:rFonts w:hint="eastAsia" w:ascii="仿宋_GB2312" w:eastAsia="仿宋_GB2312"/>
          <w:sz w:val="32"/>
          <w:szCs w:val="32"/>
          <w:lang w:val="en-US" w:eastAsia="zh-CN"/>
        </w:rPr>
        <w:t>3.93</w:t>
      </w:r>
      <w:r>
        <w:rPr>
          <w:rFonts w:hint="eastAsia" w:ascii="仿宋_GB2312" w:eastAsia="仿宋_GB2312"/>
          <w:sz w:val="32"/>
          <w:szCs w:val="32"/>
        </w:rPr>
        <w:t>万元，完成预算100%</w:t>
      </w:r>
      <w:r>
        <w:rPr>
          <w:rFonts w:hint="eastAsia" w:ascii="仿宋_GB2312" w:eastAsia="仿宋_GB2312"/>
          <w:sz w:val="32"/>
          <w:szCs w:val="32"/>
          <w:lang w:eastAsia="zh-CN"/>
        </w:rPr>
        <w:t>。</w:t>
      </w:r>
    </w:p>
    <w:p>
      <w:pPr>
        <w:spacing w:line="600" w:lineRule="exact"/>
        <w:ind w:firstLine="640"/>
        <w:rPr>
          <w:rFonts w:ascii="仿宋" w:eastAsia="仿宋"/>
          <w:b/>
          <w:color w:val="auto"/>
          <w:sz w:val="32"/>
          <w:szCs w:val="32"/>
          <w:highlight w:val="none"/>
        </w:rPr>
      </w:pPr>
    </w:p>
    <w:p>
      <w:pPr>
        <w:tabs>
          <w:tab w:val="right" w:pos="8306"/>
        </w:tabs>
        <w:spacing w:line="600" w:lineRule="exact"/>
        <w:ind w:firstLine="640"/>
        <w:outlineLvl w:val="1"/>
        <w:rPr>
          <w:rStyle w:val="18"/>
          <w:color w:val="auto"/>
          <w:highlight w:val="none"/>
        </w:rPr>
      </w:pPr>
      <w:bookmarkStart w:id="96" w:name="_Toc15377214"/>
      <w:bookmarkStart w:id="97" w:name="_Toc15396608"/>
      <w:bookmarkStart w:id="98" w:name="_Toc30497_WPSOffice_Level2"/>
      <w:bookmarkStart w:id="99" w:name="_Toc18584_WPSOffice_Level2"/>
      <w:bookmarkStart w:id="100" w:name="_Toc18100_WPSOffice_Level2"/>
      <w:bookmarkStart w:id="101" w:name="_Toc1474_WPSOffice_Level2"/>
      <w:bookmarkStart w:id="102" w:name="_Toc26772_WPSOffice_Level2"/>
      <w:bookmarkStart w:id="103" w:name="_Toc8447_WPSOffice_Level2"/>
      <w:bookmarkStart w:id="104" w:name="_Toc17954_WPSOffice_Level2"/>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18"/>
          <w:rFonts w:hint="eastAsia" w:ascii="黑体" w:eastAsia="黑体"/>
          <w:b w:val="0"/>
          <w:color w:val="auto"/>
          <w:highlight w:val="none"/>
        </w:rPr>
        <w:t>般公共预算财政拨款基本支出决算情况说明</w:t>
      </w:r>
      <w:bookmarkEnd w:id="96"/>
      <w:bookmarkEnd w:id="97"/>
      <w:bookmarkEnd w:id="98"/>
      <w:bookmarkEnd w:id="99"/>
      <w:bookmarkEnd w:id="100"/>
      <w:bookmarkEnd w:id="101"/>
      <w:bookmarkEnd w:id="102"/>
      <w:bookmarkEnd w:id="103"/>
      <w:bookmarkEnd w:id="104"/>
      <w:r>
        <w:rPr>
          <w:rStyle w:val="18"/>
          <w:rFonts w:ascii="黑体" w:eastAsia="黑体"/>
          <w:b w:val="0"/>
          <w:color w:val="auto"/>
          <w:highlight w:val="none"/>
        </w:rPr>
        <w:tab/>
      </w:r>
    </w:p>
    <w:p>
      <w:pPr>
        <w:spacing w:line="600" w:lineRule="exact"/>
        <w:ind w:firstLine="645"/>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年一般公共预算财政拨款基本支出79.11万元，其中：</w:t>
      </w:r>
    </w:p>
    <w:p>
      <w:pPr>
        <w:spacing w:line="600" w:lineRule="exact"/>
        <w:ind w:firstLine="645"/>
        <w:rPr>
          <w:rFonts w:hint="eastAsia" w:ascii="仿宋" w:eastAsia="仿宋"/>
          <w:color w:val="auto"/>
          <w:sz w:val="32"/>
          <w:szCs w:val="32"/>
          <w:highlight w:val="none"/>
          <w:lang w:val="en-US" w:eastAsia="zh-CN"/>
        </w:rPr>
      </w:pPr>
      <w:r>
        <w:rPr>
          <w:rFonts w:hint="eastAsia" w:ascii="仿宋" w:eastAsia="仿宋"/>
          <w:color w:val="auto"/>
          <w:sz w:val="32"/>
          <w:szCs w:val="32"/>
          <w:highlight w:val="none"/>
        </w:rPr>
        <w:t>人员经费79.11万元，主要包括：基本工资</w:t>
      </w:r>
      <w:r>
        <w:rPr>
          <w:rFonts w:hint="eastAsia" w:ascii="仿宋" w:eastAsia="仿宋"/>
          <w:color w:val="auto"/>
          <w:sz w:val="32"/>
          <w:szCs w:val="32"/>
          <w:highlight w:val="none"/>
          <w:lang w:val="en-US" w:eastAsia="zh-CN"/>
        </w:rPr>
        <w:t>29.65</w:t>
      </w:r>
      <w:r>
        <w:rPr>
          <w:rFonts w:hint="eastAsia" w:ascii="仿宋" w:eastAsia="仿宋"/>
          <w:color w:val="auto"/>
          <w:sz w:val="32"/>
          <w:szCs w:val="32"/>
          <w:highlight w:val="none"/>
        </w:rPr>
        <w:t>万元、绩效工资</w:t>
      </w:r>
      <w:r>
        <w:rPr>
          <w:rFonts w:hint="eastAsia" w:ascii="仿宋" w:eastAsia="仿宋"/>
          <w:color w:val="auto"/>
          <w:sz w:val="32"/>
          <w:szCs w:val="32"/>
          <w:highlight w:val="none"/>
          <w:lang w:val="en-US" w:eastAsia="zh-CN"/>
        </w:rPr>
        <w:t>24.75</w:t>
      </w:r>
      <w:r>
        <w:rPr>
          <w:rFonts w:hint="eastAsia" w:ascii="仿宋" w:eastAsia="仿宋"/>
          <w:color w:val="auto"/>
          <w:sz w:val="32"/>
          <w:szCs w:val="32"/>
          <w:highlight w:val="none"/>
        </w:rPr>
        <w:t>万元、机关事业单位基本养老保险缴费</w:t>
      </w:r>
      <w:r>
        <w:rPr>
          <w:rFonts w:hint="eastAsia" w:ascii="仿宋" w:eastAsia="仿宋"/>
          <w:color w:val="auto"/>
          <w:sz w:val="32"/>
          <w:szCs w:val="32"/>
          <w:highlight w:val="none"/>
          <w:lang w:val="en-US" w:eastAsia="zh-CN"/>
        </w:rPr>
        <w:t>7.45</w:t>
      </w:r>
      <w:r>
        <w:rPr>
          <w:rFonts w:hint="eastAsia" w:ascii="仿宋" w:eastAsia="仿宋"/>
          <w:color w:val="auto"/>
          <w:sz w:val="32"/>
          <w:szCs w:val="32"/>
          <w:highlight w:val="none"/>
        </w:rPr>
        <w:t>万元、职业年金缴费</w:t>
      </w:r>
      <w:r>
        <w:rPr>
          <w:rFonts w:hint="eastAsia" w:ascii="仿宋" w:eastAsia="仿宋"/>
          <w:color w:val="auto"/>
          <w:sz w:val="32"/>
          <w:szCs w:val="32"/>
          <w:highlight w:val="none"/>
          <w:lang w:val="en-US" w:eastAsia="zh-CN"/>
        </w:rPr>
        <w:t>3.93</w:t>
      </w:r>
      <w:r>
        <w:rPr>
          <w:rFonts w:hint="eastAsia" w:ascii="仿宋" w:eastAsia="仿宋"/>
          <w:color w:val="auto"/>
          <w:sz w:val="32"/>
          <w:szCs w:val="32"/>
          <w:highlight w:val="none"/>
        </w:rPr>
        <w:t>万元、医疗</w:t>
      </w:r>
      <w:r>
        <w:rPr>
          <w:rFonts w:hint="eastAsia" w:ascii="仿宋" w:eastAsia="仿宋"/>
          <w:color w:val="auto"/>
          <w:sz w:val="32"/>
          <w:szCs w:val="32"/>
          <w:highlight w:val="none"/>
          <w:lang w:val="en-US" w:eastAsia="zh-CN"/>
        </w:rPr>
        <w:t>保险缴费5.5</w:t>
      </w:r>
      <w:r>
        <w:rPr>
          <w:rFonts w:hint="eastAsia" w:ascii="仿宋" w:eastAsia="仿宋"/>
          <w:color w:val="auto"/>
          <w:sz w:val="32"/>
          <w:szCs w:val="32"/>
          <w:highlight w:val="none"/>
        </w:rPr>
        <w:t>万元、住房公积金</w:t>
      </w:r>
      <w:r>
        <w:rPr>
          <w:rFonts w:hint="eastAsia" w:ascii="仿宋" w:eastAsia="仿宋"/>
          <w:color w:val="auto"/>
          <w:sz w:val="32"/>
          <w:szCs w:val="32"/>
          <w:highlight w:val="none"/>
          <w:lang w:val="en-US" w:eastAsia="zh-CN"/>
        </w:rPr>
        <w:t>7.84</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w:t>
      </w:r>
    </w:p>
    <w:p>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rPr>
        <w:t>公用经费0万元。</w:t>
      </w:r>
    </w:p>
    <w:p>
      <w:pPr>
        <w:spacing w:line="600" w:lineRule="exact"/>
        <w:ind w:firstLine="640"/>
        <w:rPr>
          <w:rFonts w:ascii="仿宋" w:eastAsia="仿宋"/>
          <w:b/>
          <w:color w:val="auto"/>
          <w:sz w:val="32"/>
          <w:szCs w:val="32"/>
          <w:highlight w:val="none"/>
        </w:rPr>
      </w:pPr>
    </w:p>
    <w:p>
      <w:pPr>
        <w:spacing w:line="600" w:lineRule="exact"/>
        <w:ind w:firstLine="640"/>
        <w:outlineLvl w:val="1"/>
        <w:rPr>
          <w:rStyle w:val="18"/>
          <w:rFonts w:ascii="黑体" w:eastAsia="黑体"/>
          <w:b w:val="0"/>
          <w:color w:val="auto"/>
          <w:highlight w:val="none"/>
        </w:rPr>
      </w:pPr>
      <w:bookmarkStart w:id="105" w:name="_Toc15396609"/>
      <w:bookmarkStart w:id="106" w:name="_Toc15377215"/>
      <w:bookmarkStart w:id="107" w:name="_Toc16940_WPSOffice_Level2"/>
      <w:bookmarkStart w:id="108" w:name="_Toc20061_WPSOffice_Level2"/>
      <w:bookmarkStart w:id="109" w:name="_Toc384_WPSOffice_Level2"/>
      <w:bookmarkStart w:id="110" w:name="_Toc32303_WPSOffice_Level2"/>
      <w:bookmarkStart w:id="111" w:name="_Toc29112_WPSOffice_Level2"/>
      <w:bookmarkStart w:id="112" w:name="_Toc24790_WPSOffice_Level2"/>
      <w:bookmarkStart w:id="113" w:name="_Toc31102_WPSOffice_Level2"/>
      <w:r>
        <w:rPr>
          <w:rFonts w:hint="eastAsia" w:ascii="黑体" w:eastAsia="黑体"/>
          <w:color w:val="auto"/>
          <w:sz w:val="32"/>
          <w:szCs w:val="32"/>
          <w:highlight w:val="none"/>
        </w:rPr>
        <w:t>七、</w:t>
      </w:r>
      <w:r>
        <w:rPr>
          <w:rStyle w:val="18"/>
          <w:rFonts w:hint="eastAsia" w:ascii="黑体" w:eastAsia="黑体"/>
          <w:b w:val="0"/>
          <w:color w:val="auto"/>
          <w:highlight w:val="none"/>
        </w:rPr>
        <w:t>财政拨款</w:t>
      </w:r>
      <w:r>
        <w:rPr>
          <w:rStyle w:val="18"/>
          <w:rFonts w:hint="eastAsia" w:ascii="黑体" w:eastAsia="黑体"/>
          <w:color w:val="auto"/>
          <w:highlight w:val="none"/>
        </w:rPr>
        <w:t>“</w:t>
      </w:r>
      <w:r>
        <w:rPr>
          <w:rStyle w:val="18"/>
          <w:rFonts w:hint="eastAsia" w:ascii="黑体" w:eastAsia="黑体"/>
          <w:b w:val="0"/>
          <w:color w:val="auto"/>
          <w:highlight w:val="none"/>
        </w:rPr>
        <w:t>三公”经费支出决算情况说明</w:t>
      </w:r>
      <w:bookmarkEnd w:id="105"/>
      <w:bookmarkEnd w:id="106"/>
      <w:bookmarkEnd w:id="107"/>
      <w:bookmarkEnd w:id="108"/>
      <w:bookmarkEnd w:id="109"/>
      <w:bookmarkEnd w:id="110"/>
      <w:bookmarkEnd w:id="111"/>
      <w:bookmarkEnd w:id="112"/>
      <w:bookmarkEnd w:id="113"/>
    </w:p>
    <w:p>
      <w:pPr>
        <w:spacing w:line="600" w:lineRule="exact"/>
        <w:ind w:firstLine="640"/>
        <w:outlineLvl w:val="2"/>
        <w:rPr>
          <w:rFonts w:ascii="仿宋" w:eastAsia="仿宋"/>
          <w:b/>
          <w:color w:val="auto"/>
          <w:sz w:val="32"/>
          <w:szCs w:val="32"/>
          <w:highlight w:val="none"/>
        </w:rPr>
      </w:pPr>
      <w:bookmarkStart w:id="114" w:name="_Toc15377216"/>
      <w:bookmarkStart w:id="115" w:name="_Toc10134_WPSOffice_Level3"/>
      <w:bookmarkStart w:id="116" w:name="_Toc15396610"/>
      <w:bookmarkStart w:id="117" w:name="_Toc15377218"/>
      <w:r>
        <w:rPr>
          <w:rFonts w:hint="eastAsia" w:ascii="仿宋" w:eastAsia="仿宋"/>
          <w:b/>
          <w:color w:val="auto"/>
          <w:sz w:val="32"/>
          <w:szCs w:val="32"/>
          <w:highlight w:val="none"/>
        </w:rPr>
        <w:t>（一）“三公”经费财政拨款支出决算总体情况说明</w:t>
      </w:r>
      <w:bookmarkEnd w:id="114"/>
      <w:bookmarkEnd w:id="115"/>
    </w:p>
    <w:p>
      <w:pPr>
        <w:spacing w:line="600" w:lineRule="exact"/>
        <w:ind w:firstLine="640"/>
        <w:rPr>
          <w:rFonts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ascii="仿宋" w:eastAsia="仿宋"/>
          <w:b/>
          <w:color w:val="auto"/>
          <w:sz w:val="32"/>
          <w:szCs w:val="32"/>
          <w:highlight w:val="none"/>
        </w:rPr>
      </w:pPr>
      <w:bookmarkStart w:id="118" w:name="_Toc15377217"/>
      <w:bookmarkStart w:id="119" w:name="_Toc29300_WPSOffice_Level3"/>
      <w:r>
        <w:rPr>
          <w:rFonts w:hint="eastAsia" w:ascii="仿宋" w:eastAsia="仿宋"/>
          <w:b/>
          <w:color w:val="auto"/>
          <w:sz w:val="32"/>
          <w:szCs w:val="32"/>
          <w:highlight w:val="none"/>
        </w:rPr>
        <w:t>（二）“三公”经费财政拨款支出决算具体情况说明</w:t>
      </w:r>
      <w:bookmarkEnd w:id="118"/>
      <w:bookmarkEnd w:id="119"/>
    </w:p>
    <w:p>
      <w:pPr>
        <w:spacing w:line="600" w:lineRule="exact"/>
        <w:ind w:firstLine="64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r>
        <w:rPr>
          <w:rFonts w:hint="eastAsia" w:ascii="仿宋" w:eastAsia="仿宋"/>
          <w:color w:val="auto"/>
          <w:sz w:val="32"/>
          <w:szCs w:val="32"/>
          <w:highlight w:val="none"/>
          <w:lang w:eastAsia="zh-CN"/>
        </w:rPr>
        <w:t>：</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6"/>
          <w:rFonts w:hint="eastAsia" w:asci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6"/>
          <w:rFonts w:hint="eastAsia" w:ascii="仿宋" w:eastAsia="仿宋"/>
          <w:b w:val="0"/>
          <w:bCs/>
          <w:color w:val="auto"/>
          <w:sz w:val="32"/>
          <w:szCs w:val="32"/>
          <w:highlight w:val="none"/>
        </w:rPr>
        <w:t>。</w:t>
      </w:r>
    </w:p>
    <w:p>
      <w:pPr>
        <w:spacing w:line="600" w:lineRule="exact"/>
        <w:ind w:firstLine="640"/>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6"/>
          <w:rFonts w:hint="eastAsia" w:ascii="仿宋" w:eastAsia="仿宋"/>
          <w:b w:val="0"/>
          <w:bCs/>
          <w:color w:val="auto"/>
          <w:sz w:val="32"/>
          <w:szCs w:val="32"/>
          <w:highlight w:val="none"/>
        </w:rPr>
        <w:t>。</w:t>
      </w:r>
    </w:p>
    <w:p>
      <w:pPr>
        <w:spacing w:line="600" w:lineRule="exact"/>
        <w:ind w:firstLine="640"/>
        <w:outlineLvl w:val="1"/>
        <w:rPr>
          <w:rStyle w:val="18"/>
          <w:rFonts w:ascii="黑体" w:eastAsia="黑体"/>
          <w:color w:val="auto"/>
          <w:highlight w:val="none"/>
        </w:rPr>
      </w:pPr>
      <w:bookmarkStart w:id="120" w:name="_Toc29273_WPSOffice_Level2"/>
      <w:bookmarkStart w:id="121" w:name="_Toc13234_WPSOffice_Level2"/>
      <w:bookmarkStart w:id="122" w:name="_Toc6232_WPSOffice_Level2"/>
      <w:bookmarkStart w:id="123" w:name="_Toc15195_WPSOffice_Level2"/>
      <w:bookmarkStart w:id="124" w:name="_Toc10611_WPSOffice_Level2"/>
      <w:bookmarkStart w:id="125" w:name="_Toc16848_WPSOffice_Level2"/>
      <w:bookmarkStart w:id="126" w:name="_Toc6129_WPSOffice_Level2"/>
      <w:r>
        <w:rPr>
          <w:rFonts w:hint="eastAsia" w:ascii="黑体" w:eastAsia="黑体"/>
          <w:color w:val="auto"/>
          <w:sz w:val="32"/>
          <w:szCs w:val="32"/>
          <w:highlight w:val="none"/>
        </w:rPr>
        <w:t>八、</w:t>
      </w:r>
      <w:r>
        <w:rPr>
          <w:rStyle w:val="18"/>
          <w:rFonts w:hint="eastAsia" w:ascii="黑体" w:eastAsia="黑体"/>
          <w:b w:val="0"/>
          <w:color w:val="auto"/>
          <w:highlight w:val="none"/>
        </w:rPr>
        <w:t>政府性基金预算支出决算情况说明</w:t>
      </w:r>
      <w:bookmarkEnd w:id="116"/>
      <w:bookmarkEnd w:id="117"/>
      <w:bookmarkEnd w:id="120"/>
      <w:bookmarkEnd w:id="121"/>
      <w:bookmarkEnd w:id="122"/>
      <w:bookmarkEnd w:id="123"/>
      <w:bookmarkEnd w:id="124"/>
      <w:bookmarkEnd w:id="125"/>
      <w:bookmarkEnd w:id="126"/>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1.71</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18"/>
          <w:rFonts w:ascii="黑体" w:eastAsia="黑体"/>
          <w:b w:val="0"/>
          <w:color w:val="auto"/>
          <w:highlight w:val="none"/>
        </w:rPr>
      </w:pPr>
      <w:bookmarkStart w:id="127" w:name="_Toc15396611"/>
      <w:bookmarkStart w:id="128" w:name="_Toc15377219"/>
      <w:bookmarkStart w:id="129" w:name="_Toc22045_WPSOffice_Level2"/>
      <w:bookmarkStart w:id="130" w:name="_Toc26935_WPSOffice_Level2"/>
      <w:bookmarkStart w:id="131" w:name="_Toc22327_WPSOffice_Level2"/>
      <w:bookmarkStart w:id="132" w:name="_Toc26028_WPSOffice_Level2"/>
      <w:bookmarkStart w:id="133" w:name="_Toc11071_WPSOffice_Level2"/>
      <w:bookmarkStart w:id="134" w:name="_Toc25745_WPSOffice_Level2"/>
      <w:bookmarkStart w:id="135" w:name="_Toc6383_WPSOffice_Level2"/>
      <w:r>
        <w:rPr>
          <w:rStyle w:val="18"/>
          <w:rFonts w:hint="eastAsia" w:ascii="黑体" w:eastAsia="黑体"/>
          <w:b w:val="0"/>
          <w:color w:val="auto"/>
          <w:highlight w:val="none"/>
        </w:rPr>
        <w:t>国有资本经营预算支出决算情况说明</w:t>
      </w:r>
      <w:bookmarkEnd w:id="127"/>
      <w:bookmarkEnd w:id="128"/>
      <w:bookmarkEnd w:id="129"/>
      <w:bookmarkEnd w:id="130"/>
      <w:bookmarkEnd w:id="131"/>
      <w:bookmarkEnd w:id="132"/>
      <w:bookmarkEnd w:id="133"/>
      <w:bookmarkEnd w:id="134"/>
      <w:bookmarkEnd w:id="135"/>
    </w:p>
    <w:p>
      <w:pPr>
        <w:spacing w:line="600" w:lineRule="exact"/>
        <w:ind w:firstLine="640"/>
        <w:rPr>
          <w:rFonts w:asci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18"/>
          <w:rFonts w:hint="eastAsia" w:ascii="黑体" w:eastAsia="黑体"/>
          <w:b w:val="0"/>
          <w:color w:val="auto"/>
          <w:highlight w:val="none"/>
        </w:rPr>
      </w:pPr>
      <w:bookmarkStart w:id="136" w:name="_Toc912_WPSOffice_Level2"/>
      <w:bookmarkStart w:id="137" w:name="_Toc30129_WPSOffice_Level2"/>
      <w:bookmarkStart w:id="138" w:name="_Toc15377221"/>
      <w:bookmarkStart w:id="139" w:name="_Toc7056_WPSOffice_Level2"/>
      <w:bookmarkStart w:id="140" w:name="_Toc31689_WPSOffice_Level2"/>
      <w:bookmarkStart w:id="141" w:name="_Toc5471_WPSOffice_Level2"/>
      <w:bookmarkStart w:id="142" w:name="_Toc15396612"/>
      <w:bookmarkStart w:id="143" w:name="_Toc12068_WPSOffice_Level2"/>
      <w:bookmarkStart w:id="144" w:name="_Toc427_WPSOffice_Level2"/>
      <w:r>
        <w:rPr>
          <w:rStyle w:val="18"/>
          <w:rFonts w:hint="eastAsia" w:ascii="黑体" w:eastAsia="黑体"/>
          <w:b w:val="0"/>
          <w:color w:val="auto"/>
          <w:highlight w:val="none"/>
        </w:rPr>
        <w:t>其他重要事项的情况说明</w:t>
      </w:r>
      <w:bookmarkEnd w:id="136"/>
      <w:bookmarkEnd w:id="137"/>
      <w:bookmarkEnd w:id="138"/>
      <w:bookmarkEnd w:id="139"/>
      <w:bookmarkEnd w:id="140"/>
      <w:bookmarkEnd w:id="141"/>
      <w:bookmarkEnd w:id="142"/>
      <w:bookmarkEnd w:id="143"/>
      <w:bookmarkEnd w:id="144"/>
    </w:p>
    <w:p>
      <w:pPr>
        <w:spacing w:line="600" w:lineRule="exact"/>
        <w:ind w:firstLine="643" w:firstLineChars="200"/>
        <w:outlineLvl w:val="2"/>
        <w:rPr>
          <w:rFonts w:ascii="仿宋" w:eastAsia="仿宋"/>
          <w:color w:val="auto"/>
          <w:sz w:val="32"/>
          <w:szCs w:val="32"/>
          <w:highlight w:val="none"/>
        </w:rPr>
      </w:pPr>
      <w:bookmarkStart w:id="145" w:name="_Toc15377222"/>
      <w:bookmarkStart w:id="146" w:name="_Toc2762_WPSOffice_Level3"/>
      <w:r>
        <w:rPr>
          <w:rFonts w:hint="eastAsia" w:ascii="仿宋" w:eastAsia="仿宋"/>
          <w:b/>
          <w:color w:val="auto"/>
          <w:sz w:val="32"/>
          <w:szCs w:val="32"/>
          <w:highlight w:val="none"/>
        </w:rPr>
        <w:t>（一）机关运行经费支出情况</w:t>
      </w:r>
      <w:bookmarkEnd w:id="145"/>
      <w:bookmarkEnd w:id="146"/>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147" w:name="_Toc17954_WPSOffice_Level3"/>
      <w:bookmarkStart w:id="148" w:name="_Toc15377223"/>
      <w:r>
        <w:rPr>
          <w:rFonts w:hint="eastAsia" w:ascii="仿宋" w:eastAsia="仿宋"/>
          <w:b/>
          <w:color w:val="auto"/>
          <w:sz w:val="32"/>
          <w:szCs w:val="32"/>
          <w:highlight w:val="none"/>
        </w:rPr>
        <w:t>（二）政府采购支出情况</w:t>
      </w:r>
      <w:bookmarkEnd w:id="147"/>
      <w:bookmarkEnd w:id="148"/>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本年未发生政府采购。</w:t>
      </w:r>
    </w:p>
    <w:p>
      <w:pPr>
        <w:numPr>
          <w:ilvl w:val="0"/>
          <w:numId w:val="3"/>
        </w:numPr>
        <w:autoSpaceDE w:val="0"/>
        <w:autoSpaceDN w:val="0"/>
        <w:adjustRightInd w:val="0"/>
        <w:spacing w:line="600" w:lineRule="exact"/>
        <w:ind w:left="0" w:firstLine="643" w:firstLineChars="200"/>
        <w:jc w:val="left"/>
        <w:outlineLvl w:val="2"/>
        <w:rPr>
          <w:rFonts w:hint="eastAsia" w:ascii="仿宋" w:eastAsia="仿宋"/>
          <w:b/>
          <w:color w:val="auto"/>
          <w:sz w:val="32"/>
          <w:szCs w:val="32"/>
          <w:highlight w:val="none"/>
        </w:rPr>
      </w:pPr>
      <w:bookmarkStart w:id="149" w:name="_Toc15377224"/>
      <w:bookmarkStart w:id="150" w:name="_Toc31102_WPSOffice_Level3"/>
      <w:r>
        <w:rPr>
          <w:rFonts w:hint="eastAsia" w:ascii="仿宋" w:eastAsia="仿宋"/>
          <w:b/>
          <w:color w:val="auto"/>
          <w:sz w:val="32"/>
          <w:szCs w:val="32"/>
          <w:highlight w:val="none"/>
        </w:rPr>
        <w:t>国有资产占有使用情况</w:t>
      </w:r>
      <w:bookmarkEnd w:id="149"/>
      <w:bookmarkEnd w:id="150"/>
    </w:p>
    <w:p>
      <w:pPr>
        <w:autoSpaceDE w:val="0"/>
        <w:autoSpaceDN w:val="0"/>
        <w:adjustRightInd w:val="0"/>
        <w:spacing w:line="600" w:lineRule="exact"/>
        <w:ind w:firstLine="640" w:firstLineChars="200"/>
        <w:jc w:val="left"/>
      </w:pPr>
      <w:r>
        <w:rPr>
          <w:rFonts w:hint="eastAsia" w:ascii="仿宋_GB2312" w:eastAsia="仿宋_GB2312"/>
          <w:color w:val="000000"/>
          <w:sz w:val="32"/>
          <w:szCs w:val="32"/>
        </w:rPr>
        <w:t>截至</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3</w:t>
      </w:r>
      <w:r>
        <w:rPr>
          <w:rFonts w:ascii="仿宋_GB2312" w:eastAsia="仿宋_GB2312"/>
          <w:color w:val="000000"/>
          <w:sz w:val="32"/>
          <w:szCs w:val="32"/>
        </w:rPr>
        <w:t>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张家乡卫生院</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151" w:name="_Toc6129_WPSOffice_Level3"/>
      <w:r>
        <w:rPr>
          <w:rFonts w:hint="eastAsia" w:ascii="仿宋" w:eastAsia="仿宋"/>
          <w:b/>
          <w:color w:val="auto"/>
          <w:sz w:val="32"/>
          <w:szCs w:val="32"/>
          <w:highlight w:val="none"/>
        </w:rPr>
        <w:t>（四）预算绩效管理情况</w:t>
      </w:r>
      <w:bookmarkEnd w:id="151"/>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1.绩效目标管理情况</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152" w:name="_Toc31974"/>
      <w:bookmarkStart w:id="153" w:name="_Toc31349"/>
      <w:bookmarkStart w:id="154" w:name="_Toc8457"/>
      <w:bookmarkStart w:id="155" w:name="_Toc32551"/>
      <w:r>
        <w:rPr>
          <w:rFonts w:hint="eastAsia" w:ascii="仿宋_GB2312" w:eastAsia="仿宋_GB2312"/>
          <w:color w:val="auto"/>
          <w:sz w:val="32"/>
          <w:szCs w:val="32"/>
          <w:highlight w:val="none"/>
        </w:rPr>
        <w:t>根据预算绩效管理要求，本单位在</w:t>
      </w:r>
      <w:r>
        <w:rPr>
          <w:rFonts w:hint="eastAsia" w:ascii="仿宋_GB2312" w:eastAsia="仿宋_GB2312"/>
          <w:color w:val="auto"/>
          <w:sz w:val="32"/>
          <w:szCs w:val="32"/>
          <w:highlight w:val="none"/>
          <w:lang w:val="en-US" w:eastAsia="zh-CN"/>
        </w:rPr>
        <w:t>2022年度</w:t>
      </w:r>
      <w:r>
        <w:rPr>
          <w:rFonts w:hint="eastAsia" w:ascii="仿宋_GB2312" w:eastAsia="仿宋_GB2312"/>
          <w:color w:val="auto"/>
          <w:sz w:val="32"/>
          <w:szCs w:val="32"/>
          <w:highlight w:val="none"/>
        </w:rPr>
        <w:t>预算编制阶段，组织对</w:t>
      </w:r>
      <w:r>
        <w:rPr>
          <w:rFonts w:hint="eastAsia" w:ascii="仿宋_GB2312" w:eastAsia="仿宋_GB2312"/>
          <w:color w:val="auto"/>
          <w:sz w:val="32"/>
          <w:szCs w:val="32"/>
          <w:highlight w:val="none"/>
          <w:lang w:val="en-US" w:eastAsia="zh-CN"/>
        </w:rPr>
        <w:t>二类疫苗服务费1个项目</w:t>
      </w:r>
      <w:r>
        <w:rPr>
          <w:rFonts w:hint="eastAsia" w:ascii="仿宋_GB2312" w:eastAsia="仿宋_GB2312"/>
          <w:color w:val="auto"/>
          <w:sz w:val="32"/>
          <w:szCs w:val="32"/>
          <w:highlight w:val="none"/>
        </w:rPr>
        <w:t>开展了预算事前绩效评估，对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个项目开展绩效监控，年终执行完毕后，对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个项目开展了绩效自评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2022年部门预算项目绩效目标自评表见附件（第四部分）</w:t>
      </w:r>
      <w:r>
        <w:rPr>
          <w:rFonts w:hint="eastAsia" w:ascii="仿宋_GB2312" w:eastAsia="仿宋_GB2312"/>
          <w:color w:val="auto"/>
          <w:sz w:val="32"/>
          <w:szCs w:val="32"/>
          <w:highlight w:val="none"/>
        </w:rPr>
        <w:t>。</w:t>
      </w:r>
      <w:bookmarkEnd w:id="152"/>
      <w:bookmarkEnd w:id="153"/>
      <w:bookmarkEnd w:id="154"/>
      <w:bookmarkEnd w:id="155"/>
    </w:p>
    <w:p>
      <w:pPr>
        <w:numPr>
          <w:ilvl w:val="0"/>
          <w:numId w:val="0"/>
        </w:num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bookmarkStart w:id="156" w:name="_Toc25419"/>
      <w:bookmarkStart w:id="157" w:name="_Toc10135"/>
      <w:bookmarkStart w:id="158" w:name="_Toc1645"/>
      <w:r>
        <w:rPr>
          <w:rFonts w:hint="eastAsia" w:ascii="仿宋_GB2312" w:eastAsia="仿宋_GB2312"/>
          <w:color w:val="auto"/>
          <w:sz w:val="32"/>
          <w:szCs w:val="32"/>
          <w:highlight w:val="none"/>
          <w:lang w:val="en-US" w:eastAsia="zh-CN"/>
        </w:rPr>
        <w:t>2.预算项目绩效评价</w:t>
      </w:r>
      <w:bookmarkEnd w:id="156"/>
      <w:bookmarkEnd w:id="157"/>
      <w:bookmarkEnd w:id="158"/>
    </w:p>
    <w:p>
      <w:pPr>
        <w:pStyle w:val="2"/>
        <w:ind w:firstLine="640" w:firstLineChars="200"/>
        <w:rPr>
          <w:rFonts w:hint="eastAsia" w:ascii="仿宋_GB2312" w:eastAsia="仿宋_GB2312"/>
          <w:color w:val="000000"/>
          <w:sz w:val="32"/>
          <w:szCs w:val="32"/>
        </w:rPr>
      </w:pPr>
      <w:r>
        <w:rPr>
          <w:rFonts w:hint="eastAsia" w:ascii="仿宋_GB2312" w:hAnsi="Times New Roman" w:eastAsia="仿宋_GB2312" w:cs="Times New Roman"/>
          <w:color w:val="000000"/>
          <w:sz w:val="32"/>
          <w:szCs w:val="32"/>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w:t>
      </w:r>
      <w:r>
        <w:rPr>
          <w:rFonts w:hint="eastAsia" w:ascii="仿宋_GB2312" w:eastAsia="仿宋_GB2312"/>
          <w:color w:val="000000"/>
          <w:sz w:val="32"/>
          <w:szCs w:val="32"/>
          <w:lang w:val="en-US" w:eastAsia="zh-CN"/>
        </w:rPr>
        <w:t>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p>
    <w:p>
      <w:pPr>
        <w:spacing w:line="600" w:lineRule="atLeast"/>
        <w:ind w:left="0" w:firstLine="640" w:firstLineChars="200"/>
        <w:rPr>
          <w:rFonts w:hint="eastAsia" w:ascii="黑体" w:eastAsia="黑体"/>
          <w:color w:val="000000"/>
          <w:sz w:val="32"/>
          <w:szCs w:val="32"/>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widowControl/>
        <w:jc w:val="left"/>
        <w:rPr>
          <w:rFonts w:ascii="仿宋_GB2312" w:eastAsia="仿宋_GB2312"/>
          <w:b/>
          <w:color w:val="auto"/>
          <w:sz w:val="32"/>
          <w:szCs w:val="32"/>
          <w:highlight w:val="none"/>
        </w:rPr>
      </w:pPr>
      <w:r>
        <w:br w:type="page"/>
      </w:r>
    </w:p>
    <w:p>
      <w:pPr>
        <w:numPr>
          <w:ilvl w:val="0"/>
          <w:numId w:val="4"/>
        </w:numPr>
        <w:spacing w:line="600" w:lineRule="exact"/>
        <w:ind w:left="0" w:firstLine="660" w:firstLineChars="150"/>
        <w:jc w:val="center"/>
        <w:outlineLvl w:val="0"/>
        <w:rPr>
          <w:rStyle w:val="17"/>
          <w:rFonts w:ascii="黑体" w:eastAsia="黑体"/>
          <w:b w:val="0"/>
          <w:color w:val="auto"/>
          <w:highlight w:val="none"/>
        </w:rPr>
      </w:pPr>
      <w:bookmarkStart w:id="159" w:name="_Toc27201_WPSOffice_Level1"/>
      <w:bookmarkStart w:id="160" w:name="_Toc26169_WPSOffice_Level1"/>
      <w:bookmarkStart w:id="161" w:name="_Toc31689_WPSOffice_Level1"/>
      <w:bookmarkStart w:id="162" w:name="_Toc17241_WPSOffice_Level1"/>
      <w:bookmarkStart w:id="163" w:name="_Toc4788_WPSOffice_Level1"/>
      <w:bookmarkStart w:id="164" w:name="_Toc412_WPSOffice_Level1"/>
      <w:bookmarkStart w:id="165" w:name="_Toc27766_WPSOffice_Level1"/>
      <w:bookmarkStart w:id="166" w:name="_Toc15396613"/>
      <w:bookmarkStart w:id="167" w:name="_Toc15377225"/>
      <w:r>
        <w:rPr>
          <w:rFonts w:hint="eastAsia" w:ascii="黑体" w:eastAsia="黑体"/>
          <w:color w:val="auto"/>
          <w:sz w:val="44"/>
          <w:szCs w:val="44"/>
          <w:highlight w:val="none"/>
        </w:rPr>
        <w:t>名</w:t>
      </w:r>
      <w:r>
        <w:rPr>
          <w:rStyle w:val="17"/>
          <w:rFonts w:hint="eastAsia" w:ascii="黑体" w:eastAsia="黑体"/>
          <w:b w:val="0"/>
          <w:color w:val="auto"/>
          <w:highlight w:val="none"/>
        </w:rPr>
        <w:t>词解释</w:t>
      </w:r>
      <w:bookmarkEnd w:id="159"/>
      <w:bookmarkEnd w:id="160"/>
      <w:bookmarkEnd w:id="161"/>
      <w:bookmarkEnd w:id="162"/>
      <w:bookmarkEnd w:id="163"/>
      <w:bookmarkEnd w:id="164"/>
      <w:bookmarkEnd w:id="165"/>
      <w:bookmarkEnd w:id="166"/>
      <w:bookmarkEnd w:id="167"/>
    </w:p>
    <w:p>
      <w:pPr>
        <w:spacing w:line="600" w:lineRule="exact"/>
        <w:jc w:val="left"/>
        <w:rPr>
          <w:rFonts w:ascii="宋体"/>
          <w:b/>
          <w:color w:val="auto"/>
          <w:sz w:val="44"/>
          <w:szCs w:val="44"/>
          <w:highlight w:val="none"/>
        </w:rPr>
      </w:pPr>
    </w:p>
    <w:p>
      <w:pPr>
        <w:pStyle w:val="20"/>
        <w:spacing w:line="580" w:lineRule="exact"/>
        <w:ind w:firstLine="640" w:firstLineChars="200"/>
        <w:rPr>
          <w:rFonts w:hint="eastAsia" w:ascii="仿宋_GB2312" w:eastAsia="仿宋_GB2312"/>
          <w:sz w:val="32"/>
          <w:szCs w:val="32"/>
        </w:rPr>
      </w:pPr>
      <w:bookmarkStart w:id="168" w:name="_Toc15377226"/>
      <w:r>
        <w:rPr>
          <w:rFonts w:hint="eastAsia" w:ascii="仿宋_GB2312" w:eastAsia="仿宋_GB2312"/>
          <w:sz w:val="32"/>
          <w:szCs w:val="32"/>
        </w:rPr>
        <w:t>1.财政拨款收入：指单位从同级财政单位取得的各类拨款。</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2.事业收入：指事业单位开展专业业务活动及辅助活动取得的收入。如区人民医院、</w:t>
      </w:r>
      <w:r>
        <w:rPr>
          <w:rFonts w:hint="eastAsia" w:ascii="仿宋_GB2312" w:eastAsia="仿宋_GB2312"/>
          <w:sz w:val="32"/>
          <w:szCs w:val="32"/>
          <w:lang w:eastAsia="zh-CN"/>
        </w:rPr>
        <w:t>区</w:t>
      </w:r>
      <w:r>
        <w:rPr>
          <w:rFonts w:hint="eastAsia" w:ascii="仿宋_GB2312" w:eastAsia="仿宋_GB2312"/>
          <w:sz w:val="32"/>
          <w:szCs w:val="32"/>
        </w:rPr>
        <w:t>妇幼保健计</w:t>
      </w:r>
      <w:bookmarkStart w:id="289" w:name="_GoBack"/>
      <w:bookmarkEnd w:id="289"/>
      <w:r>
        <w:rPr>
          <w:rFonts w:hint="eastAsia" w:ascii="仿宋_GB2312" w:eastAsia="仿宋_GB2312"/>
          <w:sz w:val="32"/>
          <w:szCs w:val="32"/>
          <w:lang w:eastAsia="zh-CN"/>
        </w:rPr>
        <w:t>划</w:t>
      </w:r>
      <w:r>
        <w:rPr>
          <w:rFonts w:hint="eastAsia" w:ascii="仿宋_GB2312" w:eastAsia="仿宋_GB2312"/>
          <w:sz w:val="32"/>
          <w:szCs w:val="32"/>
        </w:rPr>
        <w:t>生育服务中心、区中医医院、乡镇卫生院医疗收入等。</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3.其他收入：指单位取得的除上述收入以外的各项收入。主要是利息收入等。 </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5.年初结转和结余：指以前年度尚未完成、结转到本年按有关规定继续使用的资金。 </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6.本年盈余分配：指事业单位按照政府会计制度的规定从非财政拨款结余或事业结余中提取的奖励基金和职工福利基金等。</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7.年末结转和结余：指单位按有关规定结转到下年或以后年度继续使用的资金。</w:t>
      </w:r>
    </w:p>
    <w:p>
      <w:pPr>
        <w:spacing w:line="580" w:lineRule="exact"/>
        <w:ind w:firstLine="640" w:firstLineChars="200"/>
        <w:rPr>
          <w:rStyle w:val="16"/>
          <w:rFonts w:hint="eastAsia" w:ascii="仿宋_GB2312" w:eastAsia="仿宋_GB2312"/>
          <w:b w:val="0"/>
          <w:color w:val="000000"/>
          <w:sz w:val="32"/>
          <w:szCs w:val="32"/>
        </w:rPr>
      </w:pPr>
      <w:r>
        <w:rPr>
          <w:rFonts w:hint="eastAsia" w:ascii="仿宋_GB2312" w:eastAsia="仿宋_GB2312"/>
          <w:color w:val="000000"/>
          <w:sz w:val="32"/>
          <w:szCs w:val="32"/>
        </w:rPr>
        <w:t>8.卫生健康支出（类）基层医疗卫生机构（款）</w:t>
      </w:r>
      <w:r>
        <w:rPr>
          <w:rStyle w:val="16"/>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6"/>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6"/>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6"/>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6"/>
          <w:rFonts w:hint="eastAsia" w:ascii="仿宋_GB2312" w:eastAsia="仿宋_GB2312"/>
          <w:b w:val="0"/>
          <w:color w:val="000000"/>
          <w:sz w:val="32"/>
          <w:szCs w:val="32"/>
        </w:rPr>
        <w:t>:</w:t>
      </w:r>
      <w:r>
        <w:rPr>
          <w:rStyle w:val="16"/>
          <w:rFonts w:hint="eastAsia" w:ascii="仿宋_GB2312" w:eastAsia="仿宋_GB2312"/>
          <w:b w:val="0"/>
          <w:sz w:val="32"/>
          <w:szCs w:val="32"/>
        </w:rPr>
        <w:t>反映</w:t>
      </w:r>
      <w:r>
        <w:rPr>
          <w:rStyle w:val="16"/>
          <w:rFonts w:hint="eastAsia" w:ascii="仿宋_GB2312" w:eastAsia="仿宋_GB2312"/>
          <w:b w:val="0"/>
          <w:color w:val="000000"/>
          <w:sz w:val="32"/>
          <w:szCs w:val="32"/>
        </w:rPr>
        <w:t>卫生健康支出中的在职人员医疗保险。</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仿宋"/>
          <w:sz w:val="32"/>
          <w:szCs w:val="32"/>
          <w:lang w:val="en-US" w:eastAsia="zh-CN"/>
        </w:rPr>
      </w:pPr>
      <w:r>
        <w:rPr>
          <w:rFonts w:hint="eastAsia" w:ascii="仿宋_GB2312" w:hAnsi="仿宋" w:eastAsia="仿宋_GB2312" w:cs="仿宋"/>
          <w:sz w:val="32"/>
          <w:szCs w:val="32"/>
        </w:rPr>
        <w:t>9.社会保障和就业支出：反映政府在社会保障和就业方面的支出。社会保障和就业支出-行政事业单位离退休-机关事业单位基本养老保险缴费支出：反映机关事业单位实施养老保险制度由单位缴纳的基本养老保险支出</w:t>
      </w:r>
      <w:r>
        <w:rPr>
          <w:rFonts w:hint="eastAsia" w:ascii="仿宋_GB2312" w:hAnsi="仿宋" w:eastAsia="仿宋_GB2312"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Style w:val="16"/>
          <w:rFonts w:hint="eastAsia" w:ascii="仿宋_GB2312" w:hAnsi="仿宋" w:eastAsia="仿宋_GB2312" w:cs="仿宋"/>
          <w:b w:val="0"/>
          <w:color w:val="000000"/>
          <w:sz w:val="32"/>
          <w:szCs w:val="32"/>
        </w:rPr>
      </w:pPr>
      <w:r>
        <w:rPr>
          <w:rFonts w:hint="eastAsia" w:ascii="仿宋_GB2312" w:hAnsi="仿宋" w:eastAsia="仿宋_GB2312" w:cs="仿宋"/>
          <w:sz w:val="32"/>
          <w:szCs w:val="32"/>
        </w:rPr>
        <w:t>10.住房保障支出：住房保障支出-住房改革支出-住房公积金：反映行政事业单位按人力资源和社会保障部、财政部规定的基本工资和津贴补贴以及规定比例为职工缴纳的住房公积金。</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11.基本支出：指为保障机构正常运转、完成日常工作任务而发生的人员支出和公用支出。</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 xml:space="preserve">12.项目支出：指在基本支出之外为完成特定行政任务和事业发展目标所发生的支出。 </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0"/>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17"/>
          <w:rFonts w:ascii="黑体" w:eastAsia="黑体"/>
          <w:b w:val="0"/>
          <w:color w:val="auto"/>
          <w:highlight w:val="none"/>
        </w:rPr>
      </w:pPr>
      <w:r>
        <w:br w:type="page"/>
      </w:r>
      <w:bookmarkStart w:id="169" w:name="_Toc15396614"/>
      <w:bookmarkStart w:id="170" w:name="_Toc16119_WPSOffice_Level1"/>
      <w:bookmarkStart w:id="171" w:name="_Toc16841_WPSOffice_Level1"/>
      <w:bookmarkStart w:id="172" w:name="_Toc24582_WPSOffice_Level1"/>
      <w:bookmarkStart w:id="173" w:name="_Toc23906_WPSOffice_Level1"/>
      <w:bookmarkStart w:id="174" w:name="_Toc16290_WPSOffice_Level1"/>
      <w:bookmarkStart w:id="175" w:name="_Toc18690_WPSOffice_Level1"/>
      <w:bookmarkStart w:id="176" w:name="_Toc12506_WPSOffice_Level1"/>
      <w:r>
        <w:rPr>
          <w:rFonts w:hint="eastAsia" w:ascii="黑体" w:eastAsia="黑体"/>
          <w:color w:val="auto"/>
          <w:sz w:val="44"/>
          <w:szCs w:val="44"/>
          <w:highlight w:val="none"/>
        </w:rPr>
        <w:t>第</w:t>
      </w:r>
      <w:r>
        <w:rPr>
          <w:rStyle w:val="17"/>
          <w:rFonts w:hint="eastAsia" w:ascii="黑体" w:eastAsia="黑体"/>
          <w:b w:val="0"/>
          <w:color w:val="auto"/>
          <w:highlight w:val="none"/>
        </w:rPr>
        <w:t>四部分 附件</w:t>
      </w:r>
      <w:bookmarkEnd w:id="169"/>
      <w:bookmarkEnd w:id="170"/>
      <w:bookmarkEnd w:id="171"/>
      <w:bookmarkEnd w:id="172"/>
      <w:bookmarkEnd w:id="173"/>
      <w:bookmarkEnd w:id="174"/>
      <w:bookmarkEnd w:id="175"/>
      <w:bookmarkEnd w:id="176"/>
    </w:p>
    <w:tbl>
      <w:tblPr>
        <w:tblStyle w:val="13"/>
        <w:tblpPr w:leftFromText="180" w:rightFromText="180" w:vertAnchor="text" w:horzAnchor="page" w:tblpX="1835" w:tblpY="372"/>
        <w:tblOverlap w:val="never"/>
        <w:tblW w:w="8280" w:type="dxa"/>
        <w:tblInd w:w="0" w:type="dxa"/>
        <w:shd w:val="clear" w:color="auto" w:fill="auto"/>
        <w:tblLayout w:type="fixed"/>
        <w:tblCellMar>
          <w:top w:w="0" w:type="dxa"/>
          <w:left w:w="0" w:type="dxa"/>
          <w:bottom w:w="0" w:type="dxa"/>
          <w:right w:w="0" w:type="dxa"/>
        </w:tblCellMar>
      </w:tblPr>
      <w:tblGrid>
        <w:gridCol w:w="627"/>
        <w:gridCol w:w="862"/>
        <w:gridCol w:w="862"/>
        <w:gridCol w:w="862"/>
        <w:gridCol w:w="705"/>
        <w:gridCol w:w="531"/>
        <w:gridCol w:w="383"/>
        <w:gridCol w:w="862"/>
        <w:gridCol w:w="862"/>
        <w:gridCol w:w="862"/>
        <w:gridCol w:w="862"/>
      </w:tblGrid>
      <w:tr>
        <w:tblPrEx>
          <w:shd w:val="clear" w:color="auto" w:fill="auto"/>
          <w:tblCellMar>
            <w:top w:w="0" w:type="dxa"/>
            <w:left w:w="0" w:type="dxa"/>
            <w:bottom w:w="0" w:type="dxa"/>
            <w:right w:w="0" w:type="dxa"/>
          </w:tblCellMar>
        </w:tblPrEx>
        <w:trPr>
          <w:trHeight w:val="689" w:hRule="atLeast"/>
        </w:trPr>
        <w:tc>
          <w:tcPr>
            <w:tcW w:w="828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64" w:hRule="atLeast"/>
        </w:trPr>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791"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89" w:hRule="atLeast"/>
        </w:trPr>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62"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5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张家乡</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63"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448"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80"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1.71</w:t>
            </w:r>
            <w:r>
              <w:rPr>
                <w:rFonts w:hint="eastAsia" w:ascii="宋体" w:hAnsi="宋体" w:eastAsia="宋体" w:cs="宋体"/>
                <w:i w:val="0"/>
                <w:iCs w:val="0"/>
                <w:color w:val="000000"/>
                <w:kern w:val="0"/>
                <w:sz w:val="20"/>
                <w:szCs w:val="20"/>
                <w:u w:val="none"/>
                <w:lang w:val="en-US" w:eastAsia="zh-CN"/>
              </w:rPr>
              <w:t>万元</w:t>
            </w:r>
          </w:p>
        </w:tc>
        <w:tc>
          <w:tcPr>
            <w:tcW w:w="3448"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1003"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791"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89"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61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62"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75"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1.71</w:t>
            </w:r>
          </w:p>
        </w:tc>
        <w:tc>
          <w:tcPr>
            <w:tcW w:w="161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1.71</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62"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89"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1.71</w:t>
            </w:r>
          </w:p>
        </w:tc>
        <w:tc>
          <w:tcPr>
            <w:tcW w:w="161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1.71</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89"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61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75"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61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503"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61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1280" w:hRule="atLeast"/>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62"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72" w:hRule="atLeast"/>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62"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75" w:hRule="atLeast"/>
        </w:trPr>
        <w:tc>
          <w:tcPr>
            <w:tcW w:w="5694"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89"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65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89"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65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89"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65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406" w:hRule="atLeast"/>
        </w:trPr>
        <w:tc>
          <w:tcPr>
            <w:tcW w:w="391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362"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pStyle w:val="2"/>
        <w:rPr>
          <w:rFonts w:hint="eastAsia" w:ascii="仿宋_GB2312" w:eastAsia="仿宋_GB2312" w:cs="仿宋"/>
          <w:color w:val="auto"/>
          <w:kern w:val="0"/>
          <w:sz w:val="32"/>
          <w:szCs w:val="32"/>
          <w:highlight w:val="none"/>
          <w:lang w:val="en-US" w:eastAsia="zh-CN" w:bidi="ar-SA"/>
        </w:rPr>
      </w:pPr>
      <w:bookmarkStart w:id="177" w:name="_Toc15396618"/>
    </w:p>
    <w:p>
      <w:pPr>
        <w:spacing w:line="600" w:lineRule="exact"/>
        <w:jc w:val="center"/>
        <w:outlineLvl w:val="0"/>
        <w:rPr>
          <w:rFonts w:hint="eastAsia" w:ascii="仿宋" w:eastAsia="仿宋"/>
          <w:b w:val="0"/>
          <w:color w:val="auto"/>
          <w:highlight w:val="none"/>
        </w:rPr>
      </w:pPr>
      <w:bookmarkStart w:id="178" w:name="_Toc10693_WPSOffice_Level1"/>
      <w:bookmarkStart w:id="179" w:name="_Toc8274_WPSOffice_Level1"/>
      <w:bookmarkStart w:id="180" w:name="_Toc26244_WPSOffice_Level1"/>
      <w:bookmarkStart w:id="181" w:name="_Toc31994_WPSOffice_Level1"/>
      <w:bookmarkStart w:id="182" w:name="_Toc2439_WPSOffice_Level1"/>
      <w:bookmarkStart w:id="183" w:name="_Toc666_WPSOffice_Level1"/>
      <w:bookmarkStart w:id="184" w:name="_Toc28922_WPSOffice_Level1"/>
      <w:r>
        <w:rPr>
          <w:rFonts w:hint="eastAsia" w:ascii="黑体" w:eastAsia="黑体"/>
          <w:color w:val="auto"/>
          <w:sz w:val="44"/>
          <w:szCs w:val="44"/>
          <w:highlight w:val="none"/>
        </w:rPr>
        <w:t>第</w:t>
      </w:r>
      <w:r>
        <w:rPr>
          <w:rStyle w:val="17"/>
          <w:rFonts w:hint="eastAsia" w:ascii="黑体" w:eastAsia="黑体"/>
          <w:b w:val="0"/>
          <w:color w:val="auto"/>
          <w:highlight w:val="none"/>
        </w:rPr>
        <w:t>五部分 附表</w:t>
      </w:r>
      <w:bookmarkEnd w:id="168"/>
      <w:bookmarkEnd w:id="177"/>
      <w:bookmarkEnd w:id="178"/>
      <w:bookmarkEnd w:id="179"/>
      <w:bookmarkEnd w:id="180"/>
      <w:bookmarkEnd w:id="181"/>
      <w:bookmarkEnd w:id="182"/>
      <w:bookmarkEnd w:id="183"/>
      <w:bookmarkEnd w:id="184"/>
      <w:bookmarkStart w:id="185" w:name="_Toc15396619"/>
    </w:p>
    <w:p>
      <w:pPr>
        <w:pStyle w:val="4"/>
        <w:rPr>
          <w:rFonts w:ascii="仿宋" w:eastAsia="仿宋"/>
          <w:color w:val="auto"/>
          <w:highlight w:val="none"/>
        </w:rPr>
      </w:pPr>
      <w:bookmarkStart w:id="186" w:name="_Toc22121_WPSOffice_Level2"/>
      <w:bookmarkStart w:id="187" w:name="_Toc412_WPSOffice_Level2"/>
      <w:bookmarkStart w:id="188" w:name="_Toc16290_WPSOffice_Level2"/>
      <w:bookmarkStart w:id="189" w:name="_Toc27159_WPSOffice_Level2"/>
      <w:bookmarkStart w:id="190" w:name="_Toc23438_WPSOffice_Level2"/>
      <w:bookmarkStart w:id="191" w:name="_Toc6000_WPSOffice_Level2"/>
      <w:bookmarkStart w:id="192" w:name="_Toc26169_WPSOffice_Level2"/>
      <w:r>
        <w:rPr>
          <w:rFonts w:hint="eastAsia" w:ascii="仿宋" w:eastAsia="仿宋"/>
          <w:b w:val="0"/>
          <w:color w:val="auto"/>
          <w:highlight w:val="none"/>
        </w:rPr>
        <w:t>一、收</w:t>
      </w:r>
      <w:r>
        <w:rPr>
          <w:rStyle w:val="18"/>
          <w:rFonts w:hint="eastAsia" w:ascii="仿宋" w:eastAsia="仿宋"/>
          <w:b w:val="0"/>
          <w:bCs w:val="0"/>
          <w:color w:val="auto"/>
          <w:highlight w:val="none"/>
        </w:rPr>
        <w:t>入支出决算总表</w:t>
      </w:r>
      <w:bookmarkEnd w:id="185"/>
      <w:bookmarkEnd w:id="186"/>
      <w:bookmarkEnd w:id="187"/>
      <w:bookmarkEnd w:id="188"/>
      <w:bookmarkEnd w:id="189"/>
      <w:bookmarkEnd w:id="190"/>
      <w:bookmarkEnd w:id="191"/>
      <w:bookmarkEnd w:id="192"/>
    </w:p>
    <w:p>
      <w:pPr>
        <w:pStyle w:val="4"/>
        <w:rPr>
          <w:rFonts w:ascii="仿宋" w:eastAsia="仿宋"/>
          <w:color w:val="auto"/>
          <w:highlight w:val="none"/>
        </w:rPr>
      </w:pPr>
      <w:bookmarkStart w:id="193" w:name="_Toc17053_WPSOffice_Level2"/>
      <w:bookmarkStart w:id="194" w:name="_Toc15396620"/>
      <w:bookmarkStart w:id="195" w:name="_Toc16841_WPSOffice_Level2"/>
      <w:bookmarkStart w:id="196" w:name="_Toc666_WPSOffice_Level2"/>
      <w:bookmarkStart w:id="197" w:name="_Toc4223_WPSOffice_Level2"/>
      <w:bookmarkStart w:id="198" w:name="_Toc2100_WPSOffice_Level2"/>
      <w:bookmarkStart w:id="199" w:name="_Toc9098_WPSOffice_Level2"/>
      <w:bookmarkStart w:id="200" w:name="_Toc18690_WPSOffice_Level2"/>
      <w:r>
        <w:rPr>
          <w:rFonts w:hint="eastAsia" w:ascii="仿宋" w:eastAsia="仿宋"/>
          <w:b w:val="0"/>
          <w:color w:val="auto"/>
          <w:highlight w:val="none"/>
        </w:rPr>
        <w:t>二、收</w:t>
      </w:r>
      <w:r>
        <w:rPr>
          <w:rStyle w:val="18"/>
          <w:rFonts w:hint="eastAsia" w:ascii="仿宋" w:eastAsia="仿宋"/>
          <w:b w:val="0"/>
          <w:bCs w:val="0"/>
          <w:color w:val="auto"/>
          <w:highlight w:val="none"/>
        </w:rPr>
        <w:t>入决算表</w:t>
      </w:r>
      <w:bookmarkEnd w:id="193"/>
      <w:bookmarkEnd w:id="194"/>
      <w:bookmarkEnd w:id="195"/>
      <w:bookmarkEnd w:id="196"/>
      <w:bookmarkEnd w:id="197"/>
      <w:bookmarkEnd w:id="198"/>
      <w:bookmarkEnd w:id="199"/>
      <w:bookmarkEnd w:id="200"/>
    </w:p>
    <w:p>
      <w:pPr>
        <w:pStyle w:val="4"/>
        <w:rPr>
          <w:rFonts w:ascii="仿宋" w:eastAsia="仿宋"/>
          <w:color w:val="auto"/>
          <w:highlight w:val="none"/>
        </w:rPr>
      </w:pPr>
      <w:bookmarkStart w:id="201" w:name="_Toc14568_WPSOffice_Level2"/>
      <w:bookmarkStart w:id="202" w:name="_Toc15396621"/>
      <w:bookmarkStart w:id="203" w:name="_Toc10693_WPSOffice_Level2"/>
      <w:bookmarkStart w:id="204" w:name="_Toc19095_WPSOffice_Level2"/>
      <w:bookmarkStart w:id="205" w:name="_Toc31043_WPSOffice_Level2"/>
      <w:bookmarkStart w:id="206" w:name="_Toc18306_WPSOffice_Level2"/>
      <w:bookmarkStart w:id="207" w:name="_Toc28922_WPSOffice_Level2"/>
      <w:bookmarkStart w:id="208" w:name="_Toc3451_WPSOffice_Level2"/>
      <w:r>
        <w:rPr>
          <w:rStyle w:val="18"/>
          <w:rFonts w:hint="eastAsia" w:ascii="仿宋" w:eastAsia="仿宋"/>
          <w:b w:val="0"/>
          <w:bCs w:val="0"/>
          <w:color w:val="auto"/>
          <w:highlight w:val="none"/>
        </w:rPr>
        <w:t>三、</w:t>
      </w:r>
      <w:r>
        <w:rPr>
          <w:rFonts w:hint="eastAsia" w:ascii="仿宋" w:eastAsia="仿宋"/>
          <w:b w:val="0"/>
          <w:color w:val="auto"/>
          <w:highlight w:val="none"/>
        </w:rPr>
        <w:t>支</w:t>
      </w:r>
      <w:r>
        <w:rPr>
          <w:rStyle w:val="18"/>
          <w:rFonts w:hint="eastAsia" w:ascii="仿宋" w:eastAsia="仿宋"/>
          <w:b w:val="0"/>
          <w:bCs w:val="0"/>
          <w:color w:val="auto"/>
          <w:highlight w:val="none"/>
        </w:rPr>
        <w:t>出决算表</w:t>
      </w:r>
      <w:bookmarkEnd w:id="201"/>
      <w:bookmarkEnd w:id="202"/>
      <w:bookmarkEnd w:id="203"/>
      <w:bookmarkEnd w:id="204"/>
      <w:bookmarkEnd w:id="205"/>
      <w:bookmarkEnd w:id="206"/>
      <w:bookmarkEnd w:id="207"/>
      <w:bookmarkEnd w:id="208"/>
    </w:p>
    <w:p>
      <w:pPr>
        <w:pStyle w:val="4"/>
        <w:rPr>
          <w:rFonts w:ascii="仿宋" w:eastAsia="仿宋"/>
          <w:b w:val="0"/>
          <w:color w:val="auto"/>
          <w:highlight w:val="none"/>
        </w:rPr>
      </w:pPr>
      <w:bookmarkStart w:id="209" w:name="_Toc17030_WPSOffice_Level2"/>
      <w:bookmarkStart w:id="210" w:name="_Toc4789_WPSOffice_Level2"/>
      <w:bookmarkStart w:id="211" w:name="_Toc19110_WPSOffice_Level2"/>
      <w:bookmarkStart w:id="212" w:name="_Toc13617_WPSOffice_Level2"/>
      <w:bookmarkStart w:id="213" w:name="_Toc15396622"/>
      <w:bookmarkStart w:id="214" w:name="_Toc7491_WPSOffice_Level2"/>
      <w:bookmarkStart w:id="215" w:name="_Toc13463_WPSOffice_Level2"/>
      <w:bookmarkStart w:id="216" w:name="_Toc29252_WPSOffice_Level2"/>
      <w:r>
        <w:rPr>
          <w:rStyle w:val="18"/>
          <w:rFonts w:hint="eastAsia" w:ascii="仿宋" w:eastAsia="仿宋"/>
          <w:b w:val="0"/>
          <w:bCs w:val="0"/>
          <w:color w:val="auto"/>
          <w:highlight w:val="none"/>
        </w:rPr>
        <w:t>四、</w:t>
      </w:r>
      <w:r>
        <w:rPr>
          <w:rFonts w:hint="eastAsia" w:ascii="仿宋" w:eastAsia="仿宋"/>
          <w:b w:val="0"/>
          <w:color w:val="auto"/>
          <w:highlight w:val="none"/>
        </w:rPr>
        <w:t>财</w:t>
      </w:r>
      <w:r>
        <w:rPr>
          <w:rStyle w:val="18"/>
          <w:rFonts w:hint="eastAsia" w:ascii="仿宋" w:eastAsia="仿宋"/>
          <w:b w:val="0"/>
          <w:bCs w:val="0"/>
          <w:color w:val="auto"/>
          <w:highlight w:val="none"/>
        </w:rPr>
        <w:t>政拨款收入支出决算总表</w:t>
      </w:r>
      <w:bookmarkEnd w:id="209"/>
      <w:bookmarkEnd w:id="210"/>
      <w:bookmarkEnd w:id="211"/>
      <w:bookmarkEnd w:id="212"/>
      <w:bookmarkEnd w:id="213"/>
      <w:bookmarkEnd w:id="214"/>
      <w:bookmarkEnd w:id="215"/>
      <w:bookmarkEnd w:id="216"/>
    </w:p>
    <w:p>
      <w:pPr>
        <w:pStyle w:val="4"/>
        <w:rPr>
          <w:rStyle w:val="18"/>
          <w:rFonts w:ascii="仿宋" w:eastAsia="仿宋"/>
          <w:b w:val="0"/>
          <w:bCs w:val="0"/>
          <w:color w:val="auto"/>
          <w:highlight w:val="none"/>
        </w:rPr>
      </w:pPr>
      <w:bookmarkStart w:id="217" w:name="_Toc16425_WPSOffice_Level2"/>
      <w:bookmarkStart w:id="218" w:name="_Toc18589_WPSOffice_Level2"/>
      <w:bookmarkStart w:id="219" w:name="_Toc15396623"/>
      <w:bookmarkStart w:id="220" w:name="_Toc26088_WPSOffice_Level2"/>
      <w:bookmarkStart w:id="221" w:name="_Toc25172_WPSOffice_Level2"/>
      <w:bookmarkStart w:id="222" w:name="_Toc30388_WPSOffice_Level2"/>
      <w:bookmarkStart w:id="223" w:name="_Toc8549_WPSOffice_Level2"/>
      <w:bookmarkStart w:id="224" w:name="_Toc1091_WPSOffice_Level2"/>
      <w:r>
        <w:rPr>
          <w:rStyle w:val="18"/>
          <w:rFonts w:hint="eastAsia" w:ascii="仿宋" w:eastAsia="仿宋"/>
          <w:b w:val="0"/>
          <w:bCs w:val="0"/>
          <w:color w:val="auto"/>
          <w:highlight w:val="none"/>
        </w:rPr>
        <w:t>五、</w:t>
      </w:r>
      <w:r>
        <w:rPr>
          <w:rFonts w:hint="eastAsia" w:ascii="仿宋" w:eastAsia="仿宋"/>
          <w:b w:val="0"/>
          <w:color w:val="auto"/>
          <w:highlight w:val="none"/>
        </w:rPr>
        <w:t>财</w:t>
      </w:r>
      <w:r>
        <w:rPr>
          <w:rStyle w:val="18"/>
          <w:rFonts w:hint="eastAsia" w:ascii="仿宋" w:eastAsia="仿宋"/>
          <w:b w:val="0"/>
          <w:bCs w:val="0"/>
          <w:color w:val="auto"/>
          <w:highlight w:val="none"/>
        </w:rPr>
        <w:t>政拨款支出决算明细表</w:t>
      </w:r>
      <w:bookmarkEnd w:id="217"/>
      <w:bookmarkEnd w:id="218"/>
      <w:bookmarkEnd w:id="219"/>
      <w:bookmarkEnd w:id="220"/>
      <w:bookmarkEnd w:id="221"/>
      <w:bookmarkEnd w:id="222"/>
      <w:bookmarkEnd w:id="223"/>
      <w:bookmarkEnd w:id="224"/>
      <w:bookmarkStart w:id="225" w:name="_Toc15396624"/>
    </w:p>
    <w:p>
      <w:pPr>
        <w:pStyle w:val="4"/>
        <w:rPr>
          <w:rFonts w:ascii="仿宋" w:eastAsia="仿宋"/>
          <w:color w:val="auto"/>
          <w:highlight w:val="none"/>
        </w:rPr>
      </w:pPr>
      <w:bookmarkStart w:id="226" w:name="_Toc21555_WPSOffice_Level2"/>
      <w:bookmarkStart w:id="227" w:name="_Toc12342_WPSOffice_Level2"/>
      <w:bookmarkStart w:id="228" w:name="_Toc13291_WPSOffice_Level2"/>
      <w:bookmarkStart w:id="229" w:name="_Toc16041_WPSOffice_Level2"/>
      <w:bookmarkStart w:id="230" w:name="_Toc22840_WPSOffice_Level2"/>
      <w:bookmarkStart w:id="231" w:name="_Toc17579_WPSOffice_Level2"/>
      <w:bookmarkStart w:id="232" w:name="_Toc18533_WPSOffice_Level2"/>
      <w:r>
        <w:rPr>
          <w:rStyle w:val="18"/>
          <w:rFonts w:hint="eastAsia" w:ascii="仿宋" w:eastAsia="仿宋"/>
          <w:b w:val="0"/>
          <w:bCs w:val="0"/>
          <w:color w:val="auto"/>
          <w:highlight w:val="none"/>
        </w:rPr>
        <w:t>六、</w:t>
      </w:r>
      <w:r>
        <w:rPr>
          <w:rFonts w:hint="eastAsia" w:ascii="仿宋" w:eastAsia="仿宋"/>
          <w:b w:val="0"/>
          <w:color w:val="auto"/>
          <w:highlight w:val="none"/>
        </w:rPr>
        <w:t>一</w:t>
      </w:r>
      <w:r>
        <w:rPr>
          <w:rStyle w:val="18"/>
          <w:rFonts w:hint="eastAsia" w:ascii="仿宋" w:eastAsia="仿宋"/>
          <w:b w:val="0"/>
          <w:bCs w:val="0"/>
          <w:color w:val="auto"/>
          <w:highlight w:val="none"/>
        </w:rPr>
        <w:t>般公共预算财政拨款支出决算表</w:t>
      </w:r>
      <w:bookmarkEnd w:id="225"/>
      <w:bookmarkEnd w:id="226"/>
      <w:bookmarkEnd w:id="227"/>
      <w:bookmarkEnd w:id="228"/>
      <w:bookmarkEnd w:id="229"/>
      <w:bookmarkEnd w:id="230"/>
      <w:bookmarkEnd w:id="231"/>
      <w:bookmarkEnd w:id="232"/>
    </w:p>
    <w:p>
      <w:pPr>
        <w:pStyle w:val="4"/>
        <w:rPr>
          <w:rFonts w:ascii="仿宋" w:eastAsia="仿宋"/>
          <w:color w:val="auto"/>
          <w:highlight w:val="none"/>
        </w:rPr>
      </w:pPr>
      <w:bookmarkStart w:id="233" w:name="_Toc6802_WPSOffice_Level2"/>
      <w:bookmarkStart w:id="234" w:name="_Toc1675_WPSOffice_Level2"/>
      <w:bookmarkStart w:id="235" w:name="_Toc10325_WPSOffice_Level2"/>
      <w:bookmarkStart w:id="236" w:name="_Toc4580_WPSOffice_Level2"/>
      <w:bookmarkStart w:id="237" w:name="_Toc5299_WPSOffice_Level2"/>
      <w:bookmarkStart w:id="238" w:name="_Toc31686_WPSOffice_Level2"/>
      <w:bookmarkStart w:id="239" w:name="_Toc15396625"/>
      <w:bookmarkStart w:id="240" w:name="_Toc979_WPSOffice_Level2"/>
      <w:r>
        <w:rPr>
          <w:rStyle w:val="18"/>
          <w:rFonts w:hint="eastAsia" w:ascii="仿宋" w:eastAsia="仿宋"/>
          <w:b w:val="0"/>
          <w:bCs w:val="0"/>
          <w:color w:val="auto"/>
          <w:highlight w:val="none"/>
        </w:rPr>
        <w:t>七、</w:t>
      </w:r>
      <w:r>
        <w:rPr>
          <w:rFonts w:hint="eastAsia" w:ascii="仿宋" w:eastAsia="仿宋"/>
          <w:b w:val="0"/>
          <w:color w:val="auto"/>
          <w:highlight w:val="none"/>
        </w:rPr>
        <w:t>一</w:t>
      </w:r>
      <w:r>
        <w:rPr>
          <w:rStyle w:val="18"/>
          <w:rFonts w:hint="eastAsia" w:ascii="仿宋" w:eastAsia="仿宋"/>
          <w:b w:val="0"/>
          <w:bCs w:val="0"/>
          <w:color w:val="auto"/>
          <w:highlight w:val="none"/>
        </w:rPr>
        <w:t>般公共预算财政拨款支出决算明细表</w:t>
      </w:r>
      <w:bookmarkEnd w:id="233"/>
      <w:bookmarkEnd w:id="234"/>
      <w:bookmarkEnd w:id="235"/>
      <w:bookmarkEnd w:id="236"/>
      <w:bookmarkEnd w:id="237"/>
      <w:bookmarkEnd w:id="238"/>
      <w:bookmarkEnd w:id="239"/>
      <w:bookmarkEnd w:id="240"/>
    </w:p>
    <w:p>
      <w:pPr>
        <w:pStyle w:val="4"/>
        <w:rPr>
          <w:rFonts w:ascii="仿宋" w:eastAsia="仿宋"/>
          <w:color w:val="auto"/>
          <w:highlight w:val="none"/>
        </w:rPr>
      </w:pPr>
      <w:bookmarkStart w:id="241" w:name="_Toc15396626"/>
      <w:bookmarkStart w:id="242" w:name="_Toc30493_WPSOffice_Level2"/>
      <w:bookmarkStart w:id="243" w:name="_Toc21348_WPSOffice_Level2"/>
      <w:bookmarkStart w:id="244" w:name="_Toc25902_WPSOffice_Level2"/>
      <w:bookmarkStart w:id="245" w:name="_Toc19821_WPSOffice_Level2"/>
      <w:bookmarkStart w:id="246" w:name="_Toc15688_WPSOffice_Level2"/>
      <w:bookmarkStart w:id="247" w:name="_Toc24958_WPSOffice_Level2"/>
      <w:bookmarkStart w:id="248" w:name="_Toc14846_WPSOffice_Level2"/>
      <w:r>
        <w:rPr>
          <w:rStyle w:val="18"/>
          <w:rFonts w:hint="eastAsia" w:ascii="仿宋" w:eastAsia="仿宋"/>
          <w:b w:val="0"/>
          <w:bCs w:val="0"/>
          <w:color w:val="auto"/>
          <w:highlight w:val="none"/>
        </w:rPr>
        <w:t>八、</w:t>
      </w:r>
      <w:r>
        <w:rPr>
          <w:rFonts w:hint="eastAsia" w:ascii="仿宋" w:eastAsia="仿宋"/>
          <w:b w:val="0"/>
          <w:color w:val="auto"/>
          <w:highlight w:val="none"/>
        </w:rPr>
        <w:t>一</w:t>
      </w:r>
      <w:r>
        <w:rPr>
          <w:rStyle w:val="18"/>
          <w:rFonts w:hint="eastAsia" w:ascii="仿宋" w:eastAsia="仿宋"/>
          <w:b w:val="0"/>
          <w:bCs w:val="0"/>
          <w:color w:val="auto"/>
          <w:highlight w:val="none"/>
        </w:rPr>
        <w:t>般公共预算财政拨款基本支出决算表</w:t>
      </w:r>
      <w:bookmarkEnd w:id="241"/>
      <w:bookmarkEnd w:id="242"/>
      <w:bookmarkEnd w:id="243"/>
      <w:bookmarkEnd w:id="244"/>
      <w:bookmarkEnd w:id="245"/>
      <w:bookmarkEnd w:id="246"/>
      <w:bookmarkEnd w:id="247"/>
      <w:bookmarkEnd w:id="248"/>
    </w:p>
    <w:p>
      <w:pPr>
        <w:pStyle w:val="4"/>
        <w:rPr>
          <w:rFonts w:ascii="仿宋" w:eastAsia="仿宋"/>
          <w:color w:val="auto"/>
          <w:highlight w:val="none"/>
        </w:rPr>
      </w:pPr>
      <w:bookmarkStart w:id="249" w:name="_Toc15396627"/>
      <w:bookmarkStart w:id="250" w:name="_Toc4788_WPSOffice_Level2"/>
      <w:bookmarkStart w:id="251" w:name="_Toc3876_WPSOffice_Level2"/>
      <w:bookmarkStart w:id="252" w:name="_Toc6353_WPSOffice_Level2"/>
      <w:bookmarkStart w:id="253" w:name="_Toc903_WPSOffice_Level2"/>
      <w:bookmarkStart w:id="254" w:name="_Toc20520_WPSOffice_Level2"/>
      <w:bookmarkStart w:id="255" w:name="_Toc18642_WPSOffice_Level2"/>
      <w:bookmarkStart w:id="256" w:name="_Toc21448_WPSOffice_Level2"/>
      <w:r>
        <w:rPr>
          <w:rStyle w:val="18"/>
          <w:rFonts w:hint="eastAsia" w:ascii="仿宋" w:eastAsia="仿宋"/>
          <w:b w:val="0"/>
          <w:bCs w:val="0"/>
          <w:color w:val="auto"/>
          <w:highlight w:val="none"/>
        </w:rPr>
        <w:t>九、</w:t>
      </w:r>
      <w:r>
        <w:rPr>
          <w:rFonts w:hint="eastAsia" w:ascii="仿宋" w:eastAsia="仿宋"/>
          <w:b w:val="0"/>
          <w:color w:val="auto"/>
          <w:highlight w:val="none"/>
        </w:rPr>
        <w:t>一</w:t>
      </w:r>
      <w:r>
        <w:rPr>
          <w:rStyle w:val="18"/>
          <w:rFonts w:hint="eastAsia" w:ascii="仿宋" w:eastAsia="仿宋"/>
          <w:b w:val="0"/>
          <w:bCs w:val="0"/>
          <w:color w:val="auto"/>
          <w:highlight w:val="none"/>
        </w:rPr>
        <w:t>般公共预算财政拨款项目支出决算表</w:t>
      </w:r>
      <w:bookmarkEnd w:id="249"/>
      <w:bookmarkEnd w:id="250"/>
      <w:bookmarkEnd w:id="251"/>
      <w:bookmarkEnd w:id="252"/>
      <w:bookmarkEnd w:id="253"/>
      <w:bookmarkEnd w:id="254"/>
      <w:bookmarkEnd w:id="255"/>
      <w:bookmarkEnd w:id="256"/>
    </w:p>
    <w:p>
      <w:pPr>
        <w:pStyle w:val="4"/>
        <w:rPr>
          <w:rFonts w:ascii="仿宋" w:eastAsia="仿宋"/>
          <w:color w:val="auto"/>
          <w:highlight w:val="none"/>
        </w:rPr>
      </w:pPr>
      <w:bookmarkStart w:id="257" w:name="_Toc15396628"/>
      <w:bookmarkStart w:id="258" w:name="_Toc24582_WPSOffice_Level2"/>
      <w:bookmarkStart w:id="259" w:name="_Toc25503_WPSOffice_Level2"/>
      <w:bookmarkStart w:id="260" w:name="_Toc30739_WPSOffice_Level2"/>
      <w:bookmarkStart w:id="261" w:name="_Toc6917_WPSOffice_Level2"/>
      <w:bookmarkStart w:id="262" w:name="_Toc11695_WPSOffice_Level2"/>
      <w:bookmarkStart w:id="263" w:name="_Toc16700_WPSOffice_Level2"/>
      <w:bookmarkStart w:id="264" w:name="_Toc28472_WPSOffice_Level2"/>
      <w:r>
        <w:rPr>
          <w:rStyle w:val="18"/>
          <w:rFonts w:hint="eastAsia" w:ascii="仿宋" w:eastAsia="仿宋"/>
          <w:b w:val="0"/>
          <w:bCs w:val="0"/>
          <w:color w:val="auto"/>
          <w:highlight w:val="none"/>
        </w:rPr>
        <w:t>十、</w:t>
      </w:r>
      <w:bookmarkEnd w:id="257"/>
      <w:r>
        <w:rPr>
          <w:rFonts w:hint="eastAsia" w:ascii="仿宋" w:eastAsia="仿宋"/>
          <w:b w:val="0"/>
          <w:color w:val="auto"/>
          <w:highlight w:val="none"/>
        </w:rPr>
        <w:t>政</w:t>
      </w:r>
      <w:r>
        <w:rPr>
          <w:rStyle w:val="18"/>
          <w:rFonts w:hint="eastAsia" w:ascii="仿宋" w:eastAsia="仿宋"/>
          <w:b w:val="0"/>
          <w:bCs w:val="0"/>
          <w:color w:val="auto"/>
          <w:highlight w:val="none"/>
        </w:rPr>
        <w:t>府性基金预算财政拨款收入支出决算表</w:t>
      </w:r>
      <w:bookmarkEnd w:id="258"/>
      <w:bookmarkEnd w:id="259"/>
      <w:bookmarkEnd w:id="260"/>
      <w:bookmarkEnd w:id="261"/>
      <w:bookmarkEnd w:id="262"/>
      <w:bookmarkEnd w:id="263"/>
      <w:bookmarkEnd w:id="264"/>
    </w:p>
    <w:p>
      <w:pPr>
        <w:pStyle w:val="4"/>
        <w:rPr>
          <w:rFonts w:ascii="仿宋" w:eastAsia="仿宋"/>
          <w:color w:val="auto"/>
          <w:highlight w:val="none"/>
        </w:rPr>
      </w:pPr>
      <w:bookmarkStart w:id="265" w:name="_Toc15396629"/>
      <w:bookmarkStart w:id="266" w:name="_Toc31994_WPSOffice_Level2"/>
      <w:bookmarkStart w:id="267" w:name="_Toc16752_WPSOffice_Level2"/>
      <w:bookmarkStart w:id="268" w:name="_Toc9142_WPSOffice_Level2"/>
      <w:bookmarkStart w:id="269" w:name="_Toc26970_WPSOffice_Level2"/>
      <w:bookmarkStart w:id="270" w:name="_Toc24659_WPSOffice_Level2"/>
      <w:bookmarkStart w:id="271" w:name="_Toc25789_WPSOffice_Level2"/>
      <w:bookmarkStart w:id="272" w:name="_Toc18800_WPSOffice_Level2"/>
      <w:r>
        <w:rPr>
          <w:rStyle w:val="18"/>
          <w:rFonts w:hint="eastAsia" w:ascii="仿宋" w:eastAsia="仿宋"/>
          <w:b w:val="0"/>
          <w:bCs w:val="0"/>
          <w:color w:val="auto"/>
          <w:highlight w:val="none"/>
        </w:rPr>
        <w:t>十一、</w:t>
      </w:r>
      <w:bookmarkEnd w:id="265"/>
      <w:r>
        <w:rPr>
          <w:rFonts w:hint="eastAsia" w:ascii="仿宋" w:eastAsia="仿宋"/>
          <w:b w:val="0"/>
          <w:color w:val="auto"/>
          <w:highlight w:val="none"/>
        </w:rPr>
        <w:t>国</w:t>
      </w:r>
      <w:r>
        <w:rPr>
          <w:rStyle w:val="18"/>
          <w:rFonts w:hint="eastAsia" w:ascii="仿宋" w:eastAsia="仿宋"/>
          <w:b w:val="0"/>
          <w:bCs w:val="0"/>
          <w:color w:val="auto"/>
          <w:highlight w:val="none"/>
        </w:rPr>
        <w:t>有资本经营预算</w:t>
      </w:r>
      <w:r>
        <w:rPr>
          <w:rStyle w:val="18"/>
          <w:rFonts w:hint="eastAsia" w:ascii="仿宋" w:eastAsia="仿宋"/>
          <w:b w:val="0"/>
          <w:bCs w:val="0"/>
          <w:color w:val="auto"/>
          <w:highlight w:val="none"/>
          <w:lang w:eastAsia="zh-CN"/>
        </w:rPr>
        <w:t>财政拨款收入</w:t>
      </w:r>
      <w:r>
        <w:rPr>
          <w:rStyle w:val="18"/>
          <w:rFonts w:hint="eastAsia" w:ascii="仿宋" w:eastAsia="仿宋"/>
          <w:b w:val="0"/>
          <w:bCs w:val="0"/>
          <w:color w:val="auto"/>
          <w:highlight w:val="none"/>
        </w:rPr>
        <w:t>支出决算表</w:t>
      </w:r>
      <w:bookmarkEnd w:id="266"/>
      <w:bookmarkEnd w:id="267"/>
      <w:bookmarkEnd w:id="268"/>
      <w:bookmarkEnd w:id="269"/>
      <w:bookmarkEnd w:id="270"/>
      <w:bookmarkEnd w:id="271"/>
      <w:bookmarkEnd w:id="272"/>
    </w:p>
    <w:p>
      <w:pPr>
        <w:pStyle w:val="4"/>
        <w:rPr>
          <w:rFonts w:ascii="仿宋" w:eastAsia="仿宋"/>
          <w:color w:val="auto"/>
          <w:highlight w:val="none"/>
        </w:rPr>
      </w:pPr>
      <w:bookmarkStart w:id="273" w:name="_Toc15396630"/>
      <w:bookmarkStart w:id="274" w:name="_Toc10196_WPSOffice_Level2"/>
      <w:bookmarkStart w:id="275" w:name="_Toc32486_WPSOffice_Level2"/>
      <w:bookmarkStart w:id="276" w:name="_Toc23748_WPSOffice_Level2"/>
      <w:bookmarkStart w:id="277" w:name="_Toc14685_WPSOffice_Level2"/>
      <w:bookmarkStart w:id="278" w:name="_Toc32173_WPSOffice_Level2"/>
      <w:bookmarkStart w:id="279" w:name="_Toc19499_WPSOffice_Level2"/>
      <w:bookmarkStart w:id="280" w:name="_Toc16479_WPSOffice_Level2"/>
      <w:r>
        <w:rPr>
          <w:rStyle w:val="18"/>
          <w:rFonts w:hint="eastAsia" w:ascii="仿宋" w:eastAsia="仿宋"/>
          <w:b w:val="0"/>
          <w:bCs w:val="0"/>
          <w:color w:val="auto"/>
          <w:highlight w:val="none"/>
        </w:rPr>
        <w:t>十二、</w:t>
      </w:r>
      <w:bookmarkEnd w:id="273"/>
      <w:r>
        <w:rPr>
          <w:rStyle w:val="18"/>
          <w:rFonts w:hint="eastAsia" w:ascii="仿宋" w:eastAsia="仿宋"/>
          <w:b w:val="0"/>
          <w:bCs w:val="0"/>
          <w:color w:val="auto"/>
          <w:highlight w:val="none"/>
          <w:lang w:eastAsia="zh-CN"/>
        </w:rPr>
        <w:t>国有资本经营预算财政拨款支出决算表</w:t>
      </w:r>
      <w:bookmarkEnd w:id="274"/>
      <w:bookmarkEnd w:id="275"/>
      <w:bookmarkEnd w:id="276"/>
      <w:bookmarkEnd w:id="277"/>
      <w:bookmarkEnd w:id="278"/>
      <w:bookmarkEnd w:id="279"/>
      <w:bookmarkEnd w:id="280"/>
    </w:p>
    <w:p>
      <w:pPr>
        <w:pStyle w:val="4"/>
        <w:rPr>
          <w:rFonts w:hint="eastAsia" w:eastAsia="仿宋"/>
          <w:color w:val="auto"/>
          <w:highlight w:val="none"/>
          <w:lang w:eastAsia="zh-CN"/>
        </w:rPr>
      </w:pPr>
      <w:bookmarkStart w:id="281" w:name="_Toc15396631"/>
      <w:bookmarkStart w:id="282" w:name="_Toc12505_WPSOffice_Level2"/>
      <w:bookmarkStart w:id="283" w:name="_Toc18361_WPSOffice_Level2"/>
      <w:bookmarkStart w:id="284" w:name="_Toc29989_WPSOffice_Level2"/>
      <w:bookmarkStart w:id="285" w:name="_Toc27647_WPSOffice_Level2"/>
      <w:bookmarkStart w:id="286" w:name="_Toc255_WPSOffice_Level2"/>
      <w:bookmarkStart w:id="287" w:name="_Toc30594_WPSOffice_Level2"/>
      <w:bookmarkStart w:id="288" w:name="_Toc26947_WPSOffice_Level2"/>
      <w:r>
        <w:rPr>
          <w:rStyle w:val="18"/>
          <w:rFonts w:hint="eastAsia" w:ascii="仿宋" w:eastAsia="仿宋"/>
          <w:b w:val="0"/>
          <w:bCs w:val="0"/>
          <w:color w:val="auto"/>
          <w:highlight w:val="none"/>
        </w:rPr>
        <w:t>十三、</w:t>
      </w:r>
      <w:bookmarkEnd w:id="281"/>
      <w:r>
        <w:rPr>
          <w:rStyle w:val="18"/>
          <w:rFonts w:hint="eastAsia" w:ascii="仿宋" w:eastAsia="仿宋"/>
          <w:b w:val="0"/>
          <w:bCs w:val="0"/>
          <w:color w:val="auto"/>
          <w:highlight w:val="none"/>
          <w:lang w:eastAsia="zh-CN"/>
        </w:rPr>
        <w:t>财政拨款“三公”经费支出决算表</w:t>
      </w:r>
      <w:bookmarkEnd w:id="282"/>
      <w:bookmarkEnd w:id="283"/>
      <w:bookmarkEnd w:id="284"/>
      <w:bookmarkEnd w:id="285"/>
      <w:bookmarkEnd w:id="286"/>
      <w:bookmarkEnd w:id="287"/>
      <w:bookmarkEnd w:id="288"/>
    </w:p>
    <w:p/>
    <w:sectPr>
      <w:footerReference r:id="rId5" w:type="firs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EluIbAICAAAKBAAADgAAAAAAAAABACAAAAAfAQAAZHJzL2Uyb0Rv&#10;Yy54bWxQSwUGAAAAAAYABgBZAQAAkwU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D9R+woAQIAAAoEAAAOAAAAAAAAAAEAIAAAAB8BAABkcnMvZTJvRG9j&#10;LnhtbFBLBQYAAAAABgAGAFkBAACS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1">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2">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9ADCABA"/>
    <w:multiLevelType w:val="singleLevel"/>
    <w:tmpl w:val="59ADCABA"/>
    <w:lvl w:ilvl="0" w:tentative="0">
      <w:start w:val="3"/>
      <w:numFmt w:val="chineseCounting"/>
      <w:suff w:val="nothing"/>
      <w:lvlText w:val="（%1）"/>
      <w:lvlJc w:val="left"/>
      <w:pPr>
        <w:ind w:left="0" w:firstLine="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doNotUseIndentAsNumberingTabStop/>
    <w:useAltKinsokuLineBreakRules/>
    <w:compatSetting w:name="compatibilityMode" w:uri="http://schemas.microsoft.com/office/word" w:val="15"/>
  </w:compat>
  <w:docVars>
    <w:docVar w:name="commondata" w:val="eyJoZGlkIjoiZTBiNzA2ZjIyZTQwZmFmZGMwZjhhNjI3NTM3OGRmYjAifQ=="/>
  </w:docVars>
  <w:rsids>
    <w:rsidRoot w:val="00000000"/>
    <w:rsid w:val="33ED161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18"/>
    <w:autoRedefine/>
    <w:qFormat/>
    <w:uiPriority w:val="0"/>
    <w:pPr>
      <w:keepNext/>
      <w:keepLines/>
      <w:widowControl w:val="0"/>
      <w:spacing w:before="260" w:after="260" w:line="415" w:lineRule="auto"/>
      <w:outlineLvl w:val="1"/>
    </w:pPr>
    <w:rPr>
      <w:rFonts w:ascii="Calibri Light" w:hAnsi="Calibri Light"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sz w:val="32"/>
    </w:rPr>
  </w:style>
  <w:style w:type="character" w:default="1" w:styleId="15">
    <w:name w:val="Default Paragraph Font"/>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Body Text Inden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200" w:firstLineChars="200"/>
    </w:pPr>
  </w:style>
  <w:style w:type="paragraph" w:styleId="8">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1">
    <w:name w:val="toc 2"/>
    <w:basedOn w:val="1"/>
    <w:next w:val="1"/>
    <w:autoRedefine/>
    <w:qFormat/>
    <w:uiPriority w:val="0"/>
    <w:pPr>
      <w:tabs>
        <w:tab w:val="right" w:leader="dot" w:pos="8296"/>
      </w:tabs>
      <w:ind w:left="200" w:leftChars="200"/>
    </w:pPr>
  </w:style>
  <w:style w:type="paragraph" w:styleId="12">
    <w:name w:val="Normal (Web)"/>
    <w:basedOn w:val="1"/>
    <w:autoRedefine/>
    <w:qFormat/>
    <w:uiPriority w:val="0"/>
    <w:pPr>
      <w:widowControl w:val="0"/>
      <w:suppressAutoHyphens/>
    </w:pPr>
    <w:rPr>
      <w:rFonts w:ascii="Calibri" w:hAnsi="Calibri" w:eastAsia="宋体" w:cs="Times New Roman"/>
      <w:sz w:val="24"/>
      <w:szCs w:val="24"/>
    </w:r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autoRedefine/>
    <w:qFormat/>
    <w:uiPriority w:val="0"/>
    <w:rPr>
      <w:b/>
    </w:rPr>
  </w:style>
  <w:style w:type="character" w:customStyle="1" w:styleId="17">
    <w:name w:val="heading 1 Char"/>
    <w:basedOn w:val="15"/>
    <w:link w:val="3"/>
    <w:autoRedefine/>
    <w:qFormat/>
    <w:uiPriority w:val="0"/>
    <w:rPr>
      <w:rFonts w:ascii="Times New Roman" w:hAnsi="Times New Roman" w:eastAsia="宋体" w:cs="Times New Roman"/>
      <w:b/>
      <w:bCs/>
      <w:kern w:val="44"/>
      <w:sz w:val="44"/>
      <w:szCs w:val="44"/>
      <w:lang w:val="en-US" w:eastAsia="zh-CN" w:bidi="ar-SA"/>
    </w:rPr>
  </w:style>
  <w:style w:type="character" w:customStyle="1" w:styleId="18">
    <w:name w:val="heading 2 Char"/>
    <w:basedOn w:val="15"/>
    <w:link w:val="4"/>
    <w:autoRedefine/>
    <w:qFormat/>
    <w:uiPriority w:val="0"/>
    <w:rPr>
      <w:rFonts w:ascii="Calibri Light" w:hAnsi="Calibri Light" w:eastAsia="宋体" w:cs="Times New Roman"/>
      <w:b/>
      <w:bCs/>
      <w:kern w:val="2"/>
      <w:sz w:val="32"/>
      <w:szCs w:val="32"/>
      <w:lang w:val="en-US" w:eastAsia="zh-CN" w:bidi="ar-SA"/>
    </w:rPr>
  </w:style>
  <w:style w:type="paragraph" w:styleId="19">
    <w:name w:val="List Paragraph"/>
    <w:basedOn w:val="1"/>
    <w:qFormat/>
    <w:uiPriority w:val="0"/>
    <w:pPr>
      <w:ind w:firstLine="200" w:firstLineChars="200"/>
    </w:pPr>
  </w:style>
  <w:style w:type="paragraph" w:customStyle="1" w:styleId="2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480964"/>
          <c:y val="0.102756895"/>
          <c:w val="0.8278729"/>
          <c:h val="0.6376566"/>
        </c:manualLayout>
      </c:layout>
      <c:barChart>
        <c:barDir val="col"/>
        <c:grouping val="clustered"/>
        <c:varyColors val="0"/>
        <c:ser>
          <c:idx val="0"/>
          <c:order val="0"/>
          <c:tx>
            <c:strRef>
              <c:f>2021年</c:f>
              <c:strCache>
                <c:ptCount val="1"/>
                <c:pt idx="0">
                  <c:v>2021年</c:v>
                </c:pt>
              </c:strCache>
            </c:strRef>
          </c:tx>
          <c:spPr>
            <a:solidFill>
              <a:srgbClr val="5B9BD5">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{178.73,178.73}</c:f>
              <c:numCache>
                <c:formatCode>0.00_ </c:formatCode>
                <c:ptCount val="2"/>
                <c:pt idx="0">
                  <c:v>178.73</c:v>
                </c:pt>
                <c:pt idx="1">
                  <c:v>178.73</c:v>
                </c:pt>
              </c:numCache>
            </c:numRef>
          </c:val>
        </c:ser>
        <c:ser>
          <c:idx val="1"/>
          <c:order val="1"/>
          <c:tx>
            <c:strRef>
              <c:f>2022年</c:f>
              <c:strCache>
                <c:ptCount val="1"/>
                <c:pt idx="0">
                  <c:v>2022年</c:v>
                </c:pt>
              </c:strCache>
            </c:strRef>
          </c:tx>
          <c:spPr>
            <a:solidFill>
              <a:srgbClr val="ED7D31">
                <a:alpha val="85000"/>
              </a:srgbClr>
            </a:solidFill>
            <a:ln w="12700">
              <a:solidFill>
                <a:srgbClr val="FFFFFF"/>
              </a:solidFill>
              <a:prstDash val="solid"/>
            </a:ln>
          </c:spPr>
          <c:invertIfNegative val="0"/>
          <c:dLbls>
            <c:numFmt formatCode="0.00_ "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{"收入","支出"}</c:f>
              <c:strCache>
                <c:ptCount val="2"/>
                <c:pt idx="0">
                  <c:v>收入</c:v>
                </c:pt>
                <c:pt idx="1">
                  <c:v>支出</c:v>
                </c:pt>
              </c:strCache>
            </c:strRef>
          </c:cat>
          <c:val>
            <c:numRef>
              <c:f>{108.58,108.58}</c:f>
              <c:numCache>
                <c:formatCode>0.00_ </c:formatCode>
                <c:ptCount val="2"/>
                <c:pt idx="0">
                  <c:v>108.58</c:v>
                </c:pt>
                <c:pt idx="1">
                  <c:v>108.58</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0"/>
        <c:majorTickMark val="out"/>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0"/>
        <c:axPos val="l"/>
        <c:numFmt formatCode="0.00_ "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880905"/>
          <c:y val="0.19861111"/>
          <c:w val="0.9388889"/>
          <c:h val="0.64560187"/>
        </c:manualLayout>
      </c:layout>
      <c:pieChart>
        <c:varyColors val="1"/>
        <c:ser>
          <c:idx val="0"/>
          <c:order val="0"/>
          <c:spPr>
            <a:ln>
              <a:noFill/>
            </a:ln>
          </c:spPr>
          <c:explosion val="0"/>
          <c:dPt>
            <c:idx val="0"/>
            <c:bubble3D val="0"/>
            <c:spPr>
              <a:solidFill>
                <a:srgbClr val="5B9BD5"/>
              </a:solidFill>
              <a:ln>
                <a:noFill/>
              </a:ln>
              <a:effectLst>
                <a:outerShdw dist="35921" dir="2700000" algn="br">
                  <a:srgbClr val="000000"/>
                </a:outerShdw>
              </a:effectLst>
            </c:spPr>
          </c:dPt>
          <c:dPt>
            <c:idx val="1"/>
            <c:bubble3D val="0"/>
            <c:explosion val="27"/>
            <c:spPr>
              <a:solidFill>
                <a:srgbClr val="ED7D31"/>
              </a:solidFill>
              <a:ln>
                <a:noFill/>
              </a:ln>
              <a:effectLst>
                <a:outerShdw dist="35921" dir="2700000" algn="br">
                  <a:srgbClr val="000000"/>
                </a:outerShdw>
              </a:effectLst>
            </c:spPr>
          </c:dPt>
          <c:dPt>
            <c:idx val="2"/>
            <c:bubble3D val="0"/>
            <c:explosion val="21"/>
            <c:spPr>
              <a:solidFill>
                <a:srgbClr val="A5A5A5"/>
              </a:solidFill>
              <a:ln>
                <a:noFill/>
              </a:ln>
              <a:effectLst>
                <a:outerShdw dist="35921" dir="2700000" algn="br">
                  <a:srgbClr val="000000"/>
                </a:outerShdw>
              </a:effectLst>
            </c:spPr>
          </c:dPt>
          <c:dLbls>
            <c:dLbl>
              <c:idx val="0"/>
              <c:layout>
                <c:manualLayout>
                  <c:x val="-0.14486924"/>
                  <c:y val="-0.2286835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财政拨款收入74.43%</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政府性基金6.36%</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extLst>
                <c:ext xmlns:c15="http://schemas.microsoft.com/office/drawing/2012/chart" uri="{CE6537A1-D6FC-4f65-9D91-7224C49458BB}"/>
              </c:extLst>
            </c:dLbl>
            <c:dLbl>
              <c:idx val="2"/>
              <c:layout>
                <c:manualLayout>
                  <c:x val="0.13220935"/>
                  <c:y val="-0.010641895"/>
                </c:manualLayout>
              </c:layout>
              <c:tx>
                <c:rich>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000000"/>
                        </a:solidFill>
                        <a:latin typeface="Times New Roman" panose="02020603050405020304"/>
                        <a:ea typeface="宋体" panose="02010600030101010101" charset="-122"/>
                        <a:cs typeface="Arial" panose="020B0604020202020204" pitchFamily="2"/>
                      </a:rPr>
                      <a:t>事业收入25.57%</a:t>
                    </a:r>
                    <a:endParaRPr lang="zh-CN" sz="9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{80.82,#N/A,27.76}</c:f>
              <c:numCache>
                <c:formatCode>General</c:formatCode>
                <c:ptCount val="3"/>
                <c:pt idx="0">
                  <c:v>80.82</c:v>
                </c:pt>
                <c:pt idx="2">
                  <c:v>27.76</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{"财政拨款收入","","事业收入"}</c:f>
              <c:strCache>
                <c:ptCount val="3"/>
                <c:pt idx="0">
                  <c:v>财政拨款收入</c:v>
                </c:pt>
                <c:pt idx="2">
                  <c:v>事业收入</c:v>
                </c:pt>
              </c:strCache>
            </c:strRef>
          </c:cat>
          <c:val>
            <c:numRef>
              <c:f>{0.7443,#N/A,0.2557}</c:f>
              <c:numCache>
                <c:formatCode>General</c:formatCode>
                <c:ptCount val="3"/>
                <c:pt idx="0">
                  <c:v>0.7443</c:v>
                </c:pt>
                <c:pt idx="2">
                  <c:v>0.2557</c:v>
                </c:pt>
              </c:numCache>
            </c:numRef>
          </c:val>
        </c:ser>
        <c:dLbls>
          <c:showLegendKey val="0"/>
          <c:showVal val="0"/>
          <c:showCatName val="0"/>
          <c:showSerName val="0"/>
          <c:showPercent val="1"/>
          <c:showBubbleSize val="0"/>
          <c:showLeaderLines val="1"/>
        </c:dLbls>
        <c:firstSliceAng val="0"/>
      </c:pieChart>
      <c:spPr>
        <a:noFill/>
        <a:ln>
          <a:noFill/>
        </a:ln>
      </c:spPr>
    </c:plotArea>
    <c:legend>
      <c:legendPos val="b"/>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overlay val="0"/>
      <c:spPr>
        <a:solidFill>
          <a:srgbClr val="FFFFFF">
            <a:alpha val="78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pattFill prst="pct5">
      <a:fgClr>
        <a:srgbClr val="F2F2F2"/>
      </a:fgClr>
      <a:bgClr>
        <a:srgbClr val="FFFFFF"/>
      </a:bgClr>
    </a:patt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446115"/>
          <c:y val="0.22005376"/>
          <c:w val="0.91541356"/>
          <c:h val="0.60155314"/>
        </c:manualLayout>
      </c:layout>
      <c:pieChart>
        <c:varyColors val="1"/>
        <c:ser>
          <c:idx val="0"/>
          <c:order val="0"/>
          <c:spPr>
            <a:ln>
              <a:noFill/>
            </a:ln>
          </c:spPr>
          <c:explosion val="0"/>
          <c:dPt>
            <c:idx val="0"/>
            <c:bubble3D val="0"/>
            <c:spPr>
              <a:solidFill>
                <a:srgbClr val="5B9BD5"/>
              </a:solidFill>
              <a:ln w="25400">
                <a:solidFill>
                  <a:srgbClr val="FFFFFF"/>
                </a:solidFill>
                <a:prstDash val="solid"/>
              </a:ln>
            </c:spPr>
          </c:dPt>
          <c:dPt>
            <c:idx val="1"/>
            <c:bubble3D val="0"/>
            <c:explosion val="25"/>
            <c:spPr>
              <a:solidFill>
                <a:srgbClr val="ED7D31"/>
              </a:solidFill>
              <a:ln w="25400">
                <a:solidFill>
                  <a:srgbClr val="FFFFFF"/>
                </a:solidFill>
                <a:prstDash val="solid"/>
              </a:ln>
            </c:spPr>
          </c:dPt>
          <c:dPt>
            <c:idx val="2"/>
            <c:bubble3D val="0"/>
            <c:spPr>
              <a:solidFill>
                <a:srgbClr val="A5A5A5"/>
              </a:solidFill>
              <a:ln w="25400">
                <a:solidFill>
                  <a:srgbClr val="FFFFFF"/>
                </a:solidFill>
                <a:prstDash val="solid"/>
              </a:ln>
            </c:spPr>
          </c:dPt>
          <c:dLbls>
            <c:dLbl>
              <c:idx val="0"/>
              <c:layout>
                <c:manualLayout>
                  <c:x val="-0.15640903"/>
                  <c:y val="-0.25398636"/>
                </c:manualLayout>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基本支出98.42%</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900" b="1" i="0" u="none" strike="noStrike" baseline="0">
                        <a:solidFill>
                          <a:srgbClr val="404040"/>
                        </a:solidFill>
                        <a:latin typeface="Times New Roman" panose="02020603050405020304"/>
                        <a:ea typeface="宋体" panose="02010600030101010101" charset="-122"/>
                        <a:cs typeface="Arial" panose="020B0604020202020204" pitchFamily="2"/>
                      </a:rPr>
                      <a:t>项目支出1.58%</a:t>
                    </a:r>
                    <a:endParaRPr lang="zh-CN" sz="900" b="1" i="0" u="none" strike="noStrike" baseline="0">
                      <a:solidFill>
                        <a:srgbClr val="404040"/>
                      </a:solidFill>
                      <a:latin typeface="Times New Roman" panose="02020603050405020304"/>
                      <a:ea typeface="宋体" panose="02010600030101010101" charset="-122"/>
                      <a:cs typeface="Arial" panose="020B0604020202020204" pitchFamily="2"/>
                    </a:endParaRPr>
                  </a:p>
                </c:rich>
              </c:tx>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extLst>
                <c:ext xmlns:c15="http://schemas.microsoft.com/office/drawing/2012/chart" uri="{CE6537A1-D6FC-4f65-9D91-7224C49458BB}"/>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{106.87,1.71,#N/A}</c:f>
              <c:numCache>
                <c:formatCode>General</c:formatCode>
                <c:ptCount val="3"/>
                <c:pt idx="0">
                  <c:v>106.87</c:v>
                </c:pt>
                <c:pt idx="1">
                  <c:v>1.71</c:v>
                </c:pt>
              </c:numCache>
            </c:numRef>
          </c:val>
        </c:ser>
        <c:ser>
          <c:idx val="1"/>
          <c:order val="1"/>
          <c:spPr>
            <a:ln>
              <a:noFill/>
            </a:ln>
          </c:spPr>
          <c:explosion val="0"/>
          <c:dPt>
            <c:idx val="0"/>
            <c:bubble3D val="0"/>
            <c:spPr>
              <a:ln w="25400">
                <a:solidFill>
                  <a:srgbClr val="FFFFFF"/>
                </a:solidFill>
                <a:prstDash val="solid"/>
              </a:ln>
            </c:spPr>
          </c:dPt>
          <c:dPt>
            <c:idx val="1"/>
            <c:bubble3D val="0"/>
            <c:spPr>
              <a:ln w="25400">
                <a:solidFill>
                  <a:srgbClr val="FFFFFF"/>
                </a:solidFill>
                <a:prstDash val="solid"/>
              </a:ln>
            </c:spPr>
          </c:dPt>
          <c:dPt>
            <c:idx val="2"/>
            <c:bubble3D val="0"/>
            <c:spPr>
              <a:ln w="25400">
                <a:solidFill>
                  <a:srgbClr val="FFFFFF"/>
                </a:solidFill>
                <a:prstDash val="solid"/>
              </a:ln>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{"基本支出","项目支出",""}</c:f>
              <c:strCache>
                <c:ptCount val="3"/>
                <c:pt idx="0">
                  <c:v>基本支出</c:v>
                </c:pt>
                <c:pt idx="1">
                  <c:v>项目支出</c:v>
                </c:pt>
              </c:strCache>
            </c:strRef>
          </c:cat>
          <c:val>
            <c:numRef>
              <c:f>{0.9842,0.0158,#N/A}</c:f>
              <c:numCache>
                <c:formatCode>General</c:formatCode>
                <c:ptCount val="3"/>
                <c:pt idx="0">
                  <c:v>0.9842</c:v>
                </c:pt>
                <c:pt idx="1">
                  <c:v>0.0158</c:v>
                </c:pt>
              </c:numCache>
            </c:numRef>
          </c:val>
        </c:ser>
        <c:dLbls>
          <c:showLegendKey val="0"/>
          <c:showVal val="0"/>
          <c:showCatName val="1"/>
          <c:showSerName val="0"/>
          <c:showPercent val="0"/>
          <c:showBubbleSize val="0"/>
          <c:showLeaderLines val="1"/>
        </c:dLbls>
        <c:firstSliceAng val="0"/>
      </c:pieChart>
      <c:spPr>
        <a:noFill/>
        <a:ln>
          <a:noFill/>
        </a:ln>
      </c:spPr>
    </c:plotArea>
    <c:legend>
      <c:legendPos val="b"/>
      <c:layout/>
      <c:overlay val="0"/>
      <c:spPr>
        <a:no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4112166"/>
          <c:y val="0.13500898"/>
          <c:w val="0.92116106"/>
          <c:h val="0.58470374"/>
        </c:manualLayout>
      </c:layout>
      <c:barChart>
        <c:barDir val="col"/>
        <c:grouping val="clustered"/>
        <c:varyColors val="0"/>
        <c:ser>
          <c:idx val="0"/>
          <c:order val="0"/>
          <c:tx>
            <c:strRef>
              <c:f>2021年</c:f>
              <c:strCache>
                <c:ptCount val="1"/>
                <c:pt idx="0">
                  <c:v>2021年</c:v>
                </c:pt>
              </c:strCache>
            </c:strRef>
          </c:tx>
          <c:spPr>
            <a:solidFill>
              <a:srgbClr val="5B9BD5">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{148.16,148.16}</c:f>
              <c:numCache>
                <c:formatCode>General</c:formatCode>
                <c:ptCount val="2"/>
                <c:pt idx="0">
                  <c:v>148.16</c:v>
                </c:pt>
                <c:pt idx="1">
                  <c:v>148.16</c:v>
                </c:pt>
              </c:numCache>
            </c:numRef>
          </c:val>
        </c:ser>
        <c:ser>
          <c:idx val="1"/>
          <c:order val="1"/>
          <c:tx>
            <c:strRef>
              <c:f>2022年</c:f>
              <c:strCache>
                <c:ptCount val="1"/>
                <c:pt idx="0">
                  <c:v>2022年</c:v>
                </c:pt>
              </c:strCache>
            </c:strRef>
          </c:tx>
          <c:spPr>
            <a:solidFill>
              <a:srgbClr val="ED7D31">
                <a:alpha val="85000"/>
              </a:srgbClr>
            </a:solidFill>
            <a:ln w="12700">
              <a:solidFill>
                <a:srgbClr val="FFFFFF"/>
              </a:solidFill>
              <a:prstDash val="solid"/>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{"财政拨款支出","财政拨款收入"}</c:f>
              <c:strCache>
                <c:ptCount val="2"/>
                <c:pt idx="0">
                  <c:v>财政拨款支出</c:v>
                </c:pt>
                <c:pt idx="1">
                  <c:v>财政拨款收入</c:v>
                </c:pt>
              </c:strCache>
            </c:strRef>
          </c:cat>
          <c:val>
            <c:numRef>
              <c:f>{80.82,80.82}</c:f>
              <c:numCache>
                <c:formatCode>General</c:formatCode>
                <c:ptCount val="2"/>
                <c:pt idx="0">
                  <c:v>80.82</c:v>
                </c:pt>
                <c:pt idx="1">
                  <c:v>80.82</c:v>
                </c:pt>
              </c:numCache>
            </c:numRef>
          </c:val>
        </c:ser>
        <c:dLbls>
          <c:showLegendKey val="0"/>
          <c:showVal val="1"/>
          <c:showCatName val="0"/>
          <c:showSerName val="0"/>
          <c:showPercent val="0"/>
          <c:showBubbleSize val="0"/>
        </c:dLbls>
        <c:gapWidth val="65"/>
        <c:axId val="0"/>
        <c:axId val="1"/>
      </c:barChart>
      <c:catAx>
        <c:axId val="0"/>
        <c:scaling>
          <c:orientation val="minMax"/>
        </c:scaling>
        <c:delete val="0"/>
        <c:axPos val="b"/>
        <c:numFmt formatCode="General" sourceLinked="0"/>
        <c:majorTickMark val="none"/>
        <c:minorTickMark val="none"/>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majorGridlines>
          <c:spPr>
            <a:ln w="12700" cap="flat" cmpd="sng" algn="ctr">
              <a:solidFill>
                <a:srgbClr val="868686"/>
              </a:solidFill>
              <a:prstDash val="solid"/>
              <a:round/>
            </a:ln>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legend>
      <c:legendPos val="b"/>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cap="all" baseline="0">
                <a:solidFill>
                  <a:srgbClr val="595959"/>
                </a:solidFill>
                <a:latin typeface="Times New Roman" panose="02020603050405020304"/>
                <a:ea typeface="宋体" panose="02010600030101010101" charset="-122"/>
                <a:cs typeface="Arial" panose="020B0604020202020204" pitchFamily="2"/>
              </a:defRPr>
            </a:pPr>
            <a:r>
              <a:rPr lang="zh-CN"/>
              <a:t>一般公共预算财政拨款支出</a:t>
            </a:r>
            <a:endParaRPr lang="zh-CN"/>
          </a:p>
        </c:rich>
      </c:tx>
      <c:layout>
        <c:manualLayout>
          <c:xMode val="edge"/>
          <c:yMode val="edge"/>
          <c:x val="0.09897611"/>
          <c:y val="0.04027778"/>
        </c:manualLayout>
      </c:layout>
      <c:overlay val="0"/>
      <c:spPr>
        <a:noFill/>
        <a:ln>
          <a:noFill/>
        </a:ln>
      </c:spPr>
    </c:title>
    <c:autoTitleDeleted val="0"/>
    <c:plotArea>
      <c:layout/>
      <c:barChart>
        <c:barDir val="col"/>
        <c:grouping val="stacked"/>
        <c:varyColors val="0"/>
        <c:ser>
          <c:idx val="0"/>
          <c:order val="0"/>
          <c:spPr>
            <a:solidFill>
              <a:srgbClr val="5B9BD5"/>
            </a:solidFill>
            <a:ln>
              <a:noFill/>
            </a:ln>
          </c:spPr>
          <c:invertIfNegative val="0"/>
          <c:dLbls>
            <c:dLbl>
              <c:idx val="1"/>
              <c:layout>
                <c:manualLayout>
                  <c:x val="-0.009636619"/>
                  <c:y val="-0.09583333"/>
                </c:manualLayout>
              </c:layout>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FFFFFF"/>
                    </a:solidFill>
                    <a:latin typeface="Times New Roman" panose="02020603050405020304"/>
                    <a:ea typeface="宋体" panose="02010600030101010101" charset="-122"/>
                    <a:cs typeface="Arial" panose="020B0604020202020204" pitchFamily="2"/>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{"2021年","2022年"}</c:f>
              <c:strCache>
                <c:ptCount val="2"/>
                <c:pt idx="0">
                  <c:v>2021年</c:v>
                </c:pt>
                <c:pt idx="1">
                  <c:v>2022年</c:v>
                </c:pt>
              </c:strCache>
            </c:strRef>
          </c:cat>
          <c:val>
            <c:numRef>
              <c:f>{148.16,79.11}</c:f>
              <c:numCache>
                <c:formatCode>General</c:formatCode>
                <c:ptCount val="2"/>
                <c:pt idx="0">
                  <c:v>148.16</c:v>
                </c:pt>
                <c:pt idx="1">
                  <c:v>79.11</c:v>
                </c:pt>
              </c:numCache>
            </c:numRef>
          </c:val>
        </c:ser>
        <c:dLbls>
          <c:showLegendKey val="0"/>
          <c:showVal val="1"/>
          <c:showCatName val="0"/>
          <c:showSerName val="0"/>
          <c:showPercent val="0"/>
          <c:showBubbleSize val="0"/>
        </c:dLbls>
        <c:gapWidth val="79"/>
        <c:overlap val="100"/>
        <c:axId val="0"/>
        <c:axId val="1"/>
      </c:barChart>
      <c:catAx>
        <c:axId val="0"/>
        <c:scaling>
          <c:orientation val="minMax"/>
        </c:scaling>
        <c:delete val="0"/>
        <c:axPos val="b"/>
        <c:majorGridlines>
          <c:spPr>
            <a:ln w="12700" cap="flat" cmpd="sng" algn="ctr">
              <a:solidFill>
                <a:srgbClr val="D9D9D9"/>
              </a:solidFill>
              <a:prstDash val="solid"/>
              <a:round/>
            </a:ln>
          </c:spPr>
        </c:majorGridlines>
        <c:numFmt formatCode="General" sourceLinked="0"/>
        <c:majorTickMark val="none"/>
        <c:minorTickMark val="none"/>
        <c:tickLblPos val="nextTo"/>
        <c:spPr>
          <a:ln w="12700" cap="flat" cmpd="sng" algn="ctr">
            <a:solidFill>
              <a:srgbClr val="D9D9D9"/>
            </a:solidFill>
            <a:prstDash val="solid"/>
            <a:round/>
          </a:ln>
        </c:spPr>
        <c:txPr>
          <a:bodyPr rot="-60000000" spcFirstLastPara="0" vertOverflow="ellipsis" vert="horz" wrap="square" anchor="ctr" anchorCtr="1"/>
          <a:lstStyle/>
          <a:p>
            <a:pPr>
              <a:defRPr lang="zh-CN" sz="800" b="0" i="0" u="none" strike="noStrike" kern="1200" cap="all"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1"/>
        <c:lblAlgn val="ctr"/>
        <c:lblOffset val="100"/>
        <c:noMultiLvlLbl val="0"/>
      </c:catAx>
      <c:valAx>
        <c:axId val="1"/>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1"/>
    <c:dispBlanksAs val="gap"/>
    <c:showDLblsOverMax val="0"/>
  </c:chart>
  <c:spPr>
    <a:solidFill>
      <a:srgbClr val="FFFFFF"/>
    </a:solidFill>
    <a:ln w="1270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0470935"/>
          <c:y val="0.046783626"/>
          <c:w val="0.6111111"/>
          <c:h val="0.87134504"/>
        </c:manualLayout>
      </c:layout>
      <c:pieChart>
        <c:varyColors val="1"/>
        <c:ser>
          <c:idx val="0"/>
          <c:order val="0"/>
          <c:spPr>
            <a:ln>
              <a:noFill/>
            </a:ln>
          </c:spPr>
          <c:explosion val="0"/>
          <c:dPt>
            <c:idx val="0"/>
            <c:bubble3D val="0"/>
            <c:explosion val="11"/>
            <c:spPr>
              <a:solidFill>
                <a:srgbClr val="5B9BD5"/>
              </a:solidFill>
              <a:ln>
                <a:noFill/>
              </a:ln>
              <a:effectLst>
                <a:outerShdw dist="35921" dir="2700000" algn="br">
                  <a:srgbClr val="000000"/>
                </a:outerShdw>
              </a:effectLst>
            </c:spPr>
          </c:dPt>
          <c:dPt>
            <c:idx val="1"/>
            <c:bubble3D val="0"/>
            <c:explosion val="42"/>
            <c:spPr>
              <a:solidFill>
                <a:srgbClr val="ED7D31"/>
              </a:solidFill>
              <a:ln>
                <a:noFill/>
              </a:ln>
              <a:effectLst>
                <a:outerShdw dist="35921" dir="2700000" algn="br">
                  <a:srgbClr val="000000"/>
                </a:outerShdw>
              </a:effectLst>
            </c:spPr>
          </c:dPt>
          <c:dPt>
            <c:idx val="2"/>
            <c:bubble3D val="0"/>
            <c:explosion val="19"/>
            <c:spPr>
              <a:solidFill>
                <a:srgbClr val="A5A5A5"/>
              </a:solidFill>
              <a:ln>
                <a:noFill/>
              </a:ln>
              <a:effectLst>
                <a:outerShdw dist="35921" dir="2700000" algn="br">
                  <a:srgbClr val="000000"/>
                </a:outerShdw>
              </a:effectLst>
            </c:spPr>
          </c:dPt>
          <c:dLbls>
            <c:dLbl>
              <c:idx val="0"/>
              <c:layout>
                <c:manualLayout>
                  <c:x val="0.046670634"/>
                  <c:y val="0"/>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1000" b="1" i="0" u="none" strike="noStrike" baseline="0">
                        <a:solidFill>
                          <a:srgbClr val="000000"/>
                        </a:solidFill>
                        <a:latin typeface="Times New Roman" panose="02020603050405020304"/>
                        <a:ea typeface="宋体" panose="02010600030101010101" charset="-122"/>
                        <a:cs typeface="Arial" panose="020B0604020202020204" pitchFamily="2"/>
                      </a:rPr>
                      <a:t>社会保障和就业支出14.38%</a:t>
                    </a:r>
                    <a:endParaRPr lang="zh-CN" sz="10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1000" b="1" i="0" u="none" strike="noStrike" baseline="0">
                        <a:solidFill>
                          <a:srgbClr val="000000"/>
                        </a:solidFill>
                        <a:latin typeface="Times New Roman" panose="02020603050405020304"/>
                        <a:ea typeface="宋体" panose="02010600030101010101" charset="-122"/>
                        <a:cs typeface="Arial" panose="020B0604020202020204" pitchFamily="2"/>
                      </a:rPr>
                      <a:t>卫生健康支出75.71%</a:t>
                    </a:r>
                    <a:endParaRPr lang="zh-CN" sz="10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extLst>
                <c:ext xmlns:c15="http://schemas.microsoft.com/office/drawing/2012/chart" uri="{CE6537A1-D6FC-4f65-9D91-7224C49458BB}"/>
              </c:extLst>
            </c:dLbl>
            <c:dLbl>
              <c:idx val="2"/>
              <c:layout>
                <c:manualLayout>
                  <c:x val="-0.036476"/>
                  <c:y val="0.018955473"/>
                </c:manualLayout>
              </c:layout>
              <c:tx>
                <c:rich>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r>
                      <a:rPr lang="zh-CN" sz="1000" b="1" i="0" u="none" strike="noStrike" baseline="0">
                        <a:solidFill>
                          <a:srgbClr val="000000"/>
                        </a:solidFill>
                        <a:latin typeface="Times New Roman" panose="02020603050405020304"/>
                        <a:ea typeface="宋体" panose="02010600030101010101" charset="-122"/>
                        <a:cs typeface="Arial" panose="020B0604020202020204" pitchFamily="2"/>
                      </a:rPr>
                      <a:t>住房保障支出9.91%</a:t>
                    </a:r>
                    <a:endParaRPr lang="zh-CN" sz="1000" b="1" i="0" u="none" strike="noStrike" baseline="0">
                      <a:solidFill>
                        <a:srgbClr val="000000"/>
                      </a:solidFill>
                      <a:latin typeface="Times New Roman" panose="02020603050405020304"/>
                      <a:ea typeface="宋体" panose="02010600030101010101" charset="-122"/>
                      <a:cs typeface="Arial" panose="020B0604020202020204" pitchFamily="2"/>
                    </a:endParaRPr>
                  </a:p>
                </c:rich>
              </c:tx>
              <c:numFmt formatCode="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{11.38,59.9,7.84}</c:f>
              <c:numCache>
                <c:formatCode>General</c:formatCode>
                <c:ptCount val="3"/>
                <c:pt idx="0">
                  <c:v>11.38</c:v>
                </c:pt>
                <c:pt idx="1">
                  <c:v>59.9</c:v>
                </c:pt>
                <c:pt idx="2">
                  <c:v>7.84</c:v>
                </c:pt>
              </c:numCache>
            </c:numRef>
          </c:val>
        </c:ser>
        <c:ser>
          <c:idx val="1"/>
          <c:order val="1"/>
          <c:spPr>
            <a:ln>
              <a:noFill/>
            </a:ln>
          </c:spPr>
          <c:explosion val="0"/>
          <c:dPt>
            <c:idx val="0"/>
            <c:bubble3D val="0"/>
            <c:spPr>
              <a:ln>
                <a:noFill/>
              </a:ln>
              <a:effectLst>
                <a:outerShdw dist="35921" dir="2700000" algn="br">
                  <a:srgbClr val="000000"/>
                </a:outerShdw>
              </a:effectLst>
            </c:spPr>
          </c:dPt>
          <c:dPt>
            <c:idx val="1"/>
            <c:bubble3D val="0"/>
            <c:spPr>
              <a:ln>
                <a:noFill/>
              </a:ln>
              <a:effectLst>
                <a:outerShdw dist="35921" dir="2700000" algn="br">
                  <a:srgbClr val="000000"/>
                </a:outerShdw>
              </a:effectLst>
            </c:spPr>
          </c:dPt>
          <c:dPt>
            <c:idx val="2"/>
            <c:bubble3D val="0"/>
            <c:spPr>
              <a:ln>
                <a:noFill/>
              </a:ln>
              <a:effectLst>
                <a:outerShdw dist="35921" dir="2700000" algn="br">
                  <a:srgbClr val="000000"/>
                </a:outerShdw>
              </a:effectLst>
            </c:spPr>
          </c:dPt>
          <c:dLbls>
            <c:numFmt formatCode="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{"社会保障和就业（类）支出","卫生健康支出","住房保障"}</c:f>
              <c:strCache>
                <c:ptCount val="3"/>
                <c:pt idx="0">
                  <c:v>社会保障和就业（类）支出</c:v>
                </c:pt>
                <c:pt idx="1">
                  <c:v>卫生健康支出</c:v>
                </c:pt>
                <c:pt idx="2">
                  <c:v>住房保障</c:v>
                </c:pt>
              </c:strCache>
            </c:strRef>
          </c:cat>
          <c:val>
            <c:numRef>
              <c:f>{0.1438,0.7571,0.0991}</c:f>
              <c:numCache>
                <c:formatCode>General</c:formatCode>
                <c:ptCount val="3"/>
                <c:pt idx="0">
                  <c:v>0.1438</c:v>
                </c:pt>
                <c:pt idx="1">
                  <c:v>0.7571</c:v>
                </c:pt>
                <c:pt idx="2">
                  <c:v>0.0991</c:v>
                </c:pt>
              </c:numCache>
            </c:numRef>
          </c:val>
        </c:ser>
        <c:dLbls>
          <c:showLegendKey val="0"/>
          <c:showVal val="0"/>
          <c:showCatName val="0"/>
          <c:showSerName val="0"/>
          <c:showPercent val="1"/>
          <c:showBubbleSize val="0"/>
          <c:showLeaderLines val="1"/>
        </c:dLbls>
        <c:firstSliceAng val="0"/>
      </c:pieChart>
      <c:spPr>
        <a:noFill/>
        <a:ln>
          <a:noFill/>
        </a:ln>
      </c:spPr>
    </c:plotArea>
    <c:legend>
      <c:legendPos val="r"/>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Entry>
      <c:layout>
        <c:manualLayout>
          <c:xMode val="edge"/>
          <c:yMode val="edge"/>
          <c:x val="0.638413110625655"/>
          <c:y val="0.221081316632997"/>
          <c:w val="0.301468"/>
          <c:h val="0.5595238"/>
        </c:manualLayout>
      </c:layout>
      <c:overlay val="0"/>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宋体" panose="02010600030101010101" charset="-122"/>
              <a:cs typeface="Arial" panose="020B0604020202020204" pitchFamily="2"/>
            </a:defRPr>
          </a:pPr>
        </a:p>
      </c:txPr>
    </c:legend>
    <c:plotVisOnly val="1"/>
    <c:dispBlanksAs val="gap"/>
    <c:showDLblsOverMax val="0"/>
  </c:chart>
  <c:spPr>
    <a:noFill/>
    <a:ln w="1270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8A79172DFC09493880E973D5AC3A1141_12</vt:lpwstr>
  </property>
</Properties>
</file>

<file path=customXml/item3.xml><?xml version="1.0" encoding="utf-8"?>
<Properties xmlns="http://schemas.openxmlformats.org/officeDocument/2006/extended-properties" xmlns:vt="http://schemas.openxmlformats.org/officeDocument/2006/docPropsVTypes">
  <Template>Normal.eit</Template>
  <Pages>20</Pages>
  <Words>0</Words>
  <Characters>5450</Characters>
  <Lines>0</Lines>
  <Paragraphs>186</Paragraphs>
  <TotalTime>10</TotalTime>
  <ScaleCrop>false</ScaleCrop>
  <LinksUpToDate>false</LinksUpToDate>
  <CharactersWithSpaces>7267</CharactersWithSpaces>
  <Application>WPS Office_12.1.0.16412_F1E327BC-269C-435d-A152-05C5408002CA</Applicat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2023-09-21T10:24:00Z</dcterms:created>
  <dc:creator>魏连春</dc:creator>
  <cp:lastModifiedBy>WPS_1651227375</cp:lastModifiedBy>
  <dcterms:modified xsi:type="dcterms:W3CDTF">2024-07-26T07:06:04Z</dcterms:modified>
  <cp:revision>1</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597f0-3e7d-45f9-8f6a-da30feb8f88c}">
  <ds:schemaRefs/>
</ds:datastoreItem>
</file>

<file path=customXml/itemProps3.xml><?xml version="1.0" encoding="utf-8"?>
<ds:datastoreItem xmlns:ds="http://schemas.openxmlformats.org/officeDocument/2006/customXml" ds:itemID="{006f1be0-4249-4b51-8566-451bf268fc65}">
  <ds:schemaRefs/>
</ds:datastoreItem>
</file>

<file path=customXml/itemProps4.xml><?xml version="1.0" encoding="utf-8"?>
<ds:datastoreItem xmlns:ds="http://schemas.openxmlformats.org/officeDocument/2006/customXml" ds:itemID="{0ded5b18-a0eb-4dba-856b-10a516a3e9dc}">
  <ds:schemaRefs/>
</ds:datastoreItem>
</file>

<file path=docProps/app.xml><?xml version="1.0" encoding="utf-8"?>
<Properties xmlns="http://schemas.openxmlformats.org/officeDocument/2006/extended-properties" xmlns:vt="http://schemas.openxmlformats.org/officeDocument/2006/docPropsVTypes">
  <Template>Normal.eit</Template>
  <Pages>20</Pages>
  <Words>0</Words>
  <Characters>5450</Characters>
  <Lines>0</Lines>
  <Paragraphs>186</Paragraphs>
  <TotalTime>10</TotalTime>
  <ScaleCrop>false</ScaleCrop>
  <LinksUpToDate>false</LinksUpToDate>
  <CharactersWithSpaces>7267</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2023-09-21T10:24:00Z</dcterms:created>
  <dc:creator>魏连春</dc:creator>
  <cp:lastModifiedBy>WPS_1651227375</cp:lastModifiedBy>
  <dcterms:modified xsi:type="dcterms:W3CDTF">2024-08-12T08:08:53Z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8A79172DFC09493880E973D5AC3A1141_12</vt:lpwstr>
  </property>
</Properties>
</file>