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outlineLvl w:val="0"/>
        <w:rPr>
          <w:rFonts w:ascii="方正小标宋简体" w:eastAsia="方正小标宋简体"/>
          <w:color w:val="auto"/>
          <w:sz w:val="21"/>
          <w:szCs w:val="21"/>
          <w:highlight w:val="none"/>
        </w:rPr>
      </w:pPr>
      <w:bookmarkStart w:id="0" w:name="_Toc15306267"/>
    </w:p>
    <w:p>
      <w:pPr>
        <w:spacing w:line="600" w:lineRule="exact"/>
        <w:jc w:val="center"/>
        <w:outlineLvl w:val="0"/>
        <w:rPr>
          <w:rFonts w:ascii="方正小标宋简体" w:eastAsia="方正小标宋简体"/>
          <w:color w:val="auto"/>
          <w:sz w:val="72"/>
          <w:szCs w:val="72"/>
          <w:highlight w:val="none"/>
        </w:rPr>
      </w:pPr>
    </w:p>
    <w:p>
      <w:pPr>
        <w:spacing w:line="600" w:lineRule="exact"/>
        <w:jc w:val="center"/>
        <w:outlineLvl w:val="0"/>
        <w:rPr>
          <w:rFonts w:ascii="方正小标宋简体" w:eastAsia="方正小标宋简体"/>
          <w:color w:val="auto"/>
          <w:sz w:val="72"/>
          <w:szCs w:val="72"/>
          <w:highlight w:val="none"/>
        </w:rPr>
      </w:pPr>
    </w:p>
    <w:p>
      <w:pPr>
        <w:adjustRightInd w:val="0"/>
        <w:snapToGrid w:val="0"/>
        <w:spacing w:line="360" w:lineRule="auto"/>
        <w:jc w:val="center"/>
        <w:outlineLvl w:val="0"/>
        <w:rPr>
          <w:rFonts w:hint="eastAsia" w:ascii="方正小标宋简体" w:eastAsia="方正小标宋简体" w:cs="方正小标宋简体"/>
          <w:color w:val="auto"/>
          <w:sz w:val="72"/>
          <w:szCs w:val="72"/>
          <w:highlight w:val="none"/>
        </w:rPr>
      </w:pPr>
      <w:bookmarkStart w:id="1" w:name="_Toc3766"/>
      <w:bookmarkStart w:id="2" w:name="_Toc15396475"/>
      <w:bookmarkStart w:id="3" w:name="_Toc18683"/>
      <w:bookmarkStart w:id="4" w:name="_Toc15377193"/>
      <w:bookmarkStart w:id="5" w:name="_Toc15378441"/>
      <w:bookmarkStart w:id="6" w:name="_Toc15377425"/>
      <w:bookmarkStart w:id="7" w:name="_Toc15396597"/>
      <w:r>
        <w:rPr>
          <w:rFonts w:hint="eastAsia" w:ascii="方正小标宋简体" w:eastAsia="方正小标宋简体" w:cs="方正小标宋简体"/>
          <w:color w:val="auto"/>
          <w:sz w:val="72"/>
          <w:szCs w:val="72"/>
          <w:highlight w:val="none"/>
        </w:rPr>
        <w:t>20</w:t>
      </w:r>
      <w:r>
        <w:rPr>
          <w:rFonts w:hint="eastAsia" w:ascii="方正小标宋简体" w:eastAsia="方正小标宋简体" w:cs="方正小标宋简体"/>
          <w:color w:val="auto"/>
          <w:sz w:val="72"/>
          <w:szCs w:val="72"/>
          <w:highlight w:val="none"/>
          <w:lang w:val="en-US" w:eastAsia="zh-CN"/>
        </w:rPr>
        <w:t>22</w:t>
      </w:r>
      <w:r>
        <w:rPr>
          <w:rFonts w:hint="eastAsia" w:ascii="方正小标宋简体" w:eastAsia="方正小标宋简体" w:cs="方正小标宋简体"/>
          <w:color w:val="auto"/>
          <w:sz w:val="72"/>
          <w:szCs w:val="72"/>
          <w:highlight w:val="none"/>
        </w:rPr>
        <w:t>年度</w:t>
      </w:r>
      <w:bookmarkEnd w:id="1"/>
      <w:bookmarkEnd w:id="2"/>
      <w:bookmarkEnd w:id="3"/>
      <w:bookmarkEnd w:id="4"/>
      <w:bookmarkEnd w:id="5"/>
      <w:bookmarkEnd w:id="6"/>
      <w:bookmarkEnd w:id="7"/>
    </w:p>
    <w:p>
      <w:pPr>
        <w:adjustRightInd w:val="0"/>
        <w:snapToGrid w:val="0"/>
        <w:spacing w:line="360" w:lineRule="auto"/>
        <w:jc w:val="center"/>
        <w:outlineLvl w:val="0"/>
        <w:rPr>
          <w:rFonts w:ascii="方正小标宋简体" w:eastAsia="方正小标宋简体"/>
          <w:color w:val="auto"/>
          <w:sz w:val="36"/>
          <w:szCs w:val="36"/>
          <w:highlight w:val="none"/>
        </w:rPr>
        <w:sectPr>
          <w:headerReference r:id="rId3" w:type="default"/>
          <w:footerReference r:id="rId4" w:type="default"/>
          <w:pgSz w:w="11906" w:h="16838"/>
          <w:pgMar w:top="1440" w:right="1800" w:bottom="1440" w:left="1800" w:header="851" w:footer="992" w:gutter="0"/>
          <w:pgNumType w:start="1"/>
          <w:cols w:space="720" w:num="1"/>
          <w:titlePg/>
          <w:docGrid w:type="lines" w:linePitch="312" w:charSpace="0"/>
        </w:sectPr>
      </w:pPr>
      <w:bookmarkStart w:id="8" w:name="_Toc15396476"/>
      <w:bookmarkStart w:id="9" w:name="_Toc29003"/>
      <w:bookmarkStart w:id="10" w:name="_Toc3032"/>
      <w:bookmarkStart w:id="11" w:name="_Toc15378442"/>
      <w:bookmarkStart w:id="12" w:name="_Toc15377194"/>
      <w:bookmarkStart w:id="13" w:name="_Toc15377426"/>
      <w:bookmarkStart w:id="14" w:name="_Toc15396598"/>
      <w:r>
        <w:rPr>
          <w:rFonts w:hint="eastAsia" w:ascii="方正小标宋简体" w:eastAsia="方正小标宋简体" w:cs="方正小标宋简体"/>
          <w:color w:val="auto"/>
          <w:sz w:val="72"/>
          <w:szCs w:val="72"/>
          <w:highlight w:val="none"/>
        </w:rPr>
        <w:t>四川省</w:t>
      </w:r>
      <w:bookmarkEnd w:id="0"/>
      <w:bookmarkStart w:id="15" w:name="_Toc15306268"/>
      <w:r>
        <w:rPr>
          <w:rFonts w:ascii="方正小标宋简体" w:eastAsia="方正小标宋简体" w:cs="方正小标宋简体"/>
          <w:color w:val="auto"/>
          <w:sz w:val="72"/>
          <w:szCs w:val="72"/>
          <w:highlight w:val="none"/>
        </w:rPr>
        <w:t>广元市昭化区文村乡卫生院</w:t>
      </w:r>
      <w:r>
        <w:rPr>
          <w:rFonts w:hint="eastAsia" w:ascii="方正小标宋简体" w:eastAsia="方正小标宋简体" w:cs="方正小标宋简体"/>
          <w:color w:val="auto"/>
          <w:sz w:val="72"/>
          <w:szCs w:val="72"/>
          <w:highlight w:val="none"/>
          <w:lang w:eastAsia="zh-CN"/>
        </w:rPr>
        <w:t>单位</w:t>
      </w:r>
      <w:r>
        <w:rPr>
          <w:rFonts w:hint="eastAsia" w:ascii="方正小标宋简体" w:eastAsia="方正小标宋简体" w:cs="方正小标宋简体"/>
          <w:color w:val="auto"/>
          <w:sz w:val="72"/>
          <w:szCs w:val="72"/>
          <w:highlight w:val="none"/>
        </w:rPr>
        <w:t>决算</w:t>
      </w:r>
      <w:bookmarkEnd w:id="8"/>
      <w:bookmarkEnd w:id="9"/>
      <w:bookmarkEnd w:id="10"/>
      <w:bookmarkEnd w:id="11"/>
      <w:bookmarkEnd w:id="12"/>
      <w:bookmarkEnd w:id="13"/>
      <w:bookmarkEnd w:id="14"/>
      <w:bookmarkEnd w:id="15"/>
    </w:p>
    <w:p>
      <w:pPr>
        <w:widowControl/>
        <w:jc w:val="both"/>
        <w:rPr>
          <w:rFonts w:ascii="方正小标宋简体" w:eastAsia="方正小标宋简体"/>
          <w:color w:val="auto"/>
          <w:sz w:val="36"/>
          <w:szCs w:val="36"/>
          <w:highlight w:val="none"/>
        </w:rPr>
      </w:pPr>
    </w:p>
    <w:p>
      <w:pPr>
        <w:widowControl/>
        <w:jc w:val="center"/>
        <w:rPr>
          <w:rFonts w:ascii="黑体" w:eastAsia="黑体" w:cs="Arial"/>
          <w:color w:val="auto"/>
          <w:sz w:val="28"/>
          <w:szCs w:val="28"/>
          <w:highlight w:val="none"/>
        </w:rPr>
      </w:pPr>
      <w:r>
        <w:rPr>
          <w:rFonts w:hint="eastAsia" w:ascii="黑体" w:eastAsia="黑体"/>
          <w:color w:val="auto"/>
          <w:sz w:val="48"/>
          <w:szCs w:val="48"/>
          <w:highlight w:val="none"/>
        </w:rPr>
        <w:t>目录</w:t>
      </w:r>
    </w:p>
    <w:p>
      <w:pPr>
        <w:pStyle w:val="13"/>
        <w:rPr>
          <w:color w:val="auto"/>
          <w:sz w:val="28"/>
          <w:szCs w:val="28"/>
          <w:highlight w:val="none"/>
        </w:rPr>
      </w:pPr>
      <w:r>
        <w:rPr>
          <w:rFonts w:hint="eastAsia"/>
          <w:color w:val="auto"/>
          <w:sz w:val="28"/>
          <w:szCs w:val="28"/>
          <w:highlight w:val="none"/>
        </w:rPr>
        <w:t>公开时间：20</w:t>
      </w:r>
      <w:r>
        <w:rPr>
          <w:rFonts w:hint="eastAsia"/>
          <w:color w:val="auto"/>
          <w:sz w:val="28"/>
          <w:szCs w:val="28"/>
          <w:highlight w:val="none"/>
          <w:lang w:val="en-US" w:eastAsia="zh-CN"/>
        </w:rPr>
        <w:t>23</w:t>
      </w:r>
      <w:r>
        <w:rPr>
          <w:rFonts w:hint="eastAsia"/>
          <w:color w:val="auto"/>
          <w:sz w:val="28"/>
          <w:szCs w:val="28"/>
          <w:highlight w:val="none"/>
        </w:rPr>
        <w:t>年</w:t>
      </w:r>
      <w:r>
        <w:rPr>
          <w:rFonts w:hint="eastAsia"/>
          <w:color w:val="auto"/>
          <w:sz w:val="28"/>
          <w:szCs w:val="28"/>
          <w:highlight w:val="none"/>
          <w:lang w:val="en-US" w:eastAsia="zh-CN"/>
        </w:rPr>
        <w:t>9</w:t>
      </w:r>
      <w:r>
        <w:rPr>
          <w:rFonts w:hint="eastAsia"/>
          <w:color w:val="auto"/>
          <w:sz w:val="28"/>
          <w:szCs w:val="28"/>
          <w:highlight w:val="none"/>
        </w:rPr>
        <w:t>月</w:t>
      </w:r>
      <w:r>
        <w:rPr>
          <w:rFonts w:hint="eastAsia"/>
          <w:color w:val="auto"/>
          <w:sz w:val="28"/>
          <w:szCs w:val="28"/>
          <w:highlight w:val="none"/>
          <w:lang w:val="en-US" w:eastAsia="zh-CN"/>
        </w:rPr>
        <w:t>28</w:t>
      </w:r>
      <w:r>
        <w:rPr>
          <w:rFonts w:hint="eastAsia"/>
          <w:color w:val="auto"/>
          <w:sz w:val="28"/>
          <w:szCs w:val="28"/>
          <w:highlight w:val="none"/>
        </w:rPr>
        <w:t>日</w:t>
      </w:r>
    </w:p>
    <w:sdt>
      <w:sdtPr>
        <w:rPr>
          <w:rFonts w:ascii="宋体" w:hAnsi="宋体" w:eastAsia="宋体" w:cs="Times New Roman"/>
          <w:kern w:val="2"/>
          <w:sz w:val="21"/>
          <w:szCs w:val="24"/>
          <w:lang w:val="en-US" w:eastAsia="zh-CN" w:bidi="ar-SA"/>
        </w:rPr>
        <w:id w:val="147477734"/>
        <w15:color w:val="DBDBDB"/>
        <w:docPartObj>
          <w:docPartGallery w:val="Table of Contents"/>
          <w:docPartUnique/>
        </w:docPartObj>
      </w:sdtPr>
      <w:sdtEndPr>
        <w:rPr>
          <w:rFonts w:ascii="宋体" w:hAnsi="宋体" w:eastAsia="宋体" w:cs="Times New Roman"/>
          <w:kern w:val="2"/>
          <w:sz w:val="21"/>
          <w:szCs w:val="24"/>
          <w:lang w:val="en-US" w:eastAsia="zh-CN" w:bidi="ar-SA"/>
        </w:rPr>
      </w:sdtEndPr>
      <w:sdtContent>
        <w:p>
          <w:pPr>
            <w:spacing w:before="0" w:beforeLines="0" w:after="0" w:afterLines="0" w:line="240" w:lineRule="auto"/>
            <w:ind w:left="0" w:leftChars="0" w:right="0" w:rightChars="0" w:firstLine="0" w:firstLineChars="0"/>
            <w:jc w:val="center"/>
          </w:pPr>
          <w:bookmarkStart w:id="16" w:name="_Toc15377196"/>
        </w:p>
        <w:p>
          <w:pPr>
            <w:pStyle w:val="13"/>
            <w:tabs>
              <w:tab w:val="right" w:leader="dot" w:pos="8306"/>
              <w:tab w:val="clear" w:pos="8296"/>
            </w:tabs>
            <w:jc w:val="both"/>
            <w:rPr>
              <w:rFonts w:hint="eastAsia" w:ascii="黑体" w:hAnsi="黑体" w:eastAsia="黑体" w:cs="黑体"/>
              <w:sz w:val="20"/>
              <w:szCs w:val="20"/>
            </w:rPr>
          </w:pPr>
          <w:r>
            <w:rPr>
              <w:rFonts w:hint="eastAsia" w:ascii="仿宋" w:hAnsi="仿宋" w:eastAsia="仿宋" w:cs="仿宋"/>
              <w:sz w:val="20"/>
              <w:szCs w:val="20"/>
            </w:rPr>
            <w:fldChar w:fldCharType="begin"/>
          </w:r>
          <w:r>
            <w:rPr>
              <w:rFonts w:hint="eastAsia" w:ascii="仿宋" w:hAnsi="仿宋" w:eastAsia="仿宋" w:cs="仿宋"/>
              <w:sz w:val="20"/>
              <w:szCs w:val="20"/>
            </w:rPr>
            <w:instrText xml:space="preserve">TOC \o "1-3" \h \u</w:instrText>
          </w:r>
          <w:r>
            <w:rPr>
              <w:rFonts w:hint="eastAsia" w:ascii="仿宋" w:hAnsi="仿宋" w:eastAsia="仿宋" w:cs="仿宋"/>
              <w:sz w:val="20"/>
              <w:szCs w:val="20"/>
            </w:rPr>
            <w:fldChar w:fldCharType="separate"/>
          </w:r>
          <w:r>
            <w:fldChar w:fldCharType="begin"/>
          </w:r>
          <w:r>
            <w:instrText xml:space="preserve"> HYPERLINK \l "_Toc19536" </w:instrText>
          </w:r>
          <w:r>
            <w:fldChar w:fldCharType="separate"/>
          </w:r>
          <w:r>
            <w:rPr>
              <w:rFonts w:hint="eastAsia" w:ascii="黑体" w:hAnsi="黑体" w:eastAsia="黑体" w:cs="黑体"/>
              <w:sz w:val="20"/>
              <w:szCs w:val="20"/>
              <w:highlight w:val="none"/>
            </w:rPr>
            <w:t xml:space="preserve">第一部分 </w:t>
          </w:r>
          <w:r>
            <w:rPr>
              <w:rFonts w:hint="eastAsia" w:ascii="黑体" w:hAnsi="黑体" w:eastAsia="黑体" w:cs="黑体"/>
              <w:sz w:val="20"/>
              <w:szCs w:val="20"/>
              <w:highlight w:val="none"/>
              <w:lang w:eastAsia="zh-CN"/>
            </w:rPr>
            <w:t>单位</w:t>
          </w:r>
          <w:r>
            <w:rPr>
              <w:rFonts w:hint="eastAsia" w:ascii="黑体" w:hAnsi="黑体" w:eastAsia="黑体" w:cs="黑体"/>
              <w:bCs w:val="0"/>
              <w:sz w:val="20"/>
              <w:szCs w:val="20"/>
              <w:highlight w:val="none"/>
            </w:rPr>
            <w:t>概况</w:t>
          </w:r>
          <w:r>
            <w:rPr>
              <w:rFonts w:hint="eastAsia" w:ascii="黑体" w:hAnsi="黑体" w:eastAsia="黑体" w:cs="黑体"/>
              <w:sz w:val="20"/>
              <w:szCs w:val="20"/>
            </w:rPr>
            <w:tab/>
          </w:r>
          <w:r>
            <w:rPr>
              <w:rFonts w:hint="eastAsia" w:ascii="黑体" w:hAnsi="黑体" w:eastAsia="黑体" w:cs="黑体"/>
              <w:sz w:val="20"/>
              <w:szCs w:val="20"/>
            </w:rPr>
            <w:fldChar w:fldCharType="begin"/>
          </w:r>
          <w:r>
            <w:rPr>
              <w:rFonts w:hint="eastAsia" w:ascii="黑体" w:hAnsi="黑体" w:eastAsia="黑体" w:cs="黑体"/>
              <w:sz w:val="20"/>
              <w:szCs w:val="20"/>
            </w:rPr>
            <w:instrText xml:space="preserve"> PAGEREF _Toc19536 \h </w:instrText>
          </w:r>
          <w:r>
            <w:rPr>
              <w:rFonts w:hint="eastAsia" w:ascii="黑体" w:hAnsi="黑体" w:eastAsia="黑体" w:cs="黑体"/>
              <w:sz w:val="20"/>
              <w:szCs w:val="20"/>
            </w:rPr>
            <w:fldChar w:fldCharType="separate"/>
          </w:r>
          <w:r>
            <w:rPr>
              <w:rFonts w:hint="eastAsia" w:ascii="黑体" w:hAnsi="黑体" w:eastAsia="黑体" w:cs="黑体"/>
              <w:sz w:val="20"/>
              <w:szCs w:val="20"/>
            </w:rPr>
            <w:t>2</w:t>
          </w:r>
          <w:r>
            <w:rPr>
              <w:rFonts w:hint="eastAsia" w:ascii="黑体" w:hAnsi="黑体" w:eastAsia="黑体" w:cs="黑体"/>
              <w:sz w:val="20"/>
              <w:szCs w:val="20"/>
            </w:rPr>
            <w:fldChar w:fldCharType="end"/>
          </w:r>
          <w:r>
            <w:rPr>
              <w:rFonts w:hint="eastAsia" w:ascii="黑体" w:hAnsi="黑体" w:eastAsia="黑体" w:cs="黑体"/>
              <w:sz w:val="20"/>
              <w:szCs w:val="20"/>
            </w:rPr>
            <w:fldChar w:fldCharType="end"/>
          </w:r>
        </w:p>
        <w:p>
          <w:pPr>
            <w:pStyle w:val="13"/>
            <w:tabs>
              <w:tab w:val="right" w:leader="dot" w:pos="8306"/>
              <w:tab w:val="clear" w:pos="8296"/>
            </w:tabs>
            <w:rPr>
              <w:rFonts w:hint="eastAsia" w:ascii="黑体" w:hAnsi="黑体" w:eastAsia="黑体" w:cs="黑体"/>
              <w:sz w:val="20"/>
              <w:szCs w:val="20"/>
            </w:rPr>
          </w:pPr>
          <w:r>
            <w:fldChar w:fldCharType="begin"/>
          </w:r>
          <w:r>
            <w:instrText xml:space="preserve"> HYPERLINK \l "_Toc30559" </w:instrText>
          </w:r>
          <w:r>
            <w:fldChar w:fldCharType="separate"/>
          </w:r>
          <w:r>
            <w:rPr>
              <w:rFonts w:hint="eastAsia" w:ascii="黑体" w:hAnsi="黑体" w:eastAsia="黑体" w:cs="黑体"/>
              <w:bCs/>
              <w:sz w:val="20"/>
              <w:szCs w:val="20"/>
              <w:highlight w:val="none"/>
            </w:rPr>
            <w:t xml:space="preserve">第二部分 </w:t>
          </w:r>
          <w:r>
            <w:rPr>
              <w:rFonts w:hint="eastAsia" w:ascii="黑体" w:hAnsi="黑体" w:eastAsia="黑体" w:cs="黑体"/>
              <w:bCs/>
              <w:sz w:val="20"/>
              <w:szCs w:val="20"/>
              <w:highlight w:val="none"/>
              <w:lang w:val="en-US" w:eastAsia="zh-CN"/>
            </w:rPr>
            <w:t>2022年度</w:t>
          </w:r>
          <w:r>
            <w:rPr>
              <w:rFonts w:hint="eastAsia" w:ascii="黑体" w:hAnsi="黑体" w:eastAsia="黑体" w:cs="黑体"/>
              <w:bCs/>
              <w:sz w:val="20"/>
              <w:szCs w:val="20"/>
              <w:highlight w:val="none"/>
              <w:lang w:eastAsia="zh-CN"/>
            </w:rPr>
            <w:t>单位</w:t>
          </w:r>
          <w:r>
            <w:rPr>
              <w:rFonts w:hint="eastAsia" w:ascii="黑体" w:hAnsi="黑体" w:eastAsia="黑体" w:cs="黑体"/>
              <w:bCs/>
              <w:sz w:val="20"/>
              <w:szCs w:val="20"/>
              <w:highlight w:val="none"/>
            </w:rPr>
            <w:t>决算情况说明</w:t>
          </w:r>
          <w:r>
            <w:rPr>
              <w:rFonts w:hint="eastAsia" w:ascii="黑体" w:hAnsi="黑体" w:eastAsia="黑体" w:cs="黑体"/>
              <w:sz w:val="20"/>
              <w:szCs w:val="20"/>
            </w:rPr>
            <w:tab/>
          </w:r>
          <w:r>
            <w:rPr>
              <w:rFonts w:hint="eastAsia" w:ascii="黑体" w:hAnsi="黑体" w:eastAsia="黑体" w:cs="黑体"/>
              <w:sz w:val="20"/>
              <w:szCs w:val="20"/>
            </w:rPr>
            <w:fldChar w:fldCharType="begin"/>
          </w:r>
          <w:r>
            <w:rPr>
              <w:rFonts w:hint="eastAsia" w:ascii="黑体" w:hAnsi="黑体" w:eastAsia="黑体" w:cs="黑体"/>
              <w:sz w:val="20"/>
              <w:szCs w:val="20"/>
            </w:rPr>
            <w:instrText xml:space="preserve"> PAGEREF _Toc30559 \h </w:instrText>
          </w:r>
          <w:r>
            <w:rPr>
              <w:rFonts w:hint="eastAsia" w:ascii="黑体" w:hAnsi="黑体" w:eastAsia="黑体" w:cs="黑体"/>
              <w:sz w:val="20"/>
              <w:szCs w:val="20"/>
            </w:rPr>
            <w:fldChar w:fldCharType="separate"/>
          </w:r>
          <w:r>
            <w:rPr>
              <w:rFonts w:hint="eastAsia" w:ascii="黑体" w:hAnsi="黑体" w:eastAsia="黑体" w:cs="黑体"/>
              <w:sz w:val="20"/>
              <w:szCs w:val="20"/>
            </w:rPr>
            <w:t>4</w:t>
          </w:r>
          <w:r>
            <w:rPr>
              <w:rFonts w:hint="eastAsia" w:ascii="黑体" w:hAnsi="黑体" w:eastAsia="黑体" w:cs="黑体"/>
              <w:sz w:val="20"/>
              <w:szCs w:val="20"/>
            </w:rPr>
            <w:fldChar w:fldCharType="end"/>
          </w:r>
          <w:r>
            <w:rPr>
              <w:rFonts w:hint="eastAsia" w:ascii="黑体" w:hAnsi="黑体" w:eastAsia="黑体" w:cs="黑体"/>
              <w:sz w:val="20"/>
              <w:szCs w:val="20"/>
            </w:rPr>
            <w:fldChar w:fldCharType="end"/>
          </w:r>
        </w:p>
        <w:p>
          <w:pPr>
            <w:pStyle w:val="14"/>
            <w:tabs>
              <w:tab w:val="right" w:leader="dot" w:pos="8306"/>
              <w:tab w:val="clear" w:pos="8296"/>
            </w:tabs>
            <w:rPr>
              <w:rFonts w:hint="eastAsia" w:ascii="黑体" w:hAnsi="黑体" w:eastAsia="黑体" w:cs="黑体"/>
              <w:sz w:val="20"/>
              <w:szCs w:val="20"/>
            </w:rPr>
          </w:pPr>
          <w:r>
            <w:fldChar w:fldCharType="begin"/>
          </w:r>
          <w:r>
            <w:instrText xml:space="preserve"> HYPERLINK \l "_Toc13452" </w:instrText>
          </w:r>
          <w:r>
            <w:fldChar w:fldCharType="separate"/>
          </w:r>
          <w:r>
            <w:rPr>
              <w:rFonts w:hint="eastAsia" w:ascii="黑体" w:hAnsi="黑体" w:eastAsia="黑体" w:cs="黑体"/>
              <w:sz w:val="20"/>
              <w:szCs w:val="20"/>
            </w:rPr>
            <w:t xml:space="preserve">一、 </w:t>
          </w:r>
          <w:r>
            <w:rPr>
              <w:rFonts w:hint="eastAsia" w:ascii="黑体" w:hAnsi="黑体" w:eastAsia="黑体" w:cs="黑体"/>
              <w:sz w:val="20"/>
              <w:szCs w:val="20"/>
              <w:highlight w:val="none"/>
            </w:rPr>
            <w:t>收入支出决算总体情况说明</w:t>
          </w:r>
          <w:r>
            <w:rPr>
              <w:rFonts w:hint="eastAsia" w:ascii="黑体" w:hAnsi="黑体" w:eastAsia="黑体" w:cs="黑体"/>
              <w:sz w:val="20"/>
              <w:szCs w:val="20"/>
            </w:rPr>
            <w:tab/>
          </w:r>
          <w:r>
            <w:rPr>
              <w:rFonts w:hint="eastAsia" w:ascii="黑体" w:hAnsi="黑体" w:eastAsia="黑体" w:cs="黑体"/>
              <w:sz w:val="20"/>
              <w:szCs w:val="20"/>
            </w:rPr>
            <w:fldChar w:fldCharType="begin"/>
          </w:r>
          <w:r>
            <w:rPr>
              <w:rFonts w:hint="eastAsia" w:ascii="黑体" w:hAnsi="黑体" w:eastAsia="黑体" w:cs="黑体"/>
              <w:sz w:val="20"/>
              <w:szCs w:val="20"/>
            </w:rPr>
            <w:instrText xml:space="preserve"> PAGEREF _Toc13452 \h </w:instrText>
          </w:r>
          <w:r>
            <w:rPr>
              <w:rFonts w:hint="eastAsia" w:ascii="黑体" w:hAnsi="黑体" w:eastAsia="黑体" w:cs="黑体"/>
              <w:sz w:val="20"/>
              <w:szCs w:val="20"/>
            </w:rPr>
            <w:fldChar w:fldCharType="separate"/>
          </w:r>
          <w:r>
            <w:rPr>
              <w:rFonts w:hint="eastAsia" w:ascii="黑体" w:hAnsi="黑体" w:eastAsia="黑体" w:cs="黑体"/>
              <w:sz w:val="20"/>
              <w:szCs w:val="20"/>
            </w:rPr>
            <w:t>4</w:t>
          </w:r>
          <w:r>
            <w:rPr>
              <w:rFonts w:hint="eastAsia" w:ascii="黑体" w:hAnsi="黑体" w:eastAsia="黑体" w:cs="黑体"/>
              <w:sz w:val="20"/>
              <w:szCs w:val="20"/>
            </w:rPr>
            <w:fldChar w:fldCharType="end"/>
          </w:r>
          <w:r>
            <w:rPr>
              <w:rFonts w:hint="eastAsia" w:ascii="黑体" w:hAnsi="黑体" w:eastAsia="黑体" w:cs="黑体"/>
              <w:sz w:val="20"/>
              <w:szCs w:val="20"/>
            </w:rPr>
            <w:fldChar w:fldCharType="end"/>
          </w:r>
        </w:p>
        <w:p>
          <w:pPr>
            <w:pStyle w:val="14"/>
            <w:tabs>
              <w:tab w:val="right" w:leader="dot" w:pos="8306"/>
              <w:tab w:val="clear" w:pos="8296"/>
            </w:tabs>
            <w:rPr>
              <w:rFonts w:hint="eastAsia" w:ascii="黑体" w:hAnsi="黑体" w:eastAsia="黑体" w:cs="黑体"/>
              <w:sz w:val="20"/>
              <w:szCs w:val="20"/>
            </w:rPr>
          </w:pPr>
          <w:r>
            <w:fldChar w:fldCharType="begin"/>
          </w:r>
          <w:r>
            <w:instrText xml:space="preserve"> HYPERLINK \l "_Toc19281" </w:instrText>
          </w:r>
          <w:r>
            <w:fldChar w:fldCharType="separate"/>
          </w:r>
          <w:r>
            <w:rPr>
              <w:rFonts w:hint="eastAsia" w:ascii="黑体" w:hAnsi="黑体" w:eastAsia="黑体" w:cs="黑体"/>
              <w:sz w:val="20"/>
              <w:szCs w:val="20"/>
              <w:highlight w:val="none"/>
            </w:rPr>
            <w:t>二、收入决算情况说明</w:t>
          </w:r>
          <w:r>
            <w:rPr>
              <w:rFonts w:hint="eastAsia" w:ascii="黑体" w:hAnsi="黑体" w:eastAsia="黑体" w:cs="黑体"/>
              <w:sz w:val="20"/>
              <w:szCs w:val="20"/>
            </w:rPr>
            <w:tab/>
          </w:r>
          <w:r>
            <w:rPr>
              <w:rFonts w:hint="eastAsia" w:ascii="黑体" w:hAnsi="黑体" w:eastAsia="黑体" w:cs="黑体"/>
              <w:sz w:val="20"/>
              <w:szCs w:val="20"/>
            </w:rPr>
            <w:fldChar w:fldCharType="begin"/>
          </w:r>
          <w:r>
            <w:rPr>
              <w:rFonts w:hint="eastAsia" w:ascii="黑体" w:hAnsi="黑体" w:eastAsia="黑体" w:cs="黑体"/>
              <w:sz w:val="20"/>
              <w:szCs w:val="20"/>
            </w:rPr>
            <w:instrText xml:space="preserve"> PAGEREF _Toc19281 \h </w:instrText>
          </w:r>
          <w:r>
            <w:rPr>
              <w:rFonts w:hint="eastAsia" w:ascii="黑体" w:hAnsi="黑体" w:eastAsia="黑体" w:cs="黑体"/>
              <w:sz w:val="20"/>
              <w:szCs w:val="20"/>
            </w:rPr>
            <w:fldChar w:fldCharType="separate"/>
          </w:r>
          <w:r>
            <w:rPr>
              <w:rFonts w:hint="eastAsia" w:ascii="黑体" w:hAnsi="黑体" w:eastAsia="黑体" w:cs="黑体"/>
              <w:sz w:val="20"/>
              <w:szCs w:val="20"/>
            </w:rPr>
            <w:t>4</w:t>
          </w:r>
          <w:r>
            <w:rPr>
              <w:rFonts w:hint="eastAsia" w:ascii="黑体" w:hAnsi="黑体" w:eastAsia="黑体" w:cs="黑体"/>
              <w:sz w:val="20"/>
              <w:szCs w:val="20"/>
            </w:rPr>
            <w:fldChar w:fldCharType="end"/>
          </w:r>
          <w:r>
            <w:rPr>
              <w:rFonts w:hint="eastAsia" w:ascii="黑体" w:hAnsi="黑体" w:eastAsia="黑体" w:cs="黑体"/>
              <w:sz w:val="20"/>
              <w:szCs w:val="20"/>
            </w:rPr>
            <w:fldChar w:fldCharType="end"/>
          </w:r>
        </w:p>
        <w:p>
          <w:pPr>
            <w:pStyle w:val="14"/>
            <w:tabs>
              <w:tab w:val="right" w:leader="dot" w:pos="8306"/>
              <w:tab w:val="clear" w:pos="8296"/>
            </w:tabs>
            <w:rPr>
              <w:rFonts w:hint="eastAsia" w:ascii="黑体" w:hAnsi="黑体" w:eastAsia="黑体" w:cs="黑体"/>
              <w:sz w:val="20"/>
              <w:szCs w:val="20"/>
            </w:rPr>
          </w:pPr>
          <w:r>
            <w:fldChar w:fldCharType="begin"/>
          </w:r>
          <w:r>
            <w:instrText xml:space="preserve"> HYPERLINK \l "_Toc12005" </w:instrText>
          </w:r>
          <w:r>
            <w:fldChar w:fldCharType="separate"/>
          </w:r>
          <w:r>
            <w:rPr>
              <w:rFonts w:hint="eastAsia" w:ascii="黑体" w:hAnsi="黑体" w:eastAsia="黑体" w:cs="黑体"/>
              <w:sz w:val="20"/>
              <w:szCs w:val="20"/>
              <w:highlight w:val="none"/>
            </w:rPr>
            <w:t>三、支出决算情况说明</w:t>
          </w:r>
          <w:r>
            <w:rPr>
              <w:rFonts w:hint="eastAsia" w:ascii="黑体" w:hAnsi="黑体" w:eastAsia="黑体" w:cs="黑体"/>
              <w:sz w:val="20"/>
              <w:szCs w:val="20"/>
            </w:rPr>
            <w:tab/>
          </w:r>
          <w:r>
            <w:rPr>
              <w:rFonts w:hint="eastAsia" w:ascii="黑体" w:hAnsi="黑体" w:eastAsia="黑体" w:cs="黑体"/>
              <w:sz w:val="20"/>
              <w:szCs w:val="20"/>
            </w:rPr>
            <w:fldChar w:fldCharType="begin"/>
          </w:r>
          <w:r>
            <w:rPr>
              <w:rFonts w:hint="eastAsia" w:ascii="黑体" w:hAnsi="黑体" w:eastAsia="黑体" w:cs="黑体"/>
              <w:sz w:val="20"/>
              <w:szCs w:val="20"/>
            </w:rPr>
            <w:instrText xml:space="preserve"> PAGEREF _Toc12005 \h </w:instrText>
          </w:r>
          <w:r>
            <w:rPr>
              <w:rFonts w:hint="eastAsia" w:ascii="黑体" w:hAnsi="黑体" w:eastAsia="黑体" w:cs="黑体"/>
              <w:sz w:val="20"/>
              <w:szCs w:val="20"/>
            </w:rPr>
            <w:fldChar w:fldCharType="separate"/>
          </w:r>
          <w:r>
            <w:rPr>
              <w:rFonts w:hint="eastAsia" w:ascii="黑体" w:hAnsi="黑体" w:eastAsia="黑体" w:cs="黑体"/>
              <w:sz w:val="20"/>
              <w:szCs w:val="20"/>
            </w:rPr>
            <w:t>5</w:t>
          </w:r>
          <w:r>
            <w:rPr>
              <w:rFonts w:hint="eastAsia" w:ascii="黑体" w:hAnsi="黑体" w:eastAsia="黑体" w:cs="黑体"/>
              <w:sz w:val="20"/>
              <w:szCs w:val="20"/>
            </w:rPr>
            <w:fldChar w:fldCharType="end"/>
          </w:r>
          <w:r>
            <w:rPr>
              <w:rFonts w:hint="eastAsia" w:ascii="黑体" w:hAnsi="黑体" w:eastAsia="黑体" w:cs="黑体"/>
              <w:sz w:val="20"/>
              <w:szCs w:val="20"/>
            </w:rPr>
            <w:fldChar w:fldCharType="end"/>
          </w:r>
        </w:p>
        <w:p>
          <w:pPr>
            <w:pStyle w:val="14"/>
            <w:tabs>
              <w:tab w:val="right" w:leader="dot" w:pos="8306"/>
              <w:tab w:val="clear" w:pos="8296"/>
            </w:tabs>
            <w:rPr>
              <w:rFonts w:hint="eastAsia" w:ascii="黑体" w:hAnsi="黑体" w:eastAsia="黑体" w:cs="黑体"/>
              <w:sz w:val="20"/>
              <w:szCs w:val="20"/>
            </w:rPr>
          </w:pPr>
          <w:r>
            <w:fldChar w:fldCharType="begin"/>
          </w:r>
          <w:r>
            <w:instrText xml:space="preserve"> HYPERLINK \l "_Toc11933" </w:instrText>
          </w:r>
          <w:r>
            <w:fldChar w:fldCharType="separate"/>
          </w:r>
          <w:r>
            <w:rPr>
              <w:rFonts w:hint="eastAsia" w:ascii="黑体" w:hAnsi="黑体" w:eastAsia="黑体" w:cs="黑体"/>
              <w:sz w:val="20"/>
              <w:szCs w:val="20"/>
              <w:highlight w:val="none"/>
            </w:rPr>
            <w:t>四、财政拨款收入支出决算总体情况说明</w:t>
          </w:r>
          <w:r>
            <w:rPr>
              <w:rFonts w:hint="eastAsia" w:ascii="黑体" w:hAnsi="黑体" w:eastAsia="黑体" w:cs="黑体"/>
              <w:sz w:val="20"/>
              <w:szCs w:val="20"/>
            </w:rPr>
            <w:tab/>
          </w:r>
          <w:r>
            <w:rPr>
              <w:rFonts w:hint="eastAsia" w:ascii="黑体" w:hAnsi="黑体" w:eastAsia="黑体" w:cs="黑体"/>
              <w:sz w:val="20"/>
              <w:szCs w:val="20"/>
            </w:rPr>
            <w:fldChar w:fldCharType="begin"/>
          </w:r>
          <w:r>
            <w:rPr>
              <w:rFonts w:hint="eastAsia" w:ascii="黑体" w:hAnsi="黑体" w:eastAsia="黑体" w:cs="黑体"/>
              <w:sz w:val="20"/>
              <w:szCs w:val="20"/>
            </w:rPr>
            <w:instrText xml:space="preserve"> PAGEREF _Toc11933 \h </w:instrText>
          </w:r>
          <w:r>
            <w:rPr>
              <w:rFonts w:hint="eastAsia" w:ascii="黑体" w:hAnsi="黑体" w:eastAsia="黑体" w:cs="黑体"/>
              <w:sz w:val="20"/>
              <w:szCs w:val="20"/>
            </w:rPr>
            <w:fldChar w:fldCharType="separate"/>
          </w:r>
          <w:r>
            <w:rPr>
              <w:rFonts w:hint="eastAsia" w:ascii="黑体" w:hAnsi="黑体" w:eastAsia="黑体" w:cs="黑体"/>
              <w:sz w:val="20"/>
              <w:szCs w:val="20"/>
            </w:rPr>
            <w:t>5</w:t>
          </w:r>
          <w:r>
            <w:rPr>
              <w:rFonts w:hint="eastAsia" w:ascii="黑体" w:hAnsi="黑体" w:eastAsia="黑体" w:cs="黑体"/>
              <w:sz w:val="20"/>
              <w:szCs w:val="20"/>
            </w:rPr>
            <w:fldChar w:fldCharType="end"/>
          </w:r>
          <w:r>
            <w:rPr>
              <w:rFonts w:hint="eastAsia" w:ascii="黑体" w:hAnsi="黑体" w:eastAsia="黑体" w:cs="黑体"/>
              <w:sz w:val="20"/>
              <w:szCs w:val="20"/>
            </w:rPr>
            <w:fldChar w:fldCharType="end"/>
          </w:r>
        </w:p>
        <w:p>
          <w:pPr>
            <w:pStyle w:val="14"/>
            <w:tabs>
              <w:tab w:val="right" w:leader="dot" w:pos="8306"/>
              <w:tab w:val="clear" w:pos="8296"/>
            </w:tabs>
            <w:rPr>
              <w:rFonts w:hint="eastAsia" w:ascii="仿宋" w:hAnsi="仿宋" w:eastAsia="仿宋" w:cs="仿宋"/>
              <w:sz w:val="20"/>
              <w:szCs w:val="20"/>
            </w:rPr>
          </w:pPr>
          <w:r>
            <w:fldChar w:fldCharType="begin"/>
          </w:r>
          <w:r>
            <w:instrText xml:space="preserve"> HYPERLINK \l "_Toc16268" </w:instrText>
          </w:r>
          <w:r>
            <w:fldChar w:fldCharType="separate"/>
          </w:r>
          <w:r>
            <w:rPr>
              <w:rFonts w:hint="eastAsia" w:ascii="黑体" w:hAnsi="黑体" w:eastAsia="黑体" w:cs="黑体"/>
              <w:sz w:val="20"/>
              <w:szCs w:val="20"/>
              <w:highlight w:val="none"/>
            </w:rPr>
            <w:t>五、一般公共预算财政拨款支出决算情况说明</w:t>
          </w:r>
          <w:r>
            <w:rPr>
              <w:rFonts w:hint="eastAsia" w:ascii="黑体" w:hAnsi="黑体" w:eastAsia="黑体" w:cs="黑体"/>
              <w:sz w:val="20"/>
              <w:szCs w:val="20"/>
            </w:rPr>
            <w:tab/>
          </w:r>
          <w:r>
            <w:rPr>
              <w:rFonts w:hint="eastAsia" w:ascii="黑体" w:hAnsi="黑体" w:eastAsia="黑体" w:cs="黑体"/>
              <w:sz w:val="20"/>
              <w:szCs w:val="20"/>
            </w:rPr>
            <w:fldChar w:fldCharType="begin"/>
          </w:r>
          <w:r>
            <w:rPr>
              <w:rFonts w:hint="eastAsia" w:ascii="黑体" w:hAnsi="黑体" w:eastAsia="黑体" w:cs="黑体"/>
              <w:sz w:val="20"/>
              <w:szCs w:val="20"/>
            </w:rPr>
            <w:instrText xml:space="preserve"> PAGEREF _Toc16268 \h </w:instrText>
          </w:r>
          <w:r>
            <w:rPr>
              <w:rFonts w:hint="eastAsia" w:ascii="黑体" w:hAnsi="黑体" w:eastAsia="黑体" w:cs="黑体"/>
              <w:sz w:val="20"/>
              <w:szCs w:val="20"/>
            </w:rPr>
            <w:fldChar w:fldCharType="separate"/>
          </w:r>
          <w:r>
            <w:rPr>
              <w:rFonts w:hint="eastAsia" w:ascii="黑体" w:hAnsi="黑体" w:eastAsia="黑体" w:cs="黑体"/>
              <w:sz w:val="20"/>
              <w:szCs w:val="20"/>
            </w:rPr>
            <w:t>6</w:t>
          </w:r>
          <w:r>
            <w:rPr>
              <w:rFonts w:hint="eastAsia" w:ascii="黑体" w:hAnsi="黑体" w:eastAsia="黑体" w:cs="黑体"/>
              <w:sz w:val="20"/>
              <w:szCs w:val="20"/>
            </w:rPr>
            <w:fldChar w:fldCharType="end"/>
          </w:r>
          <w:r>
            <w:rPr>
              <w:rFonts w:hint="eastAsia" w:ascii="黑体" w:hAnsi="黑体" w:eastAsia="黑体" w:cs="黑体"/>
              <w:sz w:val="20"/>
              <w:szCs w:val="20"/>
            </w:rPr>
            <w:fldChar w:fldCharType="end"/>
          </w:r>
        </w:p>
        <w:p>
          <w:pPr>
            <w:pStyle w:val="9"/>
            <w:tabs>
              <w:tab w:val="right" w:leader="dot" w:pos="8306"/>
              <w:tab w:val="clear" w:pos="8296"/>
            </w:tabs>
            <w:rPr>
              <w:rFonts w:hint="eastAsia" w:ascii="仿宋" w:hAnsi="仿宋" w:eastAsia="仿宋" w:cs="仿宋"/>
              <w:sz w:val="20"/>
              <w:szCs w:val="20"/>
            </w:rPr>
          </w:pPr>
          <w:r>
            <w:fldChar w:fldCharType="begin"/>
          </w:r>
          <w:r>
            <w:instrText xml:space="preserve"> HYPERLINK \l "_Toc830" </w:instrText>
          </w:r>
          <w:r>
            <w:fldChar w:fldCharType="separate"/>
          </w:r>
          <w:r>
            <w:rPr>
              <w:rFonts w:hint="eastAsia" w:ascii="仿宋" w:hAnsi="仿宋" w:eastAsia="仿宋" w:cs="仿宋"/>
              <w:sz w:val="20"/>
              <w:szCs w:val="20"/>
              <w:highlight w:val="none"/>
            </w:rPr>
            <w:t>（一）一般公共预算财政拨款支出决算总体情况</w:t>
          </w:r>
          <w:r>
            <w:rPr>
              <w:rFonts w:hint="eastAsia" w:ascii="仿宋" w:hAnsi="仿宋" w:eastAsia="仿宋" w:cs="仿宋"/>
              <w:sz w:val="20"/>
              <w:szCs w:val="20"/>
            </w:rPr>
            <w:tab/>
          </w:r>
          <w:r>
            <w:rPr>
              <w:rFonts w:hint="eastAsia" w:ascii="仿宋" w:hAnsi="仿宋" w:eastAsia="仿宋" w:cs="仿宋"/>
              <w:sz w:val="20"/>
              <w:szCs w:val="20"/>
            </w:rPr>
            <w:fldChar w:fldCharType="begin"/>
          </w:r>
          <w:r>
            <w:rPr>
              <w:rFonts w:hint="eastAsia" w:ascii="仿宋" w:hAnsi="仿宋" w:eastAsia="仿宋" w:cs="仿宋"/>
              <w:sz w:val="20"/>
              <w:szCs w:val="20"/>
            </w:rPr>
            <w:instrText xml:space="preserve"> PAGEREF _Toc830 \h </w:instrText>
          </w:r>
          <w:r>
            <w:rPr>
              <w:rFonts w:hint="eastAsia" w:ascii="仿宋" w:hAnsi="仿宋" w:eastAsia="仿宋" w:cs="仿宋"/>
              <w:sz w:val="20"/>
              <w:szCs w:val="20"/>
            </w:rPr>
            <w:fldChar w:fldCharType="separate"/>
          </w:r>
          <w:r>
            <w:rPr>
              <w:rFonts w:hint="eastAsia" w:ascii="仿宋" w:hAnsi="仿宋" w:eastAsia="仿宋" w:cs="仿宋"/>
              <w:sz w:val="20"/>
              <w:szCs w:val="20"/>
            </w:rPr>
            <w:t>6</w:t>
          </w:r>
          <w:r>
            <w:rPr>
              <w:rFonts w:hint="eastAsia" w:ascii="仿宋" w:hAnsi="仿宋" w:eastAsia="仿宋" w:cs="仿宋"/>
              <w:sz w:val="20"/>
              <w:szCs w:val="20"/>
            </w:rPr>
            <w:fldChar w:fldCharType="end"/>
          </w:r>
          <w:r>
            <w:rPr>
              <w:rFonts w:hint="eastAsia" w:ascii="仿宋" w:hAnsi="仿宋" w:eastAsia="仿宋" w:cs="仿宋"/>
              <w:sz w:val="20"/>
              <w:szCs w:val="20"/>
            </w:rPr>
            <w:fldChar w:fldCharType="end"/>
          </w:r>
        </w:p>
        <w:p>
          <w:pPr>
            <w:pStyle w:val="9"/>
            <w:tabs>
              <w:tab w:val="right" w:leader="dot" w:pos="8306"/>
              <w:tab w:val="clear" w:pos="8296"/>
            </w:tabs>
            <w:rPr>
              <w:rFonts w:hint="eastAsia" w:ascii="仿宋" w:hAnsi="仿宋" w:eastAsia="仿宋" w:cs="仿宋"/>
              <w:sz w:val="20"/>
              <w:szCs w:val="20"/>
            </w:rPr>
          </w:pPr>
          <w:r>
            <w:fldChar w:fldCharType="begin"/>
          </w:r>
          <w:r>
            <w:instrText xml:space="preserve"> HYPERLINK \l "_Toc10968" </w:instrText>
          </w:r>
          <w:r>
            <w:fldChar w:fldCharType="separate"/>
          </w:r>
          <w:r>
            <w:rPr>
              <w:rFonts w:hint="eastAsia" w:ascii="仿宋" w:hAnsi="仿宋" w:eastAsia="仿宋" w:cs="仿宋"/>
              <w:sz w:val="20"/>
              <w:szCs w:val="20"/>
              <w:highlight w:val="none"/>
            </w:rPr>
            <w:t>（二）一般公共预算财政拨款支出决算结构</w:t>
          </w:r>
          <w:r>
            <w:rPr>
              <w:rFonts w:hint="eastAsia" w:ascii="仿宋" w:hAnsi="仿宋" w:eastAsia="仿宋" w:cs="仿宋"/>
              <w:sz w:val="20"/>
              <w:szCs w:val="20"/>
            </w:rPr>
            <w:tab/>
          </w:r>
          <w:r>
            <w:rPr>
              <w:rFonts w:hint="eastAsia" w:ascii="仿宋" w:hAnsi="仿宋" w:eastAsia="仿宋" w:cs="仿宋"/>
              <w:sz w:val="20"/>
              <w:szCs w:val="20"/>
            </w:rPr>
            <w:fldChar w:fldCharType="begin"/>
          </w:r>
          <w:r>
            <w:rPr>
              <w:rFonts w:hint="eastAsia" w:ascii="仿宋" w:hAnsi="仿宋" w:eastAsia="仿宋" w:cs="仿宋"/>
              <w:sz w:val="20"/>
              <w:szCs w:val="20"/>
            </w:rPr>
            <w:instrText xml:space="preserve"> PAGEREF _Toc10968 \h </w:instrText>
          </w:r>
          <w:r>
            <w:rPr>
              <w:rFonts w:hint="eastAsia" w:ascii="仿宋" w:hAnsi="仿宋" w:eastAsia="仿宋" w:cs="仿宋"/>
              <w:sz w:val="20"/>
              <w:szCs w:val="20"/>
            </w:rPr>
            <w:fldChar w:fldCharType="separate"/>
          </w:r>
          <w:r>
            <w:rPr>
              <w:rFonts w:hint="eastAsia" w:ascii="仿宋" w:hAnsi="仿宋" w:eastAsia="仿宋" w:cs="仿宋"/>
              <w:sz w:val="20"/>
              <w:szCs w:val="20"/>
            </w:rPr>
            <w:t>6</w:t>
          </w:r>
          <w:r>
            <w:rPr>
              <w:rFonts w:hint="eastAsia" w:ascii="仿宋" w:hAnsi="仿宋" w:eastAsia="仿宋" w:cs="仿宋"/>
              <w:sz w:val="20"/>
              <w:szCs w:val="20"/>
            </w:rPr>
            <w:fldChar w:fldCharType="end"/>
          </w:r>
          <w:r>
            <w:rPr>
              <w:rFonts w:hint="eastAsia" w:ascii="仿宋" w:hAnsi="仿宋" w:eastAsia="仿宋" w:cs="仿宋"/>
              <w:sz w:val="20"/>
              <w:szCs w:val="20"/>
            </w:rPr>
            <w:fldChar w:fldCharType="end"/>
          </w:r>
        </w:p>
        <w:p>
          <w:pPr>
            <w:pStyle w:val="9"/>
            <w:tabs>
              <w:tab w:val="right" w:leader="dot" w:pos="8306"/>
              <w:tab w:val="clear" w:pos="8296"/>
            </w:tabs>
            <w:rPr>
              <w:rFonts w:hint="eastAsia" w:ascii="仿宋" w:hAnsi="仿宋" w:eastAsia="仿宋" w:cs="仿宋"/>
              <w:sz w:val="20"/>
              <w:szCs w:val="20"/>
            </w:rPr>
          </w:pPr>
          <w:r>
            <w:fldChar w:fldCharType="begin"/>
          </w:r>
          <w:r>
            <w:instrText xml:space="preserve"> HYPERLINK \l "_Toc6505" </w:instrText>
          </w:r>
          <w:r>
            <w:fldChar w:fldCharType="separate"/>
          </w:r>
          <w:r>
            <w:rPr>
              <w:rFonts w:hint="eastAsia" w:ascii="仿宋" w:hAnsi="仿宋" w:eastAsia="仿宋" w:cs="仿宋"/>
              <w:sz w:val="20"/>
              <w:szCs w:val="20"/>
              <w:highlight w:val="none"/>
            </w:rPr>
            <w:t>（三）一般公共预算财政拨款支出决算具体情况</w:t>
          </w:r>
          <w:r>
            <w:rPr>
              <w:rFonts w:hint="eastAsia" w:ascii="仿宋" w:hAnsi="仿宋" w:eastAsia="仿宋" w:cs="仿宋"/>
              <w:sz w:val="20"/>
              <w:szCs w:val="20"/>
            </w:rPr>
            <w:tab/>
          </w:r>
          <w:r>
            <w:rPr>
              <w:rFonts w:hint="eastAsia" w:ascii="仿宋" w:hAnsi="仿宋" w:eastAsia="仿宋" w:cs="仿宋"/>
              <w:sz w:val="20"/>
              <w:szCs w:val="20"/>
            </w:rPr>
            <w:fldChar w:fldCharType="begin"/>
          </w:r>
          <w:r>
            <w:rPr>
              <w:rFonts w:hint="eastAsia" w:ascii="仿宋" w:hAnsi="仿宋" w:eastAsia="仿宋" w:cs="仿宋"/>
              <w:sz w:val="20"/>
              <w:szCs w:val="20"/>
            </w:rPr>
            <w:instrText xml:space="preserve"> PAGEREF _Toc6505 \h </w:instrText>
          </w:r>
          <w:r>
            <w:rPr>
              <w:rFonts w:hint="eastAsia" w:ascii="仿宋" w:hAnsi="仿宋" w:eastAsia="仿宋" w:cs="仿宋"/>
              <w:sz w:val="20"/>
              <w:szCs w:val="20"/>
            </w:rPr>
            <w:fldChar w:fldCharType="separate"/>
          </w:r>
          <w:r>
            <w:rPr>
              <w:rFonts w:hint="eastAsia" w:ascii="仿宋" w:hAnsi="仿宋" w:eastAsia="仿宋" w:cs="仿宋"/>
              <w:sz w:val="20"/>
              <w:szCs w:val="20"/>
            </w:rPr>
            <w:t>7</w:t>
          </w:r>
          <w:r>
            <w:rPr>
              <w:rFonts w:hint="eastAsia" w:ascii="仿宋" w:hAnsi="仿宋" w:eastAsia="仿宋" w:cs="仿宋"/>
              <w:sz w:val="20"/>
              <w:szCs w:val="20"/>
            </w:rPr>
            <w:fldChar w:fldCharType="end"/>
          </w:r>
          <w:r>
            <w:rPr>
              <w:rFonts w:hint="eastAsia" w:ascii="仿宋" w:hAnsi="仿宋" w:eastAsia="仿宋" w:cs="仿宋"/>
              <w:sz w:val="20"/>
              <w:szCs w:val="20"/>
            </w:rPr>
            <w:fldChar w:fldCharType="end"/>
          </w:r>
        </w:p>
        <w:p>
          <w:pPr>
            <w:pStyle w:val="14"/>
            <w:tabs>
              <w:tab w:val="right" w:leader="dot" w:pos="8306"/>
              <w:tab w:val="clear" w:pos="8296"/>
            </w:tabs>
            <w:rPr>
              <w:rFonts w:hint="eastAsia" w:ascii="黑体" w:hAnsi="黑体" w:eastAsia="黑体" w:cs="黑体"/>
              <w:sz w:val="20"/>
              <w:szCs w:val="20"/>
            </w:rPr>
          </w:pPr>
          <w:r>
            <w:fldChar w:fldCharType="begin"/>
          </w:r>
          <w:r>
            <w:instrText xml:space="preserve"> HYPERLINK \l "_Toc9175" </w:instrText>
          </w:r>
          <w:r>
            <w:fldChar w:fldCharType="separate"/>
          </w:r>
          <w:r>
            <w:rPr>
              <w:rFonts w:hint="eastAsia" w:ascii="黑体" w:hAnsi="黑体" w:eastAsia="黑体" w:cs="黑体"/>
              <w:sz w:val="20"/>
              <w:szCs w:val="20"/>
              <w:highlight w:val="none"/>
            </w:rPr>
            <w:t>六、一般公共预算财政拨款基本支出决算情况说明</w:t>
          </w:r>
          <w:r>
            <w:rPr>
              <w:rFonts w:hint="eastAsia" w:ascii="黑体" w:hAnsi="黑体" w:eastAsia="黑体" w:cs="黑体"/>
              <w:sz w:val="20"/>
              <w:szCs w:val="20"/>
            </w:rPr>
            <w:tab/>
          </w:r>
          <w:r>
            <w:rPr>
              <w:rFonts w:hint="eastAsia" w:ascii="黑体" w:hAnsi="黑体" w:eastAsia="黑体" w:cs="黑体"/>
              <w:sz w:val="20"/>
              <w:szCs w:val="20"/>
            </w:rPr>
            <w:fldChar w:fldCharType="begin"/>
          </w:r>
          <w:r>
            <w:rPr>
              <w:rFonts w:hint="eastAsia" w:ascii="黑体" w:hAnsi="黑体" w:eastAsia="黑体" w:cs="黑体"/>
              <w:sz w:val="20"/>
              <w:szCs w:val="20"/>
            </w:rPr>
            <w:instrText xml:space="preserve"> PAGEREF _Toc9175 \h </w:instrText>
          </w:r>
          <w:r>
            <w:rPr>
              <w:rFonts w:hint="eastAsia" w:ascii="黑体" w:hAnsi="黑体" w:eastAsia="黑体" w:cs="黑体"/>
              <w:sz w:val="20"/>
              <w:szCs w:val="20"/>
            </w:rPr>
            <w:fldChar w:fldCharType="separate"/>
          </w:r>
          <w:r>
            <w:rPr>
              <w:rFonts w:hint="eastAsia" w:ascii="黑体" w:hAnsi="黑体" w:eastAsia="黑体" w:cs="黑体"/>
              <w:sz w:val="20"/>
              <w:szCs w:val="20"/>
            </w:rPr>
            <w:t>8</w:t>
          </w:r>
          <w:r>
            <w:rPr>
              <w:rFonts w:hint="eastAsia" w:ascii="黑体" w:hAnsi="黑体" w:eastAsia="黑体" w:cs="黑体"/>
              <w:sz w:val="20"/>
              <w:szCs w:val="20"/>
            </w:rPr>
            <w:fldChar w:fldCharType="end"/>
          </w:r>
          <w:r>
            <w:rPr>
              <w:rFonts w:hint="eastAsia" w:ascii="黑体" w:hAnsi="黑体" w:eastAsia="黑体" w:cs="黑体"/>
              <w:sz w:val="20"/>
              <w:szCs w:val="20"/>
            </w:rPr>
            <w:fldChar w:fldCharType="end"/>
          </w:r>
        </w:p>
        <w:p>
          <w:pPr>
            <w:pStyle w:val="14"/>
            <w:tabs>
              <w:tab w:val="right" w:leader="dot" w:pos="8306"/>
              <w:tab w:val="clear" w:pos="8296"/>
            </w:tabs>
            <w:rPr>
              <w:rFonts w:hint="eastAsia" w:ascii="仿宋" w:hAnsi="仿宋" w:eastAsia="仿宋" w:cs="仿宋"/>
              <w:sz w:val="20"/>
              <w:szCs w:val="20"/>
            </w:rPr>
          </w:pPr>
          <w:r>
            <w:fldChar w:fldCharType="begin"/>
          </w:r>
          <w:r>
            <w:instrText xml:space="preserve"> HYPERLINK \l "_Toc1745" </w:instrText>
          </w:r>
          <w:r>
            <w:fldChar w:fldCharType="separate"/>
          </w:r>
          <w:r>
            <w:rPr>
              <w:rFonts w:hint="eastAsia" w:ascii="黑体" w:hAnsi="黑体" w:eastAsia="黑体" w:cs="黑体"/>
              <w:sz w:val="20"/>
              <w:szCs w:val="20"/>
              <w:highlight w:val="none"/>
            </w:rPr>
            <w:t>七、财政拨款“三公”经费支出决算情况说明</w:t>
          </w:r>
          <w:r>
            <w:rPr>
              <w:rFonts w:hint="eastAsia" w:ascii="黑体" w:hAnsi="黑体" w:eastAsia="黑体" w:cs="黑体"/>
              <w:sz w:val="20"/>
              <w:szCs w:val="20"/>
            </w:rPr>
            <w:tab/>
          </w:r>
          <w:r>
            <w:rPr>
              <w:rFonts w:hint="eastAsia" w:ascii="黑体" w:hAnsi="黑体" w:eastAsia="黑体" w:cs="黑体"/>
              <w:sz w:val="20"/>
              <w:szCs w:val="20"/>
            </w:rPr>
            <w:fldChar w:fldCharType="begin"/>
          </w:r>
          <w:r>
            <w:rPr>
              <w:rFonts w:hint="eastAsia" w:ascii="黑体" w:hAnsi="黑体" w:eastAsia="黑体" w:cs="黑体"/>
              <w:sz w:val="20"/>
              <w:szCs w:val="20"/>
            </w:rPr>
            <w:instrText xml:space="preserve"> PAGEREF _Toc1745 \h </w:instrText>
          </w:r>
          <w:r>
            <w:rPr>
              <w:rFonts w:hint="eastAsia" w:ascii="黑体" w:hAnsi="黑体" w:eastAsia="黑体" w:cs="黑体"/>
              <w:sz w:val="20"/>
              <w:szCs w:val="20"/>
            </w:rPr>
            <w:fldChar w:fldCharType="separate"/>
          </w:r>
          <w:r>
            <w:rPr>
              <w:rFonts w:hint="eastAsia" w:ascii="黑体" w:hAnsi="黑体" w:eastAsia="黑体" w:cs="黑体"/>
              <w:sz w:val="20"/>
              <w:szCs w:val="20"/>
            </w:rPr>
            <w:t>8</w:t>
          </w:r>
          <w:r>
            <w:rPr>
              <w:rFonts w:hint="eastAsia" w:ascii="黑体" w:hAnsi="黑体" w:eastAsia="黑体" w:cs="黑体"/>
              <w:sz w:val="20"/>
              <w:szCs w:val="20"/>
            </w:rPr>
            <w:fldChar w:fldCharType="end"/>
          </w:r>
          <w:r>
            <w:rPr>
              <w:rFonts w:hint="eastAsia" w:ascii="黑体" w:hAnsi="黑体" w:eastAsia="黑体" w:cs="黑体"/>
              <w:sz w:val="20"/>
              <w:szCs w:val="20"/>
            </w:rPr>
            <w:fldChar w:fldCharType="end"/>
          </w:r>
        </w:p>
        <w:p>
          <w:pPr>
            <w:pStyle w:val="14"/>
            <w:tabs>
              <w:tab w:val="right" w:leader="dot" w:pos="8306"/>
              <w:tab w:val="clear" w:pos="8296"/>
            </w:tabs>
            <w:rPr>
              <w:rFonts w:hint="eastAsia" w:ascii="黑体" w:hAnsi="黑体" w:eastAsia="黑体" w:cs="黑体"/>
              <w:sz w:val="20"/>
              <w:szCs w:val="20"/>
            </w:rPr>
          </w:pPr>
          <w:r>
            <w:fldChar w:fldCharType="begin"/>
          </w:r>
          <w:r>
            <w:instrText xml:space="preserve"> HYPERLINK \l "_Toc8353" </w:instrText>
          </w:r>
          <w:r>
            <w:fldChar w:fldCharType="separate"/>
          </w:r>
          <w:r>
            <w:rPr>
              <w:rFonts w:hint="eastAsia" w:ascii="黑体" w:hAnsi="黑体" w:eastAsia="黑体" w:cs="黑体"/>
              <w:sz w:val="20"/>
              <w:szCs w:val="20"/>
              <w:highlight w:val="none"/>
            </w:rPr>
            <w:t>八、政府性基金预算支出决算情况说明</w:t>
          </w:r>
          <w:r>
            <w:rPr>
              <w:rFonts w:hint="eastAsia" w:ascii="黑体" w:hAnsi="黑体" w:eastAsia="黑体" w:cs="黑体"/>
              <w:sz w:val="20"/>
              <w:szCs w:val="20"/>
            </w:rPr>
            <w:tab/>
          </w:r>
          <w:r>
            <w:rPr>
              <w:rFonts w:hint="eastAsia" w:ascii="黑体" w:hAnsi="黑体" w:eastAsia="黑体" w:cs="黑体"/>
              <w:sz w:val="20"/>
              <w:szCs w:val="20"/>
            </w:rPr>
            <w:fldChar w:fldCharType="begin"/>
          </w:r>
          <w:r>
            <w:rPr>
              <w:rFonts w:hint="eastAsia" w:ascii="黑体" w:hAnsi="黑体" w:eastAsia="黑体" w:cs="黑体"/>
              <w:sz w:val="20"/>
              <w:szCs w:val="20"/>
            </w:rPr>
            <w:instrText xml:space="preserve"> PAGEREF _Toc8353 \h </w:instrText>
          </w:r>
          <w:r>
            <w:rPr>
              <w:rFonts w:hint="eastAsia" w:ascii="黑体" w:hAnsi="黑体" w:eastAsia="黑体" w:cs="黑体"/>
              <w:sz w:val="20"/>
              <w:szCs w:val="20"/>
            </w:rPr>
            <w:fldChar w:fldCharType="separate"/>
          </w:r>
          <w:r>
            <w:rPr>
              <w:rFonts w:hint="eastAsia" w:ascii="黑体" w:hAnsi="黑体" w:eastAsia="黑体" w:cs="黑体"/>
              <w:sz w:val="20"/>
              <w:szCs w:val="20"/>
            </w:rPr>
            <w:t>9</w:t>
          </w:r>
          <w:r>
            <w:rPr>
              <w:rFonts w:hint="eastAsia" w:ascii="黑体" w:hAnsi="黑体" w:eastAsia="黑体" w:cs="黑体"/>
              <w:sz w:val="20"/>
              <w:szCs w:val="20"/>
            </w:rPr>
            <w:fldChar w:fldCharType="end"/>
          </w:r>
          <w:r>
            <w:rPr>
              <w:rFonts w:hint="eastAsia" w:ascii="黑体" w:hAnsi="黑体" w:eastAsia="黑体" w:cs="黑体"/>
              <w:sz w:val="20"/>
              <w:szCs w:val="20"/>
            </w:rPr>
            <w:fldChar w:fldCharType="end"/>
          </w:r>
        </w:p>
        <w:p>
          <w:pPr>
            <w:pStyle w:val="14"/>
            <w:tabs>
              <w:tab w:val="right" w:leader="dot" w:pos="8306"/>
              <w:tab w:val="clear" w:pos="8296"/>
            </w:tabs>
            <w:rPr>
              <w:rFonts w:hint="eastAsia" w:ascii="黑体" w:hAnsi="黑体" w:eastAsia="黑体" w:cs="黑体"/>
              <w:sz w:val="20"/>
              <w:szCs w:val="20"/>
            </w:rPr>
          </w:pPr>
          <w:r>
            <w:fldChar w:fldCharType="begin"/>
          </w:r>
          <w:r>
            <w:instrText xml:space="preserve"> HYPERLINK \l "_Toc30422" </w:instrText>
          </w:r>
          <w:r>
            <w:fldChar w:fldCharType="separate"/>
          </w:r>
          <w:r>
            <w:rPr>
              <w:rFonts w:hint="eastAsia" w:ascii="黑体" w:hAnsi="黑体" w:eastAsia="黑体" w:cs="黑体"/>
              <w:sz w:val="20"/>
              <w:szCs w:val="20"/>
            </w:rPr>
            <w:t xml:space="preserve">九、 </w:t>
          </w:r>
          <w:r>
            <w:rPr>
              <w:rFonts w:hint="eastAsia" w:ascii="黑体" w:hAnsi="黑体" w:eastAsia="黑体" w:cs="黑体"/>
              <w:sz w:val="20"/>
              <w:szCs w:val="20"/>
              <w:highlight w:val="none"/>
            </w:rPr>
            <w:t>国有资本经营预算支出决算情况说明</w:t>
          </w:r>
          <w:r>
            <w:rPr>
              <w:rFonts w:hint="eastAsia" w:ascii="黑体" w:hAnsi="黑体" w:eastAsia="黑体" w:cs="黑体"/>
              <w:sz w:val="20"/>
              <w:szCs w:val="20"/>
            </w:rPr>
            <w:tab/>
          </w:r>
          <w:r>
            <w:rPr>
              <w:rFonts w:hint="eastAsia" w:ascii="黑体" w:hAnsi="黑体" w:eastAsia="黑体" w:cs="黑体"/>
              <w:sz w:val="20"/>
              <w:szCs w:val="20"/>
            </w:rPr>
            <w:fldChar w:fldCharType="begin"/>
          </w:r>
          <w:r>
            <w:rPr>
              <w:rFonts w:hint="eastAsia" w:ascii="黑体" w:hAnsi="黑体" w:eastAsia="黑体" w:cs="黑体"/>
              <w:sz w:val="20"/>
              <w:szCs w:val="20"/>
            </w:rPr>
            <w:instrText xml:space="preserve"> PAGEREF _Toc30422 \h </w:instrText>
          </w:r>
          <w:r>
            <w:rPr>
              <w:rFonts w:hint="eastAsia" w:ascii="黑体" w:hAnsi="黑体" w:eastAsia="黑体" w:cs="黑体"/>
              <w:sz w:val="20"/>
              <w:szCs w:val="20"/>
            </w:rPr>
            <w:fldChar w:fldCharType="separate"/>
          </w:r>
          <w:r>
            <w:rPr>
              <w:rFonts w:hint="eastAsia" w:ascii="黑体" w:hAnsi="黑体" w:eastAsia="黑体" w:cs="黑体"/>
              <w:sz w:val="20"/>
              <w:szCs w:val="20"/>
            </w:rPr>
            <w:t>9</w:t>
          </w:r>
          <w:r>
            <w:rPr>
              <w:rFonts w:hint="eastAsia" w:ascii="黑体" w:hAnsi="黑体" w:eastAsia="黑体" w:cs="黑体"/>
              <w:sz w:val="20"/>
              <w:szCs w:val="20"/>
            </w:rPr>
            <w:fldChar w:fldCharType="end"/>
          </w:r>
          <w:r>
            <w:rPr>
              <w:rFonts w:hint="eastAsia" w:ascii="黑体" w:hAnsi="黑体" w:eastAsia="黑体" w:cs="黑体"/>
              <w:sz w:val="20"/>
              <w:szCs w:val="20"/>
            </w:rPr>
            <w:fldChar w:fldCharType="end"/>
          </w:r>
        </w:p>
        <w:p>
          <w:pPr>
            <w:pStyle w:val="14"/>
            <w:tabs>
              <w:tab w:val="right" w:leader="dot" w:pos="8306"/>
              <w:tab w:val="clear" w:pos="8296"/>
            </w:tabs>
            <w:rPr>
              <w:rFonts w:hint="eastAsia" w:ascii="仿宋" w:hAnsi="仿宋" w:eastAsia="仿宋" w:cs="仿宋"/>
              <w:sz w:val="20"/>
              <w:szCs w:val="20"/>
            </w:rPr>
          </w:pPr>
          <w:r>
            <w:fldChar w:fldCharType="begin"/>
          </w:r>
          <w:r>
            <w:instrText xml:space="preserve"> HYPERLINK \l "_Toc30215" </w:instrText>
          </w:r>
          <w:r>
            <w:fldChar w:fldCharType="separate"/>
          </w:r>
          <w:r>
            <w:rPr>
              <w:rFonts w:hint="eastAsia" w:ascii="黑体" w:hAnsi="黑体" w:eastAsia="黑体" w:cs="黑体"/>
              <w:sz w:val="20"/>
              <w:szCs w:val="20"/>
            </w:rPr>
            <w:t xml:space="preserve">十、 </w:t>
          </w:r>
          <w:r>
            <w:rPr>
              <w:rFonts w:hint="eastAsia" w:ascii="黑体" w:hAnsi="黑体" w:eastAsia="黑体" w:cs="黑体"/>
              <w:sz w:val="20"/>
              <w:szCs w:val="20"/>
              <w:highlight w:val="none"/>
            </w:rPr>
            <w:t>其他重要事项的情况说明（无）</w:t>
          </w:r>
          <w:r>
            <w:rPr>
              <w:rFonts w:hint="eastAsia" w:ascii="黑体" w:hAnsi="黑体" w:eastAsia="黑体" w:cs="黑体"/>
              <w:sz w:val="20"/>
              <w:szCs w:val="20"/>
            </w:rPr>
            <w:tab/>
          </w:r>
          <w:r>
            <w:rPr>
              <w:rFonts w:hint="eastAsia" w:ascii="黑体" w:hAnsi="黑体" w:eastAsia="黑体" w:cs="黑体"/>
              <w:sz w:val="20"/>
              <w:szCs w:val="20"/>
            </w:rPr>
            <w:fldChar w:fldCharType="begin"/>
          </w:r>
          <w:r>
            <w:rPr>
              <w:rFonts w:hint="eastAsia" w:ascii="黑体" w:hAnsi="黑体" w:eastAsia="黑体" w:cs="黑体"/>
              <w:sz w:val="20"/>
              <w:szCs w:val="20"/>
            </w:rPr>
            <w:instrText xml:space="preserve"> PAGEREF _Toc30215 \h </w:instrText>
          </w:r>
          <w:r>
            <w:rPr>
              <w:rFonts w:hint="eastAsia" w:ascii="黑体" w:hAnsi="黑体" w:eastAsia="黑体" w:cs="黑体"/>
              <w:sz w:val="20"/>
              <w:szCs w:val="20"/>
            </w:rPr>
            <w:fldChar w:fldCharType="separate"/>
          </w:r>
          <w:r>
            <w:rPr>
              <w:rFonts w:hint="eastAsia" w:ascii="黑体" w:hAnsi="黑体" w:eastAsia="黑体" w:cs="黑体"/>
              <w:sz w:val="20"/>
              <w:szCs w:val="20"/>
            </w:rPr>
            <w:t>9</w:t>
          </w:r>
          <w:r>
            <w:rPr>
              <w:rFonts w:hint="eastAsia" w:ascii="黑体" w:hAnsi="黑体" w:eastAsia="黑体" w:cs="黑体"/>
              <w:sz w:val="20"/>
              <w:szCs w:val="20"/>
            </w:rPr>
            <w:fldChar w:fldCharType="end"/>
          </w:r>
          <w:r>
            <w:rPr>
              <w:rFonts w:hint="eastAsia" w:ascii="黑体" w:hAnsi="黑体" w:eastAsia="黑体" w:cs="黑体"/>
              <w:sz w:val="20"/>
              <w:szCs w:val="20"/>
            </w:rPr>
            <w:fldChar w:fldCharType="end"/>
          </w:r>
        </w:p>
        <w:p>
          <w:pPr>
            <w:pStyle w:val="9"/>
            <w:tabs>
              <w:tab w:val="right" w:leader="dot" w:pos="8306"/>
              <w:tab w:val="clear" w:pos="8296"/>
            </w:tabs>
            <w:rPr>
              <w:rFonts w:hint="eastAsia" w:ascii="仿宋" w:hAnsi="仿宋" w:eastAsia="仿宋" w:cs="仿宋"/>
              <w:sz w:val="20"/>
              <w:szCs w:val="20"/>
            </w:rPr>
          </w:pPr>
          <w:r>
            <w:fldChar w:fldCharType="begin"/>
          </w:r>
          <w:r>
            <w:instrText xml:space="preserve"> HYPERLINK \l "_Toc1659" </w:instrText>
          </w:r>
          <w:r>
            <w:fldChar w:fldCharType="separate"/>
          </w:r>
          <w:r>
            <w:rPr>
              <w:rFonts w:hint="eastAsia" w:ascii="仿宋" w:hAnsi="仿宋" w:eastAsia="仿宋" w:cs="仿宋"/>
              <w:sz w:val="20"/>
              <w:szCs w:val="20"/>
              <w:highlight w:val="none"/>
            </w:rPr>
            <w:t>（一）机关运行经费支出情况</w:t>
          </w:r>
          <w:r>
            <w:rPr>
              <w:rFonts w:hint="eastAsia" w:ascii="仿宋" w:hAnsi="仿宋" w:eastAsia="仿宋" w:cs="仿宋"/>
              <w:sz w:val="20"/>
              <w:szCs w:val="20"/>
            </w:rPr>
            <w:tab/>
          </w:r>
          <w:r>
            <w:rPr>
              <w:rFonts w:hint="eastAsia" w:ascii="仿宋" w:hAnsi="仿宋" w:eastAsia="仿宋" w:cs="仿宋"/>
              <w:sz w:val="20"/>
              <w:szCs w:val="20"/>
            </w:rPr>
            <w:fldChar w:fldCharType="begin"/>
          </w:r>
          <w:r>
            <w:rPr>
              <w:rFonts w:hint="eastAsia" w:ascii="仿宋" w:hAnsi="仿宋" w:eastAsia="仿宋" w:cs="仿宋"/>
              <w:sz w:val="20"/>
              <w:szCs w:val="20"/>
            </w:rPr>
            <w:instrText xml:space="preserve"> PAGEREF _Toc1659 \h </w:instrText>
          </w:r>
          <w:r>
            <w:rPr>
              <w:rFonts w:hint="eastAsia" w:ascii="仿宋" w:hAnsi="仿宋" w:eastAsia="仿宋" w:cs="仿宋"/>
              <w:sz w:val="20"/>
              <w:szCs w:val="20"/>
            </w:rPr>
            <w:fldChar w:fldCharType="separate"/>
          </w:r>
          <w:r>
            <w:rPr>
              <w:rFonts w:hint="eastAsia" w:ascii="仿宋" w:hAnsi="仿宋" w:eastAsia="仿宋" w:cs="仿宋"/>
              <w:sz w:val="20"/>
              <w:szCs w:val="20"/>
            </w:rPr>
            <w:t>9</w:t>
          </w:r>
          <w:r>
            <w:rPr>
              <w:rFonts w:hint="eastAsia" w:ascii="仿宋" w:hAnsi="仿宋" w:eastAsia="仿宋" w:cs="仿宋"/>
              <w:sz w:val="20"/>
              <w:szCs w:val="20"/>
            </w:rPr>
            <w:fldChar w:fldCharType="end"/>
          </w:r>
          <w:r>
            <w:rPr>
              <w:rFonts w:hint="eastAsia" w:ascii="仿宋" w:hAnsi="仿宋" w:eastAsia="仿宋" w:cs="仿宋"/>
              <w:sz w:val="20"/>
              <w:szCs w:val="20"/>
            </w:rPr>
            <w:fldChar w:fldCharType="end"/>
          </w:r>
        </w:p>
        <w:p>
          <w:pPr>
            <w:pStyle w:val="9"/>
            <w:tabs>
              <w:tab w:val="right" w:leader="dot" w:pos="8306"/>
              <w:tab w:val="clear" w:pos="8296"/>
            </w:tabs>
            <w:rPr>
              <w:rFonts w:hint="eastAsia" w:ascii="仿宋" w:hAnsi="仿宋" w:eastAsia="仿宋" w:cs="仿宋"/>
              <w:sz w:val="20"/>
              <w:szCs w:val="20"/>
            </w:rPr>
          </w:pPr>
          <w:r>
            <w:fldChar w:fldCharType="begin"/>
          </w:r>
          <w:r>
            <w:instrText xml:space="preserve"> HYPERLINK \l "_Toc12477" </w:instrText>
          </w:r>
          <w:r>
            <w:fldChar w:fldCharType="separate"/>
          </w:r>
          <w:r>
            <w:rPr>
              <w:rFonts w:hint="eastAsia" w:ascii="仿宋" w:hAnsi="仿宋" w:eastAsia="仿宋" w:cs="仿宋"/>
              <w:sz w:val="20"/>
              <w:szCs w:val="20"/>
              <w:highlight w:val="none"/>
            </w:rPr>
            <w:t>（二）政府采购支出情况</w:t>
          </w:r>
          <w:r>
            <w:rPr>
              <w:rFonts w:hint="eastAsia" w:ascii="仿宋" w:hAnsi="仿宋" w:eastAsia="仿宋" w:cs="仿宋"/>
              <w:sz w:val="20"/>
              <w:szCs w:val="20"/>
            </w:rPr>
            <w:tab/>
          </w:r>
          <w:r>
            <w:rPr>
              <w:rFonts w:hint="eastAsia" w:ascii="仿宋" w:hAnsi="仿宋" w:eastAsia="仿宋" w:cs="仿宋"/>
              <w:sz w:val="20"/>
              <w:szCs w:val="20"/>
            </w:rPr>
            <w:fldChar w:fldCharType="begin"/>
          </w:r>
          <w:r>
            <w:rPr>
              <w:rFonts w:hint="eastAsia" w:ascii="仿宋" w:hAnsi="仿宋" w:eastAsia="仿宋" w:cs="仿宋"/>
              <w:sz w:val="20"/>
              <w:szCs w:val="20"/>
            </w:rPr>
            <w:instrText xml:space="preserve"> PAGEREF _Toc12477 \h </w:instrText>
          </w:r>
          <w:r>
            <w:rPr>
              <w:rFonts w:hint="eastAsia" w:ascii="仿宋" w:hAnsi="仿宋" w:eastAsia="仿宋" w:cs="仿宋"/>
              <w:sz w:val="20"/>
              <w:szCs w:val="20"/>
            </w:rPr>
            <w:fldChar w:fldCharType="separate"/>
          </w:r>
          <w:r>
            <w:rPr>
              <w:rFonts w:hint="eastAsia" w:ascii="仿宋" w:hAnsi="仿宋" w:eastAsia="仿宋" w:cs="仿宋"/>
              <w:sz w:val="20"/>
              <w:szCs w:val="20"/>
            </w:rPr>
            <w:t>9</w:t>
          </w:r>
          <w:r>
            <w:rPr>
              <w:rFonts w:hint="eastAsia" w:ascii="仿宋" w:hAnsi="仿宋" w:eastAsia="仿宋" w:cs="仿宋"/>
              <w:sz w:val="20"/>
              <w:szCs w:val="20"/>
            </w:rPr>
            <w:fldChar w:fldCharType="end"/>
          </w:r>
          <w:r>
            <w:rPr>
              <w:rFonts w:hint="eastAsia" w:ascii="仿宋" w:hAnsi="仿宋" w:eastAsia="仿宋" w:cs="仿宋"/>
              <w:sz w:val="20"/>
              <w:szCs w:val="20"/>
            </w:rPr>
            <w:fldChar w:fldCharType="end"/>
          </w:r>
        </w:p>
        <w:p>
          <w:pPr>
            <w:pStyle w:val="9"/>
            <w:tabs>
              <w:tab w:val="right" w:leader="dot" w:pos="8306"/>
              <w:tab w:val="clear" w:pos="8296"/>
            </w:tabs>
            <w:rPr>
              <w:rFonts w:hint="eastAsia" w:ascii="仿宋" w:hAnsi="仿宋" w:eastAsia="仿宋" w:cs="仿宋"/>
              <w:sz w:val="20"/>
              <w:szCs w:val="20"/>
            </w:rPr>
          </w:pPr>
          <w:r>
            <w:fldChar w:fldCharType="begin"/>
          </w:r>
          <w:r>
            <w:instrText xml:space="preserve"> HYPERLINK \l "_Toc19976" </w:instrText>
          </w:r>
          <w:r>
            <w:fldChar w:fldCharType="separate"/>
          </w:r>
          <w:r>
            <w:rPr>
              <w:rFonts w:hint="eastAsia" w:ascii="仿宋" w:hAnsi="仿宋" w:eastAsia="仿宋" w:cs="仿宋"/>
              <w:sz w:val="20"/>
              <w:szCs w:val="20"/>
            </w:rPr>
            <w:t xml:space="preserve">（三） </w:t>
          </w:r>
          <w:r>
            <w:rPr>
              <w:rFonts w:hint="eastAsia" w:ascii="仿宋" w:hAnsi="仿宋" w:eastAsia="仿宋" w:cs="仿宋"/>
              <w:sz w:val="20"/>
              <w:szCs w:val="20"/>
              <w:highlight w:val="none"/>
            </w:rPr>
            <w:t>国有资产占有使用情况</w:t>
          </w:r>
          <w:r>
            <w:rPr>
              <w:rFonts w:hint="eastAsia" w:ascii="仿宋" w:hAnsi="仿宋" w:eastAsia="仿宋" w:cs="仿宋"/>
              <w:sz w:val="20"/>
              <w:szCs w:val="20"/>
            </w:rPr>
            <w:tab/>
          </w:r>
          <w:r>
            <w:rPr>
              <w:rFonts w:hint="eastAsia" w:ascii="仿宋" w:hAnsi="仿宋" w:eastAsia="仿宋" w:cs="仿宋"/>
              <w:sz w:val="20"/>
              <w:szCs w:val="20"/>
            </w:rPr>
            <w:fldChar w:fldCharType="begin"/>
          </w:r>
          <w:r>
            <w:rPr>
              <w:rFonts w:hint="eastAsia" w:ascii="仿宋" w:hAnsi="仿宋" w:eastAsia="仿宋" w:cs="仿宋"/>
              <w:sz w:val="20"/>
              <w:szCs w:val="20"/>
            </w:rPr>
            <w:instrText xml:space="preserve"> PAGEREF _Toc19976 \h </w:instrText>
          </w:r>
          <w:r>
            <w:rPr>
              <w:rFonts w:hint="eastAsia" w:ascii="仿宋" w:hAnsi="仿宋" w:eastAsia="仿宋" w:cs="仿宋"/>
              <w:sz w:val="20"/>
              <w:szCs w:val="20"/>
            </w:rPr>
            <w:fldChar w:fldCharType="separate"/>
          </w:r>
          <w:r>
            <w:rPr>
              <w:rFonts w:hint="eastAsia" w:ascii="仿宋" w:hAnsi="仿宋" w:eastAsia="仿宋" w:cs="仿宋"/>
              <w:sz w:val="20"/>
              <w:szCs w:val="20"/>
            </w:rPr>
            <w:t>9</w:t>
          </w:r>
          <w:r>
            <w:rPr>
              <w:rFonts w:hint="eastAsia" w:ascii="仿宋" w:hAnsi="仿宋" w:eastAsia="仿宋" w:cs="仿宋"/>
              <w:sz w:val="20"/>
              <w:szCs w:val="20"/>
            </w:rPr>
            <w:fldChar w:fldCharType="end"/>
          </w:r>
          <w:r>
            <w:rPr>
              <w:rFonts w:hint="eastAsia" w:ascii="仿宋" w:hAnsi="仿宋" w:eastAsia="仿宋" w:cs="仿宋"/>
              <w:sz w:val="20"/>
              <w:szCs w:val="20"/>
            </w:rPr>
            <w:fldChar w:fldCharType="end"/>
          </w:r>
        </w:p>
        <w:p>
          <w:pPr>
            <w:pStyle w:val="9"/>
            <w:tabs>
              <w:tab w:val="right" w:leader="dot" w:pos="8306"/>
              <w:tab w:val="clear" w:pos="8296"/>
            </w:tabs>
            <w:rPr>
              <w:rFonts w:hint="eastAsia" w:ascii="仿宋" w:hAnsi="仿宋" w:eastAsia="仿宋" w:cs="仿宋"/>
              <w:sz w:val="20"/>
              <w:szCs w:val="20"/>
            </w:rPr>
          </w:pPr>
          <w:r>
            <w:fldChar w:fldCharType="begin"/>
          </w:r>
          <w:r>
            <w:instrText xml:space="preserve"> HYPERLINK \l "_Toc21792" </w:instrText>
          </w:r>
          <w:r>
            <w:fldChar w:fldCharType="separate"/>
          </w:r>
          <w:r>
            <w:rPr>
              <w:rFonts w:hint="eastAsia" w:ascii="仿宋" w:hAnsi="仿宋" w:eastAsia="仿宋" w:cs="仿宋"/>
              <w:sz w:val="20"/>
              <w:szCs w:val="20"/>
              <w:highlight w:val="none"/>
            </w:rPr>
            <w:t>（四）预算绩效管理情况</w:t>
          </w:r>
          <w:r>
            <w:rPr>
              <w:rFonts w:hint="eastAsia" w:ascii="仿宋" w:hAnsi="仿宋" w:eastAsia="仿宋" w:cs="仿宋"/>
              <w:sz w:val="20"/>
              <w:szCs w:val="20"/>
            </w:rPr>
            <w:tab/>
          </w:r>
          <w:r>
            <w:rPr>
              <w:rFonts w:hint="eastAsia" w:ascii="仿宋" w:hAnsi="仿宋" w:eastAsia="仿宋" w:cs="仿宋"/>
              <w:sz w:val="20"/>
              <w:szCs w:val="20"/>
            </w:rPr>
            <w:fldChar w:fldCharType="begin"/>
          </w:r>
          <w:r>
            <w:rPr>
              <w:rFonts w:hint="eastAsia" w:ascii="仿宋" w:hAnsi="仿宋" w:eastAsia="仿宋" w:cs="仿宋"/>
              <w:sz w:val="20"/>
              <w:szCs w:val="20"/>
            </w:rPr>
            <w:instrText xml:space="preserve"> PAGEREF _Toc21792 \h </w:instrText>
          </w:r>
          <w:r>
            <w:rPr>
              <w:rFonts w:hint="eastAsia" w:ascii="仿宋" w:hAnsi="仿宋" w:eastAsia="仿宋" w:cs="仿宋"/>
              <w:sz w:val="20"/>
              <w:szCs w:val="20"/>
            </w:rPr>
            <w:fldChar w:fldCharType="separate"/>
          </w:r>
          <w:r>
            <w:rPr>
              <w:rFonts w:hint="eastAsia" w:ascii="仿宋" w:hAnsi="仿宋" w:eastAsia="仿宋" w:cs="仿宋"/>
              <w:sz w:val="20"/>
              <w:szCs w:val="20"/>
            </w:rPr>
            <w:t>9</w:t>
          </w:r>
          <w:r>
            <w:rPr>
              <w:rFonts w:hint="eastAsia" w:ascii="仿宋" w:hAnsi="仿宋" w:eastAsia="仿宋" w:cs="仿宋"/>
              <w:sz w:val="20"/>
              <w:szCs w:val="20"/>
            </w:rPr>
            <w:fldChar w:fldCharType="end"/>
          </w:r>
          <w:r>
            <w:rPr>
              <w:rFonts w:hint="eastAsia" w:ascii="仿宋" w:hAnsi="仿宋" w:eastAsia="仿宋" w:cs="仿宋"/>
              <w:sz w:val="20"/>
              <w:szCs w:val="20"/>
            </w:rPr>
            <w:fldChar w:fldCharType="end"/>
          </w:r>
        </w:p>
        <w:p>
          <w:pPr>
            <w:pStyle w:val="13"/>
            <w:tabs>
              <w:tab w:val="right" w:leader="dot" w:pos="8306"/>
              <w:tab w:val="clear" w:pos="8296"/>
            </w:tabs>
            <w:rPr>
              <w:rFonts w:hint="eastAsia" w:ascii="黑体" w:hAnsi="黑体" w:eastAsia="黑体" w:cs="黑体"/>
              <w:sz w:val="20"/>
              <w:szCs w:val="20"/>
            </w:rPr>
          </w:pPr>
          <w:r>
            <w:fldChar w:fldCharType="begin"/>
          </w:r>
          <w:r>
            <w:instrText xml:space="preserve"> HYPERLINK \l "_Toc18787" </w:instrText>
          </w:r>
          <w:r>
            <w:fldChar w:fldCharType="separate"/>
          </w:r>
          <w:r>
            <w:rPr>
              <w:rFonts w:hint="eastAsia" w:ascii="黑体" w:hAnsi="黑体" w:eastAsia="黑体" w:cs="黑体"/>
              <w:sz w:val="20"/>
              <w:szCs w:val="20"/>
            </w:rPr>
            <w:t xml:space="preserve">第三部分 </w:t>
          </w:r>
          <w:r>
            <w:rPr>
              <w:rFonts w:hint="eastAsia" w:ascii="黑体" w:hAnsi="黑体" w:eastAsia="黑体" w:cs="黑体"/>
              <w:sz w:val="20"/>
              <w:szCs w:val="20"/>
              <w:highlight w:val="none"/>
            </w:rPr>
            <w:t>名词解释</w:t>
          </w:r>
          <w:r>
            <w:rPr>
              <w:rFonts w:hint="eastAsia" w:ascii="黑体" w:hAnsi="黑体" w:eastAsia="黑体" w:cs="黑体"/>
              <w:sz w:val="20"/>
              <w:szCs w:val="20"/>
            </w:rPr>
            <w:tab/>
          </w:r>
          <w:r>
            <w:rPr>
              <w:rFonts w:hint="eastAsia" w:ascii="黑体" w:hAnsi="黑体" w:eastAsia="黑体" w:cs="黑体"/>
              <w:sz w:val="20"/>
              <w:szCs w:val="20"/>
            </w:rPr>
            <w:fldChar w:fldCharType="begin"/>
          </w:r>
          <w:r>
            <w:rPr>
              <w:rFonts w:hint="eastAsia" w:ascii="黑体" w:hAnsi="黑体" w:eastAsia="黑体" w:cs="黑体"/>
              <w:sz w:val="20"/>
              <w:szCs w:val="20"/>
            </w:rPr>
            <w:instrText xml:space="preserve"> PAGEREF _Toc18787 \h </w:instrText>
          </w:r>
          <w:r>
            <w:rPr>
              <w:rFonts w:hint="eastAsia" w:ascii="黑体" w:hAnsi="黑体" w:eastAsia="黑体" w:cs="黑体"/>
              <w:sz w:val="20"/>
              <w:szCs w:val="20"/>
            </w:rPr>
            <w:fldChar w:fldCharType="separate"/>
          </w:r>
          <w:r>
            <w:rPr>
              <w:rFonts w:hint="eastAsia" w:ascii="黑体" w:hAnsi="黑体" w:eastAsia="黑体" w:cs="黑体"/>
              <w:sz w:val="20"/>
              <w:szCs w:val="20"/>
            </w:rPr>
            <w:t>11</w:t>
          </w:r>
          <w:r>
            <w:rPr>
              <w:rFonts w:hint="eastAsia" w:ascii="黑体" w:hAnsi="黑体" w:eastAsia="黑体" w:cs="黑体"/>
              <w:sz w:val="20"/>
              <w:szCs w:val="20"/>
            </w:rPr>
            <w:fldChar w:fldCharType="end"/>
          </w:r>
          <w:r>
            <w:rPr>
              <w:rFonts w:hint="eastAsia" w:ascii="黑体" w:hAnsi="黑体" w:eastAsia="黑体" w:cs="黑体"/>
              <w:sz w:val="20"/>
              <w:szCs w:val="20"/>
            </w:rPr>
            <w:fldChar w:fldCharType="end"/>
          </w:r>
        </w:p>
        <w:p>
          <w:pPr>
            <w:pStyle w:val="13"/>
            <w:tabs>
              <w:tab w:val="right" w:leader="dot" w:pos="8306"/>
              <w:tab w:val="clear" w:pos="8296"/>
            </w:tabs>
            <w:jc w:val="both"/>
            <w:rPr>
              <w:rFonts w:hint="eastAsia" w:ascii="仿宋" w:hAnsi="仿宋" w:eastAsia="仿宋" w:cs="仿宋"/>
              <w:sz w:val="20"/>
              <w:szCs w:val="20"/>
            </w:rPr>
          </w:pPr>
          <w:r>
            <w:fldChar w:fldCharType="begin"/>
          </w:r>
          <w:r>
            <w:instrText xml:space="preserve"> HYPERLINK \l "_Toc27807" </w:instrText>
          </w:r>
          <w:r>
            <w:fldChar w:fldCharType="separate"/>
          </w:r>
          <w:r>
            <w:rPr>
              <w:rFonts w:hint="eastAsia" w:ascii="黑体" w:hAnsi="黑体" w:eastAsia="黑体" w:cs="黑体"/>
              <w:sz w:val="20"/>
              <w:szCs w:val="20"/>
              <w:highlight w:val="none"/>
            </w:rPr>
            <w:t>第五部分 附表</w:t>
          </w:r>
          <w:r>
            <w:rPr>
              <w:rFonts w:hint="eastAsia" w:ascii="黑体" w:hAnsi="黑体" w:eastAsia="黑体" w:cs="黑体"/>
              <w:sz w:val="20"/>
              <w:szCs w:val="20"/>
            </w:rPr>
            <w:tab/>
          </w:r>
          <w:r>
            <w:rPr>
              <w:rFonts w:hint="eastAsia" w:ascii="黑体" w:hAnsi="黑体" w:eastAsia="黑体" w:cs="黑体"/>
              <w:sz w:val="20"/>
              <w:szCs w:val="20"/>
            </w:rPr>
            <w:fldChar w:fldCharType="begin"/>
          </w:r>
          <w:r>
            <w:rPr>
              <w:rFonts w:hint="eastAsia" w:ascii="黑体" w:hAnsi="黑体" w:eastAsia="黑体" w:cs="黑体"/>
              <w:sz w:val="20"/>
              <w:szCs w:val="20"/>
            </w:rPr>
            <w:instrText xml:space="preserve"> PAGEREF _Toc27807 \h </w:instrText>
          </w:r>
          <w:r>
            <w:rPr>
              <w:rFonts w:hint="eastAsia" w:ascii="黑体" w:hAnsi="黑体" w:eastAsia="黑体" w:cs="黑体"/>
              <w:sz w:val="20"/>
              <w:szCs w:val="20"/>
            </w:rPr>
            <w:fldChar w:fldCharType="separate"/>
          </w:r>
          <w:r>
            <w:rPr>
              <w:rFonts w:hint="eastAsia" w:ascii="黑体" w:hAnsi="黑体" w:eastAsia="黑体" w:cs="黑体"/>
              <w:sz w:val="20"/>
              <w:szCs w:val="20"/>
            </w:rPr>
            <w:t>15</w:t>
          </w:r>
          <w:r>
            <w:rPr>
              <w:rFonts w:hint="eastAsia" w:ascii="黑体" w:hAnsi="黑体" w:eastAsia="黑体" w:cs="黑体"/>
              <w:sz w:val="20"/>
              <w:szCs w:val="20"/>
            </w:rPr>
            <w:fldChar w:fldCharType="end"/>
          </w:r>
          <w:r>
            <w:rPr>
              <w:rFonts w:hint="eastAsia" w:ascii="黑体" w:hAnsi="黑体" w:eastAsia="黑体" w:cs="黑体"/>
              <w:sz w:val="20"/>
              <w:szCs w:val="20"/>
            </w:rPr>
            <w:fldChar w:fldCharType="end"/>
          </w:r>
        </w:p>
        <w:p>
          <w:pPr>
            <w:pStyle w:val="14"/>
            <w:tabs>
              <w:tab w:val="right" w:leader="dot" w:pos="8306"/>
              <w:tab w:val="clear" w:pos="8296"/>
            </w:tabs>
            <w:rPr>
              <w:rFonts w:hint="eastAsia" w:ascii="仿宋" w:hAnsi="仿宋" w:eastAsia="仿宋" w:cs="仿宋"/>
              <w:sz w:val="20"/>
              <w:szCs w:val="20"/>
            </w:rPr>
          </w:pPr>
          <w:r>
            <w:fldChar w:fldCharType="begin"/>
          </w:r>
          <w:r>
            <w:instrText xml:space="preserve"> HYPERLINK \l "_Toc20886" </w:instrText>
          </w:r>
          <w:r>
            <w:fldChar w:fldCharType="separate"/>
          </w:r>
          <w:r>
            <w:rPr>
              <w:rFonts w:hint="eastAsia" w:ascii="仿宋" w:hAnsi="仿宋" w:eastAsia="仿宋" w:cs="仿宋"/>
              <w:sz w:val="20"/>
              <w:szCs w:val="20"/>
              <w:highlight w:val="none"/>
            </w:rPr>
            <w:t>一、收</w:t>
          </w:r>
          <w:r>
            <w:rPr>
              <w:rFonts w:hint="eastAsia" w:ascii="仿宋" w:hAnsi="仿宋" w:eastAsia="仿宋" w:cs="仿宋"/>
              <w:bCs w:val="0"/>
              <w:sz w:val="20"/>
              <w:szCs w:val="20"/>
              <w:highlight w:val="none"/>
            </w:rPr>
            <w:t>入支出决算总表</w:t>
          </w:r>
          <w:r>
            <w:rPr>
              <w:rFonts w:hint="eastAsia" w:ascii="仿宋" w:hAnsi="仿宋" w:eastAsia="仿宋" w:cs="仿宋"/>
              <w:sz w:val="20"/>
              <w:szCs w:val="20"/>
            </w:rPr>
            <w:tab/>
          </w:r>
          <w:r>
            <w:rPr>
              <w:rFonts w:hint="eastAsia" w:ascii="仿宋" w:hAnsi="仿宋" w:eastAsia="仿宋" w:cs="仿宋"/>
              <w:sz w:val="20"/>
              <w:szCs w:val="20"/>
            </w:rPr>
            <w:fldChar w:fldCharType="begin"/>
          </w:r>
          <w:r>
            <w:rPr>
              <w:rFonts w:hint="eastAsia" w:ascii="仿宋" w:hAnsi="仿宋" w:eastAsia="仿宋" w:cs="仿宋"/>
              <w:sz w:val="20"/>
              <w:szCs w:val="20"/>
            </w:rPr>
            <w:instrText xml:space="preserve"> PAGEREF _Toc20886 \h </w:instrText>
          </w:r>
          <w:r>
            <w:rPr>
              <w:rFonts w:hint="eastAsia" w:ascii="仿宋" w:hAnsi="仿宋" w:eastAsia="仿宋" w:cs="仿宋"/>
              <w:sz w:val="20"/>
              <w:szCs w:val="20"/>
            </w:rPr>
            <w:fldChar w:fldCharType="separate"/>
          </w:r>
          <w:r>
            <w:rPr>
              <w:rFonts w:hint="eastAsia" w:ascii="仿宋" w:hAnsi="仿宋" w:eastAsia="仿宋" w:cs="仿宋"/>
              <w:sz w:val="20"/>
              <w:szCs w:val="20"/>
            </w:rPr>
            <w:t>15</w:t>
          </w:r>
          <w:r>
            <w:rPr>
              <w:rFonts w:hint="eastAsia" w:ascii="仿宋" w:hAnsi="仿宋" w:eastAsia="仿宋" w:cs="仿宋"/>
              <w:sz w:val="20"/>
              <w:szCs w:val="20"/>
            </w:rPr>
            <w:fldChar w:fldCharType="end"/>
          </w:r>
          <w:r>
            <w:rPr>
              <w:rFonts w:hint="eastAsia" w:ascii="仿宋" w:hAnsi="仿宋" w:eastAsia="仿宋" w:cs="仿宋"/>
              <w:sz w:val="20"/>
              <w:szCs w:val="20"/>
            </w:rPr>
            <w:fldChar w:fldCharType="end"/>
          </w:r>
        </w:p>
        <w:p>
          <w:pPr>
            <w:pStyle w:val="14"/>
            <w:tabs>
              <w:tab w:val="right" w:leader="dot" w:pos="8306"/>
              <w:tab w:val="clear" w:pos="8296"/>
            </w:tabs>
            <w:rPr>
              <w:rFonts w:hint="eastAsia" w:ascii="仿宋" w:hAnsi="仿宋" w:eastAsia="仿宋" w:cs="仿宋"/>
              <w:sz w:val="20"/>
              <w:szCs w:val="20"/>
            </w:rPr>
          </w:pPr>
          <w:r>
            <w:fldChar w:fldCharType="begin"/>
          </w:r>
          <w:r>
            <w:instrText xml:space="preserve"> HYPERLINK \l "_Toc19854" </w:instrText>
          </w:r>
          <w:r>
            <w:fldChar w:fldCharType="separate"/>
          </w:r>
          <w:r>
            <w:rPr>
              <w:rFonts w:hint="eastAsia" w:ascii="仿宋" w:hAnsi="仿宋" w:eastAsia="仿宋" w:cs="仿宋"/>
              <w:sz w:val="20"/>
              <w:szCs w:val="20"/>
              <w:highlight w:val="none"/>
            </w:rPr>
            <w:t>二、收</w:t>
          </w:r>
          <w:r>
            <w:rPr>
              <w:rFonts w:hint="eastAsia" w:ascii="仿宋" w:hAnsi="仿宋" w:eastAsia="仿宋" w:cs="仿宋"/>
              <w:bCs w:val="0"/>
              <w:sz w:val="20"/>
              <w:szCs w:val="20"/>
              <w:highlight w:val="none"/>
            </w:rPr>
            <w:t>入决算表</w:t>
          </w:r>
          <w:r>
            <w:rPr>
              <w:rFonts w:hint="eastAsia" w:ascii="仿宋" w:hAnsi="仿宋" w:eastAsia="仿宋" w:cs="仿宋"/>
              <w:sz w:val="20"/>
              <w:szCs w:val="20"/>
            </w:rPr>
            <w:tab/>
          </w:r>
          <w:r>
            <w:rPr>
              <w:rFonts w:hint="eastAsia" w:ascii="仿宋" w:hAnsi="仿宋" w:eastAsia="仿宋" w:cs="仿宋"/>
              <w:sz w:val="20"/>
              <w:szCs w:val="20"/>
            </w:rPr>
            <w:fldChar w:fldCharType="begin"/>
          </w:r>
          <w:r>
            <w:rPr>
              <w:rFonts w:hint="eastAsia" w:ascii="仿宋" w:hAnsi="仿宋" w:eastAsia="仿宋" w:cs="仿宋"/>
              <w:sz w:val="20"/>
              <w:szCs w:val="20"/>
            </w:rPr>
            <w:instrText xml:space="preserve"> PAGEREF _Toc19854 \h </w:instrText>
          </w:r>
          <w:r>
            <w:rPr>
              <w:rFonts w:hint="eastAsia" w:ascii="仿宋" w:hAnsi="仿宋" w:eastAsia="仿宋" w:cs="仿宋"/>
              <w:sz w:val="20"/>
              <w:szCs w:val="20"/>
            </w:rPr>
            <w:fldChar w:fldCharType="separate"/>
          </w:r>
          <w:r>
            <w:rPr>
              <w:rFonts w:hint="eastAsia" w:ascii="仿宋" w:hAnsi="仿宋" w:eastAsia="仿宋" w:cs="仿宋"/>
              <w:sz w:val="20"/>
              <w:szCs w:val="20"/>
            </w:rPr>
            <w:t>15</w:t>
          </w:r>
          <w:r>
            <w:rPr>
              <w:rFonts w:hint="eastAsia" w:ascii="仿宋" w:hAnsi="仿宋" w:eastAsia="仿宋" w:cs="仿宋"/>
              <w:sz w:val="20"/>
              <w:szCs w:val="20"/>
            </w:rPr>
            <w:fldChar w:fldCharType="end"/>
          </w:r>
          <w:r>
            <w:rPr>
              <w:rFonts w:hint="eastAsia" w:ascii="仿宋" w:hAnsi="仿宋" w:eastAsia="仿宋" w:cs="仿宋"/>
              <w:sz w:val="20"/>
              <w:szCs w:val="20"/>
            </w:rPr>
            <w:fldChar w:fldCharType="end"/>
          </w:r>
        </w:p>
        <w:p>
          <w:pPr>
            <w:pStyle w:val="14"/>
            <w:tabs>
              <w:tab w:val="right" w:leader="dot" w:pos="8306"/>
              <w:tab w:val="clear" w:pos="8296"/>
            </w:tabs>
            <w:rPr>
              <w:rFonts w:hint="eastAsia" w:ascii="仿宋" w:hAnsi="仿宋" w:eastAsia="仿宋" w:cs="仿宋"/>
              <w:sz w:val="20"/>
              <w:szCs w:val="20"/>
            </w:rPr>
          </w:pPr>
          <w:r>
            <w:fldChar w:fldCharType="begin"/>
          </w:r>
          <w:r>
            <w:instrText xml:space="preserve"> HYPERLINK \l "_Toc7357" </w:instrText>
          </w:r>
          <w:r>
            <w:fldChar w:fldCharType="separate"/>
          </w:r>
          <w:r>
            <w:rPr>
              <w:rFonts w:hint="eastAsia" w:ascii="仿宋" w:hAnsi="仿宋" w:eastAsia="仿宋" w:cs="仿宋"/>
              <w:bCs w:val="0"/>
              <w:sz w:val="20"/>
              <w:szCs w:val="20"/>
              <w:highlight w:val="none"/>
            </w:rPr>
            <w:t>三、</w:t>
          </w:r>
          <w:r>
            <w:rPr>
              <w:rFonts w:hint="eastAsia" w:ascii="仿宋" w:hAnsi="仿宋" w:eastAsia="仿宋" w:cs="仿宋"/>
              <w:sz w:val="20"/>
              <w:szCs w:val="20"/>
              <w:highlight w:val="none"/>
            </w:rPr>
            <w:t>支</w:t>
          </w:r>
          <w:r>
            <w:rPr>
              <w:rFonts w:hint="eastAsia" w:ascii="仿宋" w:hAnsi="仿宋" w:eastAsia="仿宋" w:cs="仿宋"/>
              <w:bCs w:val="0"/>
              <w:sz w:val="20"/>
              <w:szCs w:val="20"/>
              <w:highlight w:val="none"/>
            </w:rPr>
            <w:t>出决算表</w:t>
          </w:r>
          <w:r>
            <w:rPr>
              <w:rFonts w:hint="eastAsia" w:ascii="仿宋" w:hAnsi="仿宋" w:eastAsia="仿宋" w:cs="仿宋"/>
              <w:sz w:val="20"/>
              <w:szCs w:val="20"/>
            </w:rPr>
            <w:tab/>
          </w:r>
          <w:r>
            <w:rPr>
              <w:rFonts w:hint="eastAsia" w:ascii="仿宋" w:hAnsi="仿宋" w:eastAsia="仿宋" w:cs="仿宋"/>
              <w:sz w:val="20"/>
              <w:szCs w:val="20"/>
            </w:rPr>
            <w:fldChar w:fldCharType="begin"/>
          </w:r>
          <w:r>
            <w:rPr>
              <w:rFonts w:hint="eastAsia" w:ascii="仿宋" w:hAnsi="仿宋" w:eastAsia="仿宋" w:cs="仿宋"/>
              <w:sz w:val="20"/>
              <w:szCs w:val="20"/>
            </w:rPr>
            <w:instrText xml:space="preserve"> PAGEREF _Toc7357 \h </w:instrText>
          </w:r>
          <w:r>
            <w:rPr>
              <w:rFonts w:hint="eastAsia" w:ascii="仿宋" w:hAnsi="仿宋" w:eastAsia="仿宋" w:cs="仿宋"/>
              <w:sz w:val="20"/>
              <w:szCs w:val="20"/>
            </w:rPr>
            <w:fldChar w:fldCharType="separate"/>
          </w:r>
          <w:r>
            <w:rPr>
              <w:rFonts w:hint="eastAsia" w:ascii="仿宋" w:hAnsi="仿宋" w:eastAsia="仿宋" w:cs="仿宋"/>
              <w:sz w:val="20"/>
              <w:szCs w:val="20"/>
            </w:rPr>
            <w:t>15</w:t>
          </w:r>
          <w:r>
            <w:rPr>
              <w:rFonts w:hint="eastAsia" w:ascii="仿宋" w:hAnsi="仿宋" w:eastAsia="仿宋" w:cs="仿宋"/>
              <w:sz w:val="20"/>
              <w:szCs w:val="20"/>
            </w:rPr>
            <w:fldChar w:fldCharType="end"/>
          </w:r>
          <w:r>
            <w:rPr>
              <w:rFonts w:hint="eastAsia" w:ascii="仿宋" w:hAnsi="仿宋" w:eastAsia="仿宋" w:cs="仿宋"/>
              <w:sz w:val="20"/>
              <w:szCs w:val="20"/>
            </w:rPr>
            <w:fldChar w:fldCharType="end"/>
          </w:r>
        </w:p>
        <w:p>
          <w:pPr>
            <w:pStyle w:val="14"/>
            <w:tabs>
              <w:tab w:val="right" w:leader="dot" w:pos="8306"/>
              <w:tab w:val="clear" w:pos="8296"/>
            </w:tabs>
            <w:rPr>
              <w:rFonts w:hint="eastAsia" w:ascii="仿宋" w:hAnsi="仿宋" w:eastAsia="仿宋" w:cs="仿宋"/>
              <w:sz w:val="20"/>
              <w:szCs w:val="20"/>
            </w:rPr>
          </w:pPr>
          <w:r>
            <w:fldChar w:fldCharType="begin"/>
          </w:r>
          <w:r>
            <w:instrText xml:space="preserve"> HYPERLINK \l "_Toc23255" </w:instrText>
          </w:r>
          <w:r>
            <w:fldChar w:fldCharType="separate"/>
          </w:r>
          <w:r>
            <w:rPr>
              <w:rFonts w:hint="eastAsia" w:ascii="仿宋" w:hAnsi="仿宋" w:eastAsia="仿宋" w:cs="仿宋"/>
              <w:bCs w:val="0"/>
              <w:sz w:val="20"/>
              <w:szCs w:val="20"/>
              <w:highlight w:val="none"/>
            </w:rPr>
            <w:t>四、</w:t>
          </w:r>
          <w:r>
            <w:rPr>
              <w:rFonts w:hint="eastAsia" w:ascii="仿宋" w:hAnsi="仿宋" w:eastAsia="仿宋" w:cs="仿宋"/>
              <w:sz w:val="20"/>
              <w:szCs w:val="20"/>
              <w:highlight w:val="none"/>
            </w:rPr>
            <w:t>财</w:t>
          </w:r>
          <w:r>
            <w:rPr>
              <w:rFonts w:hint="eastAsia" w:ascii="仿宋" w:hAnsi="仿宋" w:eastAsia="仿宋" w:cs="仿宋"/>
              <w:bCs w:val="0"/>
              <w:sz w:val="20"/>
              <w:szCs w:val="20"/>
              <w:highlight w:val="none"/>
            </w:rPr>
            <w:t>政拨款收入支出决算总表</w:t>
          </w:r>
          <w:r>
            <w:rPr>
              <w:rFonts w:hint="eastAsia" w:ascii="仿宋" w:hAnsi="仿宋" w:eastAsia="仿宋" w:cs="仿宋"/>
              <w:sz w:val="20"/>
              <w:szCs w:val="20"/>
            </w:rPr>
            <w:tab/>
          </w:r>
          <w:r>
            <w:rPr>
              <w:rFonts w:hint="eastAsia" w:ascii="仿宋" w:hAnsi="仿宋" w:eastAsia="仿宋" w:cs="仿宋"/>
              <w:sz w:val="20"/>
              <w:szCs w:val="20"/>
            </w:rPr>
            <w:fldChar w:fldCharType="begin"/>
          </w:r>
          <w:r>
            <w:rPr>
              <w:rFonts w:hint="eastAsia" w:ascii="仿宋" w:hAnsi="仿宋" w:eastAsia="仿宋" w:cs="仿宋"/>
              <w:sz w:val="20"/>
              <w:szCs w:val="20"/>
            </w:rPr>
            <w:instrText xml:space="preserve"> PAGEREF _Toc23255 \h </w:instrText>
          </w:r>
          <w:r>
            <w:rPr>
              <w:rFonts w:hint="eastAsia" w:ascii="仿宋" w:hAnsi="仿宋" w:eastAsia="仿宋" w:cs="仿宋"/>
              <w:sz w:val="20"/>
              <w:szCs w:val="20"/>
            </w:rPr>
            <w:fldChar w:fldCharType="separate"/>
          </w:r>
          <w:r>
            <w:rPr>
              <w:rFonts w:hint="eastAsia" w:ascii="仿宋" w:hAnsi="仿宋" w:eastAsia="仿宋" w:cs="仿宋"/>
              <w:sz w:val="20"/>
              <w:szCs w:val="20"/>
            </w:rPr>
            <w:t>15</w:t>
          </w:r>
          <w:r>
            <w:rPr>
              <w:rFonts w:hint="eastAsia" w:ascii="仿宋" w:hAnsi="仿宋" w:eastAsia="仿宋" w:cs="仿宋"/>
              <w:sz w:val="20"/>
              <w:szCs w:val="20"/>
            </w:rPr>
            <w:fldChar w:fldCharType="end"/>
          </w:r>
          <w:r>
            <w:rPr>
              <w:rFonts w:hint="eastAsia" w:ascii="仿宋" w:hAnsi="仿宋" w:eastAsia="仿宋" w:cs="仿宋"/>
              <w:sz w:val="20"/>
              <w:szCs w:val="20"/>
            </w:rPr>
            <w:fldChar w:fldCharType="end"/>
          </w:r>
        </w:p>
        <w:p>
          <w:pPr>
            <w:pStyle w:val="14"/>
            <w:tabs>
              <w:tab w:val="right" w:leader="dot" w:pos="8306"/>
              <w:tab w:val="clear" w:pos="8296"/>
            </w:tabs>
            <w:rPr>
              <w:rFonts w:hint="eastAsia" w:ascii="仿宋" w:hAnsi="仿宋" w:eastAsia="仿宋" w:cs="仿宋"/>
              <w:sz w:val="20"/>
              <w:szCs w:val="20"/>
            </w:rPr>
          </w:pPr>
          <w:r>
            <w:fldChar w:fldCharType="begin"/>
          </w:r>
          <w:r>
            <w:instrText xml:space="preserve"> HYPERLINK \l "_Toc32453" </w:instrText>
          </w:r>
          <w:r>
            <w:fldChar w:fldCharType="separate"/>
          </w:r>
          <w:r>
            <w:rPr>
              <w:rFonts w:hint="eastAsia" w:ascii="仿宋" w:hAnsi="仿宋" w:eastAsia="仿宋" w:cs="仿宋"/>
              <w:bCs w:val="0"/>
              <w:sz w:val="20"/>
              <w:szCs w:val="20"/>
              <w:highlight w:val="none"/>
            </w:rPr>
            <w:t>五、</w:t>
          </w:r>
          <w:r>
            <w:rPr>
              <w:rFonts w:hint="eastAsia" w:ascii="仿宋" w:hAnsi="仿宋" w:eastAsia="仿宋" w:cs="仿宋"/>
              <w:sz w:val="20"/>
              <w:szCs w:val="20"/>
              <w:highlight w:val="none"/>
            </w:rPr>
            <w:t>财</w:t>
          </w:r>
          <w:r>
            <w:rPr>
              <w:rFonts w:hint="eastAsia" w:ascii="仿宋" w:hAnsi="仿宋" w:eastAsia="仿宋" w:cs="仿宋"/>
              <w:bCs w:val="0"/>
              <w:sz w:val="20"/>
              <w:szCs w:val="20"/>
              <w:highlight w:val="none"/>
            </w:rPr>
            <w:t>政拨款支出决算明细表</w:t>
          </w:r>
          <w:r>
            <w:rPr>
              <w:rFonts w:hint="eastAsia" w:ascii="仿宋" w:hAnsi="仿宋" w:eastAsia="仿宋" w:cs="仿宋"/>
              <w:sz w:val="20"/>
              <w:szCs w:val="20"/>
            </w:rPr>
            <w:tab/>
          </w:r>
          <w:r>
            <w:rPr>
              <w:rFonts w:hint="eastAsia" w:ascii="仿宋" w:hAnsi="仿宋" w:eastAsia="仿宋" w:cs="仿宋"/>
              <w:sz w:val="20"/>
              <w:szCs w:val="20"/>
            </w:rPr>
            <w:fldChar w:fldCharType="begin"/>
          </w:r>
          <w:r>
            <w:rPr>
              <w:rFonts w:hint="eastAsia" w:ascii="仿宋" w:hAnsi="仿宋" w:eastAsia="仿宋" w:cs="仿宋"/>
              <w:sz w:val="20"/>
              <w:szCs w:val="20"/>
            </w:rPr>
            <w:instrText xml:space="preserve"> PAGEREF _Toc32453 \h </w:instrText>
          </w:r>
          <w:r>
            <w:rPr>
              <w:rFonts w:hint="eastAsia" w:ascii="仿宋" w:hAnsi="仿宋" w:eastAsia="仿宋" w:cs="仿宋"/>
              <w:sz w:val="20"/>
              <w:szCs w:val="20"/>
            </w:rPr>
            <w:fldChar w:fldCharType="separate"/>
          </w:r>
          <w:r>
            <w:rPr>
              <w:rFonts w:hint="eastAsia" w:ascii="仿宋" w:hAnsi="仿宋" w:eastAsia="仿宋" w:cs="仿宋"/>
              <w:sz w:val="20"/>
              <w:szCs w:val="20"/>
            </w:rPr>
            <w:t>15</w:t>
          </w:r>
          <w:r>
            <w:rPr>
              <w:rFonts w:hint="eastAsia" w:ascii="仿宋" w:hAnsi="仿宋" w:eastAsia="仿宋" w:cs="仿宋"/>
              <w:sz w:val="20"/>
              <w:szCs w:val="20"/>
            </w:rPr>
            <w:fldChar w:fldCharType="end"/>
          </w:r>
          <w:r>
            <w:rPr>
              <w:rFonts w:hint="eastAsia" w:ascii="仿宋" w:hAnsi="仿宋" w:eastAsia="仿宋" w:cs="仿宋"/>
              <w:sz w:val="20"/>
              <w:szCs w:val="20"/>
            </w:rPr>
            <w:fldChar w:fldCharType="end"/>
          </w:r>
        </w:p>
        <w:p>
          <w:pPr>
            <w:pStyle w:val="14"/>
            <w:tabs>
              <w:tab w:val="right" w:leader="dot" w:pos="8306"/>
              <w:tab w:val="clear" w:pos="8296"/>
            </w:tabs>
            <w:rPr>
              <w:rFonts w:hint="eastAsia" w:ascii="仿宋" w:hAnsi="仿宋" w:eastAsia="仿宋" w:cs="仿宋"/>
              <w:sz w:val="20"/>
              <w:szCs w:val="20"/>
            </w:rPr>
          </w:pPr>
          <w:r>
            <w:fldChar w:fldCharType="begin"/>
          </w:r>
          <w:r>
            <w:instrText xml:space="preserve"> HYPERLINK \l "_Toc5303" </w:instrText>
          </w:r>
          <w:r>
            <w:fldChar w:fldCharType="separate"/>
          </w:r>
          <w:r>
            <w:rPr>
              <w:rFonts w:hint="eastAsia" w:ascii="仿宋" w:hAnsi="仿宋" w:eastAsia="仿宋" w:cs="仿宋"/>
              <w:bCs w:val="0"/>
              <w:sz w:val="20"/>
              <w:szCs w:val="20"/>
              <w:highlight w:val="none"/>
            </w:rPr>
            <w:t>六、</w:t>
          </w:r>
          <w:r>
            <w:rPr>
              <w:rFonts w:hint="eastAsia" w:ascii="仿宋" w:hAnsi="仿宋" w:eastAsia="仿宋" w:cs="仿宋"/>
              <w:sz w:val="20"/>
              <w:szCs w:val="20"/>
              <w:highlight w:val="none"/>
            </w:rPr>
            <w:t>一</w:t>
          </w:r>
          <w:r>
            <w:rPr>
              <w:rFonts w:hint="eastAsia" w:ascii="仿宋" w:hAnsi="仿宋" w:eastAsia="仿宋" w:cs="仿宋"/>
              <w:bCs w:val="0"/>
              <w:sz w:val="20"/>
              <w:szCs w:val="20"/>
              <w:highlight w:val="none"/>
            </w:rPr>
            <w:t>般公共预算财政拨款支出决算表</w:t>
          </w:r>
          <w:r>
            <w:rPr>
              <w:rFonts w:hint="eastAsia" w:ascii="仿宋" w:hAnsi="仿宋" w:eastAsia="仿宋" w:cs="仿宋"/>
              <w:sz w:val="20"/>
              <w:szCs w:val="20"/>
            </w:rPr>
            <w:tab/>
          </w:r>
          <w:r>
            <w:rPr>
              <w:rFonts w:hint="eastAsia" w:ascii="仿宋" w:hAnsi="仿宋" w:eastAsia="仿宋" w:cs="仿宋"/>
              <w:sz w:val="20"/>
              <w:szCs w:val="20"/>
            </w:rPr>
            <w:fldChar w:fldCharType="begin"/>
          </w:r>
          <w:r>
            <w:rPr>
              <w:rFonts w:hint="eastAsia" w:ascii="仿宋" w:hAnsi="仿宋" w:eastAsia="仿宋" w:cs="仿宋"/>
              <w:sz w:val="20"/>
              <w:szCs w:val="20"/>
            </w:rPr>
            <w:instrText xml:space="preserve"> PAGEREF _Toc5303 \h </w:instrText>
          </w:r>
          <w:r>
            <w:rPr>
              <w:rFonts w:hint="eastAsia" w:ascii="仿宋" w:hAnsi="仿宋" w:eastAsia="仿宋" w:cs="仿宋"/>
              <w:sz w:val="20"/>
              <w:szCs w:val="20"/>
            </w:rPr>
            <w:fldChar w:fldCharType="separate"/>
          </w:r>
          <w:r>
            <w:rPr>
              <w:rFonts w:hint="eastAsia" w:ascii="仿宋" w:hAnsi="仿宋" w:eastAsia="仿宋" w:cs="仿宋"/>
              <w:sz w:val="20"/>
              <w:szCs w:val="20"/>
            </w:rPr>
            <w:t>15</w:t>
          </w:r>
          <w:r>
            <w:rPr>
              <w:rFonts w:hint="eastAsia" w:ascii="仿宋" w:hAnsi="仿宋" w:eastAsia="仿宋" w:cs="仿宋"/>
              <w:sz w:val="20"/>
              <w:szCs w:val="20"/>
            </w:rPr>
            <w:fldChar w:fldCharType="end"/>
          </w:r>
          <w:r>
            <w:rPr>
              <w:rFonts w:hint="eastAsia" w:ascii="仿宋" w:hAnsi="仿宋" w:eastAsia="仿宋" w:cs="仿宋"/>
              <w:sz w:val="20"/>
              <w:szCs w:val="20"/>
            </w:rPr>
            <w:fldChar w:fldCharType="end"/>
          </w:r>
        </w:p>
        <w:p>
          <w:pPr>
            <w:pStyle w:val="14"/>
            <w:tabs>
              <w:tab w:val="right" w:leader="dot" w:pos="8306"/>
              <w:tab w:val="clear" w:pos="8296"/>
            </w:tabs>
            <w:rPr>
              <w:rFonts w:hint="eastAsia" w:ascii="仿宋" w:hAnsi="仿宋" w:eastAsia="仿宋" w:cs="仿宋"/>
              <w:sz w:val="20"/>
              <w:szCs w:val="20"/>
            </w:rPr>
          </w:pPr>
          <w:r>
            <w:fldChar w:fldCharType="begin"/>
          </w:r>
          <w:r>
            <w:instrText xml:space="preserve"> HYPERLINK \l "_Toc14431" </w:instrText>
          </w:r>
          <w:r>
            <w:fldChar w:fldCharType="separate"/>
          </w:r>
          <w:r>
            <w:rPr>
              <w:rFonts w:hint="eastAsia" w:ascii="仿宋" w:hAnsi="仿宋" w:eastAsia="仿宋" w:cs="仿宋"/>
              <w:bCs w:val="0"/>
              <w:sz w:val="20"/>
              <w:szCs w:val="20"/>
              <w:highlight w:val="none"/>
            </w:rPr>
            <w:t>七、</w:t>
          </w:r>
          <w:r>
            <w:rPr>
              <w:rFonts w:hint="eastAsia" w:ascii="仿宋" w:hAnsi="仿宋" w:eastAsia="仿宋" w:cs="仿宋"/>
              <w:sz w:val="20"/>
              <w:szCs w:val="20"/>
              <w:highlight w:val="none"/>
            </w:rPr>
            <w:t>一</w:t>
          </w:r>
          <w:r>
            <w:rPr>
              <w:rFonts w:hint="eastAsia" w:ascii="仿宋" w:hAnsi="仿宋" w:eastAsia="仿宋" w:cs="仿宋"/>
              <w:bCs w:val="0"/>
              <w:sz w:val="20"/>
              <w:szCs w:val="20"/>
              <w:highlight w:val="none"/>
            </w:rPr>
            <w:t>般公共预算财政拨款支出决算明细表</w:t>
          </w:r>
          <w:r>
            <w:rPr>
              <w:rFonts w:hint="eastAsia" w:ascii="仿宋" w:hAnsi="仿宋" w:eastAsia="仿宋" w:cs="仿宋"/>
              <w:sz w:val="20"/>
              <w:szCs w:val="20"/>
            </w:rPr>
            <w:tab/>
          </w:r>
          <w:r>
            <w:rPr>
              <w:rFonts w:hint="eastAsia" w:ascii="仿宋" w:hAnsi="仿宋" w:eastAsia="仿宋" w:cs="仿宋"/>
              <w:sz w:val="20"/>
              <w:szCs w:val="20"/>
            </w:rPr>
            <w:fldChar w:fldCharType="begin"/>
          </w:r>
          <w:r>
            <w:rPr>
              <w:rFonts w:hint="eastAsia" w:ascii="仿宋" w:hAnsi="仿宋" w:eastAsia="仿宋" w:cs="仿宋"/>
              <w:sz w:val="20"/>
              <w:szCs w:val="20"/>
            </w:rPr>
            <w:instrText xml:space="preserve"> PAGEREF _Toc14431 \h </w:instrText>
          </w:r>
          <w:r>
            <w:rPr>
              <w:rFonts w:hint="eastAsia" w:ascii="仿宋" w:hAnsi="仿宋" w:eastAsia="仿宋" w:cs="仿宋"/>
              <w:sz w:val="20"/>
              <w:szCs w:val="20"/>
            </w:rPr>
            <w:fldChar w:fldCharType="separate"/>
          </w:r>
          <w:r>
            <w:rPr>
              <w:rFonts w:hint="eastAsia" w:ascii="仿宋" w:hAnsi="仿宋" w:eastAsia="仿宋" w:cs="仿宋"/>
              <w:sz w:val="20"/>
              <w:szCs w:val="20"/>
            </w:rPr>
            <w:t>15</w:t>
          </w:r>
          <w:r>
            <w:rPr>
              <w:rFonts w:hint="eastAsia" w:ascii="仿宋" w:hAnsi="仿宋" w:eastAsia="仿宋" w:cs="仿宋"/>
              <w:sz w:val="20"/>
              <w:szCs w:val="20"/>
            </w:rPr>
            <w:fldChar w:fldCharType="end"/>
          </w:r>
          <w:r>
            <w:rPr>
              <w:rFonts w:hint="eastAsia" w:ascii="仿宋" w:hAnsi="仿宋" w:eastAsia="仿宋" w:cs="仿宋"/>
              <w:sz w:val="20"/>
              <w:szCs w:val="20"/>
            </w:rPr>
            <w:fldChar w:fldCharType="end"/>
          </w:r>
        </w:p>
        <w:p>
          <w:pPr>
            <w:pStyle w:val="14"/>
            <w:tabs>
              <w:tab w:val="right" w:leader="dot" w:pos="8306"/>
              <w:tab w:val="clear" w:pos="8296"/>
            </w:tabs>
            <w:rPr>
              <w:rFonts w:hint="eastAsia" w:ascii="仿宋" w:hAnsi="仿宋" w:eastAsia="仿宋" w:cs="仿宋"/>
              <w:sz w:val="20"/>
              <w:szCs w:val="20"/>
            </w:rPr>
          </w:pPr>
          <w:r>
            <w:fldChar w:fldCharType="begin"/>
          </w:r>
          <w:r>
            <w:instrText xml:space="preserve"> HYPERLINK \l "_Toc7386" </w:instrText>
          </w:r>
          <w:r>
            <w:fldChar w:fldCharType="separate"/>
          </w:r>
          <w:r>
            <w:rPr>
              <w:rFonts w:hint="eastAsia" w:ascii="仿宋" w:hAnsi="仿宋" w:eastAsia="仿宋" w:cs="仿宋"/>
              <w:bCs w:val="0"/>
              <w:sz w:val="20"/>
              <w:szCs w:val="20"/>
              <w:highlight w:val="none"/>
            </w:rPr>
            <w:t>八、</w:t>
          </w:r>
          <w:r>
            <w:rPr>
              <w:rFonts w:hint="eastAsia" w:ascii="仿宋" w:hAnsi="仿宋" w:eastAsia="仿宋" w:cs="仿宋"/>
              <w:sz w:val="20"/>
              <w:szCs w:val="20"/>
              <w:highlight w:val="none"/>
            </w:rPr>
            <w:t>一</w:t>
          </w:r>
          <w:r>
            <w:rPr>
              <w:rFonts w:hint="eastAsia" w:ascii="仿宋" w:hAnsi="仿宋" w:eastAsia="仿宋" w:cs="仿宋"/>
              <w:bCs w:val="0"/>
              <w:sz w:val="20"/>
              <w:szCs w:val="20"/>
              <w:highlight w:val="none"/>
            </w:rPr>
            <w:t>般公共预算财政拨款基本支出决算表</w:t>
          </w:r>
          <w:r>
            <w:rPr>
              <w:rFonts w:hint="eastAsia" w:ascii="仿宋" w:hAnsi="仿宋" w:eastAsia="仿宋" w:cs="仿宋"/>
              <w:sz w:val="20"/>
              <w:szCs w:val="20"/>
            </w:rPr>
            <w:tab/>
          </w:r>
          <w:r>
            <w:rPr>
              <w:rFonts w:hint="eastAsia" w:ascii="仿宋" w:hAnsi="仿宋" w:eastAsia="仿宋" w:cs="仿宋"/>
              <w:sz w:val="20"/>
              <w:szCs w:val="20"/>
            </w:rPr>
            <w:fldChar w:fldCharType="begin"/>
          </w:r>
          <w:r>
            <w:rPr>
              <w:rFonts w:hint="eastAsia" w:ascii="仿宋" w:hAnsi="仿宋" w:eastAsia="仿宋" w:cs="仿宋"/>
              <w:sz w:val="20"/>
              <w:szCs w:val="20"/>
            </w:rPr>
            <w:instrText xml:space="preserve"> PAGEREF _Toc7386 \h </w:instrText>
          </w:r>
          <w:r>
            <w:rPr>
              <w:rFonts w:hint="eastAsia" w:ascii="仿宋" w:hAnsi="仿宋" w:eastAsia="仿宋" w:cs="仿宋"/>
              <w:sz w:val="20"/>
              <w:szCs w:val="20"/>
            </w:rPr>
            <w:fldChar w:fldCharType="separate"/>
          </w:r>
          <w:r>
            <w:rPr>
              <w:rFonts w:hint="eastAsia" w:ascii="仿宋" w:hAnsi="仿宋" w:eastAsia="仿宋" w:cs="仿宋"/>
              <w:sz w:val="20"/>
              <w:szCs w:val="20"/>
            </w:rPr>
            <w:t>15</w:t>
          </w:r>
          <w:r>
            <w:rPr>
              <w:rFonts w:hint="eastAsia" w:ascii="仿宋" w:hAnsi="仿宋" w:eastAsia="仿宋" w:cs="仿宋"/>
              <w:sz w:val="20"/>
              <w:szCs w:val="20"/>
            </w:rPr>
            <w:fldChar w:fldCharType="end"/>
          </w:r>
          <w:r>
            <w:rPr>
              <w:rFonts w:hint="eastAsia" w:ascii="仿宋" w:hAnsi="仿宋" w:eastAsia="仿宋" w:cs="仿宋"/>
              <w:sz w:val="20"/>
              <w:szCs w:val="20"/>
            </w:rPr>
            <w:fldChar w:fldCharType="end"/>
          </w:r>
        </w:p>
        <w:p>
          <w:pPr>
            <w:pStyle w:val="14"/>
            <w:tabs>
              <w:tab w:val="right" w:leader="dot" w:pos="8306"/>
              <w:tab w:val="clear" w:pos="8296"/>
            </w:tabs>
            <w:rPr>
              <w:rFonts w:hint="eastAsia" w:ascii="仿宋" w:hAnsi="仿宋" w:eastAsia="仿宋" w:cs="仿宋"/>
              <w:sz w:val="20"/>
              <w:szCs w:val="20"/>
            </w:rPr>
          </w:pPr>
          <w:r>
            <w:fldChar w:fldCharType="begin"/>
          </w:r>
          <w:r>
            <w:instrText xml:space="preserve"> HYPERLINK \l "_Toc16706" </w:instrText>
          </w:r>
          <w:r>
            <w:fldChar w:fldCharType="separate"/>
          </w:r>
          <w:r>
            <w:rPr>
              <w:rFonts w:hint="eastAsia" w:ascii="仿宋" w:hAnsi="仿宋" w:eastAsia="仿宋" w:cs="仿宋"/>
              <w:bCs w:val="0"/>
              <w:sz w:val="20"/>
              <w:szCs w:val="20"/>
              <w:highlight w:val="none"/>
            </w:rPr>
            <w:t>九、</w:t>
          </w:r>
          <w:r>
            <w:rPr>
              <w:rFonts w:hint="eastAsia" w:ascii="仿宋" w:hAnsi="仿宋" w:eastAsia="仿宋" w:cs="仿宋"/>
              <w:sz w:val="20"/>
              <w:szCs w:val="20"/>
              <w:highlight w:val="none"/>
            </w:rPr>
            <w:t>一</w:t>
          </w:r>
          <w:r>
            <w:rPr>
              <w:rFonts w:hint="eastAsia" w:ascii="仿宋" w:hAnsi="仿宋" w:eastAsia="仿宋" w:cs="仿宋"/>
              <w:bCs w:val="0"/>
              <w:sz w:val="20"/>
              <w:szCs w:val="20"/>
              <w:highlight w:val="none"/>
            </w:rPr>
            <w:t>般公共预算财政拨款项目支出决算表</w:t>
          </w:r>
          <w:r>
            <w:rPr>
              <w:rFonts w:hint="eastAsia" w:ascii="仿宋" w:hAnsi="仿宋" w:eastAsia="仿宋" w:cs="仿宋"/>
              <w:sz w:val="20"/>
              <w:szCs w:val="20"/>
            </w:rPr>
            <w:tab/>
          </w:r>
          <w:r>
            <w:rPr>
              <w:rFonts w:hint="eastAsia" w:ascii="仿宋" w:hAnsi="仿宋" w:eastAsia="仿宋" w:cs="仿宋"/>
              <w:sz w:val="20"/>
              <w:szCs w:val="20"/>
            </w:rPr>
            <w:fldChar w:fldCharType="begin"/>
          </w:r>
          <w:r>
            <w:rPr>
              <w:rFonts w:hint="eastAsia" w:ascii="仿宋" w:hAnsi="仿宋" w:eastAsia="仿宋" w:cs="仿宋"/>
              <w:sz w:val="20"/>
              <w:szCs w:val="20"/>
            </w:rPr>
            <w:instrText xml:space="preserve"> PAGEREF _Toc16706 \h </w:instrText>
          </w:r>
          <w:r>
            <w:rPr>
              <w:rFonts w:hint="eastAsia" w:ascii="仿宋" w:hAnsi="仿宋" w:eastAsia="仿宋" w:cs="仿宋"/>
              <w:sz w:val="20"/>
              <w:szCs w:val="20"/>
            </w:rPr>
            <w:fldChar w:fldCharType="separate"/>
          </w:r>
          <w:r>
            <w:rPr>
              <w:rFonts w:hint="eastAsia" w:ascii="仿宋" w:hAnsi="仿宋" w:eastAsia="仿宋" w:cs="仿宋"/>
              <w:sz w:val="20"/>
              <w:szCs w:val="20"/>
            </w:rPr>
            <w:t>15</w:t>
          </w:r>
          <w:r>
            <w:rPr>
              <w:rFonts w:hint="eastAsia" w:ascii="仿宋" w:hAnsi="仿宋" w:eastAsia="仿宋" w:cs="仿宋"/>
              <w:sz w:val="20"/>
              <w:szCs w:val="20"/>
            </w:rPr>
            <w:fldChar w:fldCharType="end"/>
          </w:r>
          <w:r>
            <w:rPr>
              <w:rFonts w:hint="eastAsia" w:ascii="仿宋" w:hAnsi="仿宋" w:eastAsia="仿宋" w:cs="仿宋"/>
              <w:sz w:val="20"/>
              <w:szCs w:val="20"/>
            </w:rPr>
            <w:fldChar w:fldCharType="end"/>
          </w:r>
        </w:p>
        <w:p>
          <w:pPr>
            <w:pStyle w:val="14"/>
            <w:tabs>
              <w:tab w:val="right" w:leader="dot" w:pos="8306"/>
              <w:tab w:val="clear" w:pos="8296"/>
            </w:tabs>
            <w:rPr>
              <w:rFonts w:hint="eastAsia" w:ascii="仿宋" w:hAnsi="仿宋" w:eastAsia="仿宋" w:cs="仿宋"/>
              <w:sz w:val="20"/>
              <w:szCs w:val="20"/>
            </w:rPr>
          </w:pPr>
          <w:r>
            <w:fldChar w:fldCharType="begin"/>
          </w:r>
          <w:r>
            <w:instrText xml:space="preserve"> HYPERLINK \l "_Toc24047" </w:instrText>
          </w:r>
          <w:r>
            <w:fldChar w:fldCharType="separate"/>
          </w:r>
          <w:r>
            <w:rPr>
              <w:rFonts w:hint="eastAsia" w:ascii="仿宋" w:hAnsi="仿宋" w:eastAsia="仿宋" w:cs="仿宋"/>
              <w:bCs w:val="0"/>
              <w:sz w:val="20"/>
              <w:szCs w:val="20"/>
              <w:highlight w:val="none"/>
            </w:rPr>
            <w:t>十、</w:t>
          </w:r>
          <w:r>
            <w:rPr>
              <w:rFonts w:hint="eastAsia" w:ascii="仿宋" w:hAnsi="仿宋" w:eastAsia="仿宋" w:cs="仿宋"/>
              <w:sz w:val="20"/>
              <w:szCs w:val="20"/>
              <w:highlight w:val="none"/>
            </w:rPr>
            <w:t>政</w:t>
          </w:r>
          <w:r>
            <w:rPr>
              <w:rFonts w:hint="eastAsia" w:ascii="仿宋" w:hAnsi="仿宋" w:eastAsia="仿宋" w:cs="仿宋"/>
              <w:bCs w:val="0"/>
              <w:sz w:val="20"/>
              <w:szCs w:val="20"/>
              <w:highlight w:val="none"/>
            </w:rPr>
            <w:t>府性基金预算财政拨款收入支出决算表</w:t>
          </w:r>
          <w:r>
            <w:rPr>
              <w:rFonts w:hint="eastAsia" w:ascii="仿宋" w:hAnsi="仿宋" w:eastAsia="仿宋" w:cs="仿宋"/>
              <w:sz w:val="20"/>
              <w:szCs w:val="20"/>
            </w:rPr>
            <w:tab/>
          </w:r>
          <w:r>
            <w:rPr>
              <w:rFonts w:hint="eastAsia" w:ascii="仿宋" w:hAnsi="仿宋" w:eastAsia="仿宋" w:cs="仿宋"/>
              <w:sz w:val="20"/>
              <w:szCs w:val="20"/>
            </w:rPr>
            <w:fldChar w:fldCharType="begin"/>
          </w:r>
          <w:r>
            <w:rPr>
              <w:rFonts w:hint="eastAsia" w:ascii="仿宋" w:hAnsi="仿宋" w:eastAsia="仿宋" w:cs="仿宋"/>
              <w:sz w:val="20"/>
              <w:szCs w:val="20"/>
            </w:rPr>
            <w:instrText xml:space="preserve"> PAGEREF _Toc24047 \h </w:instrText>
          </w:r>
          <w:r>
            <w:rPr>
              <w:rFonts w:hint="eastAsia" w:ascii="仿宋" w:hAnsi="仿宋" w:eastAsia="仿宋" w:cs="仿宋"/>
              <w:sz w:val="20"/>
              <w:szCs w:val="20"/>
            </w:rPr>
            <w:fldChar w:fldCharType="separate"/>
          </w:r>
          <w:r>
            <w:rPr>
              <w:rFonts w:hint="eastAsia" w:ascii="仿宋" w:hAnsi="仿宋" w:eastAsia="仿宋" w:cs="仿宋"/>
              <w:sz w:val="20"/>
              <w:szCs w:val="20"/>
            </w:rPr>
            <w:t>15</w:t>
          </w:r>
          <w:r>
            <w:rPr>
              <w:rFonts w:hint="eastAsia" w:ascii="仿宋" w:hAnsi="仿宋" w:eastAsia="仿宋" w:cs="仿宋"/>
              <w:sz w:val="20"/>
              <w:szCs w:val="20"/>
            </w:rPr>
            <w:fldChar w:fldCharType="end"/>
          </w:r>
          <w:r>
            <w:rPr>
              <w:rFonts w:hint="eastAsia" w:ascii="仿宋" w:hAnsi="仿宋" w:eastAsia="仿宋" w:cs="仿宋"/>
              <w:sz w:val="20"/>
              <w:szCs w:val="20"/>
            </w:rPr>
            <w:fldChar w:fldCharType="end"/>
          </w:r>
        </w:p>
        <w:p>
          <w:pPr>
            <w:pStyle w:val="14"/>
            <w:tabs>
              <w:tab w:val="right" w:leader="dot" w:pos="8306"/>
              <w:tab w:val="clear" w:pos="8296"/>
            </w:tabs>
            <w:rPr>
              <w:rFonts w:hint="eastAsia" w:ascii="仿宋" w:hAnsi="仿宋" w:eastAsia="仿宋" w:cs="仿宋"/>
              <w:sz w:val="20"/>
              <w:szCs w:val="20"/>
            </w:rPr>
          </w:pPr>
          <w:r>
            <w:fldChar w:fldCharType="begin"/>
          </w:r>
          <w:r>
            <w:instrText xml:space="preserve"> HYPERLINK \l "_Toc11243" </w:instrText>
          </w:r>
          <w:r>
            <w:fldChar w:fldCharType="separate"/>
          </w:r>
          <w:r>
            <w:rPr>
              <w:rFonts w:hint="eastAsia" w:ascii="仿宋" w:hAnsi="仿宋" w:eastAsia="仿宋" w:cs="仿宋"/>
              <w:bCs w:val="0"/>
              <w:sz w:val="20"/>
              <w:szCs w:val="20"/>
              <w:highlight w:val="none"/>
            </w:rPr>
            <w:t>十一、</w:t>
          </w:r>
          <w:r>
            <w:rPr>
              <w:rFonts w:hint="eastAsia" w:ascii="仿宋" w:hAnsi="仿宋" w:eastAsia="仿宋" w:cs="仿宋"/>
              <w:sz w:val="20"/>
              <w:szCs w:val="20"/>
              <w:highlight w:val="none"/>
            </w:rPr>
            <w:t>国</w:t>
          </w:r>
          <w:r>
            <w:rPr>
              <w:rFonts w:hint="eastAsia" w:ascii="仿宋" w:hAnsi="仿宋" w:eastAsia="仿宋" w:cs="仿宋"/>
              <w:bCs w:val="0"/>
              <w:sz w:val="20"/>
              <w:szCs w:val="20"/>
              <w:highlight w:val="none"/>
            </w:rPr>
            <w:t>有资本经营预算</w:t>
          </w:r>
          <w:r>
            <w:rPr>
              <w:rFonts w:hint="eastAsia" w:ascii="仿宋" w:hAnsi="仿宋" w:eastAsia="仿宋" w:cs="仿宋"/>
              <w:bCs w:val="0"/>
              <w:sz w:val="20"/>
              <w:szCs w:val="20"/>
              <w:highlight w:val="none"/>
              <w:lang w:eastAsia="zh-CN"/>
            </w:rPr>
            <w:t>财政拨款收入</w:t>
          </w:r>
          <w:r>
            <w:rPr>
              <w:rFonts w:hint="eastAsia" w:ascii="仿宋" w:hAnsi="仿宋" w:eastAsia="仿宋" w:cs="仿宋"/>
              <w:bCs w:val="0"/>
              <w:sz w:val="20"/>
              <w:szCs w:val="20"/>
              <w:highlight w:val="none"/>
            </w:rPr>
            <w:t>支出决算表</w:t>
          </w:r>
          <w:r>
            <w:rPr>
              <w:rFonts w:hint="eastAsia" w:ascii="仿宋" w:hAnsi="仿宋" w:eastAsia="仿宋" w:cs="仿宋"/>
              <w:sz w:val="20"/>
              <w:szCs w:val="20"/>
            </w:rPr>
            <w:tab/>
          </w:r>
          <w:r>
            <w:rPr>
              <w:rFonts w:hint="eastAsia" w:ascii="仿宋" w:hAnsi="仿宋" w:eastAsia="仿宋" w:cs="仿宋"/>
              <w:sz w:val="20"/>
              <w:szCs w:val="20"/>
            </w:rPr>
            <w:fldChar w:fldCharType="begin"/>
          </w:r>
          <w:r>
            <w:rPr>
              <w:rFonts w:hint="eastAsia" w:ascii="仿宋" w:hAnsi="仿宋" w:eastAsia="仿宋" w:cs="仿宋"/>
              <w:sz w:val="20"/>
              <w:szCs w:val="20"/>
            </w:rPr>
            <w:instrText xml:space="preserve"> PAGEREF _Toc11243 \h </w:instrText>
          </w:r>
          <w:r>
            <w:rPr>
              <w:rFonts w:hint="eastAsia" w:ascii="仿宋" w:hAnsi="仿宋" w:eastAsia="仿宋" w:cs="仿宋"/>
              <w:sz w:val="20"/>
              <w:szCs w:val="20"/>
            </w:rPr>
            <w:fldChar w:fldCharType="separate"/>
          </w:r>
          <w:r>
            <w:rPr>
              <w:rFonts w:hint="eastAsia" w:ascii="仿宋" w:hAnsi="仿宋" w:eastAsia="仿宋" w:cs="仿宋"/>
              <w:sz w:val="20"/>
              <w:szCs w:val="20"/>
            </w:rPr>
            <w:t>15</w:t>
          </w:r>
          <w:r>
            <w:rPr>
              <w:rFonts w:hint="eastAsia" w:ascii="仿宋" w:hAnsi="仿宋" w:eastAsia="仿宋" w:cs="仿宋"/>
              <w:sz w:val="20"/>
              <w:szCs w:val="20"/>
            </w:rPr>
            <w:fldChar w:fldCharType="end"/>
          </w:r>
          <w:r>
            <w:rPr>
              <w:rFonts w:hint="eastAsia" w:ascii="仿宋" w:hAnsi="仿宋" w:eastAsia="仿宋" w:cs="仿宋"/>
              <w:sz w:val="20"/>
              <w:szCs w:val="20"/>
            </w:rPr>
            <w:fldChar w:fldCharType="end"/>
          </w:r>
        </w:p>
        <w:p>
          <w:pPr>
            <w:pStyle w:val="14"/>
            <w:tabs>
              <w:tab w:val="right" w:leader="dot" w:pos="8306"/>
              <w:tab w:val="clear" w:pos="8296"/>
            </w:tabs>
            <w:rPr>
              <w:rFonts w:hint="eastAsia" w:ascii="仿宋" w:hAnsi="仿宋" w:eastAsia="仿宋" w:cs="仿宋"/>
              <w:sz w:val="20"/>
              <w:szCs w:val="20"/>
            </w:rPr>
          </w:pPr>
          <w:r>
            <w:fldChar w:fldCharType="begin"/>
          </w:r>
          <w:r>
            <w:instrText xml:space="preserve"> HYPERLINK \l "_Toc20705" </w:instrText>
          </w:r>
          <w:r>
            <w:fldChar w:fldCharType="separate"/>
          </w:r>
          <w:r>
            <w:rPr>
              <w:rFonts w:hint="eastAsia" w:ascii="仿宋" w:hAnsi="仿宋" w:eastAsia="仿宋" w:cs="仿宋"/>
              <w:bCs w:val="0"/>
              <w:sz w:val="20"/>
              <w:szCs w:val="20"/>
              <w:highlight w:val="none"/>
            </w:rPr>
            <w:t>十二、</w:t>
          </w:r>
          <w:r>
            <w:rPr>
              <w:rFonts w:hint="eastAsia" w:ascii="仿宋" w:hAnsi="仿宋" w:eastAsia="仿宋" w:cs="仿宋"/>
              <w:bCs w:val="0"/>
              <w:sz w:val="20"/>
              <w:szCs w:val="20"/>
              <w:highlight w:val="none"/>
              <w:lang w:eastAsia="zh-CN"/>
            </w:rPr>
            <w:t>国有资本经营预算财政拨款支出决算表</w:t>
          </w:r>
          <w:r>
            <w:rPr>
              <w:rFonts w:hint="eastAsia" w:ascii="仿宋" w:hAnsi="仿宋" w:eastAsia="仿宋" w:cs="仿宋"/>
              <w:sz w:val="20"/>
              <w:szCs w:val="20"/>
            </w:rPr>
            <w:tab/>
          </w:r>
          <w:r>
            <w:rPr>
              <w:rFonts w:hint="eastAsia" w:ascii="仿宋" w:hAnsi="仿宋" w:eastAsia="仿宋" w:cs="仿宋"/>
              <w:sz w:val="20"/>
              <w:szCs w:val="20"/>
            </w:rPr>
            <w:fldChar w:fldCharType="begin"/>
          </w:r>
          <w:r>
            <w:rPr>
              <w:rFonts w:hint="eastAsia" w:ascii="仿宋" w:hAnsi="仿宋" w:eastAsia="仿宋" w:cs="仿宋"/>
              <w:sz w:val="20"/>
              <w:szCs w:val="20"/>
            </w:rPr>
            <w:instrText xml:space="preserve"> PAGEREF _Toc20705 \h </w:instrText>
          </w:r>
          <w:r>
            <w:rPr>
              <w:rFonts w:hint="eastAsia" w:ascii="仿宋" w:hAnsi="仿宋" w:eastAsia="仿宋" w:cs="仿宋"/>
              <w:sz w:val="20"/>
              <w:szCs w:val="20"/>
            </w:rPr>
            <w:fldChar w:fldCharType="separate"/>
          </w:r>
          <w:r>
            <w:rPr>
              <w:rFonts w:hint="eastAsia" w:ascii="仿宋" w:hAnsi="仿宋" w:eastAsia="仿宋" w:cs="仿宋"/>
              <w:sz w:val="20"/>
              <w:szCs w:val="20"/>
            </w:rPr>
            <w:t>15</w:t>
          </w:r>
          <w:r>
            <w:rPr>
              <w:rFonts w:hint="eastAsia" w:ascii="仿宋" w:hAnsi="仿宋" w:eastAsia="仿宋" w:cs="仿宋"/>
              <w:sz w:val="20"/>
              <w:szCs w:val="20"/>
            </w:rPr>
            <w:fldChar w:fldCharType="end"/>
          </w:r>
          <w:r>
            <w:rPr>
              <w:rFonts w:hint="eastAsia" w:ascii="仿宋" w:hAnsi="仿宋" w:eastAsia="仿宋" w:cs="仿宋"/>
              <w:sz w:val="20"/>
              <w:szCs w:val="20"/>
            </w:rPr>
            <w:fldChar w:fldCharType="end"/>
          </w:r>
        </w:p>
        <w:p>
          <w:pPr>
            <w:pStyle w:val="14"/>
            <w:tabs>
              <w:tab w:val="right" w:leader="dot" w:pos="8306"/>
              <w:tab w:val="clear" w:pos="8296"/>
            </w:tabs>
            <w:rPr>
              <w:rFonts w:hint="eastAsia" w:ascii="仿宋" w:hAnsi="仿宋" w:eastAsia="仿宋" w:cs="仿宋"/>
              <w:sz w:val="20"/>
              <w:szCs w:val="20"/>
            </w:rPr>
          </w:pPr>
          <w:r>
            <w:fldChar w:fldCharType="begin"/>
          </w:r>
          <w:r>
            <w:instrText xml:space="preserve"> HYPERLINK \l "_Toc1135" </w:instrText>
          </w:r>
          <w:r>
            <w:fldChar w:fldCharType="separate"/>
          </w:r>
          <w:r>
            <w:rPr>
              <w:rFonts w:hint="eastAsia" w:ascii="仿宋" w:hAnsi="仿宋" w:eastAsia="仿宋" w:cs="仿宋"/>
              <w:bCs w:val="0"/>
              <w:sz w:val="20"/>
              <w:szCs w:val="20"/>
              <w:highlight w:val="none"/>
            </w:rPr>
            <w:t>十三、</w:t>
          </w:r>
          <w:r>
            <w:rPr>
              <w:rFonts w:hint="eastAsia" w:ascii="仿宋" w:hAnsi="仿宋" w:eastAsia="仿宋" w:cs="仿宋"/>
              <w:bCs w:val="0"/>
              <w:sz w:val="20"/>
              <w:szCs w:val="20"/>
              <w:highlight w:val="none"/>
              <w:lang w:eastAsia="zh-CN"/>
            </w:rPr>
            <w:t>财政拨款“三公”经费支出决算表</w:t>
          </w:r>
          <w:r>
            <w:rPr>
              <w:rFonts w:hint="eastAsia" w:ascii="仿宋" w:hAnsi="仿宋" w:eastAsia="仿宋" w:cs="仿宋"/>
              <w:sz w:val="20"/>
              <w:szCs w:val="20"/>
            </w:rPr>
            <w:tab/>
          </w:r>
          <w:r>
            <w:rPr>
              <w:rFonts w:hint="eastAsia" w:ascii="仿宋" w:hAnsi="仿宋" w:eastAsia="仿宋" w:cs="仿宋"/>
              <w:sz w:val="20"/>
              <w:szCs w:val="20"/>
            </w:rPr>
            <w:fldChar w:fldCharType="begin"/>
          </w:r>
          <w:r>
            <w:rPr>
              <w:rFonts w:hint="eastAsia" w:ascii="仿宋" w:hAnsi="仿宋" w:eastAsia="仿宋" w:cs="仿宋"/>
              <w:sz w:val="20"/>
              <w:szCs w:val="20"/>
            </w:rPr>
            <w:instrText xml:space="preserve"> PAGEREF _Toc1135 \h </w:instrText>
          </w:r>
          <w:r>
            <w:rPr>
              <w:rFonts w:hint="eastAsia" w:ascii="仿宋" w:hAnsi="仿宋" w:eastAsia="仿宋" w:cs="仿宋"/>
              <w:sz w:val="20"/>
              <w:szCs w:val="20"/>
            </w:rPr>
            <w:fldChar w:fldCharType="separate"/>
          </w:r>
          <w:r>
            <w:rPr>
              <w:rFonts w:hint="eastAsia" w:ascii="仿宋" w:hAnsi="仿宋" w:eastAsia="仿宋" w:cs="仿宋"/>
              <w:sz w:val="20"/>
              <w:szCs w:val="20"/>
            </w:rPr>
            <w:t>15</w:t>
          </w:r>
          <w:r>
            <w:rPr>
              <w:rFonts w:hint="eastAsia" w:ascii="仿宋" w:hAnsi="仿宋" w:eastAsia="仿宋" w:cs="仿宋"/>
              <w:sz w:val="20"/>
              <w:szCs w:val="20"/>
            </w:rPr>
            <w:fldChar w:fldCharType="end"/>
          </w:r>
          <w:r>
            <w:rPr>
              <w:rFonts w:hint="eastAsia" w:ascii="仿宋" w:hAnsi="仿宋" w:eastAsia="仿宋" w:cs="仿宋"/>
              <w:sz w:val="20"/>
              <w:szCs w:val="20"/>
            </w:rPr>
            <w:fldChar w:fldCharType="end"/>
          </w:r>
        </w:p>
        <w:p>
          <w:r>
            <w:rPr>
              <w:rFonts w:hint="eastAsia" w:ascii="仿宋" w:hAnsi="仿宋" w:eastAsia="仿宋" w:cs="仿宋"/>
              <w:sz w:val="20"/>
              <w:szCs w:val="20"/>
            </w:rPr>
            <w:fldChar w:fldCharType="end"/>
          </w:r>
        </w:p>
      </w:sdtContent>
    </w:sdt>
    <w:p>
      <w:pPr>
        <w:pStyle w:val="3"/>
        <w:jc w:val="center"/>
        <w:rPr>
          <w:rFonts w:ascii="黑体" w:eastAsia="黑体"/>
          <w:color w:val="auto"/>
          <w:sz w:val="32"/>
          <w:szCs w:val="32"/>
          <w:highlight w:val="none"/>
        </w:rPr>
      </w:pPr>
      <w:bookmarkStart w:id="17" w:name="_Toc19536"/>
      <w:r>
        <w:rPr>
          <w:rFonts w:hint="eastAsia" w:ascii="黑体" w:eastAsia="黑体"/>
          <w:b w:val="0"/>
          <w:color w:val="auto"/>
          <w:highlight w:val="none"/>
        </w:rPr>
        <w:t xml:space="preserve">第一部分 </w:t>
      </w:r>
      <w:r>
        <w:rPr>
          <w:rFonts w:hint="eastAsia" w:ascii="黑体" w:eastAsia="黑体"/>
          <w:b w:val="0"/>
          <w:color w:val="auto"/>
          <w:highlight w:val="none"/>
          <w:lang w:eastAsia="zh-CN"/>
        </w:rPr>
        <w:t>单位</w:t>
      </w:r>
      <w:r>
        <w:rPr>
          <w:rStyle w:val="21"/>
          <w:rFonts w:hint="eastAsia" w:ascii="黑体" w:eastAsia="黑体"/>
          <w:b w:val="0"/>
          <w:bCs w:val="0"/>
          <w:color w:val="auto"/>
          <w:highlight w:val="none"/>
        </w:rPr>
        <w:t>概况</w:t>
      </w:r>
      <w:bookmarkEnd w:id="16"/>
      <w:bookmarkEnd w:id="17"/>
    </w:p>
    <w:p>
      <w:pPr>
        <w:ind w:firstLine="640" w:firstLineChars="200"/>
        <w:rPr>
          <w:rFonts w:hint="eastAsia" w:ascii="黑体" w:hAnsi="黑体" w:eastAsia="黑体" w:cs="黑体"/>
          <w:sz w:val="32"/>
          <w:szCs w:val="32"/>
          <w:lang w:eastAsia="zh-CN"/>
        </w:rPr>
      </w:pPr>
      <w:bookmarkStart w:id="18" w:name="_Toc15396600"/>
      <w:bookmarkStart w:id="19" w:name="_Toc15377197"/>
      <w:r>
        <w:rPr>
          <w:rFonts w:hint="eastAsia" w:ascii="黑体" w:hAnsi="黑体" w:eastAsia="黑体" w:cs="黑体"/>
          <w:sz w:val="32"/>
          <w:szCs w:val="32"/>
          <w:lang w:eastAsia="zh-CN"/>
        </w:rPr>
        <w:t>一、主要职责</w:t>
      </w:r>
    </w:p>
    <w:p>
      <w:pPr>
        <w:ind w:firstLine="640" w:firstLineChars="200"/>
        <w:rPr>
          <w:rFonts w:hint="eastAsia" w:ascii="仿宋" w:eastAsia="仿宋" w:cs="仿宋"/>
          <w:kern w:val="0"/>
          <w:sz w:val="32"/>
          <w:szCs w:val="32"/>
        </w:rPr>
      </w:pPr>
      <w:r>
        <w:rPr>
          <w:rFonts w:hint="eastAsia" w:ascii="仿宋" w:eastAsia="仿宋" w:cs="仿宋"/>
          <w:kern w:val="0"/>
          <w:sz w:val="32"/>
          <w:szCs w:val="32"/>
          <w:lang w:val="en-US" w:eastAsia="zh-CN"/>
        </w:rPr>
        <w:t>1.以公共卫生服务为主，综合提供预防、保健和基本医疗等服务。2.加强农村疾病预防控制，做好传染病、地方病防治和疫情等农村突发公共卫生事件报告工作，重点控制严重危害农民身体健康的传染病、地方病、职业病和寄生虫病等重大疾病。3.认真执行儿童计划免疫。积极开展慢性非传染性疾病的防治工作。4.做好农村孕产妇和儿童保健工作，提高住院分娩率，改善儿童营养状况。5.积极做好新型农村合作医疗的服务、计划生育技术指导、康复等工作。6.开展爱国卫生运动，普及疾病预防和卫生保健知识，指导群众改善居住、饮食、饮水和环境卫生条件，引导和帮助农民建立良好的卫生习惯。</w:t>
      </w:r>
    </w:p>
    <w:p>
      <w:pPr>
        <w:ind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二、机构设置</w:t>
      </w:r>
      <w:bookmarkEnd w:id="18"/>
      <w:bookmarkEnd w:id="19"/>
    </w:p>
    <w:p>
      <w:pPr>
        <w:ind w:firstLine="640" w:firstLineChars="200"/>
        <w:rPr>
          <w:rFonts w:hint="eastAsia" w:ascii="仿宋" w:eastAsia="仿宋" w:cs="仿宋"/>
          <w:kern w:val="0"/>
          <w:sz w:val="32"/>
          <w:szCs w:val="32"/>
          <w:lang w:val="en-US" w:eastAsia="zh-CN"/>
        </w:rPr>
      </w:pPr>
      <w:bookmarkStart w:id="20" w:name="_Toc13936"/>
      <w:r>
        <w:rPr>
          <w:rFonts w:hint="eastAsia" w:ascii="仿宋" w:eastAsia="仿宋" w:cs="仿宋"/>
          <w:kern w:val="0"/>
          <w:sz w:val="32"/>
          <w:szCs w:val="32"/>
          <w:lang w:val="en-US" w:eastAsia="zh-CN"/>
        </w:rPr>
        <w:t>广元市昭化区文村乡卫生院无部门下属二级预算单位单位。</w:t>
      </w:r>
      <w:bookmarkEnd w:id="20"/>
    </w:p>
    <w:p>
      <w:pPr>
        <w:rPr>
          <w:rFonts w:hint="eastAsia" w:ascii="仿宋" w:eastAsia="仿宋" w:cs="仿宋"/>
          <w:kern w:val="0"/>
          <w:sz w:val="32"/>
          <w:szCs w:val="32"/>
          <w:lang w:val="en-US" w:eastAsia="zh-CN"/>
        </w:rPr>
      </w:pPr>
      <w:r>
        <w:br w:type="page"/>
      </w:r>
    </w:p>
    <w:p>
      <w:pPr>
        <w:pStyle w:val="3"/>
        <w:ind w:right="440"/>
        <w:jc w:val="center"/>
        <w:rPr>
          <w:color w:val="auto"/>
          <w:highlight w:val="none"/>
        </w:rPr>
      </w:pPr>
      <w:bookmarkStart w:id="21" w:name="_Toc30559"/>
      <w:bookmarkStart w:id="22" w:name="_Toc15377204"/>
      <w:bookmarkStart w:id="23" w:name="_Toc15396602"/>
      <w:r>
        <w:rPr>
          <w:rFonts w:hint="eastAsia" w:ascii="黑体" w:eastAsia="黑体"/>
          <w:b w:val="0"/>
          <w:bCs/>
          <w:color w:val="auto"/>
          <w:highlight w:val="none"/>
        </w:rPr>
        <w:t xml:space="preserve">第二部分 </w:t>
      </w:r>
      <w:r>
        <w:rPr>
          <w:rFonts w:hint="eastAsia" w:ascii="黑体" w:eastAsia="黑体"/>
          <w:b w:val="0"/>
          <w:bCs/>
          <w:color w:val="auto"/>
          <w:highlight w:val="none"/>
          <w:lang w:val="en-US" w:eastAsia="zh-CN"/>
        </w:rPr>
        <w:t>2022年度</w:t>
      </w:r>
      <w:r>
        <w:rPr>
          <w:rStyle w:val="21"/>
          <w:rFonts w:hint="eastAsia" w:ascii="黑体" w:eastAsia="黑体"/>
          <w:b w:val="0"/>
          <w:bCs/>
          <w:color w:val="auto"/>
          <w:highlight w:val="none"/>
          <w:lang w:eastAsia="zh-CN"/>
        </w:rPr>
        <w:t>单位</w:t>
      </w:r>
      <w:r>
        <w:rPr>
          <w:rStyle w:val="21"/>
          <w:rFonts w:hint="eastAsia" w:ascii="黑体" w:eastAsia="黑体"/>
          <w:b w:val="0"/>
          <w:bCs/>
          <w:color w:val="auto"/>
          <w:highlight w:val="none"/>
        </w:rPr>
        <w:t>决算情况说明</w:t>
      </w:r>
      <w:bookmarkEnd w:id="21"/>
      <w:bookmarkEnd w:id="22"/>
      <w:bookmarkEnd w:id="23"/>
    </w:p>
    <w:p>
      <w:pPr>
        <w:pStyle w:val="27"/>
        <w:numPr>
          <w:ilvl w:val="0"/>
          <w:numId w:val="1"/>
        </w:numPr>
        <w:spacing w:line="600" w:lineRule="exact"/>
        <w:ind w:firstLineChars="0"/>
        <w:outlineLvl w:val="1"/>
        <w:rPr>
          <w:rStyle w:val="22"/>
          <w:rFonts w:ascii="黑体" w:eastAsia="黑体"/>
          <w:b w:val="0"/>
          <w:color w:val="auto"/>
          <w:highlight w:val="none"/>
        </w:rPr>
      </w:pPr>
      <w:bookmarkStart w:id="24" w:name="_Toc15377205"/>
      <w:bookmarkStart w:id="25" w:name="_Toc13452"/>
      <w:bookmarkStart w:id="26" w:name="_Toc15396603"/>
      <w:r>
        <w:rPr>
          <w:rFonts w:hint="eastAsia" w:ascii="黑体" w:eastAsia="黑体"/>
          <w:color w:val="auto"/>
          <w:sz w:val="32"/>
          <w:szCs w:val="32"/>
          <w:highlight w:val="none"/>
        </w:rPr>
        <w:t>收</w:t>
      </w:r>
      <w:r>
        <w:rPr>
          <w:rStyle w:val="22"/>
          <w:rFonts w:hint="eastAsia" w:ascii="黑体" w:eastAsia="黑体"/>
          <w:b w:val="0"/>
          <w:color w:val="auto"/>
          <w:highlight w:val="none"/>
        </w:rPr>
        <w:t>入支出决算总体情况说明</w:t>
      </w:r>
      <w:bookmarkEnd w:id="24"/>
      <w:bookmarkEnd w:id="25"/>
      <w:bookmarkEnd w:id="26"/>
    </w:p>
    <w:p>
      <w:pPr>
        <w:spacing w:line="600" w:lineRule="exact"/>
        <w:ind w:firstLine="640" w:firstLineChars="200"/>
        <w:rPr>
          <w:rFonts w:ascii="黑体" w:eastAsia="黑体"/>
          <w:color w:val="auto"/>
          <w:sz w:val="32"/>
          <w:szCs w:val="32"/>
          <w:highlight w:val="none"/>
        </w:rPr>
      </w:pPr>
      <w:r>
        <w:rPr>
          <w:rFonts w:hint="eastAsia"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年度收、支总计</w:t>
      </w:r>
      <w:r>
        <w:rPr>
          <w:rFonts w:ascii="仿宋" w:eastAsia="仿宋"/>
          <w:color w:val="auto"/>
          <w:sz w:val="32"/>
          <w:szCs w:val="32"/>
          <w:highlight w:val="none"/>
        </w:rPr>
        <w:t>141</w:t>
      </w:r>
      <w:r>
        <w:rPr>
          <w:rFonts w:hint="eastAsia" w:ascii="仿宋" w:eastAsia="仿宋"/>
          <w:color w:val="auto"/>
          <w:sz w:val="32"/>
          <w:szCs w:val="32"/>
          <w:highlight w:val="none"/>
        </w:rPr>
        <w:t>万元。与20</w:t>
      </w:r>
      <w:r>
        <w:rPr>
          <w:rFonts w:hint="eastAsia" w:ascii="仿宋" w:eastAsia="仿宋"/>
          <w:color w:val="auto"/>
          <w:sz w:val="32"/>
          <w:szCs w:val="32"/>
          <w:highlight w:val="none"/>
          <w:lang w:val="en-US" w:eastAsia="zh-CN"/>
        </w:rPr>
        <w:t>21</w:t>
      </w:r>
      <w:r>
        <w:rPr>
          <w:rFonts w:hint="eastAsia" w:ascii="仿宋" w:eastAsia="仿宋"/>
          <w:color w:val="auto"/>
          <w:sz w:val="32"/>
          <w:szCs w:val="32"/>
          <w:highlight w:val="none"/>
        </w:rPr>
        <w:t>年相比，收、支总计各</w:t>
      </w:r>
      <w:r>
        <w:rPr>
          <w:rFonts w:hint="eastAsia" w:ascii="仿宋" w:eastAsia="仿宋"/>
          <w:color w:val="auto"/>
          <w:sz w:val="32"/>
          <w:szCs w:val="32"/>
          <w:highlight w:val="none"/>
          <w:lang w:eastAsia="zh-CN"/>
        </w:rPr>
        <w:t>减少了</w:t>
      </w:r>
      <w:r>
        <w:rPr>
          <w:rFonts w:ascii="仿宋" w:eastAsia="仿宋"/>
          <w:color w:val="auto"/>
          <w:sz w:val="32"/>
          <w:szCs w:val="32"/>
          <w:highlight w:val="none"/>
        </w:rPr>
        <w:t>19.13</w:t>
      </w:r>
      <w:r>
        <w:rPr>
          <w:rFonts w:hint="eastAsia" w:ascii="仿宋" w:eastAsia="仿宋"/>
          <w:color w:val="auto"/>
          <w:sz w:val="32"/>
          <w:szCs w:val="32"/>
          <w:highlight w:val="none"/>
        </w:rPr>
        <w:t>万元，</w:t>
      </w:r>
      <w:r>
        <w:rPr>
          <w:rFonts w:hint="eastAsia" w:ascii="仿宋" w:eastAsia="仿宋"/>
          <w:color w:val="auto"/>
          <w:sz w:val="32"/>
          <w:szCs w:val="32"/>
          <w:highlight w:val="none"/>
          <w:lang w:eastAsia="zh-CN"/>
        </w:rPr>
        <w:t>下降</w:t>
      </w:r>
      <w:r>
        <w:rPr>
          <w:rFonts w:hint="eastAsia" w:ascii="仿宋" w:eastAsia="仿宋"/>
          <w:color w:val="auto"/>
          <w:sz w:val="32"/>
          <w:szCs w:val="32"/>
          <w:highlight w:val="none"/>
          <w:lang w:val="en-US" w:eastAsia="zh-CN"/>
        </w:rPr>
        <w:t>11.95</w:t>
      </w:r>
      <w:r>
        <w:rPr>
          <w:rFonts w:ascii="仿宋" w:eastAsia="仿宋"/>
          <w:color w:val="auto"/>
          <w:sz w:val="32"/>
          <w:szCs w:val="32"/>
          <w:highlight w:val="none"/>
        </w:rPr>
        <w:t>%</w:t>
      </w:r>
      <w:r>
        <w:rPr>
          <w:rFonts w:hint="eastAsia" w:ascii="仿宋" w:eastAsia="仿宋"/>
          <w:color w:val="auto"/>
          <w:sz w:val="32"/>
          <w:szCs w:val="32"/>
          <w:highlight w:val="none"/>
        </w:rPr>
        <w:t>。主要变动原因是</w:t>
      </w:r>
      <w:r>
        <w:rPr>
          <w:rFonts w:ascii="仿宋" w:eastAsia="仿宋"/>
          <w:color w:val="auto"/>
          <w:sz w:val="32"/>
          <w:szCs w:val="32"/>
          <w:highlight w:val="none"/>
        </w:rPr>
        <w:t>乡镇合并人员增加，财政拨款增加</w:t>
      </w:r>
      <w:r>
        <w:rPr>
          <w:rFonts w:hint="eastAsia" w:ascii="仿宋" w:eastAsia="仿宋"/>
          <w:color w:val="auto"/>
          <w:sz w:val="32"/>
          <w:szCs w:val="32"/>
          <w:highlight w:val="none"/>
          <w:lang w:eastAsia="zh-CN"/>
        </w:rPr>
        <w:t>。</w:t>
      </w:r>
      <w:r>
        <w:rPr>
          <w:rFonts w:ascii="仿宋" w:eastAsia="仿宋"/>
          <w:color w:val="auto"/>
          <w:sz w:val="32"/>
          <w:szCs w:val="32"/>
          <w:highlight w:val="none"/>
          <w:lang w:eastAsia="zh-CN"/>
        </w:rPr>
        <w:t>业务收入增加</w:t>
      </w:r>
      <w:bookmarkStart w:id="27" w:name="_Toc15396604"/>
      <w:bookmarkStart w:id="28" w:name="_Toc15377206"/>
      <w:r>
        <w:rPr>
          <w:rFonts w:ascii="仿宋" w:eastAsia="仿宋"/>
          <w:color w:val="auto"/>
          <w:sz w:val="32"/>
          <w:szCs w:val="32"/>
          <w:highlight w:val="none"/>
          <w:lang w:eastAsia="zh-CN"/>
        </w:rPr>
        <w:t>。</w:t>
      </w:r>
    </w:p>
    <w:p>
      <w:pPr>
        <w:pStyle w:val="27"/>
        <w:spacing w:line="600" w:lineRule="exact"/>
        <w:ind w:firstLine="0" w:firstLineChars="0"/>
        <w:outlineLvl w:val="1"/>
        <w:rPr>
          <w:rFonts w:ascii="黑体" w:eastAsia="黑体"/>
          <w:color w:val="auto"/>
          <w:sz w:val="32"/>
          <w:szCs w:val="32"/>
          <w:highlight w:val="none"/>
        </w:rPr>
      </w:pPr>
    </w:p>
    <w:p>
      <w:pPr>
        <w:pStyle w:val="27"/>
        <w:spacing w:line="600" w:lineRule="exact"/>
        <w:ind w:firstLine="0" w:firstLineChars="0"/>
        <w:outlineLvl w:val="1"/>
        <w:rPr>
          <w:rFonts w:ascii="黑体" w:eastAsia="黑体"/>
          <w:color w:val="auto"/>
          <w:sz w:val="32"/>
          <w:szCs w:val="32"/>
          <w:highlight w:val="none"/>
        </w:rPr>
      </w:pPr>
    </w:p>
    <w:p>
      <w:pPr>
        <w:pStyle w:val="27"/>
        <w:spacing w:line="600" w:lineRule="exact"/>
        <w:ind w:firstLine="0" w:firstLineChars="0"/>
        <w:outlineLvl w:val="1"/>
        <w:rPr>
          <w:rFonts w:hint="eastAsia"/>
          <w:lang w:val="en-US" w:eastAsia="zh-CN"/>
        </w:rPr>
      </w:pPr>
    </w:p>
    <w:p>
      <w:pPr>
        <w:pStyle w:val="27"/>
        <w:spacing w:line="600" w:lineRule="exact"/>
        <w:ind w:firstLine="0" w:firstLineChars="0"/>
        <w:outlineLvl w:val="1"/>
      </w:pPr>
    </w:p>
    <w:p>
      <w:pPr>
        <w:pStyle w:val="27"/>
        <w:spacing w:line="600" w:lineRule="exact"/>
        <w:ind w:firstLine="0" w:firstLineChars="0"/>
        <w:outlineLvl w:val="1"/>
      </w:pPr>
    </w:p>
    <w:p>
      <w:pPr>
        <w:pStyle w:val="27"/>
        <w:spacing w:line="600" w:lineRule="exact"/>
        <w:ind w:firstLine="0" w:firstLineChars="0"/>
        <w:outlineLvl w:val="1"/>
        <w:rPr>
          <w:rFonts w:ascii="黑体" w:eastAsia="黑体"/>
          <w:color w:val="auto"/>
          <w:sz w:val="32"/>
          <w:szCs w:val="32"/>
          <w:highlight w:val="none"/>
        </w:rPr>
      </w:pPr>
      <w:r>
        <w:rPr>
          <w:rFonts w:hint="eastAsia"/>
          <w:lang w:val="en-US" w:eastAsia="zh-CN"/>
        </w:rPr>
        <w:t xml:space="preserve">         </w:t>
      </w:r>
      <w:r>
        <w:drawing>
          <wp:anchor distT="0" distB="0" distL="114300" distR="114300" simplePos="0" relativeHeight="251659264" behindDoc="0" locked="0" layoutInCell="1" allowOverlap="1">
            <wp:simplePos x="0" y="0"/>
            <wp:positionH relativeFrom="column">
              <wp:posOffset>604520</wp:posOffset>
            </wp:positionH>
            <wp:positionV relativeFrom="paragraph">
              <wp:posOffset>-1614805</wp:posOffset>
            </wp:positionV>
            <wp:extent cx="4043680" cy="1901190"/>
            <wp:effectExtent l="4445" t="4445" r="9525" b="18415"/>
            <wp:wrapSquare wrapText="bothSides"/>
            <wp:docPr id="63" name="图表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bookmarkEnd w:id="27"/>
      <w:bookmarkEnd w:id="28"/>
    </w:p>
    <w:p>
      <w:pPr>
        <w:spacing w:line="600" w:lineRule="exact"/>
        <w:ind w:firstLine="640" w:firstLineChars="200"/>
        <w:outlineLvl w:val="1"/>
        <w:rPr>
          <w:rFonts w:hint="eastAsia" w:ascii="黑体" w:eastAsia="黑体"/>
          <w:color w:val="auto"/>
          <w:sz w:val="32"/>
          <w:szCs w:val="32"/>
          <w:highlight w:val="none"/>
        </w:rPr>
      </w:pPr>
      <w:bookmarkStart w:id="29" w:name="_Toc19281"/>
      <w:r>
        <w:rPr>
          <w:rFonts w:hint="eastAsia" w:ascii="黑体" w:eastAsia="黑体"/>
          <w:color w:val="auto"/>
          <w:sz w:val="32"/>
          <w:szCs w:val="32"/>
          <w:highlight w:val="none"/>
        </w:rPr>
        <w:t>二、收入决算情况说明</w:t>
      </w:r>
      <w:bookmarkEnd w:id="29"/>
    </w:p>
    <w:p>
      <w:pPr>
        <w:spacing w:line="600" w:lineRule="exact"/>
        <w:ind w:firstLine="640" w:firstLineChars="200"/>
        <w:outlineLvl w:val="1"/>
        <w:rPr>
          <w:rFonts w:ascii="仿宋" w:eastAsia="仿宋"/>
          <w:color w:val="auto"/>
          <w:sz w:val="32"/>
          <w:szCs w:val="32"/>
          <w:highlight w:val="none"/>
        </w:rPr>
      </w:pPr>
      <w:bookmarkStart w:id="30" w:name="_Toc28364"/>
      <w:bookmarkStart w:id="31" w:name="_Toc2564"/>
      <w:r>
        <w:rPr>
          <w:rFonts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年本年收入合计</w:t>
      </w:r>
      <w:r>
        <w:rPr>
          <w:rFonts w:ascii="仿宋" w:eastAsia="仿宋"/>
          <w:color w:val="auto"/>
          <w:sz w:val="32"/>
          <w:szCs w:val="32"/>
          <w:highlight w:val="none"/>
        </w:rPr>
        <w:t>141</w:t>
      </w:r>
      <w:r>
        <w:rPr>
          <w:rFonts w:hint="eastAsia" w:ascii="仿宋" w:eastAsia="仿宋"/>
          <w:color w:val="auto"/>
          <w:sz w:val="32"/>
          <w:szCs w:val="32"/>
          <w:highlight w:val="none"/>
        </w:rPr>
        <w:t>万元，其中：一般公共预算财政拨款收入</w:t>
      </w:r>
      <w:r>
        <w:rPr>
          <w:rFonts w:ascii="仿宋" w:eastAsia="仿宋"/>
          <w:color w:val="auto"/>
          <w:sz w:val="32"/>
          <w:szCs w:val="32"/>
          <w:highlight w:val="none"/>
        </w:rPr>
        <w:t>77.75</w:t>
      </w:r>
      <w:r>
        <w:rPr>
          <w:rFonts w:hint="eastAsia" w:ascii="仿宋" w:eastAsia="仿宋"/>
          <w:color w:val="auto"/>
          <w:sz w:val="32"/>
          <w:szCs w:val="32"/>
          <w:highlight w:val="none"/>
        </w:rPr>
        <w:t>元，占</w:t>
      </w:r>
      <w:r>
        <w:rPr>
          <w:rFonts w:ascii="仿宋" w:eastAsia="仿宋"/>
          <w:color w:val="auto"/>
          <w:sz w:val="32"/>
          <w:szCs w:val="32"/>
          <w:highlight w:val="none"/>
        </w:rPr>
        <w:t>55.14%</w:t>
      </w:r>
      <w:r>
        <w:rPr>
          <w:rFonts w:hint="eastAsia" w:ascii="仿宋" w:eastAsia="仿宋"/>
          <w:color w:val="auto"/>
          <w:sz w:val="32"/>
          <w:szCs w:val="32"/>
          <w:highlight w:val="none"/>
        </w:rPr>
        <w:t>；政府性基金预算财政拨款收入</w:t>
      </w:r>
      <w:r>
        <w:rPr>
          <w:rFonts w:ascii="仿宋" w:eastAsia="仿宋"/>
          <w:color w:val="auto"/>
          <w:sz w:val="32"/>
          <w:szCs w:val="32"/>
          <w:highlight w:val="none"/>
        </w:rPr>
        <w:t>2.34</w:t>
      </w:r>
      <w:r>
        <w:rPr>
          <w:rFonts w:hint="eastAsia" w:ascii="仿宋" w:eastAsia="仿宋"/>
          <w:color w:val="auto"/>
          <w:sz w:val="32"/>
          <w:szCs w:val="32"/>
          <w:highlight w:val="none"/>
        </w:rPr>
        <w:t>万元，占</w:t>
      </w:r>
      <w:r>
        <w:rPr>
          <w:rFonts w:ascii="仿宋" w:eastAsia="仿宋"/>
          <w:color w:val="auto"/>
          <w:sz w:val="32"/>
          <w:szCs w:val="32"/>
          <w:highlight w:val="none"/>
        </w:rPr>
        <w:t>1.66%</w:t>
      </w:r>
      <w:r>
        <w:rPr>
          <w:rFonts w:hint="eastAsia" w:ascii="仿宋" w:eastAsia="仿宋"/>
          <w:color w:val="auto"/>
          <w:sz w:val="32"/>
          <w:szCs w:val="32"/>
          <w:highlight w:val="none"/>
        </w:rPr>
        <w:t>；</w:t>
      </w:r>
      <w:r>
        <w:rPr>
          <w:rFonts w:hint="eastAsia" w:ascii="仿宋" w:eastAsia="仿宋"/>
          <w:color w:val="auto"/>
          <w:sz w:val="32"/>
          <w:szCs w:val="32"/>
          <w:highlight w:val="none"/>
          <w:lang w:eastAsia="zh-CN"/>
        </w:rPr>
        <w:t>国有资本经营预算财政拨款收入</w:t>
      </w:r>
      <w:r>
        <w:rPr>
          <w:rFonts w:ascii="仿宋" w:eastAsia="仿宋"/>
          <w:color w:val="auto"/>
          <w:sz w:val="32"/>
          <w:szCs w:val="32"/>
          <w:highlight w:val="none"/>
        </w:rPr>
        <w:t>0</w:t>
      </w:r>
      <w:r>
        <w:rPr>
          <w:rFonts w:hint="eastAsia" w:ascii="仿宋" w:eastAsia="仿宋"/>
          <w:color w:val="auto"/>
          <w:sz w:val="32"/>
          <w:szCs w:val="32"/>
          <w:highlight w:val="none"/>
        </w:rPr>
        <w:t>万元，占</w:t>
      </w:r>
      <w:r>
        <w:rPr>
          <w:rFonts w:ascii="仿宋" w:eastAsia="仿宋"/>
          <w:color w:val="auto"/>
          <w:sz w:val="32"/>
          <w:szCs w:val="32"/>
          <w:highlight w:val="none"/>
        </w:rPr>
        <w:t>0%</w:t>
      </w:r>
      <w:r>
        <w:rPr>
          <w:rFonts w:hint="eastAsia" w:ascii="仿宋" w:eastAsia="仿宋"/>
          <w:color w:val="auto"/>
          <w:sz w:val="32"/>
          <w:szCs w:val="32"/>
          <w:highlight w:val="none"/>
        </w:rPr>
        <w:t>；上级补助收入</w:t>
      </w:r>
      <w:r>
        <w:rPr>
          <w:rFonts w:ascii="仿宋" w:eastAsia="仿宋"/>
          <w:color w:val="auto"/>
          <w:sz w:val="32"/>
          <w:szCs w:val="32"/>
          <w:highlight w:val="none"/>
        </w:rPr>
        <w:t>0</w:t>
      </w:r>
      <w:r>
        <w:rPr>
          <w:rFonts w:hint="eastAsia" w:ascii="仿宋" w:eastAsia="仿宋"/>
          <w:color w:val="auto"/>
          <w:sz w:val="32"/>
          <w:szCs w:val="32"/>
          <w:highlight w:val="none"/>
        </w:rPr>
        <w:t>万元，占</w:t>
      </w:r>
      <w:r>
        <w:rPr>
          <w:rFonts w:ascii="仿宋" w:eastAsia="仿宋"/>
          <w:color w:val="auto"/>
          <w:sz w:val="32"/>
          <w:szCs w:val="32"/>
          <w:highlight w:val="none"/>
        </w:rPr>
        <w:t>0%</w:t>
      </w:r>
      <w:r>
        <w:rPr>
          <w:rFonts w:hint="eastAsia" w:ascii="仿宋" w:eastAsia="仿宋"/>
          <w:color w:val="auto"/>
          <w:sz w:val="32"/>
          <w:szCs w:val="32"/>
          <w:highlight w:val="none"/>
        </w:rPr>
        <w:t>；事业收入</w:t>
      </w:r>
      <w:r>
        <w:rPr>
          <w:rFonts w:ascii="仿宋" w:eastAsia="仿宋"/>
          <w:color w:val="auto"/>
          <w:sz w:val="32"/>
          <w:szCs w:val="32"/>
          <w:highlight w:val="none"/>
        </w:rPr>
        <w:t>60.92</w:t>
      </w:r>
      <w:r>
        <w:rPr>
          <w:rFonts w:hint="eastAsia" w:ascii="仿宋" w:eastAsia="仿宋"/>
          <w:color w:val="auto"/>
          <w:sz w:val="32"/>
          <w:szCs w:val="32"/>
          <w:highlight w:val="none"/>
        </w:rPr>
        <w:t>万元，占</w:t>
      </w:r>
      <w:r>
        <w:rPr>
          <w:rFonts w:ascii="仿宋" w:eastAsia="仿宋"/>
          <w:color w:val="auto"/>
          <w:sz w:val="32"/>
          <w:szCs w:val="32"/>
          <w:highlight w:val="none"/>
        </w:rPr>
        <w:t>43.2%</w:t>
      </w:r>
      <w:r>
        <w:rPr>
          <w:rFonts w:hint="eastAsia" w:ascii="仿宋" w:eastAsia="仿宋"/>
          <w:color w:val="auto"/>
          <w:sz w:val="32"/>
          <w:szCs w:val="32"/>
          <w:highlight w:val="none"/>
        </w:rPr>
        <w:t>；经营收入</w:t>
      </w:r>
      <w:r>
        <w:rPr>
          <w:rFonts w:ascii="仿宋" w:eastAsia="仿宋"/>
          <w:color w:val="auto"/>
          <w:sz w:val="32"/>
          <w:szCs w:val="32"/>
          <w:highlight w:val="none"/>
        </w:rPr>
        <w:t>0</w:t>
      </w:r>
      <w:r>
        <w:rPr>
          <w:rFonts w:hint="eastAsia" w:ascii="仿宋" w:eastAsia="仿宋"/>
          <w:color w:val="auto"/>
          <w:sz w:val="32"/>
          <w:szCs w:val="32"/>
          <w:highlight w:val="none"/>
        </w:rPr>
        <w:t>万元，占</w:t>
      </w:r>
      <w:r>
        <w:rPr>
          <w:rFonts w:ascii="仿宋" w:eastAsia="仿宋"/>
          <w:color w:val="auto"/>
          <w:sz w:val="32"/>
          <w:szCs w:val="32"/>
          <w:highlight w:val="none"/>
        </w:rPr>
        <w:t>0%</w:t>
      </w:r>
      <w:r>
        <w:rPr>
          <w:rFonts w:hint="eastAsia" w:ascii="仿宋" w:eastAsia="仿宋"/>
          <w:color w:val="auto"/>
          <w:sz w:val="32"/>
          <w:szCs w:val="32"/>
          <w:highlight w:val="none"/>
        </w:rPr>
        <w:t>；附属单位上缴收入</w:t>
      </w:r>
      <w:r>
        <w:rPr>
          <w:rFonts w:ascii="仿宋" w:eastAsia="仿宋"/>
          <w:color w:val="auto"/>
          <w:sz w:val="32"/>
          <w:szCs w:val="32"/>
          <w:highlight w:val="none"/>
        </w:rPr>
        <w:t>0</w:t>
      </w:r>
      <w:r>
        <w:rPr>
          <w:rFonts w:hint="eastAsia" w:ascii="仿宋" w:eastAsia="仿宋"/>
          <w:color w:val="auto"/>
          <w:sz w:val="32"/>
          <w:szCs w:val="32"/>
          <w:highlight w:val="none"/>
        </w:rPr>
        <w:t>万元，占</w:t>
      </w:r>
      <w:r>
        <w:rPr>
          <w:rFonts w:ascii="仿宋" w:eastAsia="仿宋"/>
          <w:color w:val="auto"/>
          <w:sz w:val="32"/>
          <w:szCs w:val="32"/>
          <w:highlight w:val="none"/>
        </w:rPr>
        <w:t>0%</w:t>
      </w:r>
      <w:r>
        <w:rPr>
          <w:rFonts w:hint="eastAsia" w:ascii="仿宋" w:eastAsia="仿宋"/>
          <w:color w:val="auto"/>
          <w:sz w:val="32"/>
          <w:szCs w:val="32"/>
          <w:highlight w:val="none"/>
        </w:rPr>
        <w:t>；其他收入</w:t>
      </w:r>
      <w:r>
        <w:rPr>
          <w:rFonts w:ascii="仿宋" w:eastAsia="仿宋"/>
          <w:color w:val="auto"/>
          <w:sz w:val="32"/>
          <w:szCs w:val="32"/>
          <w:highlight w:val="none"/>
        </w:rPr>
        <w:t>0</w:t>
      </w:r>
      <w:r>
        <w:rPr>
          <w:rFonts w:hint="eastAsia" w:ascii="仿宋" w:eastAsia="仿宋"/>
          <w:color w:val="auto"/>
          <w:sz w:val="32"/>
          <w:szCs w:val="32"/>
          <w:highlight w:val="none"/>
        </w:rPr>
        <w:t>万元，占</w:t>
      </w:r>
      <w:r>
        <w:rPr>
          <w:rFonts w:ascii="仿宋" w:eastAsia="仿宋"/>
          <w:color w:val="auto"/>
          <w:sz w:val="32"/>
          <w:szCs w:val="32"/>
          <w:highlight w:val="none"/>
        </w:rPr>
        <w:t>0%</w:t>
      </w:r>
      <w:r>
        <w:rPr>
          <w:rFonts w:hint="eastAsia" w:ascii="仿宋" w:eastAsia="仿宋"/>
          <w:color w:val="auto"/>
          <w:sz w:val="32"/>
          <w:szCs w:val="32"/>
          <w:highlight w:val="none"/>
        </w:rPr>
        <w:t>。</w:t>
      </w:r>
      <w:bookmarkEnd w:id="30"/>
      <w:bookmarkEnd w:id="31"/>
    </w:p>
    <w:p>
      <w:pPr>
        <w:spacing w:line="600" w:lineRule="exact"/>
        <w:ind w:firstLine="640" w:firstLineChars="200"/>
        <w:rPr>
          <w:rFonts w:ascii="仿宋" w:eastAsia="仿宋"/>
          <w:color w:val="auto"/>
          <w:sz w:val="32"/>
          <w:szCs w:val="32"/>
          <w:highlight w:val="none"/>
        </w:rPr>
      </w:pPr>
    </w:p>
    <w:p>
      <w:pPr>
        <w:spacing w:line="600" w:lineRule="exact"/>
        <w:ind w:firstLine="640" w:firstLineChars="200"/>
        <w:rPr>
          <w:rFonts w:ascii="仿宋" w:eastAsia="仿宋"/>
          <w:color w:val="auto"/>
          <w:sz w:val="32"/>
          <w:szCs w:val="32"/>
          <w:highlight w:val="none"/>
        </w:rPr>
      </w:pPr>
    </w:p>
    <w:p>
      <w:pPr>
        <w:spacing w:line="600" w:lineRule="exact"/>
        <w:ind w:firstLine="640" w:firstLineChars="200"/>
        <w:rPr>
          <w:rFonts w:ascii="仿宋" w:eastAsia="仿宋"/>
          <w:color w:val="auto"/>
          <w:sz w:val="32"/>
          <w:szCs w:val="32"/>
          <w:highlight w:val="none"/>
        </w:rPr>
      </w:pPr>
    </w:p>
    <w:p>
      <w:pPr>
        <w:pStyle w:val="2"/>
        <w:rPr>
          <w:rFonts w:ascii="黑体" w:eastAsia="黑体"/>
          <w:color w:val="auto"/>
          <w:sz w:val="32"/>
          <w:szCs w:val="32"/>
          <w:highlight w:val="none"/>
        </w:rPr>
      </w:pPr>
      <w:bookmarkStart w:id="32" w:name="_Toc15396605"/>
      <w:bookmarkStart w:id="33" w:name="_Toc15377207"/>
      <w:r>
        <w:rPr>
          <w:rFonts w:hint="eastAsia"/>
          <w:lang w:val="en-US" w:eastAsia="zh-CN"/>
        </w:rPr>
        <w:t xml:space="preserve">     </w:t>
      </w:r>
      <w:r>
        <w:drawing>
          <wp:inline distT="0" distB="0" distL="114300" distR="114300">
            <wp:extent cx="4225290" cy="1760220"/>
            <wp:effectExtent l="4445" t="4445" r="18415" b="6985"/>
            <wp:docPr id="64" name="图表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pStyle w:val="27"/>
        <w:spacing w:line="600" w:lineRule="exact"/>
        <w:outlineLvl w:val="1"/>
        <w:rPr>
          <w:rStyle w:val="22"/>
          <w:rFonts w:ascii="黑体" w:eastAsia="黑体"/>
          <w:b w:val="0"/>
        </w:rPr>
      </w:pPr>
      <w:bookmarkStart w:id="34" w:name="_Toc12005"/>
      <w:r>
        <w:rPr>
          <w:rFonts w:ascii="黑体" w:eastAsia="黑体"/>
          <w:color w:val="auto"/>
          <w:sz w:val="32"/>
          <w:szCs w:val="32"/>
          <w:highlight w:val="none"/>
        </w:rPr>
        <w:t>三、</w:t>
      </w:r>
      <w:r>
        <w:rPr>
          <w:rFonts w:hint="eastAsia" w:ascii="黑体" w:eastAsia="黑体"/>
          <w:color w:val="auto"/>
          <w:sz w:val="32"/>
          <w:szCs w:val="32"/>
          <w:highlight w:val="none"/>
        </w:rPr>
        <w:t>支</w:t>
      </w:r>
      <w:r>
        <w:rPr>
          <w:rStyle w:val="22"/>
          <w:rFonts w:hint="eastAsia" w:ascii="黑体" w:eastAsia="黑体"/>
          <w:b w:val="0"/>
          <w:color w:val="auto"/>
          <w:highlight w:val="none"/>
        </w:rPr>
        <w:t>出决算情况说明</w:t>
      </w:r>
      <w:bookmarkEnd w:id="32"/>
      <w:bookmarkEnd w:id="33"/>
      <w:bookmarkEnd w:id="34"/>
    </w:p>
    <w:p>
      <w:pPr>
        <w:pStyle w:val="27"/>
        <w:spacing w:line="600" w:lineRule="exact"/>
        <w:ind w:firstLine="640" w:firstLineChars="200"/>
        <w:outlineLvl w:val="1"/>
      </w:pPr>
      <w:bookmarkStart w:id="35" w:name="_Toc16494"/>
      <w:bookmarkStart w:id="36" w:name="_Toc63"/>
      <w:r>
        <w:rPr>
          <w:rFonts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年本年支出合计</w:t>
      </w:r>
      <w:r>
        <w:rPr>
          <w:rFonts w:ascii="仿宋" w:eastAsia="仿宋"/>
          <w:color w:val="auto"/>
          <w:sz w:val="32"/>
          <w:szCs w:val="32"/>
          <w:highlight w:val="none"/>
        </w:rPr>
        <w:t>141</w:t>
      </w:r>
      <w:r>
        <w:rPr>
          <w:rFonts w:hint="eastAsia" w:ascii="仿宋" w:eastAsia="仿宋"/>
          <w:color w:val="auto"/>
          <w:sz w:val="32"/>
          <w:szCs w:val="32"/>
          <w:highlight w:val="none"/>
        </w:rPr>
        <w:t>万元，其中：基本支出</w:t>
      </w:r>
      <w:r>
        <w:rPr>
          <w:rFonts w:hint="eastAsia" w:ascii="仿宋" w:eastAsia="仿宋"/>
          <w:color w:val="auto"/>
          <w:sz w:val="32"/>
          <w:szCs w:val="32"/>
          <w:highlight w:val="none"/>
          <w:lang w:val="en-US" w:eastAsia="zh-CN"/>
        </w:rPr>
        <w:t>138.67</w:t>
      </w:r>
      <w:r>
        <w:rPr>
          <w:rFonts w:hint="eastAsia" w:ascii="仿宋" w:eastAsia="仿宋"/>
          <w:color w:val="auto"/>
          <w:sz w:val="32"/>
          <w:szCs w:val="32"/>
          <w:highlight w:val="none"/>
        </w:rPr>
        <w:t>万元，占</w:t>
      </w:r>
      <w:r>
        <w:rPr>
          <w:rFonts w:hint="eastAsia" w:ascii="仿宋" w:eastAsia="仿宋"/>
          <w:color w:val="auto"/>
          <w:sz w:val="32"/>
          <w:szCs w:val="32"/>
          <w:highlight w:val="none"/>
          <w:lang w:val="en-US" w:eastAsia="zh-CN"/>
        </w:rPr>
        <w:t>98.35</w:t>
      </w:r>
      <w:r>
        <w:rPr>
          <w:rFonts w:ascii="仿宋" w:eastAsia="仿宋"/>
          <w:color w:val="auto"/>
          <w:sz w:val="32"/>
          <w:szCs w:val="32"/>
          <w:highlight w:val="none"/>
        </w:rPr>
        <w:t>%</w:t>
      </w:r>
      <w:r>
        <w:rPr>
          <w:rFonts w:hint="eastAsia" w:ascii="仿宋" w:eastAsia="仿宋"/>
          <w:color w:val="auto"/>
          <w:sz w:val="32"/>
          <w:szCs w:val="32"/>
          <w:highlight w:val="none"/>
        </w:rPr>
        <w:t>；项目支出</w:t>
      </w:r>
      <w:r>
        <w:rPr>
          <w:rFonts w:hint="eastAsia" w:ascii="仿宋" w:eastAsia="仿宋"/>
          <w:color w:val="auto"/>
          <w:sz w:val="32"/>
          <w:szCs w:val="32"/>
          <w:highlight w:val="none"/>
          <w:lang w:val="en-US" w:eastAsia="zh-CN"/>
        </w:rPr>
        <w:t>2.34</w:t>
      </w:r>
      <w:r>
        <w:rPr>
          <w:rFonts w:hint="eastAsia" w:ascii="仿宋" w:eastAsia="仿宋"/>
          <w:color w:val="auto"/>
          <w:sz w:val="32"/>
          <w:szCs w:val="32"/>
          <w:highlight w:val="none"/>
        </w:rPr>
        <w:t>万元，占</w:t>
      </w:r>
      <w:r>
        <w:rPr>
          <w:rFonts w:hint="eastAsia" w:ascii="仿宋" w:eastAsia="仿宋"/>
          <w:color w:val="auto"/>
          <w:sz w:val="32"/>
          <w:szCs w:val="32"/>
          <w:highlight w:val="none"/>
          <w:lang w:val="en-US" w:eastAsia="zh-CN"/>
        </w:rPr>
        <w:t>1.65</w:t>
      </w:r>
      <w:r>
        <w:rPr>
          <w:rFonts w:ascii="仿宋" w:eastAsia="仿宋"/>
          <w:color w:val="auto"/>
          <w:sz w:val="32"/>
          <w:szCs w:val="32"/>
          <w:highlight w:val="none"/>
        </w:rPr>
        <w:t>%</w:t>
      </w:r>
      <w:r>
        <w:rPr>
          <w:rFonts w:hint="eastAsia" w:ascii="仿宋" w:eastAsia="仿宋"/>
          <w:color w:val="auto"/>
          <w:sz w:val="32"/>
          <w:szCs w:val="32"/>
          <w:highlight w:val="none"/>
        </w:rPr>
        <w:t>；上缴上级支出</w:t>
      </w:r>
      <w:r>
        <w:rPr>
          <w:rFonts w:ascii="仿宋" w:eastAsia="仿宋"/>
          <w:color w:val="auto"/>
          <w:sz w:val="32"/>
          <w:szCs w:val="32"/>
          <w:highlight w:val="none"/>
        </w:rPr>
        <w:t>0</w:t>
      </w:r>
      <w:r>
        <w:rPr>
          <w:rFonts w:hint="eastAsia" w:ascii="仿宋" w:eastAsia="仿宋"/>
          <w:color w:val="auto"/>
          <w:sz w:val="32"/>
          <w:szCs w:val="32"/>
          <w:highlight w:val="none"/>
        </w:rPr>
        <w:t>万元，占</w:t>
      </w:r>
      <w:r>
        <w:rPr>
          <w:rFonts w:ascii="仿宋" w:eastAsia="仿宋"/>
          <w:color w:val="auto"/>
          <w:sz w:val="32"/>
          <w:szCs w:val="32"/>
          <w:highlight w:val="none"/>
        </w:rPr>
        <w:t>0%</w:t>
      </w:r>
      <w:r>
        <w:rPr>
          <w:rFonts w:hint="eastAsia" w:ascii="仿宋" w:eastAsia="仿宋"/>
          <w:color w:val="auto"/>
          <w:sz w:val="32"/>
          <w:szCs w:val="32"/>
          <w:highlight w:val="none"/>
        </w:rPr>
        <w:t>；经营支出</w:t>
      </w:r>
      <w:r>
        <w:rPr>
          <w:rFonts w:ascii="仿宋" w:eastAsia="仿宋"/>
          <w:color w:val="auto"/>
          <w:sz w:val="32"/>
          <w:szCs w:val="32"/>
          <w:highlight w:val="none"/>
        </w:rPr>
        <w:t>0</w:t>
      </w:r>
      <w:r>
        <w:rPr>
          <w:rFonts w:hint="eastAsia" w:ascii="仿宋" w:eastAsia="仿宋"/>
          <w:color w:val="auto"/>
          <w:sz w:val="32"/>
          <w:szCs w:val="32"/>
          <w:highlight w:val="none"/>
        </w:rPr>
        <w:t>万元，占</w:t>
      </w:r>
      <w:r>
        <w:rPr>
          <w:rFonts w:ascii="仿宋" w:eastAsia="仿宋"/>
          <w:color w:val="auto"/>
          <w:sz w:val="32"/>
          <w:szCs w:val="32"/>
          <w:highlight w:val="none"/>
        </w:rPr>
        <w:t>0%</w:t>
      </w:r>
      <w:r>
        <w:rPr>
          <w:rFonts w:hint="eastAsia" w:ascii="仿宋" w:eastAsia="仿宋"/>
          <w:color w:val="auto"/>
          <w:sz w:val="32"/>
          <w:szCs w:val="32"/>
          <w:highlight w:val="none"/>
        </w:rPr>
        <w:t>；对附属单位补助支出</w:t>
      </w:r>
      <w:r>
        <w:rPr>
          <w:rFonts w:ascii="仿宋" w:eastAsia="仿宋"/>
          <w:color w:val="auto"/>
          <w:sz w:val="32"/>
          <w:szCs w:val="32"/>
          <w:highlight w:val="none"/>
        </w:rPr>
        <w:t>0</w:t>
      </w:r>
      <w:r>
        <w:rPr>
          <w:rFonts w:hint="eastAsia" w:ascii="仿宋" w:eastAsia="仿宋"/>
          <w:color w:val="auto"/>
          <w:sz w:val="32"/>
          <w:szCs w:val="32"/>
          <w:highlight w:val="none"/>
        </w:rPr>
        <w:t>万元，占</w:t>
      </w:r>
      <w:r>
        <w:rPr>
          <w:rFonts w:ascii="仿宋" w:eastAsia="仿宋"/>
          <w:color w:val="auto"/>
          <w:sz w:val="32"/>
          <w:szCs w:val="32"/>
          <w:highlight w:val="none"/>
        </w:rPr>
        <w:t>0%</w:t>
      </w:r>
      <w:bookmarkStart w:id="37" w:name="_Toc15377208"/>
      <w:bookmarkStart w:id="38" w:name="_Toc15396606"/>
      <w:r>
        <w:rPr>
          <w:rFonts w:ascii="仿宋" w:eastAsia="仿宋"/>
          <w:color w:val="auto"/>
          <w:sz w:val="32"/>
          <w:szCs w:val="32"/>
          <w:highlight w:val="none"/>
        </w:rPr>
        <w:t>。</w:t>
      </w:r>
      <w:bookmarkEnd w:id="35"/>
      <w:bookmarkEnd w:id="36"/>
    </w:p>
    <w:p>
      <w:pPr>
        <w:spacing w:line="600" w:lineRule="exact"/>
        <w:outlineLvl w:val="1"/>
      </w:pPr>
      <w:r>
        <w:drawing>
          <wp:anchor distT="0" distB="0" distL="114300" distR="114300" simplePos="0" relativeHeight="251660288" behindDoc="0" locked="0" layoutInCell="1" allowOverlap="1">
            <wp:simplePos x="0" y="0"/>
            <wp:positionH relativeFrom="column">
              <wp:posOffset>537845</wp:posOffset>
            </wp:positionH>
            <wp:positionV relativeFrom="paragraph">
              <wp:posOffset>299720</wp:posOffset>
            </wp:positionV>
            <wp:extent cx="4196080" cy="1894205"/>
            <wp:effectExtent l="4445" t="4445" r="9525" b="6350"/>
            <wp:wrapSquare wrapText="bothSides"/>
            <wp:docPr id="65" name="图表 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pPr>
        <w:spacing w:line="600" w:lineRule="exact"/>
        <w:ind w:firstLine="420" w:firstLineChars="200"/>
        <w:outlineLvl w:val="1"/>
      </w:pPr>
    </w:p>
    <w:p>
      <w:pPr>
        <w:spacing w:line="600" w:lineRule="exact"/>
        <w:ind w:firstLine="420" w:firstLineChars="200"/>
        <w:outlineLvl w:val="1"/>
      </w:pPr>
    </w:p>
    <w:p>
      <w:pPr>
        <w:spacing w:line="600" w:lineRule="exact"/>
        <w:ind w:firstLine="420" w:firstLineChars="200"/>
        <w:outlineLvl w:val="1"/>
      </w:pPr>
    </w:p>
    <w:p>
      <w:pPr>
        <w:spacing w:line="600" w:lineRule="exact"/>
        <w:ind w:firstLine="420" w:firstLineChars="200"/>
        <w:outlineLvl w:val="1"/>
        <w:rPr>
          <w:rFonts w:hint="default" w:eastAsia="宋体"/>
          <w:lang w:val="en-US" w:eastAsia="zh-CN"/>
        </w:rPr>
      </w:pPr>
    </w:p>
    <w:p>
      <w:pPr>
        <w:spacing w:line="600" w:lineRule="exact"/>
        <w:ind w:firstLine="640" w:firstLineChars="200"/>
        <w:outlineLvl w:val="1"/>
        <w:rPr>
          <w:rFonts w:ascii="黑体" w:eastAsia="黑体"/>
          <w:color w:val="auto"/>
          <w:sz w:val="32"/>
          <w:szCs w:val="32"/>
          <w:highlight w:val="none"/>
        </w:rPr>
      </w:pPr>
    </w:p>
    <w:p>
      <w:pPr>
        <w:spacing w:line="600" w:lineRule="exact"/>
        <w:ind w:left="0" w:firstLine="640" w:firstLineChars="200"/>
        <w:outlineLvl w:val="1"/>
        <w:rPr>
          <w:rStyle w:val="22"/>
          <w:rFonts w:ascii="黑体" w:eastAsia="黑体"/>
          <w:b w:val="0"/>
          <w:color w:val="auto"/>
          <w:highlight w:val="none"/>
        </w:rPr>
      </w:pPr>
      <w:bookmarkStart w:id="39" w:name="_Toc11933"/>
      <w:r>
        <w:rPr>
          <w:rFonts w:hint="eastAsia" w:ascii="黑体" w:eastAsia="黑体"/>
          <w:color w:val="auto"/>
          <w:sz w:val="32"/>
          <w:szCs w:val="32"/>
          <w:highlight w:val="none"/>
        </w:rPr>
        <w:t>四、财</w:t>
      </w:r>
      <w:r>
        <w:rPr>
          <w:rStyle w:val="22"/>
          <w:rFonts w:hint="eastAsia" w:ascii="黑体" w:eastAsia="黑体"/>
          <w:b w:val="0"/>
          <w:color w:val="auto"/>
          <w:highlight w:val="none"/>
        </w:rPr>
        <w:t>政拨款收入支出决算总体情况说明</w:t>
      </w:r>
      <w:bookmarkEnd w:id="37"/>
      <w:bookmarkEnd w:id="38"/>
      <w:bookmarkEnd w:id="39"/>
    </w:p>
    <w:p>
      <w:pPr>
        <w:spacing w:line="600" w:lineRule="exact"/>
        <w:ind w:firstLine="640"/>
        <w:rPr>
          <w:rFonts w:ascii="仿宋" w:eastAsia="仿宋"/>
          <w:color w:val="auto"/>
          <w:sz w:val="32"/>
          <w:szCs w:val="32"/>
          <w:highlight w:val="none"/>
        </w:rPr>
      </w:pPr>
      <w:r>
        <w:rPr>
          <w:rFonts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年财政拨款收、支总计</w:t>
      </w:r>
      <w:r>
        <w:rPr>
          <w:rFonts w:hint="eastAsia" w:ascii="仿宋" w:eastAsia="仿宋"/>
          <w:color w:val="auto"/>
          <w:sz w:val="32"/>
          <w:szCs w:val="32"/>
          <w:highlight w:val="none"/>
          <w:lang w:val="en-US" w:eastAsia="zh-CN"/>
        </w:rPr>
        <w:t>80.09</w:t>
      </w:r>
      <w:r>
        <w:rPr>
          <w:rFonts w:hint="eastAsia" w:ascii="仿宋" w:eastAsia="仿宋"/>
          <w:color w:val="auto"/>
          <w:sz w:val="32"/>
          <w:szCs w:val="32"/>
          <w:highlight w:val="none"/>
        </w:rPr>
        <w:t>万元。与</w:t>
      </w:r>
      <w:r>
        <w:rPr>
          <w:rFonts w:ascii="仿宋" w:eastAsia="仿宋"/>
          <w:color w:val="auto"/>
          <w:sz w:val="32"/>
          <w:szCs w:val="32"/>
          <w:highlight w:val="none"/>
        </w:rPr>
        <w:t>20</w:t>
      </w:r>
      <w:r>
        <w:rPr>
          <w:rFonts w:hint="eastAsia" w:ascii="仿宋" w:eastAsia="仿宋"/>
          <w:color w:val="auto"/>
          <w:sz w:val="32"/>
          <w:szCs w:val="32"/>
          <w:highlight w:val="none"/>
          <w:lang w:val="en-US" w:eastAsia="zh-CN"/>
        </w:rPr>
        <w:t>21</w:t>
      </w:r>
      <w:r>
        <w:rPr>
          <w:rFonts w:hint="eastAsia" w:ascii="仿宋" w:eastAsia="仿宋"/>
          <w:color w:val="auto"/>
          <w:sz w:val="32"/>
          <w:szCs w:val="32"/>
          <w:highlight w:val="none"/>
        </w:rPr>
        <w:t>年相比，财政拨款收、支总计各</w:t>
      </w:r>
      <w:r>
        <w:rPr>
          <w:rFonts w:ascii="仿宋" w:eastAsia="仿宋"/>
          <w:color w:val="auto"/>
          <w:sz w:val="32"/>
          <w:szCs w:val="32"/>
          <w:highlight w:val="none"/>
        </w:rPr>
        <w:t>减少3</w:t>
      </w:r>
      <w:r>
        <w:rPr>
          <w:rFonts w:hint="eastAsia" w:ascii="仿宋" w:eastAsia="仿宋"/>
          <w:color w:val="auto"/>
          <w:sz w:val="32"/>
          <w:szCs w:val="32"/>
          <w:highlight w:val="none"/>
          <w:lang w:val="en-US" w:eastAsia="zh-CN"/>
        </w:rPr>
        <w:t>7.63</w:t>
      </w:r>
      <w:r>
        <w:rPr>
          <w:rFonts w:hint="eastAsia" w:ascii="仿宋" w:eastAsia="仿宋"/>
          <w:color w:val="auto"/>
          <w:sz w:val="32"/>
          <w:szCs w:val="32"/>
          <w:highlight w:val="none"/>
        </w:rPr>
        <w:t>万元，</w:t>
      </w:r>
      <w:r>
        <w:rPr>
          <w:rFonts w:ascii="仿宋" w:eastAsia="仿宋"/>
          <w:color w:val="auto"/>
          <w:sz w:val="32"/>
          <w:szCs w:val="32"/>
          <w:highlight w:val="none"/>
        </w:rPr>
        <w:t>下降3</w:t>
      </w:r>
      <w:r>
        <w:rPr>
          <w:rFonts w:hint="eastAsia" w:ascii="仿宋" w:eastAsia="仿宋"/>
          <w:color w:val="auto"/>
          <w:sz w:val="32"/>
          <w:szCs w:val="32"/>
          <w:highlight w:val="none"/>
          <w:lang w:val="en-US" w:eastAsia="zh-CN"/>
        </w:rPr>
        <w:t>1.96</w:t>
      </w:r>
      <w:r>
        <w:rPr>
          <w:rFonts w:ascii="仿宋" w:eastAsia="仿宋"/>
          <w:color w:val="auto"/>
          <w:sz w:val="32"/>
          <w:szCs w:val="32"/>
          <w:highlight w:val="none"/>
        </w:rPr>
        <w:t>%</w:t>
      </w:r>
      <w:r>
        <w:rPr>
          <w:rFonts w:hint="eastAsia" w:ascii="仿宋" w:eastAsia="仿宋"/>
          <w:color w:val="auto"/>
          <w:sz w:val="32"/>
          <w:szCs w:val="32"/>
          <w:highlight w:val="none"/>
        </w:rPr>
        <w:t>。主要变动原因是</w:t>
      </w:r>
      <w:r>
        <w:rPr>
          <w:rFonts w:ascii="仿宋" w:eastAsia="仿宋"/>
          <w:color w:val="auto"/>
          <w:sz w:val="32"/>
          <w:szCs w:val="32"/>
          <w:highlight w:val="none"/>
        </w:rPr>
        <w:t>乡镇合并人员减少，财政拨款减少</w:t>
      </w:r>
      <w:r>
        <w:rPr>
          <w:rFonts w:hint="eastAsia" w:ascii="仿宋" w:eastAsia="仿宋"/>
          <w:color w:val="auto"/>
          <w:sz w:val="32"/>
          <w:szCs w:val="32"/>
          <w:highlight w:val="none"/>
          <w:lang w:eastAsia="zh-CN"/>
        </w:rPr>
        <w:t>。</w:t>
      </w:r>
    </w:p>
    <w:p>
      <w:pPr>
        <w:spacing w:line="600" w:lineRule="exact"/>
        <w:ind w:firstLine="420" w:firstLineChars="200"/>
      </w:pPr>
    </w:p>
    <w:p>
      <w:pPr>
        <w:spacing w:line="600" w:lineRule="exact"/>
        <w:ind w:firstLine="420" w:firstLineChars="200"/>
      </w:pPr>
    </w:p>
    <w:p>
      <w:pPr>
        <w:spacing w:line="600" w:lineRule="exact"/>
        <w:ind w:firstLine="420" w:firstLineChars="200"/>
      </w:pPr>
    </w:p>
    <w:p>
      <w:pPr>
        <w:spacing w:line="600" w:lineRule="exact"/>
        <w:ind w:firstLine="420" w:firstLineChars="200"/>
      </w:pPr>
    </w:p>
    <w:p>
      <w:pPr>
        <w:spacing w:line="600" w:lineRule="exact"/>
        <w:ind w:firstLine="420" w:firstLineChars="200"/>
      </w:pPr>
    </w:p>
    <w:p>
      <w:pPr>
        <w:spacing w:line="600" w:lineRule="exact"/>
        <w:ind w:firstLine="420" w:firstLineChars="200"/>
      </w:pPr>
    </w:p>
    <w:p>
      <w:pPr>
        <w:spacing w:line="600" w:lineRule="exact"/>
        <w:ind w:firstLine="420" w:firstLineChars="200"/>
      </w:pPr>
    </w:p>
    <w:p>
      <w:pPr>
        <w:spacing w:line="600" w:lineRule="exact"/>
        <w:ind w:firstLine="420" w:firstLineChars="200"/>
      </w:pPr>
    </w:p>
    <w:p>
      <w:pPr>
        <w:spacing w:line="600" w:lineRule="exact"/>
        <w:ind w:firstLine="420" w:firstLineChars="200"/>
        <w:rPr>
          <w:rFonts w:ascii="黑体" w:eastAsia="黑体"/>
          <w:color w:val="auto"/>
          <w:sz w:val="32"/>
          <w:szCs w:val="32"/>
          <w:highlight w:val="none"/>
        </w:rPr>
      </w:pPr>
      <w:r>
        <w:rPr>
          <w:rFonts w:hint="eastAsia"/>
          <w:lang w:val="en-US" w:eastAsia="zh-CN"/>
        </w:rPr>
        <w:t xml:space="preserve">     </w:t>
      </w:r>
      <w:r>
        <w:drawing>
          <wp:anchor distT="0" distB="0" distL="114300" distR="114300" simplePos="0" relativeHeight="251661312" behindDoc="0" locked="0" layoutInCell="1" allowOverlap="1">
            <wp:simplePos x="0" y="0"/>
            <wp:positionH relativeFrom="column">
              <wp:posOffset>604520</wp:posOffset>
            </wp:positionH>
            <wp:positionV relativeFrom="paragraph">
              <wp:posOffset>-1367155</wp:posOffset>
            </wp:positionV>
            <wp:extent cx="3951605" cy="1655445"/>
            <wp:effectExtent l="4445" t="4445" r="6350" b="16510"/>
            <wp:wrapSquare wrapText="bothSides"/>
            <wp:docPr id="66" name="图表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bookmarkStart w:id="40" w:name="_Toc15377209"/>
      <w:bookmarkStart w:id="41" w:name="_Toc15396607"/>
    </w:p>
    <w:p>
      <w:pPr>
        <w:spacing w:line="600" w:lineRule="exact"/>
        <w:ind w:left="0" w:firstLine="640" w:firstLineChars="200"/>
        <w:outlineLvl w:val="1"/>
        <w:rPr>
          <w:rStyle w:val="22"/>
          <w:rFonts w:ascii="黑体" w:eastAsia="黑体"/>
          <w:b w:val="0"/>
          <w:color w:val="auto"/>
          <w:highlight w:val="none"/>
        </w:rPr>
      </w:pPr>
      <w:bookmarkStart w:id="42" w:name="_Toc16268"/>
      <w:r>
        <w:rPr>
          <w:rFonts w:hint="eastAsia" w:ascii="黑体" w:eastAsia="黑体"/>
          <w:color w:val="auto"/>
          <w:sz w:val="32"/>
          <w:szCs w:val="32"/>
          <w:highlight w:val="none"/>
        </w:rPr>
        <w:t>五、</w:t>
      </w:r>
      <w:r>
        <w:rPr>
          <w:rFonts w:hint="eastAsia" w:ascii="黑体" w:eastAsia="黑体"/>
          <w:b/>
          <w:color w:val="auto"/>
          <w:sz w:val="32"/>
          <w:szCs w:val="32"/>
          <w:highlight w:val="none"/>
        </w:rPr>
        <w:t>一</w:t>
      </w:r>
      <w:r>
        <w:rPr>
          <w:rStyle w:val="22"/>
          <w:rFonts w:hint="eastAsia" w:ascii="黑体" w:eastAsia="黑体"/>
          <w:b w:val="0"/>
          <w:color w:val="auto"/>
          <w:highlight w:val="none"/>
        </w:rPr>
        <w:t>般公共预算财政拨款支出决算情况说明</w:t>
      </w:r>
      <w:bookmarkEnd w:id="40"/>
      <w:bookmarkEnd w:id="41"/>
      <w:bookmarkEnd w:id="42"/>
    </w:p>
    <w:p>
      <w:pPr>
        <w:spacing w:line="600" w:lineRule="exact"/>
        <w:ind w:firstLine="643" w:firstLineChars="200"/>
        <w:outlineLvl w:val="2"/>
        <w:rPr>
          <w:rFonts w:ascii="仿宋" w:eastAsia="仿宋"/>
          <w:b/>
          <w:color w:val="auto"/>
          <w:sz w:val="32"/>
          <w:szCs w:val="32"/>
          <w:highlight w:val="none"/>
        </w:rPr>
      </w:pPr>
      <w:bookmarkStart w:id="43" w:name="_Toc830"/>
      <w:bookmarkStart w:id="44" w:name="_Toc15377210"/>
      <w:r>
        <w:rPr>
          <w:rFonts w:hint="eastAsia" w:ascii="仿宋" w:eastAsia="仿宋"/>
          <w:b/>
          <w:color w:val="auto"/>
          <w:sz w:val="32"/>
          <w:szCs w:val="32"/>
          <w:highlight w:val="none"/>
        </w:rPr>
        <w:t>（一）一般公共预算财政拨款支出决算总体情况</w:t>
      </w:r>
      <w:bookmarkEnd w:id="43"/>
      <w:bookmarkEnd w:id="44"/>
    </w:p>
    <w:p>
      <w:pPr>
        <w:spacing w:line="600" w:lineRule="exact"/>
        <w:ind w:firstLine="640"/>
        <w:rPr>
          <w:rFonts w:ascii="仿宋" w:eastAsia="仿宋"/>
          <w:color w:val="auto"/>
          <w:sz w:val="32"/>
          <w:szCs w:val="32"/>
          <w:highlight w:val="none"/>
        </w:rPr>
      </w:pPr>
      <w:r>
        <w:rPr>
          <w:rFonts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年一般公共预算财政拨款支出</w:t>
      </w:r>
      <w:r>
        <w:rPr>
          <w:rFonts w:ascii="仿宋" w:eastAsia="仿宋"/>
          <w:color w:val="auto"/>
          <w:sz w:val="32"/>
          <w:szCs w:val="32"/>
          <w:highlight w:val="none"/>
        </w:rPr>
        <w:t>77.75</w:t>
      </w:r>
      <w:r>
        <w:rPr>
          <w:rFonts w:hint="eastAsia" w:ascii="仿宋" w:eastAsia="仿宋"/>
          <w:color w:val="auto"/>
          <w:sz w:val="32"/>
          <w:szCs w:val="32"/>
          <w:highlight w:val="none"/>
        </w:rPr>
        <w:t>万元，占本年支出合计的</w:t>
      </w:r>
      <w:r>
        <w:rPr>
          <w:rFonts w:ascii="仿宋" w:eastAsia="仿宋"/>
          <w:color w:val="auto"/>
          <w:sz w:val="32"/>
          <w:szCs w:val="32"/>
          <w:highlight w:val="none"/>
        </w:rPr>
        <w:t>55.15%</w:t>
      </w:r>
      <w:r>
        <w:rPr>
          <w:rFonts w:hint="eastAsia" w:ascii="仿宋" w:eastAsia="仿宋"/>
          <w:color w:val="auto"/>
          <w:sz w:val="32"/>
          <w:szCs w:val="32"/>
          <w:highlight w:val="none"/>
        </w:rPr>
        <w:t>。与</w:t>
      </w:r>
      <w:r>
        <w:rPr>
          <w:rFonts w:ascii="仿宋" w:eastAsia="仿宋"/>
          <w:color w:val="auto"/>
          <w:sz w:val="32"/>
          <w:szCs w:val="32"/>
          <w:highlight w:val="none"/>
        </w:rPr>
        <w:t>20</w:t>
      </w:r>
      <w:r>
        <w:rPr>
          <w:rFonts w:hint="eastAsia" w:ascii="仿宋" w:eastAsia="仿宋"/>
          <w:color w:val="auto"/>
          <w:sz w:val="32"/>
          <w:szCs w:val="32"/>
          <w:highlight w:val="none"/>
          <w:lang w:val="en-US" w:eastAsia="zh-CN"/>
        </w:rPr>
        <w:t>21</w:t>
      </w:r>
      <w:r>
        <w:rPr>
          <w:rFonts w:hint="eastAsia" w:ascii="仿宋" w:eastAsia="仿宋"/>
          <w:color w:val="auto"/>
          <w:sz w:val="32"/>
          <w:szCs w:val="32"/>
          <w:highlight w:val="none"/>
        </w:rPr>
        <w:t>年相比，一般公共预算财政拨款</w:t>
      </w:r>
      <w:r>
        <w:rPr>
          <w:rFonts w:hint="eastAsia" w:ascii="仿宋" w:eastAsia="仿宋"/>
          <w:color w:val="auto"/>
          <w:sz w:val="32"/>
          <w:szCs w:val="32"/>
          <w:highlight w:val="none"/>
          <w:lang w:eastAsia="zh-CN"/>
        </w:rPr>
        <w:t>支出</w:t>
      </w:r>
      <w:r>
        <w:rPr>
          <w:rFonts w:ascii="仿宋" w:eastAsia="仿宋"/>
          <w:color w:val="auto"/>
          <w:sz w:val="32"/>
          <w:szCs w:val="32"/>
          <w:highlight w:val="none"/>
        </w:rPr>
        <w:t>减少39.97</w:t>
      </w:r>
      <w:r>
        <w:rPr>
          <w:rFonts w:hint="eastAsia" w:ascii="仿宋" w:eastAsia="仿宋"/>
          <w:color w:val="auto"/>
          <w:sz w:val="32"/>
          <w:szCs w:val="32"/>
          <w:highlight w:val="none"/>
        </w:rPr>
        <w:t>万元，</w:t>
      </w:r>
      <w:r>
        <w:rPr>
          <w:rFonts w:ascii="仿宋" w:eastAsia="仿宋"/>
          <w:color w:val="auto"/>
          <w:sz w:val="32"/>
          <w:szCs w:val="32"/>
          <w:highlight w:val="none"/>
        </w:rPr>
        <w:t>下降</w:t>
      </w:r>
      <w:r>
        <w:rPr>
          <w:rFonts w:hint="eastAsia" w:ascii="仿宋" w:eastAsia="仿宋"/>
          <w:color w:val="auto"/>
          <w:sz w:val="32"/>
          <w:szCs w:val="32"/>
          <w:highlight w:val="none"/>
          <w:lang w:val="en-US" w:eastAsia="zh-CN"/>
        </w:rPr>
        <w:t>33.95</w:t>
      </w:r>
      <w:r>
        <w:rPr>
          <w:rFonts w:ascii="仿宋" w:eastAsia="仿宋"/>
          <w:color w:val="auto"/>
          <w:sz w:val="32"/>
          <w:szCs w:val="32"/>
          <w:highlight w:val="none"/>
        </w:rPr>
        <w:t>%</w:t>
      </w:r>
      <w:r>
        <w:rPr>
          <w:rFonts w:hint="eastAsia" w:ascii="仿宋" w:eastAsia="仿宋"/>
          <w:color w:val="auto"/>
          <w:sz w:val="32"/>
          <w:szCs w:val="32"/>
          <w:highlight w:val="none"/>
        </w:rPr>
        <w:t>。主要变动原因是</w:t>
      </w:r>
      <w:r>
        <w:rPr>
          <w:rFonts w:ascii="仿宋" w:eastAsia="仿宋"/>
          <w:color w:val="auto"/>
          <w:sz w:val="32"/>
          <w:szCs w:val="32"/>
          <w:highlight w:val="none"/>
        </w:rPr>
        <w:t>乡镇合并人员减少，财政拨款减少</w:t>
      </w:r>
      <w:r>
        <w:rPr>
          <w:rFonts w:hint="eastAsia" w:ascii="仿宋" w:eastAsia="仿宋"/>
          <w:color w:val="auto"/>
          <w:sz w:val="32"/>
          <w:szCs w:val="32"/>
          <w:highlight w:val="none"/>
          <w:lang w:eastAsia="zh-CN"/>
        </w:rPr>
        <w:t>。</w:t>
      </w:r>
    </w:p>
    <w:p>
      <w:pPr>
        <w:spacing w:line="600" w:lineRule="exact"/>
        <w:rPr>
          <w:rFonts w:hint="default" w:ascii="仿宋" w:eastAsia="仿宋"/>
          <w:color w:val="auto"/>
          <w:sz w:val="32"/>
          <w:szCs w:val="32"/>
          <w:highlight w:val="none"/>
          <w:lang w:val="en-US" w:eastAsia="zh-CN"/>
        </w:rPr>
      </w:pPr>
      <w:r>
        <w:drawing>
          <wp:anchor distT="0" distB="0" distL="114300" distR="114300" simplePos="0" relativeHeight="251662336" behindDoc="0" locked="0" layoutInCell="1" allowOverlap="1">
            <wp:simplePos x="0" y="0"/>
            <wp:positionH relativeFrom="column">
              <wp:posOffset>747395</wp:posOffset>
            </wp:positionH>
            <wp:positionV relativeFrom="paragraph">
              <wp:posOffset>347345</wp:posOffset>
            </wp:positionV>
            <wp:extent cx="3502660" cy="1714500"/>
            <wp:effectExtent l="4445" t="4445" r="17145" b="14605"/>
            <wp:wrapSquare wrapText="bothSides"/>
            <wp:docPr id="67" name="图表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pPr>
        <w:spacing w:line="600" w:lineRule="exact"/>
        <w:ind w:left="0"/>
        <w:rPr>
          <w:rFonts w:ascii="仿宋" w:eastAsia="仿宋"/>
          <w:color w:val="auto"/>
          <w:sz w:val="32"/>
          <w:szCs w:val="32"/>
          <w:highlight w:val="none"/>
        </w:rPr>
      </w:pPr>
    </w:p>
    <w:p>
      <w:pPr>
        <w:spacing w:line="600" w:lineRule="exact"/>
        <w:ind w:firstLine="640" w:firstLineChars="200"/>
        <w:rPr>
          <w:rFonts w:ascii="仿宋" w:eastAsia="仿宋"/>
          <w:color w:val="auto"/>
          <w:sz w:val="32"/>
          <w:szCs w:val="32"/>
          <w:highlight w:val="none"/>
        </w:rPr>
      </w:pPr>
    </w:p>
    <w:p>
      <w:pPr>
        <w:spacing w:line="600" w:lineRule="exact"/>
        <w:ind w:firstLine="640" w:firstLineChars="200"/>
        <w:rPr>
          <w:rFonts w:ascii="仿宋" w:eastAsia="仿宋"/>
          <w:color w:val="auto"/>
          <w:sz w:val="32"/>
          <w:szCs w:val="32"/>
          <w:highlight w:val="none"/>
        </w:rPr>
      </w:pPr>
    </w:p>
    <w:p>
      <w:pPr>
        <w:spacing w:line="600" w:lineRule="exact"/>
        <w:outlineLvl w:val="2"/>
        <w:rPr>
          <w:rFonts w:ascii="仿宋" w:eastAsia="仿宋"/>
          <w:b/>
          <w:color w:val="auto"/>
          <w:sz w:val="32"/>
          <w:szCs w:val="32"/>
          <w:highlight w:val="none"/>
        </w:rPr>
      </w:pPr>
      <w:bookmarkStart w:id="45" w:name="_Toc15377211"/>
    </w:p>
    <w:p>
      <w:pPr>
        <w:spacing w:line="600" w:lineRule="exact"/>
        <w:ind w:left="0" w:firstLine="482" w:firstLineChars="150"/>
        <w:outlineLvl w:val="2"/>
        <w:rPr>
          <w:rFonts w:ascii="仿宋" w:eastAsia="仿宋"/>
          <w:b/>
          <w:color w:val="auto"/>
          <w:sz w:val="32"/>
          <w:szCs w:val="32"/>
          <w:highlight w:val="none"/>
        </w:rPr>
      </w:pPr>
    </w:p>
    <w:p>
      <w:pPr>
        <w:spacing w:line="600" w:lineRule="exact"/>
        <w:ind w:left="0" w:firstLine="482" w:firstLineChars="150"/>
        <w:outlineLvl w:val="2"/>
        <w:rPr>
          <w:rFonts w:ascii="仿宋" w:eastAsia="仿宋"/>
          <w:b/>
          <w:color w:val="auto"/>
          <w:sz w:val="32"/>
          <w:szCs w:val="32"/>
          <w:highlight w:val="none"/>
        </w:rPr>
      </w:pPr>
      <w:bookmarkStart w:id="46" w:name="_Toc10968"/>
      <w:r>
        <w:rPr>
          <w:rFonts w:hint="eastAsia" w:ascii="仿宋" w:eastAsia="仿宋"/>
          <w:b/>
          <w:color w:val="auto"/>
          <w:sz w:val="32"/>
          <w:szCs w:val="32"/>
          <w:highlight w:val="none"/>
        </w:rPr>
        <w:t>（二）一般公共预算财政拨款支出决算结构</w:t>
      </w:r>
      <w:bookmarkEnd w:id="45"/>
      <w:bookmarkEnd w:id="46"/>
    </w:p>
    <w:p>
      <w:pPr>
        <w:spacing w:line="600" w:lineRule="exact"/>
        <w:ind w:firstLine="640"/>
        <w:rPr>
          <w:rFonts w:hint="eastAsia" w:ascii="仿宋" w:eastAsia="仿宋"/>
          <w:b/>
          <w:color w:val="auto"/>
          <w:sz w:val="32"/>
          <w:szCs w:val="32"/>
          <w:highlight w:val="none"/>
        </w:rPr>
      </w:pPr>
      <w:r>
        <w:rPr>
          <w:rFonts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年一般公共预算财政拨款支出</w:t>
      </w:r>
      <w:r>
        <w:rPr>
          <w:rFonts w:ascii="仿宋" w:eastAsia="仿宋"/>
          <w:color w:val="auto"/>
          <w:sz w:val="32"/>
          <w:szCs w:val="32"/>
          <w:highlight w:val="none"/>
        </w:rPr>
        <w:t>77.75</w:t>
      </w:r>
      <w:r>
        <w:rPr>
          <w:rFonts w:hint="eastAsia" w:ascii="仿宋" w:eastAsia="仿宋"/>
          <w:color w:val="auto"/>
          <w:sz w:val="32"/>
          <w:szCs w:val="32"/>
          <w:highlight w:val="none"/>
        </w:rPr>
        <w:t>万元，主要用于以下方面</w:t>
      </w:r>
      <w:r>
        <w:rPr>
          <w:rFonts w:ascii="仿宋" w:eastAsia="仿宋"/>
          <w:color w:val="auto"/>
          <w:sz w:val="32"/>
          <w:szCs w:val="32"/>
          <w:highlight w:val="none"/>
        </w:rPr>
        <w:t>:</w:t>
      </w:r>
      <w:r>
        <w:rPr>
          <w:rFonts w:hint="eastAsia" w:ascii="仿宋" w:eastAsia="仿宋"/>
          <w:b/>
          <w:color w:val="auto"/>
          <w:sz w:val="32"/>
          <w:szCs w:val="32"/>
          <w:highlight w:val="none"/>
        </w:rPr>
        <w:t>社会保障和就业</w:t>
      </w:r>
      <w:r>
        <w:rPr>
          <w:rFonts w:hint="eastAsia" w:ascii="仿宋" w:eastAsia="仿宋"/>
          <w:b/>
          <w:bCs/>
          <w:color w:val="auto"/>
          <w:sz w:val="32"/>
          <w:szCs w:val="32"/>
          <w:highlight w:val="none"/>
        </w:rPr>
        <w:t>支出</w:t>
      </w:r>
      <w:r>
        <w:rPr>
          <w:rFonts w:ascii="仿宋" w:eastAsia="仿宋"/>
          <w:color w:val="auto"/>
          <w:sz w:val="32"/>
          <w:szCs w:val="32"/>
          <w:highlight w:val="none"/>
        </w:rPr>
        <w:t>9.8</w:t>
      </w:r>
      <w:r>
        <w:rPr>
          <w:rFonts w:hint="eastAsia" w:ascii="仿宋" w:eastAsia="仿宋"/>
          <w:color w:val="auto"/>
          <w:sz w:val="32"/>
          <w:szCs w:val="32"/>
          <w:highlight w:val="none"/>
          <w:lang w:val="en-US" w:eastAsia="zh-CN"/>
        </w:rPr>
        <w:t>1</w:t>
      </w:r>
      <w:r>
        <w:rPr>
          <w:rFonts w:hint="eastAsia" w:ascii="仿宋" w:eastAsia="仿宋"/>
          <w:color w:val="auto"/>
          <w:sz w:val="32"/>
          <w:szCs w:val="32"/>
          <w:highlight w:val="none"/>
        </w:rPr>
        <w:t>万元，占</w:t>
      </w:r>
      <w:r>
        <w:rPr>
          <w:rFonts w:ascii="仿宋" w:eastAsia="仿宋"/>
          <w:color w:val="auto"/>
          <w:sz w:val="32"/>
          <w:szCs w:val="32"/>
          <w:highlight w:val="none"/>
        </w:rPr>
        <w:t>12.6%</w:t>
      </w:r>
      <w:r>
        <w:rPr>
          <w:rFonts w:hint="eastAsia" w:ascii="仿宋" w:eastAsia="仿宋"/>
          <w:color w:val="auto"/>
          <w:sz w:val="32"/>
          <w:szCs w:val="32"/>
          <w:highlight w:val="none"/>
        </w:rPr>
        <w:t>；</w:t>
      </w:r>
      <w:r>
        <w:rPr>
          <w:rFonts w:hint="eastAsia" w:ascii="仿宋" w:eastAsia="仿宋"/>
          <w:b/>
          <w:bCs/>
          <w:color w:val="auto"/>
          <w:sz w:val="32"/>
          <w:szCs w:val="32"/>
          <w:highlight w:val="none"/>
        </w:rPr>
        <w:t>卫生健康支出</w:t>
      </w:r>
      <w:r>
        <w:rPr>
          <w:rFonts w:ascii="仿宋" w:eastAsia="仿宋"/>
          <w:color w:val="auto"/>
          <w:sz w:val="32"/>
          <w:szCs w:val="32"/>
          <w:highlight w:val="none"/>
        </w:rPr>
        <w:t>60.14</w:t>
      </w:r>
      <w:r>
        <w:rPr>
          <w:rFonts w:hint="eastAsia" w:ascii="仿宋" w:eastAsia="仿宋"/>
          <w:color w:val="auto"/>
          <w:sz w:val="32"/>
          <w:szCs w:val="32"/>
          <w:highlight w:val="none"/>
        </w:rPr>
        <w:t>万元，占</w:t>
      </w:r>
      <w:r>
        <w:rPr>
          <w:rFonts w:ascii="仿宋" w:eastAsia="仿宋"/>
          <w:color w:val="auto"/>
          <w:sz w:val="32"/>
          <w:szCs w:val="32"/>
          <w:highlight w:val="none"/>
        </w:rPr>
        <w:t>77.35%</w:t>
      </w:r>
      <w:r>
        <w:rPr>
          <w:rFonts w:hint="eastAsia" w:ascii="仿宋" w:eastAsia="仿宋"/>
          <w:color w:val="auto"/>
          <w:sz w:val="32"/>
          <w:szCs w:val="32"/>
          <w:highlight w:val="none"/>
        </w:rPr>
        <w:t>；</w:t>
      </w:r>
      <w:r>
        <w:rPr>
          <w:rFonts w:hint="eastAsia" w:ascii="仿宋" w:eastAsia="仿宋"/>
          <w:b/>
          <w:bCs/>
          <w:color w:val="auto"/>
          <w:sz w:val="32"/>
          <w:szCs w:val="32"/>
          <w:highlight w:val="none"/>
        </w:rPr>
        <w:t>住房保障支出</w:t>
      </w:r>
      <w:r>
        <w:rPr>
          <w:rFonts w:ascii="仿宋" w:eastAsia="仿宋"/>
          <w:color w:val="auto"/>
          <w:sz w:val="32"/>
          <w:szCs w:val="32"/>
          <w:highlight w:val="none"/>
        </w:rPr>
        <w:t>7.81</w:t>
      </w:r>
      <w:r>
        <w:rPr>
          <w:rFonts w:hint="eastAsia" w:ascii="仿宋" w:eastAsia="仿宋"/>
          <w:color w:val="auto"/>
          <w:sz w:val="32"/>
          <w:szCs w:val="32"/>
          <w:highlight w:val="none"/>
        </w:rPr>
        <w:t>万元，占</w:t>
      </w:r>
      <w:r>
        <w:rPr>
          <w:rFonts w:ascii="仿宋" w:eastAsia="仿宋"/>
          <w:color w:val="auto"/>
          <w:sz w:val="32"/>
          <w:szCs w:val="32"/>
          <w:highlight w:val="none"/>
        </w:rPr>
        <w:t>10.05%。</w:t>
      </w:r>
    </w:p>
    <w:p>
      <w:pPr>
        <w:spacing w:line="600" w:lineRule="exact"/>
      </w:pPr>
    </w:p>
    <w:p>
      <w:pPr>
        <w:spacing w:line="600" w:lineRule="exact"/>
      </w:pPr>
    </w:p>
    <w:p>
      <w:pPr>
        <w:spacing w:line="600" w:lineRule="exact"/>
      </w:pPr>
    </w:p>
    <w:p>
      <w:pPr>
        <w:spacing w:line="600" w:lineRule="exact"/>
      </w:pPr>
    </w:p>
    <w:p>
      <w:pPr>
        <w:spacing w:line="600" w:lineRule="exact"/>
      </w:pPr>
    </w:p>
    <w:p>
      <w:pPr>
        <w:spacing w:line="600" w:lineRule="exact"/>
      </w:pPr>
    </w:p>
    <w:p>
      <w:pPr>
        <w:spacing w:line="600" w:lineRule="exact"/>
        <w:rPr>
          <w:rFonts w:ascii="仿宋" w:eastAsia="仿宋"/>
          <w:b/>
          <w:color w:val="auto"/>
          <w:sz w:val="32"/>
          <w:szCs w:val="32"/>
          <w:highlight w:val="none"/>
        </w:rPr>
      </w:pPr>
      <w:r>
        <w:rPr>
          <w:rFonts w:hint="eastAsia"/>
          <w:lang w:val="en-US" w:eastAsia="zh-CN"/>
        </w:rPr>
        <w:t xml:space="preserve">         </w:t>
      </w:r>
      <w:r>
        <w:drawing>
          <wp:anchor distT="0" distB="0" distL="114300" distR="114300" simplePos="0" relativeHeight="251663360" behindDoc="0" locked="0" layoutInCell="1" allowOverlap="1">
            <wp:simplePos x="0" y="0"/>
            <wp:positionH relativeFrom="column">
              <wp:posOffset>604520</wp:posOffset>
            </wp:positionH>
            <wp:positionV relativeFrom="paragraph">
              <wp:posOffset>-1767205</wp:posOffset>
            </wp:positionV>
            <wp:extent cx="4041140" cy="2049780"/>
            <wp:effectExtent l="4445" t="4445" r="12065" b="22225"/>
            <wp:wrapSquare wrapText="bothSides"/>
            <wp:docPr id="68" name="图表 1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p>
      <w:pPr>
        <w:spacing w:line="600" w:lineRule="exact"/>
        <w:ind w:left="0" w:firstLine="643" w:firstLineChars="200"/>
        <w:outlineLvl w:val="2"/>
        <w:rPr>
          <w:rFonts w:ascii="仿宋" w:eastAsia="仿宋"/>
          <w:b/>
          <w:color w:val="auto"/>
          <w:sz w:val="32"/>
          <w:szCs w:val="32"/>
          <w:highlight w:val="none"/>
        </w:rPr>
      </w:pPr>
      <w:bookmarkStart w:id="47" w:name="_Toc6505"/>
      <w:bookmarkStart w:id="48" w:name="_Toc15377212"/>
      <w:r>
        <w:rPr>
          <w:rFonts w:hint="eastAsia" w:ascii="仿宋" w:eastAsia="仿宋"/>
          <w:b/>
          <w:color w:val="auto"/>
          <w:sz w:val="32"/>
          <w:szCs w:val="32"/>
          <w:highlight w:val="none"/>
        </w:rPr>
        <w:t>（三）一般公共预算财政拨款支出决算具体情况</w:t>
      </w:r>
      <w:bookmarkEnd w:id="47"/>
      <w:bookmarkEnd w:id="48"/>
    </w:p>
    <w:p>
      <w:pPr>
        <w:spacing w:line="600" w:lineRule="exact"/>
        <w:ind w:firstLine="643" w:firstLineChars="200"/>
        <w:outlineLvl w:val="2"/>
        <w:rPr>
          <w:rFonts w:ascii="仿宋" w:eastAsia="仿宋"/>
          <w:color w:val="auto"/>
          <w:sz w:val="32"/>
          <w:szCs w:val="32"/>
          <w:highlight w:val="none"/>
        </w:rPr>
      </w:pPr>
      <w:bookmarkStart w:id="49" w:name="_Toc8844"/>
      <w:bookmarkStart w:id="50" w:name="_Toc15377444"/>
      <w:bookmarkStart w:id="51" w:name="_Toc9546"/>
      <w:bookmarkStart w:id="52" w:name="_Toc15378460"/>
      <w:bookmarkStart w:id="53" w:name="_Toc15377213"/>
      <w:r>
        <w:rPr>
          <w:rFonts w:hint="eastAsia" w:ascii="仿宋" w:eastAsia="仿宋"/>
          <w:b/>
          <w:color w:val="auto"/>
          <w:sz w:val="32"/>
          <w:szCs w:val="32"/>
          <w:highlight w:val="none"/>
        </w:rPr>
        <w:t>20</w:t>
      </w:r>
      <w:r>
        <w:rPr>
          <w:rFonts w:hint="eastAsia" w:ascii="仿宋" w:eastAsia="仿宋"/>
          <w:b/>
          <w:color w:val="auto"/>
          <w:sz w:val="32"/>
          <w:szCs w:val="32"/>
          <w:highlight w:val="none"/>
          <w:lang w:val="en-US" w:eastAsia="zh-CN"/>
        </w:rPr>
        <w:t>22</w:t>
      </w:r>
      <w:r>
        <w:rPr>
          <w:rFonts w:hint="eastAsia" w:ascii="仿宋" w:eastAsia="仿宋"/>
          <w:b/>
          <w:color w:val="auto"/>
          <w:sz w:val="32"/>
          <w:szCs w:val="32"/>
          <w:highlight w:val="none"/>
        </w:rPr>
        <w:t>年</w:t>
      </w:r>
      <w:r>
        <w:rPr>
          <w:rFonts w:hint="eastAsia" w:ascii="仿宋" w:eastAsia="仿宋"/>
          <w:b/>
          <w:color w:val="auto"/>
          <w:sz w:val="32"/>
          <w:szCs w:val="32"/>
          <w:highlight w:val="none"/>
          <w:lang w:eastAsia="zh-CN"/>
        </w:rPr>
        <w:t>一</w:t>
      </w:r>
      <w:r>
        <w:rPr>
          <w:rFonts w:hint="eastAsia" w:ascii="仿宋" w:eastAsia="仿宋"/>
          <w:b/>
          <w:color w:val="auto"/>
          <w:sz w:val="32"/>
          <w:szCs w:val="32"/>
          <w:highlight w:val="none"/>
        </w:rPr>
        <w:t>般公共预算支出决算数为</w:t>
      </w:r>
      <w:r>
        <w:rPr>
          <w:rFonts w:ascii="仿宋" w:eastAsia="仿宋"/>
          <w:b/>
          <w:color w:val="auto"/>
          <w:sz w:val="32"/>
          <w:szCs w:val="32"/>
          <w:highlight w:val="none"/>
        </w:rPr>
        <w:t>77.75万元</w:t>
      </w:r>
      <w:r>
        <w:rPr>
          <w:rFonts w:hint="eastAsia" w:ascii="仿宋" w:eastAsia="仿宋"/>
          <w:color w:val="auto"/>
          <w:sz w:val="32"/>
          <w:szCs w:val="32"/>
          <w:highlight w:val="none"/>
        </w:rPr>
        <w:t>，</w:t>
      </w:r>
      <w:r>
        <w:rPr>
          <w:rStyle w:val="19"/>
          <w:rFonts w:hint="eastAsia" w:ascii="仿宋" w:eastAsia="仿宋"/>
          <w:bCs/>
          <w:color w:val="auto"/>
          <w:sz w:val="32"/>
          <w:szCs w:val="32"/>
          <w:highlight w:val="none"/>
        </w:rPr>
        <w:t>完成预算</w:t>
      </w:r>
      <w:r>
        <w:rPr>
          <w:rStyle w:val="19"/>
          <w:rFonts w:ascii="仿宋" w:eastAsia="仿宋"/>
          <w:bCs/>
          <w:color w:val="auto"/>
          <w:sz w:val="32"/>
          <w:szCs w:val="32"/>
          <w:highlight w:val="none"/>
        </w:rPr>
        <w:t>100%</w:t>
      </w:r>
      <w:r>
        <w:rPr>
          <w:rStyle w:val="19"/>
          <w:rFonts w:hint="eastAsia" w:ascii="仿宋" w:eastAsia="仿宋"/>
          <w:bCs/>
          <w:color w:val="auto"/>
          <w:sz w:val="32"/>
          <w:szCs w:val="32"/>
          <w:highlight w:val="none"/>
        </w:rPr>
        <w:t>。其中：</w:t>
      </w:r>
      <w:bookmarkEnd w:id="49"/>
      <w:bookmarkEnd w:id="50"/>
      <w:bookmarkEnd w:id="51"/>
      <w:bookmarkEnd w:id="52"/>
      <w:bookmarkEnd w:id="53"/>
    </w:p>
    <w:p>
      <w:pPr>
        <w:pageBreakBefore w:val="0"/>
        <w:wordWrap/>
        <w:overflowPunct/>
        <w:topLinePunct w:val="0"/>
        <w:bidi w:val="0"/>
        <w:spacing w:line="580" w:lineRule="exact"/>
        <w:ind w:firstLine="643" w:firstLineChars="200"/>
        <w:rPr>
          <w:rFonts w:ascii="仿宋_GB2312" w:eastAsia="仿宋_GB2312"/>
          <w:sz w:val="32"/>
          <w:szCs w:val="32"/>
        </w:rPr>
      </w:pPr>
      <w:bookmarkStart w:id="54" w:name="_Toc15396608"/>
      <w:bookmarkStart w:id="55" w:name="_Toc15377214"/>
      <w:r>
        <w:rPr>
          <w:rStyle w:val="19"/>
          <w:rFonts w:hint="eastAsia" w:ascii="仿宋_GB2312" w:eastAsia="仿宋_GB2312"/>
          <w:color w:val="000000"/>
          <w:sz w:val="32"/>
          <w:szCs w:val="32"/>
        </w:rPr>
        <w:t>社会保障和就业支出(类)行政事业单位离退休（款）</w:t>
      </w:r>
      <w:r>
        <w:rPr>
          <w:rFonts w:hint="eastAsia" w:ascii="仿宋_GB2312" w:eastAsia="仿宋_GB2312"/>
          <w:b/>
          <w:color w:val="000000"/>
          <w:sz w:val="32"/>
          <w:szCs w:val="32"/>
        </w:rPr>
        <w:t>机关事业单位基本养老保险缴费支出（项）：</w:t>
      </w:r>
      <w:r>
        <w:rPr>
          <w:rFonts w:hint="eastAsia" w:ascii="仿宋_GB2312" w:eastAsia="仿宋_GB2312"/>
          <w:b w:val="0"/>
          <w:bCs/>
          <w:color w:val="000000"/>
          <w:sz w:val="32"/>
          <w:szCs w:val="32"/>
          <w:lang w:eastAsia="zh-CN"/>
        </w:rPr>
        <w:t>主要用于在职在编人员基本养老保险支出，</w:t>
      </w:r>
      <w:r>
        <w:rPr>
          <w:rFonts w:hint="eastAsia" w:ascii="仿宋_GB2312" w:eastAsia="仿宋_GB2312"/>
          <w:sz w:val="32"/>
          <w:szCs w:val="32"/>
          <w:lang w:val="en-US" w:eastAsia="zh-CN"/>
        </w:rPr>
        <w:t>2022</w:t>
      </w:r>
      <w:r>
        <w:rPr>
          <w:rFonts w:hint="eastAsia" w:ascii="仿宋_GB2312" w:eastAsia="仿宋_GB2312"/>
          <w:sz w:val="32"/>
          <w:szCs w:val="32"/>
        </w:rPr>
        <w:t>年决算数为</w:t>
      </w:r>
      <w:r>
        <w:rPr>
          <w:rFonts w:hint="eastAsia" w:ascii="仿宋_GB2312" w:eastAsia="仿宋_GB2312"/>
          <w:sz w:val="32"/>
          <w:szCs w:val="32"/>
          <w:lang w:val="en-US" w:eastAsia="zh-CN"/>
        </w:rPr>
        <w:t>6.79</w:t>
      </w:r>
      <w:r>
        <w:rPr>
          <w:rFonts w:hint="eastAsia" w:ascii="仿宋_GB2312" w:eastAsia="仿宋_GB2312"/>
          <w:sz w:val="32"/>
          <w:szCs w:val="32"/>
        </w:rPr>
        <w:t>万元，完成预算100%。</w:t>
      </w:r>
    </w:p>
    <w:p>
      <w:pPr>
        <w:pageBreakBefore w:val="0"/>
        <w:wordWrap/>
        <w:overflowPunct/>
        <w:topLinePunct w:val="0"/>
        <w:bidi w:val="0"/>
        <w:spacing w:line="580" w:lineRule="exact"/>
        <w:ind w:firstLine="643" w:firstLineChars="200"/>
        <w:rPr>
          <w:rFonts w:hint="default" w:ascii="仿宋_GB2312" w:eastAsia="仿宋_GB2312"/>
          <w:sz w:val="32"/>
          <w:szCs w:val="32"/>
          <w:lang w:val="en-US" w:eastAsia="zh-CN"/>
        </w:rPr>
      </w:pPr>
      <w:r>
        <w:rPr>
          <w:rStyle w:val="19"/>
          <w:rFonts w:hint="eastAsia" w:ascii="仿宋_GB2312" w:eastAsia="仿宋_GB2312"/>
          <w:color w:val="000000"/>
          <w:sz w:val="32"/>
          <w:szCs w:val="32"/>
        </w:rPr>
        <w:t>社会保障和就业支出(类)行政事业单位离退休（款）</w:t>
      </w:r>
      <w:r>
        <w:rPr>
          <w:rFonts w:hint="eastAsia" w:ascii="仿宋_GB2312" w:eastAsia="仿宋_GB2312"/>
          <w:b/>
          <w:sz w:val="32"/>
          <w:szCs w:val="32"/>
        </w:rPr>
        <w:t>机关事业单位职业年金缴费支出（项）：</w:t>
      </w:r>
      <w:r>
        <w:rPr>
          <w:rFonts w:hint="eastAsia" w:ascii="仿宋_GB2312" w:eastAsia="仿宋_GB2312"/>
          <w:b w:val="0"/>
          <w:bCs/>
          <w:color w:val="000000"/>
          <w:sz w:val="32"/>
          <w:szCs w:val="32"/>
          <w:lang w:eastAsia="zh-CN"/>
        </w:rPr>
        <w:t>主要用于在职在编人员职业年金支出，</w:t>
      </w:r>
      <w:r>
        <w:rPr>
          <w:rFonts w:hint="eastAsia" w:ascii="仿宋_GB2312" w:eastAsia="仿宋_GB2312"/>
          <w:sz w:val="32"/>
          <w:szCs w:val="32"/>
          <w:lang w:val="en-US" w:eastAsia="zh-CN"/>
        </w:rPr>
        <w:t>2022</w:t>
      </w:r>
      <w:r>
        <w:rPr>
          <w:rFonts w:hint="eastAsia" w:ascii="仿宋_GB2312" w:eastAsia="仿宋_GB2312"/>
          <w:sz w:val="32"/>
          <w:szCs w:val="32"/>
        </w:rPr>
        <w:t>年决算数为</w:t>
      </w:r>
      <w:r>
        <w:rPr>
          <w:rFonts w:hint="eastAsia" w:ascii="仿宋_GB2312" w:eastAsia="仿宋_GB2312"/>
          <w:sz w:val="32"/>
          <w:szCs w:val="32"/>
          <w:lang w:val="en-US" w:eastAsia="zh-CN"/>
        </w:rPr>
        <w:t>3.02万元，</w:t>
      </w:r>
      <w:r>
        <w:rPr>
          <w:rFonts w:hint="eastAsia" w:ascii="仿宋_GB2312" w:eastAsia="仿宋_GB2312"/>
          <w:sz w:val="32"/>
          <w:szCs w:val="32"/>
        </w:rPr>
        <w:t>完成预算100%。</w:t>
      </w:r>
    </w:p>
    <w:p>
      <w:pPr>
        <w:pageBreakBefore w:val="0"/>
        <w:wordWrap/>
        <w:overflowPunct/>
        <w:topLinePunct w:val="0"/>
        <w:bidi w:val="0"/>
        <w:spacing w:line="580" w:lineRule="exact"/>
        <w:ind w:firstLine="643" w:firstLineChars="200"/>
        <w:rPr>
          <w:rFonts w:hint="eastAsia" w:ascii="仿宋_GB2312" w:eastAsia="仿宋_GB2312"/>
          <w:color w:val="000000"/>
          <w:sz w:val="32"/>
          <w:szCs w:val="32"/>
        </w:rPr>
      </w:pPr>
      <w:r>
        <w:rPr>
          <w:rFonts w:hint="eastAsia" w:ascii="仿宋" w:hAnsi="仿宋" w:eastAsia="仿宋"/>
          <w:b/>
          <w:bCs/>
          <w:color w:val="000000"/>
          <w:sz w:val="32"/>
          <w:szCs w:val="32"/>
        </w:rPr>
        <w:t>卫生健康支出</w:t>
      </w:r>
      <w:r>
        <w:rPr>
          <w:rFonts w:hint="eastAsia" w:ascii="仿宋_GB2312" w:eastAsia="仿宋_GB2312"/>
          <w:b/>
          <w:color w:val="000000"/>
          <w:sz w:val="32"/>
          <w:szCs w:val="32"/>
        </w:rPr>
        <w:t>（类）基层医疗卫生机构（款）</w:t>
      </w:r>
      <w:r>
        <w:rPr>
          <w:rStyle w:val="19"/>
          <w:rFonts w:hint="eastAsia" w:ascii="仿宋_GB2312" w:eastAsia="仿宋_GB2312"/>
          <w:color w:val="000000"/>
          <w:sz w:val="32"/>
          <w:szCs w:val="32"/>
        </w:rPr>
        <w:t>乡镇卫生院（项）</w:t>
      </w:r>
      <w:r>
        <w:rPr>
          <w:rStyle w:val="19"/>
          <w:rFonts w:hint="eastAsia" w:ascii="仿宋_GB2312" w:eastAsia="仿宋_GB2312"/>
          <w:color w:val="000000"/>
          <w:sz w:val="32"/>
          <w:szCs w:val="32"/>
          <w:lang w:eastAsia="zh-CN"/>
        </w:rPr>
        <w:t>：</w:t>
      </w:r>
      <w:r>
        <w:rPr>
          <w:rStyle w:val="19"/>
          <w:rFonts w:hint="eastAsia" w:ascii="仿宋_GB2312" w:eastAsia="仿宋_GB2312"/>
          <w:b w:val="0"/>
          <w:color w:val="000000"/>
          <w:sz w:val="32"/>
          <w:szCs w:val="32"/>
        </w:rPr>
        <w:t>主要</w:t>
      </w:r>
      <w:r>
        <w:rPr>
          <w:rStyle w:val="19"/>
          <w:rFonts w:hint="eastAsia" w:ascii="仿宋_GB2312" w:eastAsia="仿宋_GB2312"/>
          <w:b w:val="0"/>
          <w:color w:val="000000"/>
          <w:sz w:val="32"/>
          <w:szCs w:val="32"/>
          <w:lang w:eastAsia="zh-CN"/>
        </w:rPr>
        <w:t>用于乡镇</w:t>
      </w:r>
      <w:r>
        <w:rPr>
          <w:rStyle w:val="19"/>
          <w:rFonts w:hint="eastAsia" w:ascii="仿宋_GB2312" w:eastAsia="仿宋_GB2312"/>
          <w:b w:val="0"/>
          <w:color w:val="000000"/>
          <w:sz w:val="32"/>
          <w:szCs w:val="32"/>
        </w:rPr>
        <w:t>卫生院人员经费</w:t>
      </w:r>
      <w:r>
        <w:rPr>
          <w:rStyle w:val="19"/>
          <w:rFonts w:hint="eastAsia" w:ascii="仿宋_GB2312" w:eastAsia="仿宋_GB2312"/>
          <w:b w:val="0"/>
          <w:color w:val="000000"/>
          <w:sz w:val="32"/>
          <w:szCs w:val="32"/>
          <w:lang w:eastAsia="zh-CN"/>
        </w:rPr>
        <w:t>，</w:t>
      </w:r>
      <w:r>
        <w:rPr>
          <w:rStyle w:val="19"/>
          <w:rFonts w:hint="eastAsia" w:ascii="仿宋_GB2312" w:eastAsia="仿宋_GB2312"/>
          <w:b w:val="0"/>
          <w:bCs/>
          <w:color w:val="000000"/>
          <w:sz w:val="32"/>
          <w:szCs w:val="32"/>
        </w:rPr>
        <w:t>决算数</w:t>
      </w:r>
      <w:r>
        <w:rPr>
          <w:rStyle w:val="19"/>
          <w:rFonts w:hint="eastAsia" w:ascii="仿宋" w:hAnsi="仿宋" w:eastAsia="仿宋"/>
          <w:b w:val="0"/>
          <w:bCs/>
          <w:color w:val="000000"/>
          <w:sz w:val="32"/>
          <w:szCs w:val="32"/>
          <w:lang w:val="en-US" w:eastAsia="zh-CN"/>
        </w:rPr>
        <w:t>56.26</w:t>
      </w:r>
      <w:r>
        <w:rPr>
          <w:rStyle w:val="19"/>
          <w:rFonts w:hint="eastAsia" w:ascii="仿宋_GB2312" w:eastAsia="仿宋_GB2312"/>
          <w:b w:val="0"/>
          <w:bCs/>
          <w:color w:val="000000"/>
          <w:sz w:val="32"/>
          <w:szCs w:val="32"/>
        </w:rPr>
        <w:t>万元</w:t>
      </w:r>
      <w:r>
        <w:rPr>
          <w:rStyle w:val="19"/>
          <w:rFonts w:hint="eastAsia" w:ascii="仿宋_GB2312" w:eastAsia="仿宋_GB2312"/>
          <w:color w:val="000000"/>
          <w:sz w:val="32"/>
          <w:szCs w:val="32"/>
        </w:rPr>
        <w:t>，</w:t>
      </w:r>
      <w:r>
        <w:rPr>
          <w:rFonts w:hint="eastAsia" w:ascii="仿宋_GB2312" w:eastAsia="仿宋_GB2312"/>
          <w:color w:val="000000"/>
          <w:sz w:val="32"/>
          <w:szCs w:val="32"/>
        </w:rPr>
        <w:t>完成预算</w:t>
      </w:r>
      <w:r>
        <w:rPr>
          <w:rFonts w:hint="eastAsia" w:ascii="仿宋_GB2312" w:eastAsia="仿宋_GB2312"/>
          <w:color w:val="000000"/>
          <w:sz w:val="32"/>
          <w:szCs w:val="32"/>
          <w:lang w:val="en-US" w:eastAsia="zh-CN"/>
        </w:rPr>
        <w:t>100</w:t>
      </w:r>
      <w:r>
        <w:rPr>
          <w:rFonts w:hint="eastAsia" w:ascii="仿宋_GB2312" w:eastAsia="仿宋_GB2312"/>
          <w:color w:val="000000"/>
          <w:sz w:val="32"/>
          <w:szCs w:val="32"/>
        </w:rPr>
        <w:t>%。</w:t>
      </w:r>
    </w:p>
    <w:p>
      <w:pPr>
        <w:pageBreakBefore w:val="0"/>
        <w:wordWrap/>
        <w:overflowPunct/>
        <w:topLinePunct w:val="0"/>
        <w:bidi w:val="0"/>
        <w:spacing w:line="580" w:lineRule="exact"/>
        <w:ind w:firstLine="643" w:firstLineChars="200"/>
        <w:rPr>
          <w:rFonts w:ascii="仿宋_GB2312" w:eastAsia="仿宋_GB2312"/>
          <w:color w:val="000000"/>
          <w:sz w:val="32"/>
          <w:szCs w:val="32"/>
        </w:rPr>
      </w:pPr>
      <w:r>
        <w:rPr>
          <w:rStyle w:val="19"/>
          <w:rFonts w:hint="eastAsia" w:ascii="仿宋_GB2312" w:eastAsia="仿宋_GB2312"/>
          <w:bCs/>
          <w:color w:val="000000"/>
          <w:sz w:val="32"/>
          <w:szCs w:val="32"/>
        </w:rPr>
        <w:t>卫生健康支出（类）行政事业单位（款）事业单位医疗（项）</w:t>
      </w:r>
      <w:r>
        <w:rPr>
          <w:rStyle w:val="19"/>
          <w:rFonts w:hint="eastAsia" w:ascii="仿宋_GB2312" w:eastAsia="仿宋_GB2312"/>
          <w:b w:val="0"/>
          <w:color w:val="000000"/>
          <w:sz w:val="32"/>
          <w:szCs w:val="32"/>
        </w:rPr>
        <w:t>：用于在职</w:t>
      </w:r>
      <w:r>
        <w:rPr>
          <w:rStyle w:val="19"/>
          <w:rFonts w:hint="eastAsia" w:ascii="仿宋_GB2312" w:eastAsia="仿宋_GB2312"/>
          <w:b w:val="0"/>
          <w:color w:val="000000"/>
          <w:sz w:val="32"/>
          <w:szCs w:val="32"/>
          <w:lang w:eastAsia="zh-CN"/>
        </w:rPr>
        <w:t>在编人员</w:t>
      </w:r>
      <w:r>
        <w:rPr>
          <w:rStyle w:val="19"/>
          <w:rFonts w:hint="eastAsia" w:ascii="仿宋_GB2312" w:eastAsia="仿宋_GB2312"/>
          <w:b w:val="0"/>
          <w:color w:val="000000"/>
          <w:sz w:val="32"/>
          <w:szCs w:val="32"/>
        </w:rPr>
        <w:t>医疗保险支出，</w:t>
      </w:r>
      <w:r>
        <w:rPr>
          <w:rStyle w:val="19"/>
          <w:rFonts w:hint="eastAsia" w:ascii="仿宋_GB2312" w:eastAsia="仿宋_GB2312"/>
          <w:b w:val="0"/>
          <w:color w:val="000000"/>
          <w:sz w:val="32"/>
          <w:szCs w:val="32"/>
          <w:lang w:val="en-US" w:eastAsia="zh-CN"/>
        </w:rPr>
        <w:t>2022</w:t>
      </w:r>
      <w:r>
        <w:rPr>
          <w:rStyle w:val="19"/>
          <w:rFonts w:hint="eastAsia" w:ascii="仿宋_GB2312" w:eastAsia="仿宋_GB2312"/>
          <w:b w:val="0"/>
          <w:color w:val="000000"/>
          <w:sz w:val="32"/>
          <w:szCs w:val="32"/>
        </w:rPr>
        <w:t>年决算数</w:t>
      </w:r>
      <w:r>
        <w:rPr>
          <w:rStyle w:val="19"/>
          <w:rFonts w:hint="eastAsia" w:ascii="仿宋_GB2312" w:eastAsia="仿宋_GB2312"/>
          <w:b w:val="0"/>
          <w:color w:val="000000"/>
          <w:sz w:val="32"/>
          <w:szCs w:val="32"/>
          <w:lang w:val="en-US" w:eastAsia="zh-CN"/>
        </w:rPr>
        <w:t>3.88</w:t>
      </w:r>
      <w:r>
        <w:rPr>
          <w:rStyle w:val="19"/>
          <w:rFonts w:hint="eastAsia" w:ascii="仿宋_GB2312" w:eastAsia="仿宋_GB2312"/>
          <w:b w:val="0"/>
          <w:color w:val="000000"/>
          <w:sz w:val="32"/>
          <w:szCs w:val="32"/>
        </w:rPr>
        <w:t>万元，</w:t>
      </w:r>
      <w:r>
        <w:rPr>
          <w:rFonts w:hint="eastAsia" w:ascii="仿宋_GB2312" w:eastAsia="仿宋_GB2312"/>
          <w:color w:val="000000"/>
          <w:sz w:val="32"/>
          <w:szCs w:val="32"/>
        </w:rPr>
        <w:t>完成预算100%。</w:t>
      </w:r>
    </w:p>
    <w:p>
      <w:pPr>
        <w:pageBreakBefore w:val="0"/>
        <w:wordWrap/>
        <w:overflowPunct/>
        <w:topLinePunct w:val="0"/>
        <w:bidi w:val="0"/>
        <w:spacing w:line="580" w:lineRule="exact"/>
        <w:ind w:firstLine="643" w:firstLineChars="200"/>
        <w:rPr>
          <w:rStyle w:val="19"/>
          <w:rFonts w:hint="eastAsia" w:ascii="仿宋_GB2312" w:eastAsia="仿宋_GB2312"/>
          <w:b w:val="0"/>
          <w:color w:val="000000"/>
          <w:sz w:val="32"/>
          <w:szCs w:val="32"/>
          <w:lang w:eastAsia="zh-CN"/>
        </w:rPr>
      </w:pPr>
      <w:r>
        <w:rPr>
          <w:rStyle w:val="19"/>
          <w:rFonts w:hint="eastAsia" w:ascii="仿宋_GB2312" w:eastAsia="仿宋_GB2312"/>
          <w:color w:val="000000"/>
          <w:sz w:val="32"/>
          <w:szCs w:val="32"/>
        </w:rPr>
        <w:t>住房保障支出（类）住房改革支出（款）</w:t>
      </w:r>
      <w:r>
        <w:rPr>
          <w:rStyle w:val="19"/>
          <w:rFonts w:hint="eastAsia" w:ascii="仿宋_GB2312" w:eastAsia="仿宋_GB2312"/>
          <w:bCs/>
          <w:color w:val="000000"/>
          <w:sz w:val="32"/>
          <w:szCs w:val="32"/>
        </w:rPr>
        <w:t>住房公积金支出（项）</w:t>
      </w:r>
      <w:r>
        <w:rPr>
          <w:rStyle w:val="19"/>
          <w:rFonts w:hint="eastAsia" w:ascii="仿宋_GB2312" w:eastAsia="仿宋_GB2312"/>
          <w:b w:val="0"/>
          <w:color w:val="000000"/>
          <w:sz w:val="32"/>
          <w:szCs w:val="32"/>
        </w:rPr>
        <w:t>:主要用于</w:t>
      </w:r>
      <w:r>
        <w:rPr>
          <w:rStyle w:val="19"/>
          <w:rFonts w:hint="eastAsia" w:ascii="仿宋_GB2312" w:eastAsia="仿宋_GB2312"/>
          <w:b w:val="0"/>
          <w:color w:val="000000"/>
          <w:sz w:val="32"/>
          <w:szCs w:val="32"/>
          <w:lang w:eastAsia="zh-CN"/>
        </w:rPr>
        <w:t>在职在编人员</w:t>
      </w:r>
      <w:r>
        <w:rPr>
          <w:rStyle w:val="19"/>
          <w:rFonts w:hint="eastAsia" w:ascii="仿宋_GB2312" w:eastAsia="仿宋_GB2312"/>
          <w:b w:val="0"/>
          <w:color w:val="000000"/>
          <w:sz w:val="32"/>
          <w:szCs w:val="32"/>
        </w:rPr>
        <w:t>缴纳住房公积金支出。</w:t>
      </w:r>
      <w:r>
        <w:rPr>
          <w:rStyle w:val="19"/>
          <w:rFonts w:hint="eastAsia" w:ascii="仿宋_GB2312" w:eastAsia="仿宋_GB2312"/>
          <w:b w:val="0"/>
          <w:color w:val="000000"/>
          <w:sz w:val="32"/>
          <w:szCs w:val="32"/>
          <w:lang w:val="en-US" w:eastAsia="zh-CN"/>
        </w:rPr>
        <w:t>2022</w:t>
      </w:r>
      <w:r>
        <w:rPr>
          <w:rStyle w:val="19"/>
          <w:rFonts w:hint="eastAsia" w:ascii="仿宋_GB2312" w:eastAsia="仿宋_GB2312"/>
          <w:b w:val="0"/>
          <w:color w:val="000000"/>
          <w:sz w:val="32"/>
          <w:szCs w:val="32"/>
        </w:rPr>
        <w:t>年决算数为</w:t>
      </w:r>
      <w:r>
        <w:rPr>
          <w:rStyle w:val="19"/>
          <w:rFonts w:hint="eastAsia" w:ascii="仿宋_GB2312" w:eastAsia="仿宋_GB2312"/>
          <w:b w:val="0"/>
          <w:color w:val="000000"/>
          <w:sz w:val="32"/>
          <w:szCs w:val="32"/>
          <w:lang w:val="en-US" w:eastAsia="zh-CN"/>
        </w:rPr>
        <w:t>7.81</w:t>
      </w:r>
      <w:r>
        <w:rPr>
          <w:rStyle w:val="19"/>
          <w:rFonts w:hint="eastAsia" w:ascii="仿宋_GB2312" w:eastAsia="仿宋_GB2312"/>
          <w:b w:val="0"/>
          <w:color w:val="000000"/>
          <w:sz w:val="32"/>
          <w:szCs w:val="32"/>
        </w:rPr>
        <w:t>万元，完成预算</w:t>
      </w:r>
      <w:r>
        <w:rPr>
          <w:rStyle w:val="19"/>
          <w:rFonts w:hint="eastAsia" w:ascii="仿宋_GB2312" w:eastAsia="仿宋_GB2312"/>
          <w:b w:val="0"/>
          <w:color w:val="000000"/>
          <w:sz w:val="32"/>
          <w:szCs w:val="32"/>
          <w:lang w:val="en-US" w:eastAsia="zh-CN"/>
        </w:rPr>
        <w:t>100</w:t>
      </w:r>
      <w:r>
        <w:rPr>
          <w:rStyle w:val="19"/>
          <w:rFonts w:hint="eastAsia" w:ascii="仿宋_GB2312" w:eastAsia="仿宋_GB2312"/>
          <w:b w:val="0"/>
          <w:color w:val="000000"/>
          <w:sz w:val="32"/>
          <w:szCs w:val="32"/>
        </w:rPr>
        <w:t>%</w:t>
      </w:r>
      <w:r>
        <w:rPr>
          <w:rStyle w:val="19"/>
          <w:rFonts w:hint="eastAsia" w:ascii="仿宋_GB2312" w:eastAsia="仿宋_GB2312"/>
          <w:b w:val="0"/>
          <w:color w:val="000000"/>
          <w:sz w:val="32"/>
          <w:szCs w:val="32"/>
          <w:lang w:eastAsia="zh-CN"/>
        </w:rPr>
        <w:t>。</w:t>
      </w:r>
    </w:p>
    <w:p>
      <w:pPr>
        <w:tabs>
          <w:tab w:val="right" w:pos="8306"/>
        </w:tabs>
        <w:spacing w:line="600" w:lineRule="exact"/>
        <w:outlineLvl w:val="1"/>
        <w:rPr>
          <w:rFonts w:ascii="仿宋" w:eastAsia="仿宋"/>
          <w:b/>
          <w:color w:val="auto"/>
          <w:sz w:val="32"/>
          <w:szCs w:val="32"/>
          <w:highlight w:val="none"/>
        </w:rPr>
      </w:pPr>
    </w:p>
    <w:p>
      <w:pPr>
        <w:tabs>
          <w:tab w:val="right" w:pos="8306"/>
        </w:tabs>
        <w:spacing w:line="600" w:lineRule="exact"/>
        <w:ind w:firstLine="640"/>
        <w:outlineLvl w:val="1"/>
        <w:rPr>
          <w:rStyle w:val="22"/>
          <w:color w:val="auto"/>
          <w:highlight w:val="none"/>
        </w:rPr>
      </w:pPr>
      <w:bookmarkStart w:id="56" w:name="_Toc9175"/>
      <w:r>
        <w:rPr>
          <w:rFonts w:hint="eastAsia" w:ascii="黑体" w:eastAsia="黑体"/>
          <w:color w:val="auto"/>
          <w:sz w:val="32"/>
          <w:szCs w:val="32"/>
          <w:highlight w:val="none"/>
        </w:rPr>
        <w:t>六</w:t>
      </w:r>
      <w:r>
        <w:rPr>
          <w:rFonts w:hint="eastAsia" w:ascii="黑体" w:eastAsia="黑体"/>
          <w:b/>
          <w:color w:val="auto"/>
          <w:sz w:val="32"/>
          <w:szCs w:val="32"/>
          <w:highlight w:val="none"/>
        </w:rPr>
        <w:t>、一</w:t>
      </w:r>
      <w:r>
        <w:rPr>
          <w:rStyle w:val="22"/>
          <w:rFonts w:hint="eastAsia" w:ascii="黑体" w:eastAsia="黑体"/>
          <w:b w:val="0"/>
          <w:color w:val="auto"/>
          <w:highlight w:val="none"/>
        </w:rPr>
        <w:t>般公共预算财政拨款基本支出决算情况说明</w:t>
      </w:r>
      <w:bookmarkEnd w:id="54"/>
      <w:bookmarkEnd w:id="55"/>
      <w:bookmarkEnd w:id="56"/>
      <w:r>
        <w:rPr>
          <w:rStyle w:val="22"/>
          <w:rFonts w:ascii="黑体" w:eastAsia="黑体"/>
          <w:b w:val="0"/>
          <w:color w:val="auto"/>
          <w:highlight w:val="none"/>
        </w:rPr>
        <w:tab/>
      </w:r>
    </w:p>
    <w:p>
      <w:pPr>
        <w:spacing w:line="600" w:lineRule="exact"/>
        <w:ind w:firstLine="645"/>
        <w:rPr>
          <w:rFonts w:ascii="仿宋" w:eastAsia="仿宋"/>
          <w:color w:val="auto"/>
          <w:sz w:val="32"/>
          <w:szCs w:val="32"/>
          <w:highlight w:val="none"/>
        </w:rPr>
      </w:pPr>
      <w:r>
        <w:rPr>
          <w:rFonts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年一般公共预算财政拨款基本支出</w:t>
      </w:r>
      <w:r>
        <w:rPr>
          <w:rFonts w:ascii="仿宋" w:eastAsia="仿宋"/>
          <w:color w:val="auto"/>
          <w:sz w:val="32"/>
          <w:szCs w:val="32"/>
          <w:highlight w:val="none"/>
        </w:rPr>
        <w:t>77.75</w:t>
      </w:r>
      <w:r>
        <w:rPr>
          <w:rFonts w:hint="eastAsia" w:ascii="仿宋" w:eastAsia="仿宋"/>
          <w:color w:val="auto"/>
          <w:sz w:val="32"/>
          <w:szCs w:val="32"/>
          <w:highlight w:val="none"/>
        </w:rPr>
        <w:t>万元，其中：</w:t>
      </w:r>
    </w:p>
    <w:p>
      <w:pPr>
        <w:spacing w:line="600" w:lineRule="exact"/>
        <w:ind w:firstLine="645"/>
        <w:rPr>
          <w:rFonts w:hint="eastAsia" w:ascii="仿宋" w:eastAsia="仿宋"/>
          <w:color w:val="auto"/>
          <w:sz w:val="32"/>
          <w:szCs w:val="32"/>
          <w:highlight w:val="none"/>
        </w:rPr>
      </w:pPr>
      <w:r>
        <w:rPr>
          <w:rFonts w:hint="eastAsia" w:ascii="仿宋" w:eastAsia="仿宋"/>
          <w:color w:val="auto"/>
          <w:sz w:val="32"/>
          <w:szCs w:val="32"/>
          <w:highlight w:val="none"/>
        </w:rPr>
        <w:t>人员经费</w:t>
      </w:r>
      <w:r>
        <w:rPr>
          <w:rFonts w:ascii="仿宋" w:eastAsia="仿宋"/>
          <w:color w:val="auto"/>
          <w:sz w:val="32"/>
          <w:szCs w:val="32"/>
          <w:highlight w:val="none"/>
        </w:rPr>
        <w:t>77.</w:t>
      </w:r>
      <w:r>
        <w:rPr>
          <w:rFonts w:hint="eastAsia" w:ascii="仿宋" w:eastAsia="仿宋"/>
          <w:color w:val="auto"/>
          <w:sz w:val="32"/>
          <w:szCs w:val="32"/>
          <w:highlight w:val="none"/>
          <w:lang w:val="en-US" w:eastAsia="zh-CN"/>
        </w:rPr>
        <w:t>75</w:t>
      </w:r>
      <w:r>
        <w:rPr>
          <w:rFonts w:hint="eastAsia" w:ascii="仿宋" w:eastAsia="仿宋"/>
          <w:color w:val="auto"/>
          <w:sz w:val="32"/>
          <w:szCs w:val="32"/>
          <w:highlight w:val="none"/>
        </w:rPr>
        <w:t>万元，主要包括：基本工资23.57</w:t>
      </w:r>
      <w:r>
        <w:rPr>
          <w:rFonts w:hint="eastAsia" w:ascii="仿宋" w:eastAsia="仿宋"/>
          <w:color w:val="auto"/>
          <w:sz w:val="32"/>
          <w:szCs w:val="32"/>
          <w:highlight w:val="none"/>
          <w:lang w:eastAsia="zh-CN"/>
        </w:rPr>
        <w:t>万元</w:t>
      </w:r>
      <w:r>
        <w:rPr>
          <w:rFonts w:hint="eastAsia" w:ascii="仿宋" w:eastAsia="仿宋"/>
          <w:color w:val="auto"/>
          <w:sz w:val="32"/>
          <w:szCs w:val="32"/>
          <w:highlight w:val="none"/>
        </w:rPr>
        <w:t>、津贴补贴0.95</w:t>
      </w:r>
      <w:r>
        <w:rPr>
          <w:rFonts w:hint="eastAsia" w:ascii="仿宋" w:eastAsia="仿宋"/>
          <w:color w:val="auto"/>
          <w:sz w:val="32"/>
          <w:szCs w:val="32"/>
          <w:highlight w:val="none"/>
          <w:lang w:eastAsia="zh-CN"/>
        </w:rPr>
        <w:t>万元</w:t>
      </w:r>
      <w:r>
        <w:rPr>
          <w:rFonts w:hint="eastAsia" w:ascii="仿宋" w:eastAsia="仿宋"/>
          <w:color w:val="auto"/>
          <w:sz w:val="32"/>
          <w:szCs w:val="32"/>
          <w:highlight w:val="none"/>
        </w:rPr>
        <w:t>、绩效工资31.74</w:t>
      </w:r>
      <w:r>
        <w:rPr>
          <w:rFonts w:hint="eastAsia" w:ascii="仿宋" w:eastAsia="仿宋"/>
          <w:color w:val="auto"/>
          <w:sz w:val="32"/>
          <w:szCs w:val="32"/>
          <w:highlight w:val="none"/>
          <w:lang w:eastAsia="zh-CN"/>
        </w:rPr>
        <w:t>万元</w:t>
      </w:r>
      <w:r>
        <w:rPr>
          <w:rFonts w:hint="eastAsia" w:ascii="仿宋" w:eastAsia="仿宋"/>
          <w:color w:val="auto"/>
          <w:sz w:val="32"/>
          <w:szCs w:val="32"/>
          <w:highlight w:val="none"/>
        </w:rPr>
        <w:t>、机关事业单位基本养老保险缴费6.79</w:t>
      </w:r>
      <w:r>
        <w:rPr>
          <w:rFonts w:hint="eastAsia" w:ascii="仿宋" w:eastAsia="仿宋"/>
          <w:color w:val="auto"/>
          <w:sz w:val="32"/>
          <w:szCs w:val="32"/>
          <w:highlight w:val="none"/>
          <w:lang w:eastAsia="zh-CN"/>
        </w:rPr>
        <w:t>万元</w:t>
      </w:r>
      <w:r>
        <w:rPr>
          <w:rFonts w:hint="eastAsia" w:ascii="仿宋" w:eastAsia="仿宋"/>
          <w:color w:val="auto"/>
          <w:sz w:val="32"/>
          <w:szCs w:val="32"/>
          <w:highlight w:val="none"/>
        </w:rPr>
        <w:t>、职业年金缴费3.02</w:t>
      </w:r>
      <w:r>
        <w:rPr>
          <w:rFonts w:hint="eastAsia" w:ascii="仿宋" w:eastAsia="仿宋"/>
          <w:color w:val="auto"/>
          <w:sz w:val="32"/>
          <w:szCs w:val="32"/>
          <w:highlight w:val="none"/>
          <w:lang w:eastAsia="zh-CN"/>
        </w:rPr>
        <w:t>万元</w:t>
      </w:r>
      <w:r>
        <w:rPr>
          <w:rFonts w:hint="eastAsia" w:ascii="仿宋" w:eastAsia="仿宋"/>
          <w:color w:val="auto"/>
          <w:sz w:val="32"/>
          <w:szCs w:val="32"/>
          <w:highlight w:val="none"/>
        </w:rPr>
        <w:t>、职工基本医疗保险缴费</w:t>
      </w:r>
      <w:r>
        <w:rPr>
          <w:rFonts w:hint="eastAsia" w:ascii="仿宋" w:eastAsia="仿宋"/>
          <w:color w:val="auto"/>
          <w:sz w:val="32"/>
          <w:szCs w:val="32"/>
          <w:highlight w:val="none"/>
          <w:lang w:val="en-US" w:eastAsia="zh-CN"/>
        </w:rPr>
        <w:t>3.88万元、</w:t>
      </w:r>
      <w:r>
        <w:rPr>
          <w:rFonts w:hint="eastAsia" w:ascii="仿宋" w:eastAsia="仿宋"/>
          <w:color w:val="auto"/>
          <w:sz w:val="32"/>
          <w:szCs w:val="32"/>
          <w:highlight w:val="none"/>
        </w:rPr>
        <w:t>住房公积金7.81</w:t>
      </w:r>
      <w:r>
        <w:rPr>
          <w:rFonts w:hint="eastAsia" w:ascii="仿宋" w:eastAsia="仿宋"/>
          <w:color w:val="auto"/>
          <w:sz w:val="32"/>
          <w:szCs w:val="32"/>
          <w:highlight w:val="none"/>
          <w:lang w:eastAsia="zh-CN"/>
        </w:rPr>
        <w:t>万元</w:t>
      </w:r>
      <w:r>
        <w:rPr>
          <w:rFonts w:hint="eastAsia" w:ascii="仿宋" w:eastAsia="仿宋"/>
          <w:color w:val="auto"/>
          <w:sz w:val="32"/>
          <w:szCs w:val="32"/>
          <w:highlight w:val="none"/>
        </w:rPr>
        <w:t>。</w:t>
      </w:r>
    </w:p>
    <w:p>
      <w:pPr>
        <w:spacing w:line="600" w:lineRule="exact"/>
        <w:ind w:firstLine="645"/>
        <w:rPr>
          <w:rFonts w:ascii="仿宋" w:eastAsia="仿宋"/>
          <w:color w:val="auto"/>
          <w:sz w:val="32"/>
          <w:szCs w:val="32"/>
          <w:highlight w:val="none"/>
        </w:rPr>
      </w:pPr>
      <w:r>
        <w:rPr>
          <w:rFonts w:hint="eastAsia" w:ascii="仿宋" w:eastAsia="仿宋"/>
          <w:color w:val="auto"/>
          <w:sz w:val="32"/>
          <w:szCs w:val="32"/>
          <w:highlight w:val="none"/>
        </w:rPr>
        <w:t>公用经费</w:t>
      </w:r>
      <w:r>
        <w:rPr>
          <w:rFonts w:hint="eastAsia" w:ascii="仿宋" w:eastAsia="仿宋"/>
          <w:color w:val="auto"/>
          <w:sz w:val="32"/>
          <w:szCs w:val="32"/>
          <w:highlight w:val="none"/>
          <w:lang w:val="en-US" w:eastAsia="zh-CN"/>
        </w:rPr>
        <w:t>0</w:t>
      </w:r>
      <w:r>
        <w:rPr>
          <w:rFonts w:hint="eastAsia" w:ascii="仿宋" w:eastAsia="仿宋"/>
          <w:color w:val="auto"/>
          <w:sz w:val="32"/>
          <w:szCs w:val="32"/>
          <w:highlight w:val="none"/>
        </w:rPr>
        <w:t>万元。</w:t>
      </w:r>
    </w:p>
    <w:p>
      <w:pPr>
        <w:spacing w:line="600" w:lineRule="exact"/>
        <w:ind w:left="0" w:firstLine="640" w:firstLineChars="200"/>
        <w:outlineLvl w:val="1"/>
        <w:rPr>
          <w:rStyle w:val="22"/>
          <w:rFonts w:ascii="黑体" w:eastAsia="黑体"/>
          <w:b w:val="0"/>
          <w:color w:val="auto"/>
          <w:highlight w:val="none"/>
        </w:rPr>
      </w:pPr>
      <w:bookmarkStart w:id="57" w:name="_Toc15377215"/>
      <w:bookmarkStart w:id="58" w:name="_Toc15396609"/>
      <w:bookmarkStart w:id="59" w:name="_Toc1745"/>
      <w:r>
        <w:rPr>
          <w:rFonts w:hint="eastAsia" w:ascii="黑体" w:eastAsia="黑体"/>
          <w:color w:val="auto"/>
          <w:sz w:val="32"/>
          <w:szCs w:val="32"/>
          <w:highlight w:val="none"/>
        </w:rPr>
        <w:t>七、</w:t>
      </w:r>
      <w:r>
        <w:rPr>
          <w:rStyle w:val="22"/>
          <w:rFonts w:hint="eastAsia" w:ascii="黑体" w:eastAsia="黑体"/>
          <w:b w:val="0"/>
          <w:color w:val="auto"/>
          <w:highlight w:val="none"/>
        </w:rPr>
        <w:t>财政拨款</w:t>
      </w:r>
      <w:r>
        <w:rPr>
          <w:rStyle w:val="22"/>
          <w:rFonts w:hint="eastAsia" w:ascii="黑体" w:eastAsia="黑体"/>
          <w:color w:val="auto"/>
          <w:highlight w:val="none"/>
        </w:rPr>
        <w:t>“</w:t>
      </w:r>
      <w:r>
        <w:rPr>
          <w:rStyle w:val="22"/>
          <w:rFonts w:hint="eastAsia" w:ascii="黑体" w:eastAsia="黑体"/>
          <w:b w:val="0"/>
          <w:color w:val="auto"/>
          <w:highlight w:val="none"/>
        </w:rPr>
        <w:t>三公”经费支出决算情况说明</w:t>
      </w:r>
      <w:bookmarkEnd w:id="57"/>
      <w:bookmarkEnd w:id="58"/>
      <w:bookmarkEnd w:id="59"/>
    </w:p>
    <w:p>
      <w:pPr>
        <w:spacing w:line="580" w:lineRule="exact"/>
        <w:ind w:firstLine="640"/>
        <w:outlineLvl w:val="2"/>
        <w:rPr>
          <w:rFonts w:hint="eastAsia" w:ascii="仿宋_GB2312" w:hAnsi="宋体" w:eastAsia="仿宋_GB2312"/>
          <w:b/>
          <w:color w:val="000000"/>
          <w:sz w:val="32"/>
          <w:szCs w:val="32"/>
        </w:rPr>
      </w:pPr>
      <w:bookmarkStart w:id="60" w:name="_Toc15377216"/>
      <w:bookmarkStart w:id="61" w:name="_Toc12911"/>
      <w:bookmarkStart w:id="62" w:name="_Toc15377218"/>
      <w:bookmarkStart w:id="63" w:name="_Toc15396610"/>
      <w:r>
        <w:rPr>
          <w:rFonts w:hint="eastAsia" w:ascii="仿宋_GB2312" w:hAnsi="宋体" w:eastAsia="仿宋_GB2312"/>
          <w:b/>
          <w:color w:val="000000"/>
          <w:sz w:val="32"/>
          <w:szCs w:val="32"/>
        </w:rPr>
        <w:t>（一）“三公”经费财政拨款支出决算总体情况说明</w:t>
      </w:r>
      <w:bookmarkEnd w:id="60"/>
      <w:bookmarkEnd w:id="61"/>
    </w:p>
    <w:p>
      <w:pPr>
        <w:spacing w:line="580" w:lineRule="exact"/>
        <w:ind w:firstLine="640"/>
        <w:rPr>
          <w:rFonts w:hint="eastAsia" w:ascii="仿宋_GB2312" w:hAnsi="宋体" w:eastAsia="仿宋_GB2312"/>
          <w:color w:val="000000"/>
          <w:sz w:val="32"/>
          <w:szCs w:val="32"/>
        </w:rPr>
      </w:pPr>
      <w:r>
        <w:rPr>
          <w:rFonts w:hint="eastAsia" w:ascii="仿宋_GB2312" w:hAnsi="宋体" w:eastAsia="仿宋_GB2312"/>
          <w:color w:val="000000"/>
          <w:sz w:val="32"/>
          <w:szCs w:val="32"/>
        </w:rPr>
        <w:t>202</w:t>
      </w:r>
      <w:r>
        <w:rPr>
          <w:rFonts w:hint="eastAsia" w:ascii="仿宋_GB2312" w:hAnsi="宋体" w:eastAsia="仿宋_GB2312"/>
          <w:color w:val="000000"/>
          <w:sz w:val="32"/>
          <w:szCs w:val="32"/>
          <w:lang w:val="en-US" w:eastAsia="zh-CN"/>
        </w:rPr>
        <w:t>2</w:t>
      </w:r>
      <w:r>
        <w:rPr>
          <w:rFonts w:hint="eastAsia" w:ascii="仿宋_GB2312" w:hAnsi="宋体" w:eastAsia="仿宋_GB2312"/>
          <w:color w:val="000000"/>
          <w:sz w:val="32"/>
          <w:szCs w:val="32"/>
        </w:rPr>
        <w:t>年“三公”经费财政拨款支出决算为0万元，</w:t>
      </w:r>
      <w:bookmarkStart w:id="64" w:name="_Toc15377217"/>
      <w:r>
        <w:rPr>
          <w:rFonts w:hint="eastAsia" w:ascii="仿宋_GB2312" w:hAnsi="宋体" w:eastAsia="仿宋_GB2312"/>
          <w:color w:val="000000"/>
          <w:sz w:val="32"/>
          <w:szCs w:val="32"/>
        </w:rPr>
        <w:t>年初未安排预算。</w:t>
      </w:r>
    </w:p>
    <w:p>
      <w:pPr>
        <w:spacing w:line="580" w:lineRule="exact"/>
        <w:ind w:firstLine="640"/>
        <w:rPr>
          <w:rFonts w:hint="eastAsia" w:ascii="仿宋_GB2312" w:hAnsi="宋体" w:eastAsia="仿宋_GB2312"/>
          <w:b/>
          <w:color w:val="000000"/>
          <w:sz w:val="32"/>
          <w:szCs w:val="32"/>
        </w:rPr>
      </w:pPr>
      <w:r>
        <w:rPr>
          <w:rFonts w:hint="eastAsia" w:ascii="仿宋_GB2312" w:hAnsi="宋体" w:eastAsia="仿宋_GB2312"/>
          <w:b/>
          <w:color w:val="000000"/>
          <w:sz w:val="32"/>
          <w:szCs w:val="32"/>
        </w:rPr>
        <w:t>（二）“三公”经费财政拨款支出决算具体情况说明</w:t>
      </w:r>
      <w:bookmarkEnd w:id="64"/>
    </w:p>
    <w:p>
      <w:pPr>
        <w:spacing w:line="580" w:lineRule="exact"/>
        <w:ind w:firstLine="640"/>
        <w:rPr>
          <w:rFonts w:hint="eastAsia" w:ascii="仿宋_GB2312" w:hAnsi="宋体" w:eastAsia="仿宋_GB2312"/>
          <w:color w:val="000000"/>
          <w:sz w:val="32"/>
          <w:szCs w:val="32"/>
        </w:rPr>
      </w:pPr>
      <w:r>
        <w:rPr>
          <w:rFonts w:hint="eastAsia" w:ascii="仿宋_GB2312" w:hAnsi="宋体" w:eastAsia="仿宋_GB2312"/>
          <w:color w:val="000000"/>
          <w:sz w:val="32"/>
          <w:szCs w:val="32"/>
        </w:rPr>
        <w:t>202</w:t>
      </w:r>
      <w:r>
        <w:rPr>
          <w:rFonts w:hint="eastAsia" w:ascii="仿宋_GB2312" w:hAnsi="宋体" w:eastAsia="仿宋_GB2312"/>
          <w:color w:val="000000"/>
          <w:sz w:val="32"/>
          <w:szCs w:val="32"/>
          <w:lang w:val="en-US" w:eastAsia="zh-CN"/>
        </w:rPr>
        <w:t>2</w:t>
      </w:r>
      <w:r>
        <w:rPr>
          <w:rFonts w:hint="eastAsia" w:ascii="仿宋_GB2312" w:hAnsi="宋体" w:eastAsia="仿宋_GB2312"/>
          <w:color w:val="000000"/>
          <w:sz w:val="32"/>
          <w:szCs w:val="32"/>
        </w:rPr>
        <w:t>年“三公”经费财政拨款支出决算中，因公出国（境）费支出决算0万元，年初未安排预算；公务用车购置及运行维护费支出决算0万元，年初未安排预算，与上年数持平；公务接待费总支出决算0万元，年初未安排预算。</w:t>
      </w:r>
    </w:p>
    <w:p>
      <w:pPr>
        <w:spacing w:line="580" w:lineRule="exact"/>
        <w:ind w:firstLine="640"/>
        <w:rPr>
          <w:rFonts w:hint="eastAsia" w:ascii="仿宋_GB2312" w:hAnsi="宋体" w:eastAsia="仿宋_GB2312"/>
          <w:b/>
          <w:color w:val="000000"/>
          <w:sz w:val="32"/>
          <w:szCs w:val="32"/>
        </w:rPr>
      </w:pPr>
      <w:r>
        <w:rPr>
          <w:rFonts w:hint="eastAsia" w:ascii="仿宋_GB2312" w:hAnsi="宋体" w:eastAsia="仿宋_GB2312"/>
          <w:b/>
          <w:color w:val="000000"/>
          <w:sz w:val="32"/>
          <w:szCs w:val="32"/>
        </w:rPr>
        <w:t>1.因公出国（境）经费支出</w:t>
      </w:r>
      <w:r>
        <w:rPr>
          <w:rFonts w:hint="eastAsia" w:ascii="仿宋_GB2312" w:hAnsi="宋体" w:eastAsia="仿宋_GB2312"/>
          <w:color w:val="000000"/>
          <w:sz w:val="32"/>
          <w:szCs w:val="32"/>
        </w:rPr>
        <w:t>0万元，年初未安排预算</w:t>
      </w:r>
      <w:r>
        <w:rPr>
          <w:rStyle w:val="19"/>
          <w:rFonts w:hint="eastAsia" w:ascii="仿宋_GB2312" w:hAnsi="宋体" w:eastAsia="仿宋_GB2312"/>
          <w:b w:val="0"/>
          <w:bCs/>
          <w:color w:val="000000"/>
          <w:sz w:val="32"/>
          <w:szCs w:val="32"/>
        </w:rPr>
        <w:t>。</w:t>
      </w:r>
      <w:r>
        <w:rPr>
          <w:rFonts w:hint="eastAsia" w:ascii="仿宋_GB2312" w:hAnsi="宋体" w:eastAsia="仿宋_GB2312"/>
          <w:color w:val="000000"/>
          <w:sz w:val="32"/>
          <w:szCs w:val="32"/>
        </w:rPr>
        <w:t>年初未安排预算，</w:t>
      </w:r>
      <w:r>
        <w:rPr>
          <w:rStyle w:val="19"/>
          <w:rFonts w:hint="eastAsia" w:ascii="仿宋_GB2312" w:hAnsi="宋体" w:eastAsia="仿宋_GB2312"/>
          <w:b w:val="0"/>
          <w:bCs/>
          <w:color w:val="000000"/>
          <w:sz w:val="32"/>
          <w:szCs w:val="32"/>
        </w:rPr>
        <w:t>与上年数持平。</w:t>
      </w:r>
    </w:p>
    <w:p>
      <w:pPr>
        <w:spacing w:line="580" w:lineRule="exact"/>
        <w:ind w:firstLine="640"/>
        <w:rPr>
          <w:rFonts w:hint="eastAsia" w:ascii="仿宋_GB2312" w:hAnsi="宋体" w:eastAsia="仿宋_GB2312"/>
          <w:color w:val="000000"/>
          <w:sz w:val="32"/>
          <w:szCs w:val="32"/>
        </w:rPr>
      </w:pPr>
      <w:r>
        <w:rPr>
          <w:rFonts w:hint="eastAsia" w:ascii="仿宋_GB2312" w:hAnsi="宋体" w:eastAsia="仿宋_GB2312"/>
          <w:b/>
          <w:color w:val="000000"/>
          <w:sz w:val="32"/>
          <w:szCs w:val="32"/>
        </w:rPr>
        <w:t>2.公务用车购置及运行维护费支出</w:t>
      </w:r>
      <w:r>
        <w:rPr>
          <w:rFonts w:hint="eastAsia" w:ascii="仿宋_GB2312" w:hAnsi="宋体" w:eastAsia="仿宋_GB2312"/>
          <w:color w:val="000000"/>
          <w:sz w:val="32"/>
          <w:szCs w:val="32"/>
        </w:rPr>
        <w:t>0万元,年初未安排预算</w:t>
      </w:r>
      <w:r>
        <w:rPr>
          <w:rStyle w:val="19"/>
          <w:rFonts w:hint="eastAsia" w:ascii="仿宋_GB2312" w:hAnsi="宋体" w:eastAsia="仿宋_GB2312"/>
          <w:b w:val="0"/>
          <w:bCs/>
          <w:color w:val="000000"/>
          <w:sz w:val="32"/>
          <w:szCs w:val="32"/>
        </w:rPr>
        <w:t>。</w:t>
      </w:r>
    </w:p>
    <w:p>
      <w:pPr>
        <w:spacing w:line="580" w:lineRule="exact"/>
        <w:ind w:firstLine="640"/>
        <w:rPr>
          <w:rFonts w:hint="eastAsia" w:ascii="仿宋_GB2312" w:hAnsi="宋体" w:eastAsia="仿宋_GB2312"/>
          <w:color w:val="000000"/>
          <w:sz w:val="32"/>
          <w:szCs w:val="32"/>
        </w:rPr>
      </w:pPr>
      <w:r>
        <w:rPr>
          <w:rFonts w:hint="eastAsia" w:ascii="仿宋_GB2312" w:hAnsi="宋体" w:eastAsia="仿宋_GB2312"/>
          <w:b/>
          <w:color w:val="000000"/>
          <w:sz w:val="32"/>
          <w:szCs w:val="32"/>
        </w:rPr>
        <w:t>3.公务用车运行维护费支出</w:t>
      </w:r>
      <w:r>
        <w:rPr>
          <w:rFonts w:hint="eastAsia" w:ascii="仿宋_GB2312" w:hAnsi="宋体" w:eastAsia="仿宋_GB2312"/>
          <w:color w:val="000000"/>
          <w:sz w:val="32"/>
          <w:szCs w:val="32"/>
        </w:rPr>
        <w:t>0万元，年初未安排预算。</w:t>
      </w:r>
    </w:p>
    <w:p>
      <w:pPr>
        <w:spacing w:line="580" w:lineRule="exact"/>
        <w:ind w:firstLine="640"/>
        <w:rPr>
          <w:rFonts w:hint="eastAsia" w:ascii="仿宋_GB2312" w:hAnsi="宋体" w:eastAsia="仿宋_GB2312"/>
          <w:color w:val="000000"/>
          <w:sz w:val="32"/>
          <w:szCs w:val="32"/>
        </w:rPr>
      </w:pPr>
      <w:r>
        <w:rPr>
          <w:rFonts w:hint="eastAsia" w:ascii="仿宋_GB2312" w:hAnsi="宋体" w:eastAsia="仿宋_GB2312"/>
          <w:b/>
          <w:color w:val="000000"/>
          <w:sz w:val="32"/>
          <w:szCs w:val="32"/>
        </w:rPr>
        <w:t>4.公务接待费支出</w:t>
      </w:r>
      <w:r>
        <w:rPr>
          <w:rFonts w:hint="eastAsia" w:ascii="仿宋_GB2312" w:hAnsi="宋体" w:eastAsia="仿宋_GB2312"/>
          <w:color w:val="000000"/>
          <w:sz w:val="32"/>
          <w:szCs w:val="32"/>
        </w:rPr>
        <w:t>0万元，年初未安排预算</w:t>
      </w:r>
      <w:r>
        <w:rPr>
          <w:rStyle w:val="19"/>
          <w:rFonts w:hint="eastAsia" w:ascii="仿宋_GB2312" w:hAnsi="宋体" w:eastAsia="仿宋_GB2312"/>
          <w:b w:val="0"/>
          <w:bCs/>
          <w:color w:val="000000"/>
          <w:sz w:val="32"/>
          <w:szCs w:val="32"/>
        </w:rPr>
        <w:t>。</w:t>
      </w:r>
    </w:p>
    <w:p>
      <w:pPr>
        <w:spacing w:line="600" w:lineRule="exact"/>
        <w:ind w:firstLine="640"/>
        <w:outlineLvl w:val="1"/>
        <w:rPr>
          <w:rFonts w:ascii="黑体" w:eastAsia="黑体"/>
          <w:color w:val="auto"/>
          <w:sz w:val="32"/>
          <w:szCs w:val="32"/>
          <w:highlight w:val="none"/>
        </w:rPr>
      </w:pPr>
    </w:p>
    <w:p>
      <w:pPr>
        <w:spacing w:line="600" w:lineRule="exact"/>
        <w:ind w:firstLine="640"/>
        <w:outlineLvl w:val="1"/>
        <w:rPr>
          <w:rStyle w:val="22"/>
          <w:rFonts w:ascii="黑体" w:eastAsia="黑体"/>
          <w:color w:val="auto"/>
          <w:highlight w:val="none"/>
        </w:rPr>
      </w:pPr>
      <w:bookmarkStart w:id="65" w:name="_Toc8353"/>
      <w:r>
        <w:rPr>
          <w:rFonts w:hint="eastAsia" w:ascii="黑体" w:eastAsia="黑体"/>
          <w:color w:val="auto"/>
          <w:sz w:val="32"/>
          <w:szCs w:val="32"/>
          <w:highlight w:val="none"/>
        </w:rPr>
        <w:t>八、</w:t>
      </w:r>
      <w:r>
        <w:rPr>
          <w:rStyle w:val="22"/>
          <w:rFonts w:hint="eastAsia" w:ascii="黑体" w:eastAsia="黑体"/>
          <w:b w:val="0"/>
          <w:color w:val="auto"/>
          <w:highlight w:val="none"/>
        </w:rPr>
        <w:t>政府性基金预算支出决算情况说明</w:t>
      </w:r>
      <w:bookmarkEnd w:id="62"/>
      <w:bookmarkEnd w:id="63"/>
      <w:bookmarkEnd w:id="65"/>
    </w:p>
    <w:p>
      <w:pPr>
        <w:spacing w:line="600" w:lineRule="exact"/>
        <w:ind w:firstLine="64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年政府性基金预算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2.34</w:t>
      </w:r>
      <w:r>
        <w:rPr>
          <w:rFonts w:hint="eastAsia" w:ascii="仿宋_GB2312" w:eastAsia="仿宋_GB2312"/>
          <w:color w:val="auto"/>
          <w:sz w:val="32"/>
          <w:szCs w:val="32"/>
          <w:highlight w:val="none"/>
        </w:rPr>
        <w:t>万元。</w:t>
      </w:r>
    </w:p>
    <w:p>
      <w:pPr>
        <w:spacing w:line="600" w:lineRule="exact"/>
        <w:ind w:firstLine="640"/>
        <w:rPr>
          <w:rFonts w:ascii="仿宋_GB2312" w:eastAsia="仿宋_GB2312"/>
          <w:color w:val="auto"/>
          <w:sz w:val="32"/>
          <w:szCs w:val="32"/>
          <w:highlight w:val="none"/>
        </w:rPr>
      </w:pPr>
    </w:p>
    <w:p>
      <w:pPr>
        <w:numPr>
          <w:ilvl w:val="0"/>
          <w:numId w:val="2"/>
        </w:numPr>
        <w:spacing w:line="600" w:lineRule="exact"/>
        <w:ind w:left="0" w:firstLine="640"/>
        <w:outlineLvl w:val="1"/>
        <w:rPr>
          <w:rStyle w:val="22"/>
          <w:rFonts w:ascii="黑体" w:eastAsia="黑体"/>
          <w:b w:val="0"/>
          <w:color w:val="auto"/>
          <w:highlight w:val="none"/>
        </w:rPr>
      </w:pPr>
      <w:bookmarkStart w:id="66" w:name="_Toc15396611"/>
      <w:bookmarkStart w:id="67" w:name="_Toc15377219"/>
      <w:bookmarkStart w:id="68" w:name="_Toc30422"/>
      <w:r>
        <w:rPr>
          <w:rStyle w:val="22"/>
          <w:rFonts w:hint="eastAsia" w:ascii="黑体" w:eastAsia="黑体"/>
          <w:b w:val="0"/>
          <w:color w:val="auto"/>
          <w:highlight w:val="none"/>
        </w:rPr>
        <w:t>国有资本经营预算支出决算情况说明</w:t>
      </w:r>
      <w:bookmarkEnd w:id="66"/>
      <w:bookmarkEnd w:id="67"/>
      <w:bookmarkEnd w:id="68"/>
    </w:p>
    <w:p>
      <w:pPr>
        <w:spacing w:line="600" w:lineRule="exact"/>
        <w:ind w:firstLine="64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年国有资本经营预算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ascii="仿宋_GB2312" w:eastAsia="仿宋_GB2312"/>
          <w:color w:val="auto"/>
          <w:sz w:val="32"/>
          <w:szCs w:val="32"/>
          <w:highlight w:val="none"/>
        </w:rPr>
        <w:t>0</w:t>
      </w:r>
      <w:r>
        <w:rPr>
          <w:rFonts w:hint="eastAsia" w:ascii="仿宋_GB2312" w:eastAsia="仿宋_GB2312"/>
          <w:color w:val="auto"/>
          <w:sz w:val="32"/>
          <w:szCs w:val="32"/>
          <w:highlight w:val="none"/>
        </w:rPr>
        <w:t>万元。</w:t>
      </w:r>
    </w:p>
    <w:p>
      <w:pPr>
        <w:spacing w:line="580" w:lineRule="exact"/>
        <w:jc w:val="center"/>
        <w:rPr>
          <w:rFonts w:ascii="方正小标宋简体" w:eastAsia="方正小标宋简体" w:cs="方正小标宋简体"/>
          <w:color w:val="auto"/>
          <w:sz w:val="44"/>
          <w:szCs w:val="44"/>
          <w:highlight w:val="none"/>
        </w:rPr>
      </w:pPr>
    </w:p>
    <w:p>
      <w:pPr>
        <w:numPr>
          <w:ilvl w:val="0"/>
          <w:numId w:val="2"/>
        </w:numPr>
        <w:spacing w:line="600" w:lineRule="exact"/>
        <w:ind w:left="0" w:firstLine="640"/>
        <w:outlineLvl w:val="1"/>
        <w:rPr>
          <w:rStyle w:val="22"/>
          <w:rFonts w:hint="eastAsia" w:ascii="黑体" w:eastAsia="黑体"/>
          <w:b w:val="0"/>
          <w:color w:val="auto"/>
          <w:highlight w:val="none"/>
        </w:rPr>
      </w:pPr>
      <w:bookmarkStart w:id="69" w:name="_Toc15396612"/>
      <w:bookmarkStart w:id="70" w:name="_Toc15377221"/>
      <w:bookmarkStart w:id="71" w:name="_Toc30215"/>
      <w:r>
        <w:rPr>
          <w:rStyle w:val="22"/>
          <w:rFonts w:hint="eastAsia" w:ascii="黑体" w:eastAsia="黑体"/>
          <w:b w:val="0"/>
          <w:color w:val="auto"/>
          <w:highlight w:val="none"/>
        </w:rPr>
        <w:t>其他重要事项的情况说明</w:t>
      </w:r>
      <w:bookmarkEnd w:id="69"/>
      <w:bookmarkEnd w:id="70"/>
      <w:r>
        <w:rPr>
          <w:rStyle w:val="22"/>
          <w:rFonts w:ascii="黑体" w:eastAsia="黑体"/>
          <w:b w:val="0"/>
          <w:color w:val="auto"/>
          <w:highlight w:val="none"/>
        </w:rPr>
        <w:t>（无）</w:t>
      </w:r>
      <w:bookmarkEnd w:id="71"/>
    </w:p>
    <w:p>
      <w:pPr>
        <w:spacing w:line="600" w:lineRule="exact"/>
        <w:ind w:firstLine="643" w:firstLineChars="200"/>
        <w:outlineLvl w:val="2"/>
        <w:rPr>
          <w:rFonts w:ascii="仿宋" w:eastAsia="仿宋"/>
          <w:color w:val="auto"/>
          <w:sz w:val="32"/>
          <w:szCs w:val="32"/>
          <w:highlight w:val="none"/>
        </w:rPr>
      </w:pPr>
      <w:bookmarkStart w:id="72" w:name="_Toc3554"/>
      <w:bookmarkStart w:id="73" w:name="_Toc15377222"/>
      <w:bookmarkStart w:id="74" w:name="_Toc1659"/>
      <w:r>
        <w:rPr>
          <w:rFonts w:hint="eastAsia" w:ascii="仿宋" w:eastAsia="仿宋"/>
          <w:b/>
          <w:color w:val="auto"/>
          <w:sz w:val="32"/>
          <w:szCs w:val="32"/>
          <w:highlight w:val="none"/>
        </w:rPr>
        <w:t>（一）机关运行经费支出情况</w:t>
      </w:r>
      <w:bookmarkEnd w:id="72"/>
      <w:bookmarkEnd w:id="73"/>
      <w:bookmarkEnd w:id="74"/>
    </w:p>
    <w:p>
      <w:pPr>
        <w:spacing w:line="600" w:lineRule="exact"/>
        <w:ind w:firstLine="640" w:firstLineChars="200"/>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本单位未发生机关运行经费支出。</w:t>
      </w:r>
    </w:p>
    <w:p>
      <w:pPr>
        <w:autoSpaceDE w:val="0"/>
        <w:autoSpaceDN w:val="0"/>
        <w:adjustRightInd w:val="0"/>
        <w:spacing w:line="600" w:lineRule="exact"/>
        <w:ind w:firstLine="643" w:firstLineChars="200"/>
        <w:jc w:val="left"/>
        <w:outlineLvl w:val="2"/>
        <w:rPr>
          <w:rFonts w:ascii="仿宋" w:eastAsia="仿宋"/>
          <w:b/>
          <w:color w:val="auto"/>
          <w:sz w:val="32"/>
          <w:szCs w:val="32"/>
          <w:highlight w:val="none"/>
        </w:rPr>
      </w:pPr>
      <w:bookmarkStart w:id="75" w:name="_Toc31169"/>
      <w:bookmarkStart w:id="76" w:name="_Toc15377223"/>
      <w:bookmarkStart w:id="77" w:name="_Toc12477"/>
      <w:r>
        <w:rPr>
          <w:rFonts w:hint="eastAsia" w:ascii="仿宋" w:eastAsia="仿宋"/>
          <w:b/>
          <w:color w:val="auto"/>
          <w:sz w:val="32"/>
          <w:szCs w:val="32"/>
          <w:highlight w:val="none"/>
        </w:rPr>
        <w:t>（二）政府采购支出情况</w:t>
      </w:r>
      <w:bookmarkEnd w:id="75"/>
      <w:bookmarkEnd w:id="76"/>
      <w:bookmarkEnd w:id="77"/>
    </w:p>
    <w:p>
      <w:pPr>
        <w:spacing w:line="600" w:lineRule="exact"/>
        <w:ind w:firstLine="640" w:firstLineChars="200"/>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本年未发生政府采购。</w:t>
      </w:r>
    </w:p>
    <w:p>
      <w:pPr>
        <w:numPr>
          <w:ilvl w:val="0"/>
          <w:numId w:val="3"/>
        </w:numPr>
        <w:autoSpaceDE w:val="0"/>
        <w:autoSpaceDN w:val="0"/>
        <w:adjustRightInd w:val="0"/>
        <w:spacing w:line="600" w:lineRule="exact"/>
        <w:ind w:left="0" w:firstLine="643" w:firstLineChars="200"/>
        <w:jc w:val="left"/>
        <w:outlineLvl w:val="2"/>
        <w:rPr>
          <w:rFonts w:hint="eastAsia" w:ascii="仿宋" w:eastAsia="仿宋"/>
          <w:b/>
          <w:color w:val="auto"/>
          <w:sz w:val="32"/>
          <w:szCs w:val="32"/>
          <w:highlight w:val="none"/>
        </w:rPr>
      </w:pPr>
      <w:bookmarkStart w:id="78" w:name="_Toc15377224"/>
      <w:bookmarkStart w:id="79" w:name="_Toc11693"/>
      <w:bookmarkStart w:id="80" w:name="_Toc19976"/>
      <w:r>
        <w:rPr>
          <w:rFonts w:hint="eastAsia" w:ascii="仿宋" w:eastAsia="仿宋"/>
          <w:b/>
          <w:color w:val="auto"/>
          <w:sz w:val="32"/>
          <w:szCs w:val="32"/>
          <w:highlight w:val="none"/>
        </w:rPr>
        <w:t>国有资产占有使用情况</w:t>
      </w:r>
      <w:bookmarkEnd w:id="78"/>
      <w:bookmarkEnd w:id="79"/>
      <w:bookmarkEnd w:id="80"/>
    </w:p>
    <w:p>
      <w:pPr>
        <w:autoSpaceDE w:val="0"/>
        <w:autoSpaceDN w:val="0"/>
        <w:adjustRightInd w:val="0"/>
        <w:spacing w:line="600" w:lineRule="exact"/>
        <w:ind w:firstLine="640" w:firstLineChars="200"/>
        <w:jc w:val="left"/>
      </w:pPr>
      <w:r>
        <w:rPr>
          <w:rFonts w:hint="eastAsia" w:ascii="仿宋_GB2312" w:eastAsia="仿宋_GB2312"/>
          <w:color w:val="000000"/>
          <w:sz w:val="32"/>
          <w:szCs w:val="32"/>
        </w:rPr>
        <w:t>截至</w:t>
      </w:r>
      <w:r>
        <w:rPr>
          <w:rFonts w:hint="eastAsia" w:ascii="仿宋_GB2312" w:eastAsia="仿宋_GB2312"/>
          <w:color w:val="000000"/>
          <w:sz w:val="32"/>
          <w:szCs w:val="32"/>
          <w:lang w:eastAsia="zh-CN"/>
        </w:rPr>
        <w:t>202</w:t>
      </w: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年</w:t>
      </w:r>
      <w:r>
        <w:rPr>
          <w:rFonts w:hint="eastAsia" w:ascii="仿宋_GB2312" w:eastAsia="仿宋_GB2312"/>
          <w:color w:val="000000"/>
          <w:sz w:val="32"/>
          <w:szCs w:val="32"/>
          <w:lang w:val="en-US" w:eastAsia="zh-CN"/>
        </w:rPr>
        <w:t>12</w:t>
      </w:r>
      <w:r>
        <w:rPr>
          <w:rFonts w:hint="eastAsia" w:ascii="仿宋_GB2312" w:eastAsia="仿宋_GB2312"/>
          <w:color w:val="000000"/>
          <w:sz w:val="32"/>
          <w:szCs w:val="32"/>
        </w:rPr>
        <w:t>月</w:t>
      </w:r>
      <w:r>
        <w:rPr>
          <w:rFonts w:hint="eastAsia" w:ascii="仿宋_GB2312" w:eastAsia="仿宋_GB2312"/>
          <w:color w:val="000000"/>
          <w:sz w:val="32"/>
          <w:szCs w:val="32"/>
          <w:lang w:val="en-US" w:eastAsia="zh-CN"/>
        </w:rPr>
        <w:t>3</w:t>
      </w:r>
      <w:r>
        <w:rPr>
          <w:rFonts w:ascii="仿宋_GB2312" w:eastAsia="仿宋_GB2312"/>
          <w:color w:val="000000"/>
          <w:sz w:val="32"/>
          <w:szCs w:val="32"/>
        </w:rPr>
        <w:t>1</w:t>
      </w:r>
      <w:r>
        <w:rPr>
          <w:rFonts w:hint="eastAsia" w:ascii="仿宋_GB2312" w:eastAsia="仿宋_GB2312"/>
          <w:color w:val="000000"/>
          <w:sz w:val="32"/>
          <w:szCs w:val="32"/>
        </w:rPr>
        <w:t>日，</w:t>
      </w:r>
      <w:r>
        <w:rPr>
          <w:rFonts w:hint="eastAsia" w:ascii="仿宋_GB2312" w:eastAsia="仿宋_GB2312"/>
          <w:color w:val="000000"/>
          <w:sz w:val="32"/>
          <w:szCs w:val="32"/>
          <w:lang w:eastAsia="zh-CN"/>
        </w:rPr>
        <w:t>文村乡卫生院</w:t>
      </w:r>
      <w:r>
        <w:rPr>
          <w:rFonts w:hint="eastAsia" w:ascii="仿宋_GB2312" w:eastAsia="仿宋_GB2312"/>
          <w:color w:val="000000"/>
          <w:sz w:val="32"/>
          <w:szCs w:val="32"/>
        </w:rPr>
        <w:t>共有车辆</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辆，单价</w:t>
      </w:r>
      <w:r>
        <w:rPr>
          <w:rFonts w:ascii="仿宋_GB2312" w:eastAsia="仿宋_GB2312"/>
          <w:color w:val="000000"/>
          <w:sz w:val="32"/>
          <w:szCs w:val="32"/>
        </w:rPr>
        <w:t>50</w:t>
      </w:r>
      <w:r>
        <w:rPr>
          <w:rFonts w:hint="eastAsia" w:ascii="仿宋_GB2312" w:eastAsia="仿宋_GB2312"/>
          <w:color w:val="000000"/>
          <w:sz w:val="32"/>
          <w:szCs w:val="32"/>
        </w:rPr>
        <w:t>万元以上通用设备</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台（套），单价</w:t>
      </w:r>
      <w:r>
        <w:rPr>
          <w:rFonts w:ascii="仿宋_GB2312" w:eastAsia="仿宋_GB2312"/>
          <w:color w:val="000000"/>
          <w:sz w:val="32"/>
          <w:szCs w:val="32"/>
        </w:rPr>
        <w:t>100</w:t>
      </w:r>
      <w:r>
        <w:rPr>
          <w:rFonts w:hint="eastAsia" w:ascii="仿宋_GB2312" w:eastAsia="仿宋_GB2312"/>
          <w:color w:val="000000"/>
          <w:sz w:val="32"/>
          <w:szCs w:val="32"/>
        </w:rPr>
        <w:t>万元以上专用设备</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台（套）。</w:t>
      </w:r>
    </w:p>
    <w:p>
      <w:pPr>
        <w:autoSpaceDE w:val="0"/>
        <w:autoSpaceDN w:val="0"/>
        <w:adjustRightInd w:val="0"/>
        <w:spacing w:line="600" w:lineRule="exact"/>
        <w:ind w:firstLine="643" w:firstLineChars="200"/>
        <w:jc w:val="left"/>
        <w:outlineLvl w:val="2"/>
        <w:rPr>
          <w:rFonts w:hint="eastAsia" w:ascii="仿宋" w:eastAsia="仿宋"/>
          <w:b/>
          <w:color w:val="auto"/>
          <w:sz w:val="32"/>
          <w:szCs w:val="32"/>
          <w:highlight w:val="none"/>
          <w:lang w:eastAsia="zh-CN"/>
        </w:rPr>
      </w:pPr>
      <w:bookmarkStart w:id="81" w:name="_Toc21792"/>
      <w:r>
        <w:rPr>
          <w:rFonts w:hint="eastAsia" w:ascii="仿宋" w:eastAsia="仿宋"/>
          <w:b/>
          <w:color w:val="auto"/>
          <w:sz w:val="32"/>
          <w:szCs w:val="32"/>
          <w:highlight w:val="none"/>
        </w:rPr>
        <w:t>（四）预算绩效管理情况</w:t>
      </w:r>
      <w:bookmarkEnd w:id="81"/>
    </w:p>
    <w:p>
      <w:pPr>
        <w:pStyle w:val="2"/>
        <w:ind w:firstLine="640" w:firstLineChars="200"/>
        <w:rPr>
          <w:color w:val="auto"/>
          <w:highlight w:val="yellow"/>
        </w:rPr>
      </w:pPr>
      <w:r>
        <w:rPr>
          <w:rFonts w:hint="eastAsia" w:ascii="仿宋_GB2312" w:eastAsia="仿宋_GB2312" w:cs="仿宋_GB2312"/>
          <w:color w:val="auto"/>
          <w:sz w:val="32"/>
          <w:szCs w:val="32"/>
          <w:highlight w:val="none"/>
        </w:rPr>
        <w:t>根据预算绩效管理要求，本单位在202</w:t>
      </w:r>
      <w:r>
        <w:rPr>
          <w:rFonts w:hint="eastAsia" w:cs="仿宋_GB2312"/>
          <w:color w:val="auto"/>
          <w:sz w:val="32"/>
          <w:szCs w:val="32"/>
          <w:highlight w:val="none"/>
          <w:lang w:val="en-US" w:eastAsia="zh-CN"/>
        </w:rPr>
        <w:t>2</w:t>
      </w:r>
      <w:r>
        <w:rPr>
          <w:rFonts w:hint="eastAsia" w:ascii="仿宋_GB2312" w:eastAsia="仿宋_GB2312" w:cs="仿宋_GB2312"/>
          <w:color w:val="auto"/>
          <w:sz w:val="32"/>
          <w:szCs w:val="32"/>
          <w:highlight w:val="none"/>
        </w:rPr>
        <w:t>年度预算编制阶段，组织对</w:t>
      </w:r>
      <w:r>
        <w:rPr>
          <w:rFonts w:ascii="仿宋_GB2312" w:eastAsia="仿宋_GB2312" w:cs="仿宋_GB2312"/>
          <w:color w:val="auto"/>
          <w:sz w:val="32"/>
          <w:szCs w:val="32"/>
          <w:highlight w:val="none"/>
        </w:rPr>
        <w:t>公卫、乡村医生补助</w:t>
      </w:r>
      <w:r>
        <w:rPr>
          <w:rFonts w:hint="eastAsia" w:ascii="仿宋_GB2312" w:eastAsia="仿宋_GB2312" w:cs="仿宋_GB2312"/>
          <w:color w:val="auto"/>
          <w:sz w:val="32"/>
          <w:szCs w:val="32"/>
          <w:highlight w:val="none"/>
        </w:rPr>
        <w:t>项目（项目名称）等</w:t>
      </w:r>
      <w:r>
        <w:rPr>
          <w:rFonts w:ascii="仿宋_GB2312" w:eastAsia="仿宋_GB2312" w:cs="仿宋_GB2312"/>
          <w:color w:val="auto"/>
          <w:sz w:val="32"/>
          <w:szCs w:val="32"/>
          <w:highlight w:val="none"/>
        </w:rPr>
        <w:t>2</w:t>
      </w:r>
      <w:r>
        <w:rPr>
          <w:rFonts w:hint="eastAsia" w:ascii="仿宋_GB2312" w:eastAsia="仿宋_GB2312" w:cs="仿宋_GB2312"/>
          <w:color w:val="auto"/>
          <w:sz w:val="32"/>
          <w:szCs w:val="32"/>
          <w:highlight w:val="none"/>
        </w:rPr>
        <w:t>个项目开展了预算事前绩效评估，对</w:t>
      </w:r>
      <w:r>
        <w:rPr>
          <w:rFonts w:ascii="仿宋_GB2312" w:eastAsia="仿宋_GB2312" w:cs="仿宋_GB2312"/>
          <w:color w:val="auto"/>
          <w:sz w:val="32"/>
          <w:szCs w:val="32"/>
          <w:highlight w:val="none"/>
        </w:rPr>
        <w:t>2</w:t>
      </w:r>
      <w:r>
        <w:rPr>
          <w:rFonts w:hint="eastAsia" w:ascii="仿宋_GB2312" w:eastAsia="仿宋_GB2312" w:cs="仿宋_GB2312"/>
          <w:color w:val="auto"/>
          <w:sz w:val="32"/>
          <w:szCs w:val="32"/>
          <w:highlight w:val="none"/>
        </w:rPr>
        <w:t>个项目编制了绩效目标，预算执行过程中，选取</w:t>
      </w:r>
      <w:r>
        <w:rPr>
          <w:rFonts w:ascii="仿宋_GB2312" w:eastAsia="仿宋_GB2312" w:cs="仿宋_GB2312"/>
          <w:color w:val="auto"/>
          <w:sz w:val="32"/>
          <w:szCs w:val="32"/>
          <w:highlight w:val="none"/>
        </w:rPr>
        <w:t>2</w:t>
      </w:r>
      <w:r>
        <w:rPr>
          <w:rFonts w:hint="eastAsia" w:ascii="仿宋_GB2312" w:eastAsia="仿宋_GB2312" w:cs="仿宋_GB2312"/>
          <w:color w:val="auto"/>
          <w:sz w:val="32"/>
          <w:szCs w:val="32"/>
          <w:highlight w:val="none"/>
        </w:rPr>
        <w:t>个项目开展绩效监控，组织对</w:t>
      </w:r>
      <w:r>
        <w:rPr>
          <w:rFonts w:ascii="仿宋_GB2312" w:eastAsia="仿宋_GB2312" w:cs="仿宋_GB2312"/>
          <w:color w:val="auto"/>
          <w:sz w:val="32"/>
          <w:szCs w:val="32"/>
          <w:highlight w:val="none"/>
        </w:rPr>
        <w:t>2</w:t>
      </w:r>
      <w:r>
        <w:rPr>
          <w:rFonts w:hint="eastAsia" w:ascii="仿宋_GB2312" w:eastAsia="仿宋_GB2312" w:cs="仿宋_GB2312"/>
          <w:color w:val="auto"/>
          <w:sz w:val="32"/>
          <w:szCs w:val="32"/>
          <w:highlight w:val="none"/>
        </w:rPr>
        <w:t>个项目开展绩效自评，绩效自评表详见</w:t>
      </w:r>
      <w:r>
        <w:rPr>
          <w:rFonts w:hint="eastAsia" w:cs="仿宋_GB2312"/>
          <w:color w:val="auto"/>
          <w:sz w:val="32"/>
          <w:szCs w:val="32"/>
          <w:highlight w:val="none"/>
          <w:lang w:eastAsia="zh-CN"/>
        </w:rPr>
        <w:t>第四部分</w:t>
      </w:r>
      <w:r>
        <w:rPr>
          <w:rFonts w:hint="eastAsia" w:ascii="仿宋_GB2312" w:eastAsia="仿宋_GB2312" w:cs="仿宋_GB2312"/>
          <w:color w:val="auto"/>
          <w:sz w:val="32"/>
          <w:szCs w:val="32"/>
          <w:highlight w:val="none"/>
        </w:rPr>
        <w:t>附件。</w:t>
      </w:r>
    </w:p>
    <w:p>
      <w:pPr>
        <w:widowControl/>
        <w:jc w:val="left"/>
        <w:rPr>
          <w:rFonts w:ascii="仿宋_GB2312" w:eastAsia="仿宋_GB2312"/>
          <w:b/>
          <w:color w:val="auto"/>
          <w:sz w:val="32"/>
          <w:szCs w:val="32"/>
          <w:highlight w:val="none"/>
        </w:rPr>
      </w:pPr>
      <w:r>
        <w:br w:type="page"/>
      </w:r>
    </w:p>
    <w:p>
      <w:pPr>
        <w:numPr>
          <w:ilvl w:val="0"/>
          <w:numId w:val="4"/>
        </w:numPr>
        <w:spacing w:line="600" w:lineRule="exact"/>
        <w:ind w:left="0" w:firstLine="660" w:firstLineChars="150"/>
        <w:jc w:val="center"/>
        <w:outlineLvl w:val="0"/>
        <w:rPr>
          <w:rStyle w:val="21"/>
          <w:rFonts w:ascii="黑体" w:eastAsia="黑体"/>
          <w:b w:val="0"/>
          <w:color w:val="auto"/>
          <w:highlight w:val="none"/>
        </w:rPr>
      </w:pPr>
      <w:bookmarkStart w:id="82" w:name="_Toc15377225"/>
      <w:bookmarkStart w:id="83" w:name="_Toc15396613"/>
      <w:bookmarkStart w:id="84" w:name="_Toc18787"/>
      <w:r>
        <w:rPr>
          <w:rFonts w:hint="eastAsia" w:ascii="黑体" w:eastAsia="黑体"/>
          <w:color w:val="auto"/>
          <w:sz w:val="44"/>
          <w:szCs w:val="44"/>
          <w:highlight w:val="none"/>
        </w:rPr>
        <w:t>名</w:t>
      </w:r>
      <w:r>
        <w:rPr>
          <w:rStyle w:val="21"/>
          <w:rFonts w:hint="eastAsia" w:ascii="黑体" w:eastAsia="黑体"/>
          <w:b w:val="0"/>
          <w:color w:val="auto"/>
          <w:highlight w:val="none"/>
        </w:rPr>
        <w:t>词解释</w:t>
      </w:r>
      <w:bookmarkEnd w:id="82"/>
      <w:bookmarkEnd w:id="83"/>
      <w:bookmarkEnd w:id="84"/>
    </w:p>
    <w:p>
      <w:pPr>
        <w:spacing w:line="600" w:lineRule="exact"/>
        <w:jc w:val="left"/>
        <w:rPr>
          <w:rFonts w:ascii="宋体"/>
          <w:b/>
          <w:color w:val="auto"/>
          <w:sz w:val="44"/>
          <w:szCs w:val="44"/>
          <w:highlight w:val="none"/>
        </w:rPr>
      </w:pPr>
    </w:p>
    <w:p>
      <w:pPr>
        <w:pStyle w:val="26"/>
        <w:spacing w:line="560" w:lineRule="exact"/>
        <w:ind w:firstLine="640" w:firstLineChars="200"/>
        <w:rPr>
          <w:rFonts w:ascii="仿宋_GB2312" w:eastAsia="仿宋_GB2312"/>
          <w:color w:val="auto"/>
          <w:sz w:val="32"/>
          <w:szCs w:val="32"/>
          <w:highlight w:val="none"/>
        </w:rPr>
      </w:pPr>
      <w:bookmarkStart w:id="85" w:name="_Toc15377226"/>
      <w:r>
        <w:rPr>
          <w:rFonts w:ascii="仿宋_GB2312" w:eastAsia="仿宋_GB2312"/>
          <w:color w:val="auto"/>
          <w:sz w:val="32"/>
          <w:szCs w:val="32"/>
          <w:highlight w:val="none"/>
        </w:rPr>
        <w:t>1.</w:t>
      </w:r>
      <w:r>
        <w:rPr>
          <w:rFonts w:hint="eastAsia" w:ascii="仿宋_GB2312" w:eastAsia="仿宋_GB2312"/>
          <w:color w:val="auto"/>
          <w:sz w:val="32"/>
          <w:szCs w:val="32"/>
          <w:highlight w:val="none"/>
        </w:rPr>
        <w:t>财政拨款收入：指单位从同级财政部门取得的财政预算资金。</w:t>
      </w:r>
    </w:p>
    <w:p>
      <w:pPr>
        <w:pStyle w:val="26"/>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2.</w:t>
      </w:r>
      <w:r>
        <w:rPr>
          <w:rFonts w:hint="eastAsia" w:ascii="仿宋_GB2312" w:eastAsia="仿宋_GB2312"/>
          <w:color w:val="auto"/>
          <w:sz w:val="32"/>
          <w:szCs w:val="32"/>
          <w:highlight w:val="none"/>
        </w:rPr>
        <w:t>事业收入：指事业单位开展专业业务活动及辅助活动取得的收入。如</w:t>
      </w:r>
      <w:r>
        <w:rPr>
          <w:rFonts w:hint="eastAsia" w:ascii="仿宋_GB2312" w:eastAsia="仿宋_GB2312"/>
          <w:color w:val="auto"/>
          <w:sz w:val="32"/>
          <w:szCs w:val="32"/>
          <w:highlight w:val="none"/>
          <w:lang w:eastAsia="zh-CN"/>
        </w:rPr>
        <w:t>区人民医院、区</w:t>
      </w:r>
      <w:r>
        <w:rPr>
          <w:rFonts w:hint="eastAsia" w:ascii="仿宋_GB2312" w:eastAsia="仿宋_GB2312"/>
          <w:color w:val="auto"/>
          <w:sz w:val="32"/>
          <w:szCs w:val="32"/>
          <w:highlight w:val="none"/>
        </w:rPr>
        <w:t>妇幼保健计划生育服务中心</w:t>
      </w:r>
      <w:r>
        <w:rPr>
          <w:rFonts w:hint="eastAsia" w:ascii="仿宋_GB2312" w:eastAsia="仿宋_GB2312"/>
          <w:color w:val="auto"/>
          <w:sz w:val="32"/>
          <w:szCs w:val="32"/>
          <w:highlight w:val="none"/>
          <w:lang w:eastAsia="zh-CN"/>
        </w:rPr>
        <w:t>、区中医医院、乡镇卫生院医疗收入</w:t>
      </w:r>
      <w:r>
        <w:rPr>
          <w:rFonts w:hint="eastAsia" w:ascii="仿宋_GB2312" w:eastAsia="仿宋_GB2312"/>
          <w:color w:val="auto"/>
          <w:sz w:val="32"/>
          <w:szCs w:val="32"/>
          <w:highlight w:val="none"/>
        </w:rPr>
        <w:t>等。</w:t>
      </w:r>
    </w:p>
    <w:p>
      <w:pPr>
        <w:pStyle w:val="26"/>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3</w:t>
      </w:r>
      <w:r>
        <w:rPr>
          <w:rFonts w:ascii="仿宋_GB2312" w:eastAsia="仿宋_GB2312"/>
          <w:color w:val="auto"/>
          <w:sz w:val="32"/>
          <w:szCs w:val="32"/>
          <w:highlight w:val="none"/>
        </w:rPr>
        <w:t>.</w:t>
      </w:r>
      <w:r>
        <w:rPr>
          <w:rFonts w:hint="eastAsia" w:ascii="仿宋_GB2312" w:eastAsia="仿宋_GB2312"/>
          <w:color w:val="auto"/>
          <w:sz w:val="32"/>
          <w:szCs w:val="32"/>
          <w:highlight w:val="none"/>
        </w:rPr>
        <w:t>其他收入：指单位取得的除上述收入以外的各项收入。主要是</w:t>
      </w:r>
      <w:r>
        <w:rPr>
          <w:rFonts w:hint="eastAsia" w:ascii="仿宋_GB2312" w:eastAsia="仿宋_GB2312"/>
          <w:color w:val="auto"/>
          <w:sz w:val="32"/>
          <w:szCs w:val="32"/>
          <w:highlight w:val="none"/>
          <w:lang w:eastAsia="zh-CN"/>
        </w:rPr>
        <w:t>利息收入</w:t>
      </w:r>
      <w:r>
        <w:rPr>
          <w:rFonts w:hint="eastAsia" w:ascii="仿宋_GB2312" w:eastAsia="仿宋_GB2312"/>
          <w:color w:val="auto"/>
          <w:sz w:val="32"/>
          <w:szCs w:val="32"/>
          <w:highlight w:val="none"/>
        </w:rPr>
        <w:t>等。</w:t>
      </w:r>
    </w:p>
    <w:p>
      <w:pPr>
        <w:pStyle w:val="26"/>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4</w:t>
      </w:r>
      <w:r>
        <w:rPr>
          <w:rFonts w:ascii="仿宋_GB2312" w:eastAsia="仿宋_GB2312"/>
          <w:color w:val="auto"/>
          <w:sz w:val="32"/>
          <w:szCs w:val="32"/>
          <w:highlight w:val="none"/>
        </w:rPr>
        <w:t>.</w:t>
      </w:r>
      <w:r>
        <w:rPr>
          <w:rFonts w:hint="eastAsia" w:ascii="仿宋_GB2312" w:eastAsia="仿宋_GB2312"/>
          <w:color w:val="auto"/>
          <w:sz w:val="32"/>
          <w:szCs w:val="32"/>
          <w:highlight w:val="none"/>
          <w:lang w:eastAsia="zh-CN"/>
        </w:rPr>
        <w:t>使用非财政拨款结余</w:t>
      </w:r>
      <w:r>
        <w:rPr>
          <w:rFonts w:hint="eastAsia" w:ascii="仿宋_GB2312" w:eastAsia="仿宋_GB2312"/>
          <w:color w:val="auto"/>
          <w:sz w:val="32"/>
          <w:szCs w:val="32"/>
          <w:highlight w:val="none"/>
        </w:rPr>
        <w:t>：指事业单位</w:t>
      </w:r>
      <w:r>
        <w:rPr>
          <w:rFonts w:hint="eastAsia" w:ascii="仿宋_GB2312" w:eastAsia="仿宋_GB2312"/>
          <w:color w:val="auto"/>
          <w:sz w:val="32"/>
          <w:szCs w:val="32"/>
          <w:highlight w:val="none"/>
          <w:lang w:eastAsia="zh-CN"/>
        </w:rPr>
        <w:t>使用以前年度积累的非财政拨款结余弥补当年收支差额的金额。</w:t>
      </w:r>
    </w:p>
    <w:p>
      <w:pPr>
        <w:pStyle w:val="26"/>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5</w:t>
      </w:r>
      <w:r>
        <w:rPr>
          <w:rFonts w:ascii="仿宋_GB2312" w:eastAsia="仿宋_GB2312"/>
          <w:color w:val="auto"/>
          <w:sz w:val="32"/>
          <w:szCs w:val="32"/>
          <w:highlight w:val="none"/>
        </w:rPr>
        <w:t>.</w:t>
      </w:r>
      <w:r>
        <w:rPr>
          <w:rFonts w:hint="eastAsia" w:ascii="仿宋_GB2312" w:eastAsia="仿宋_GB2312"/>
          <w:color w:val="auto"/>
          <w:sz w:val="32"/>
          <w:szCs w:val="32"/>
          <w:highlight w:val="none"/>
        </w:rPr>
        <w:t>年初结转和结余：指以前年度尚未完成、结转到本年按有关规定继续使用的资金。</w:t>
      </w:r>
    </w:p>
    <w:p>
      <w:pPr>
        <w:pStyle w:val="26"/>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6</w:t>
      </w:r>
      <w:r>
        <w:rPr>
          <w:rFonts w:ascii="仿宋_GB2312" w:eastAsia="仿宋_GB2312"/>
          <w:color w:val="auto"/>
          <w:sz w:val="32"/>
          <w:szCs w:val="32"/>
          <w:highlight w:val="none"/>
        </w:rPr>
        <w:t>.</w:t>
      </w:r>
      <w:r>
        <w:rPr>
          <w:rFonts w:hint="eastAsia" w:ascii="仿宋_GB2312" w:eastAsia="仿宋_GB2312"/>
          <w:color w:val="auto"/>
          <w:sz w:val="32"/>
          <w:szCs w:val="32"/>
          <w:highlight w:val="none"/>
        </w:rPr>
        <w:t>结余分配：指事业单位按照会计制度规定</w:t>
      </w:r>
      <w:r>
        <w:rPr>
          <w:rFonts w:hint="eastAsia" w:ascii="仿宋_GB2312" w:eastAsia="仿宋_GB2312"/>
          <w:color w:val="auto"/>
          <w:sz w:val="32"/>
          <w:szCs w:val="32"/>
          <w:highlight w:val="none"/>
          <w:lang w:eastAsia="zh-CN"/>
        </w:rPr>
        <w:t>缴纳的所得税、提取的专用结余以及转入非财政拨款结余的金额</w:t>
      </w:r>
      <w:r>
        <w:rPr>
          <w:rFonts w:hint="eastAsia" w:ascii="仿宋_GB2312" w:eastAsia="仿宋_GB2312"/>
          <w:color w:val="auto"/>
          <w:sz w:val="32"/>
          <w:szCs w:val="32"/>
          <w:highlight w:val="none"/>
        </w:rPr>
        <w:t>等。</w:t>
      </w:r>
    </w:p>
    <w:p>
      <w:pPr>
        <w:pStyle w:val="26"/>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7</w:t>
      </w:r>
      <w:r>
        <w:rPr>
          <w:rFonts w:hint="eastAsia" w:ascii="仿宋_GB2312" w:eastAsia="仿宋_GB2312"/>
          <w:color w:val="auto"/>
          <w:sz w:val="32"/>
          <w:szCs w:val="32"/>
          <w:highlight w:val="none"/>
        </w:rPr>
        <w:t>、年末结转和结余：指单位按有关规定结转到下年或以后年度继续使用的资金。</w:t>
      </w:r>
    </w:p>
    <w:p>
      <w:pPr>
        <w:ind w:firstLine="640" w:firstLineChars="200"/>
        <w:rPr>
          <w:rFonts w:hint="eastAsia" w:ascii="仿宋_GB2312" w:eastAsia="仿宋_GB2312"/>
          <w:b w:val="0"/>
          <w:bCs w:val="0"/>
          <w:color w:val="000000"/>
          <w:sz w:val="32"/>
          <w:szCs w:val="32"/>
          <w:lang w:eastAsia="zh-CN"/>
        </w:rPr>
      </w:pPr>
      <w:r>
        <w:rPr>
          <w:rFonts w:hint="eastAsia" w:ascii="仿宋_GB2312" w:eastAsia="仿宋_GB2312"/>
          <w:b w:val="0"/>
          <w:bCs w:val="0"/>
          <w:color w:val="000000"/>
          <w:sz w:val="32"/>
          <w:szCs w:val="32"/>
          <w:lang w:val="en-US" w:eastAsia="zh-CN"/>
        </w:rPr>
        <w:t>8</w:t>
      </w:r>
      <w:r>
        <w:rPr>
          <w:rFonts w:hint="eastAsia" w:ascii="仿宋_GB2312" w:eastAsia="仿宋_GB2312"/>
          <w:b w:val="0"/>
          <w:bCs w:val="0"/>
          <w:color w:val="000000"/>
          <w:sz w:val="32"/>
          <w:szCs w:val="32"/>
        </w:rPr>
        <w:t>.</w:t>
      </w:r>
      <w:r>
        <w:rPr>
          <w:rFonts w:hint="eastAsia" w:ascii="仿宋" w:eastAsia="仿宋"/>
          <w:b w:val="0"/>
          <w:bCs w:val="0"/>
          <w:color w:val="000000"/>
          <w:sz w:val="32"/>
          <w:szCs w:val="32"/>
        </w:rPr>
        <w:t>卫生健康支出</w:t>
      </w:r>
      <w:r>
        <w:rPr>
          <w:rFonts w:hint="eastAsia" w:ascii="仿宋_GB2312" w:eastAsia="仿宋_GB2312"/>
          <w:b w:val="0"/>
          <w:bCs w:val="0"/>
          <w:color w:val="000000"/>
          <w:sz w:val="32"/>
          <w:szCs w:val="32"/>
          <w:highlight w:val="none"/>
          <w:lang w:eastAsia="zh-CN"/>
        </w:rPr>
        <w:t>（类）</w:t>
      </w:r>
      <w:r>
        <w:rPr>
          <w:rFonts w:hint="eastAsia" w:ascii="仿宋_GB2312" w:eastAsia="仿宋_GB2312"/>
          <w:b w:val="0"/>
          <w:bCs w:val="0"/>
          <w:color w:val="000000"/>
          <w:sz w:val="32"/>
          <w:szCs w:val="32"/>
          <w:highlight w:val="none"/>
        </w:rPr>
        <w:t>基层医疗卫生机构</w:t>
      </w:r>
      <w:r>
        <w:rPr>
          <w:rFonts w:hint="eastAsia" w:ascii="仿宋_GB2312" w:eastAsia="仿宋_GB2312"/>
          <w:b w:val="0"/>
          <w:bCs w:val="0"/>
          <w:color w:val="000000"/>
          <w:sz w:val="32"/>
          <w:szCs w:val="32"/>
          <w:highlight w:val="none"/>
          <w:lang w:eastAsia="zh-CN"/>
        </w:rPr>
        <w:t>（款）</w:t>
      </w:r>
      <w:r>
        <w:rPr>
          <w:rStyle w:val="19"/>
          <w:rFonts w:hint="eastAsia" w:ascii="仿宋_GB2312" w:eastAsia="仿宋_GB2312"/>
          <w:b w:val="0"/>
          <w:bCs w:val="0"/>
          <w:color w:val="000000"/>
          <w:sz w:val="32"/>
          <w:szCs w:val="32"/>
          <w:highlight w:val="none"/>
        </w:rPr>
        <w:t>乡镇卫生院（</w:t>
      </w:r>
      <w:r>
        <w:rPr>
          <w:rStyle w:val="19"/>
          <w:rFonts w:hint="eastAsia" w:ascii="仿宋_GB2312" w:eastAsia="仿宋_GB2312"/>
          <w:b w:val="0"/>
          <w:bCs w:val="0"/>
          <w:color w:val="000000"/>
          <w:sz w:val="32"/>
          <w:szCs w:val="32"/>
          <w:highlight w:val="none"/>
          <w:lang w:eastAsia="zh-CN"/>
        </w:rPr>
        <w:t>项</w:t>
      </w:r>
      <w:r>
        <w:rPr>
          <w:rStyle w:val="19"/>
          <w:rFonts w:hint="eastAsia" w:ascii="仿宋_GB2312" w:eastAsia="仿宋_GB2312"/>
          <w:b w:val="0"/>
          <w:bCs w:val="0"/>
          <w:color w:val="000000"/>
          <w:sz w:val="32"/>
          <w:szCs w:val="32"/>
          <w:highlight w:val="none"/>
        </w:rPr>
        <w:t>）</w:t>
      </w:r>
      <w:r>
        <w:rPr>
          <w:rFonts w:hint="eastAsia" w:ascii="仿宋_GB2312" w:eastAsia="仿宋_GB2312"/>
          <w:b w:val="0"/>
          <w:bCs w:val="0"/>
          <w:color w:val="000000"/>
          <w:sz w:val="32"/>
          <w:szCs w:val="32"/>
        </w:rPr>
        <w:t>：反映乡镇卫生院的支出</w:t>
      </w:r>
      <w:r>
        <w:rPr>
          <w:rFonts w:hint="eastAsia" w:ascii="仿宋_GB2312" w:eastAsia="仿宋_GB2312"/>
          <w:b w:val="0"/>
          <w:bCs w:val="0"/>
          <w:color w:val="000000"/>
          <w:sz w:val="32"/>
          <w:szCs w:val="32"/>
          <w:lang w:eastAsia="zh-CN"/>
        </w:rPr>
        <w:t>。</w:t>
      </w:r>
    </w:p>
    <w:p>
      <w:pPr>
        <w:ind w:firstLine="640" w:firstLineChars="200"/>
        <w:rPr>
          <w:rFonts w:hint="eastAsia" w:ascii="仿宋_GB2312" w:eastAsia="仿宋_GB2312"/>
          <w:b w:val="0"/>
          <w:bCs w:val="0"/>
          <w:color w:val="000000"/>
          <w:sz w:val="32"/>
          <w:szCs w:val="32"/>
          <w:lang w:eastAsia="zh-CN"/>
        </w:rPr>
      </w:pPr>
      <w:r>
        <w:rPr>
          <w:rFonts w:hint="eastAsia" w:ascii="仿宋_GB2312" w:eastAsia="仿宋_GB2312"/>
          <w:b w:val="0"/>
          <w:bCs w:val="0"/>
          <w:color w:val="000000"/>
          <w:sz w:val="32"/>
          <w:szCs w:val="32"/>
          <w:lang w:val="en-US" w:eastAsia="zh-CN"/>
        </w:rPr>
        <w:t>9.</w:t>
      </w:r>
      <w:r>
        <w:rPr>
          <w:rStyle w:val="19"/>
          <w:rFonts w:hint="eastAsia" w:ascii="仿宋_GB2312" w:eastAsia="仿宋_GB2312"/>
          <w:b w:val="0"/>
          <w:bCs w:val="0"/>
          <w:color w:val="000000"/>
          <w:sz w:val="32"/>
          <w:szCs w:val="32"/>
          <w:highlight w:val="none"/>
          <w:lang w:eastAsia="zh-CN"/>
        </w:rPr>
        <w:t>卫生健康支出（类）</w:t>
      </w:r>
      <w:r>
        <w:rPr>
          <w:rStyle w:val="19"/>
          <w:rFonts w:hint="eastAsia" w:ascii="仿宋_GB2312" w:eastAsia="仿宋_GB2312"/>
          <w:b w:val="0"/>
          <w:bCs w:val="0"/>
          <w:color w:val="000000"/>
          <w:sz w:val="32"/>
          <w:szCs w:val="32"/>
          <w:highlight w:val="none"/>
        </w:rPr>
        <w:t>公共卫生</w:t>
      </w:r>
      <w:r>
        <w:rPr>
          <w:rStyle w:val="19"/>
          <w:rFonts w:hint="eastAsia" w:ascii="仿宋_GB2312" w:eastAsia="仿宋_GB2312"/>
          <w:b w:val="0"/>
          <w:bCs w:val="0"/>
          <w:color w:val="000000"/>
          <w:sz w:val="32"/>
          <w:szCs w:val="32"/>
          <w:highlight w:val="none"/>
          <w:lang w:eastAsia="zh-CN"/>
        </w:rPr>
        <w:t>（款）</w:t>
      </w:r>
      <w:r>
        <w:rPr>
          <w:rStyle w:val="19"/>
          <w:rFonts w:hint="eastAsia" w:ascii="仿宋_GB2312" w:eastAsia="仿宋_GB2312"/>
          <w:b w:val="0"/>
          <w:bCs w:val="0"/>
          <w:color w:val="000000"/>
          <w:sz w:val="32"/>
          <w:szCs w:val="32"/>
          <w:highlight w:val="none"/>
        </w:rPr>
        <w:t>基本公共卫生服务（</w:t>
      </w:r>
      <w:r>
        <w:rPr>
          <w:rStyle w:val="19"/>
          <w:rFonts w:hint="eastAsia" w:ascii="仿宋_GB2312" w:eastAsia="仿宋_GB2312"/>
          <w:b w:val="0"/>
          <w:bCs w:val="0"/>
          <w:color w:val="000000"/>
          <w:sz w:val="32"/>
          <w:szCs w:val="32"/>
          <w:highlight w:val="none"/>
          <w:lang w:eastAsia="zh-CN"/>
        </w:rPr>
        <w:t>项</w:t>
      </w:r>
      <w:r>
        <w:rPr>
          <w:rStyle w:val="19"/>
          <w:rFonts w:hint="eastAsia" w:ascii="仿宋_GB2312" w:eastAsia="仿宋_GB2312"/>
          <w:b w:val="0"/>
          <w:bCs w:val="0"/>
          <w:color w:val="000000"/>
          <w:sz w:val="32"/>
          <w:szCs w:val="32"/>
          <w:highlight w:val="none"/>
        </w:rPr>
        <w:t>）</w:t>
      </w:r>
      <w:r>
        <w:rPr>
          <w:rFonts w:hint="eastAsia" w:ascii="仿宋_GB2312" w:eastAsia="仿宋_GB2312"/>
          <w:b w:val="0"/>
          <w:bCs w:val="0"/>
          <w:color w:val="000000"/>
          <w:sz w:val="32"/>
          <w:szCs w:val="32"/>
        </w:rPr>
        <w:t>：反映</w:t>
      </w:r>
      <w:r>
        <w:rPr>
          <w:rFonts w:hint="eastAsia" w:ascii="仿宋_GB2312" w:eastAsia="仿宋_GB2312"/>
          <w:b w:val="0"/>
          <w:bCs w:val="0"/>
          <w:color w:val="000000"/>
          <w:sz w:val="32"/>
          <w:szCs w:val="32"/>
          <w:lang w:eastAsia="zh-CN"/>
        </w:rPr>
        <w:t>乡镇卫生院、社区卫生机构开展</w:t>
      </w:r>
      <w:r>
        <w:rPr>
          <w:rFonts w:hint="eastAsia" w:ascii="仿宋_GB2312" w:eastAsia="仿宋_GB2312"/>
          <w:b w:val="0"/>
          <w:bCs w:val="0"/>
          <w:color w:val="000000"/>
          <w:sz w:val="32"/>
          <w:szCs w:val="32"/>
        </w:rPr>
        <w:t>基本公共卫生服务</w:t>
      </w:r>
      <w:r>
        <w:rPr>
          <w:rFonts w:hint="eastAsia" w:ascii="仿宋_GB2312" w:eastAsia="仿宋_GB2312"/>
          <w:b w:val="0"/>
          <w:bCs w:val="0"/>
          <w:color w:val="000000"/>
          <w:sz w:val="32"/>
          <w:szCs w:val="32"/>
          <w:lang w:eastAsia="zh-CN"/>
        </w:rPr>
        <w:t>的</w:t>
      </w:r>
      <w:r>
        <w:rPr>
          <w:rFonts w:hint="eastAsia" w:ascii="仿宋_GB2312" w:eastAsia="仿宋_GB2312"/>
          <w:b w:val="0"/>
          <w:bCs w:val="0"/>
          <w:color w:val="000000"/>
          <w:sz w:val="32"/>
          <w:szCs w:val="32"/>
        </w:rPr>
        <w:t>支出</w:t>
      </w:r>
      <w:r>
        <w:rPr>
          <w:rFonts w:hint="eastAsia" w:ascii="仿宋_GB2312" w:eastAsia="仿宋_GB2312"/>
          <w:b w:val="0"/>
          <w:bCs w:val="0"/>
          <w:color w:val="000000"/>
          <w:sz w:val="32"/>
          <w:szCs w:val="32"/>
          <w:lang w:eastAsia="zh-CN"/>
        </w:rPr>
        <w:t>。</w:t>
      </w:r>
    </w:p>
    <w:p>
      <w:pPr>
        <w:ind w:firstLine="640" w:firstLineChars="200"/>
        <w:rPr>
          <w:rStyle w:val="19"/>
          <w:rFonts w:hint="eastAsia" w:ascii="仿宋_GB2312" w:eastAsia="仿宋_GB2312"/>
          <w:b w:val="0"/>
          <w:bCs w:val="0"/>
          <w:color w:val="000000"/>
          <w:sz w:val="32"/>
          <w:szCs w:val="32"/>
          <w:lang w:eastAsia="zh-CN"/>
        </w:rPr>
      </w:pPr>
      <w:r>
        <w:rPr>
          <w:rFonts w:hint="eastAsia" w:ascii="仿宋_GB2312" w:eastAsia="仿宋_GB2312"/>
          <w:b w:val="0"/>
          <w:bCs/>
          <w:color w:val="000000"/>
          <w:sz w:val="32"/>
          <w:szCs w:val="32"/>
          <w:lang w:val="en-US" w:eastAsia="zh-CN"/>
        </w:rPr>
        <w:t>10.</w:t>
      </w:r>
      <w:r>
        <w:rPr>
          <w:rStyle w:val="19"/>
          <w:rFonts w:hint="eastAsia" w:ascii="仿宋_GB2312" w:eastAsia="仿宋_GB2312"/>
          <w:b w:val="0"/>
          <w:bCs w:val="0"/>
          <w:color w:val="000000"/>
          <w:sz w:val="32"/>
          <w:szCs w:val="32"/>
          <w:highlight w:val="none"/>
          <w:lang w:eastAsia="zh-CN"/>
        </w:rPr>
        <w:t>卫生健康支出</w:t>
      </w:r>
      <w:r>
        <w:rPr>
          <w:rFonts w:hint="eastAsia" w:ascii="仿宋_GB2312" w:eastAsia="仿宋_GB2312"/>
          <w:b w:val="0"/>
          <w:bCs w:val="0"/>
          <w:color w:val="000000"/>
          <w:sz w:val="32"/>
          <w:szCs w:val="32"/>
          <w:highlight w:val="none"/>
          <w:lang w:eastAsia="zh-CN"/>
        </w:rPr>
        <w:t>（类）</w:t>
      </w:r>
      <w:r>
        <w:rPr>
          <w:rFonts w:hint="eastAsia" w:ascii="仿宋_GB2312" w:eastAsia="仿宋_GB2312"/>
          <w:b w:val="0"/>
          <w:bCs w:val="0"/>
          <w:color w:val="000000"/>
          <w:sz w:val="32"/>
          <w:szCs w:val="32"/>
          <w:highlight w:val="none"/>
        </w:rPr>
        <w:t>基层医疗卫生机构</w:t>
      </w:r>
      <w:r>
        <w:rPr>
          <w:rFonts w:hint="eastAsia" w:ascii="仿宋_GB2312" w:eastAsia="仿宋_GB2312"/>
          <w:b w:val="0"/>
          <w:bCs w:val="0"/>
          <w:color w:val="000000"/>
          <w:sz w:val="32"/>
          <w:szCs w:val="32"/>
          <w:highlight w:val="none"/>
          <w:lang w:eastAsia="zh-CN"/>
        </w:rPr>
        <w:t>（款）</w:t>
      </w:r>
      <w:r>
        <w:rPr>
          <w:rFonts w:hint="eastAsia" w:ascii="仿宋_GB2312" w:eastAsia="仿宋_GB2312"/>
          <w:b w:val="0"/>
          <w:bCs w:val="0"/>
          <w:color w:val="000000"/>
          <w:sz w:val="32"/>
          <w:szCs w:val="32"/>
          <w:highlight w:val="none"/>
        </w:rPr>
        <w:t>其他基层医疗卫生机构支出（</w:t>
      </w:r>
      <w:r>
        <w:rPr>
          <w:rFonts w:hint="eastAsia" w:ascii="仿宋_GB2312" w:eastAsia="仿宋_GB2312"/>
          <w:b w:val="0"/>
          <w:bCs w:val="0"/>
          <w:color w:val="000000"/>
          <w:sz w:val="32"/>
          <w:szCs w:val="32"/>
          <w:highlight w:val="none"/>
          <w:lang w:eastAsia="zh-CN"/>
        </w:rPr>
        <w:t>项</w:t>
      </w:r>
      <w:r>
        <w:rPr>
          <w:rFonts w:hint="eastAsia" w:ascii="仿宋_GB2312" w:eastAsia="仿宋_GB2312"/>
          <w:b w:val="0"/>
          <w:bCs w:val="0"/>
          <w:color w:val="000000"/>
          <w:sz w:val="32"/>
          <w:szCs w:val="32"/>
          <w:highlight w:val="none"/>
        </w:rPr>
        <w:t>）</w:t>
      </w:r>
      <w:r>
        <w:rPr>
          <w:rStyle w:val="19"/>
          <w:rFonts w:hint="eastAsia" w:ascii="仿宋_GB2312" w:eastAsia="仿宋_GB2312"/>
          <w:b w:val="0"/>
          <w:bCs w:val="0"/>
          <w:color w:val="000000"/>
          <w:sz w:val="32"/>
          <w:szCs w:val="32"/>
        </w:rPr>
        <w:t>：反映除乡镇卫生院、城市社区卫生机构以外的其他用于基层医疗卫生机构的支出</w:t>
      </w:r>
      <w:r>
        <w:rPr>
          <w:rStyle w:val="19"/>
          <w:rFonts w:hint="eastAsia" w:ascii="仿宋_GB2312" w:eastAsia="仿宋_GB2312"/>
          <w:b w:val="0"/>
          <w:bCs w:val="0"/>
          <w:color w:val="000000"/>
          <w:sz w:val="32"/>
          <w:szCs w:val="32"/>
          <w:lang w:eastAsia="zh-CN"/>
        </w:rPr>
        <w:t>。</w:t>
      </w:r>
    </w:p>
    <w:p>
      <w:pPr>
        <w:ind w:firstLine="640" w:firstLineChars="200"/>
        <w:rPr>
          <w:rStyle w:val="19"/>
          <w:rFonts w:hint="eastAsia" w:ascii="仿宋_GB2312" w:eastAsia="仿宋_GB2312"/>
          <w:b w:val="0"/>
          <w:bCs w:val="0"/>
          <w:color w:val="000000"/>
          <w:sz w:val="32"/>
          <w:szCs w:val="32"/>
        </w:rPr>
      </w:pPr>
      <w:r>
        <w:rPr>
          <w:rStyle w:val="19"/>
          <w:rFonts w:hint="eastAsia" w:ascii="仿宋_GB2312" w:eastAsia="仿宋_GB2312"/>
          <w:b w:val="0"/>
          <w:bCs w:val="0"/>
          <w:color w:val="000000"/>
          <w:sz w:val="32"/>
          <w:szCs w:val="32"/>
          <w:highlight w:val="none"/>
          <w:lang w:val="en-US" w:eastAsia="zh-CN"/>
        </w:rPr>
        <w:t>11.</w:t>
      </w:r>
      <w:r>
        <w:rPr>
          <w:rStyle w:val="19"/>
          <w:rFonts w:hint="eastAsia" w:ascii="仿宋_GB2312" w:eastAsia="仿宋_GB2312"/>
          <w:b w:val="0"/>
          <w:bCs w:val="0"/>
          <w:color w:val="000000"/>
          <w:sz w:val="32"/>
          <w:szCs w:val="32"/>
          <w:highlight w:val="none"/>
          <w:lang w:eastAsia="zh-CN"/>
        </w:rPr>
        <w:t>卫生健康支出</w:t>
      </w:r>
      <w:r>
        <w:rPr>
          <w:rStyle w:val="19"/>
          <w:rFonts w:hint="eastAsia" w:ascii="仿宋_GB2312" w:eastAsia="仿宋_GB2312"/>
          <w:b w:val="0"/>
          <w:bCs w:val="0"/>
          <w:color w:val="000000"/>
          <w:sz w:val="32"/>
          <w:szCs w:val="32"/>
          <w:lang w:eastAsia="zh-CN"/>
        </w:rPr>
        <w:t>（类）</w:t>
      </w:r>
      <w:r>
        <w:rPr>
          <w:rStyle w:val="19"/>
          <w:rFonts w:hint="eastAsia" w:ascii="仿宋_GB2312" w:eastAsia="仿宋_GB2312"/>
          <w:b w:val="0"/>
          <w:bCs w:val="0"/>
          <w:color w:val="000000"/>
          <w:sz w:val="32"/>
          <w:szCs w:val="32"/>
        </w:rPr>
        <w:t>行政事业单位医疗</w:t>
      </w:r>
      <w:r>
        <w:rPr>
          <w:rFonts w:hint="eastAsia" w:ascii="仿宋_GB2312" w:eastAsia="仿宋_GB2312"/>
          <w:b w:val="0"/>
          <w:bCs w:val="0"/>
          <w:color w:val="000000"/>
          <w:sz w:val="32"/>
          <w:szCs w:val="32"/>
          <w:highlight w:val="none"/>
          <w:lang w:eastAsia="zh-CN"/>
        </w:rPr>
        <w:t>（款）</w:t>
      </w:r>
      <w:r>
        <w:rPr>
          <w:rFonts w:hint="eastAsia" w:ascii="仿宋_GB2312" w:eastAsia="仿宋_GB2312"/>
          <w:b w:val="0"/>
          <w:bCs w:val="0"/>
          <w:color w:val="000000"/>
          <w:sz w:val="32"/>
          <w:szCs w:val="32"/>
          <w:highlight w:val="none"/>
        </w:rPr>
        <w:t>事业单位医疗（</w:t>
      </w:r>
      <w:r>
        <w:rPr>
          <w:rFonts w:hint="eastAsia" w:ascii="仿宋_GB2312" w:eastAsia="仿宋_GB2312"/>
          <w:b w:val="0"/>
          <w:bCs w:val="0"/>
          <w:color w:val="000000"/>
          <w:sz w:val="32"/>
          <w:szCs w:val="32"/>
          <w:highlight w:val="none"/>
          <w:lang w:eastAsia="zh-CN"/>
        </w:rPr>
        <w:t>项</w:t>
      </w:r>
      <w:r>
        <w:rPr>
          <w:rFonts w:hint="eastAsia" w:ascii="仿宋_GB2312" w:eastAsia="仿宋_GB2312"/>
          <w:b w:val="0"/>
          <w:bCs w:val="0"/>
          <w:color w:val="000000"/>
          <w:sz w:val="32"/>
          <w:szCs w:val="32"/>
          <w:highlight w:val="none"/>
        </w:rPr>
        <w:t>）</w:t>
      </w:r>
      <w:r>
        <w:rPr>
          <w:rStyle w:val="19"/>
          <w:rFonts w:hint="eastAsia" w:ascii="仿宋_GB2312" w:eastAsia="仿宋_GB2312"/>
          <w:b w:val="0"/>
          <w:bCs w:val="0"/>
          <w:color w:val="000000"/>
          <w:sz w:val="32"/>
          <w:szCs w:val="32"/>
        </w:rPr>
        <w:t>:</w:t>
      </w:r>
      <w:r>
        <w:rPr>
          <w:rStyle w:val="19"/>
          <w:rFonts w:hint="eastAsia" w:ascii="仿宋_GB2312" w:eastAsia="仿宋_GB2312"/>
          <w:b w:val="0"/>
          <w:bCs w:val="0"/>
          <w:color w:val="auto"/>
          <w:sz w:val="32"/>
          <w:szCs w:val="32"/>
        </w:rPr>
        <w:t>反映</w:t>
      </w:r>
      <w:r>
        <w:rPr>
          <w:rStyle w:val="19"/>
          <w:rFonts w:hint="eastAsia" w:ascii="仿宋_GB2312" w:eastAsia="仿宋_GB2312"/>
          <w:b w:val="0"/>
          <w:bCs w:val="0"/>
          <w:color w:val="000000"/>
          <w:sz w:val="32"/>
          <w:szCs w:val="32"/>
          <w:highlight w:val="none"/>
          <w:lang w:eastAsia="zh-CN"/>
        </w:rPr>
        <w:t>卫生健康支出中的在职人员医疗保险。</w:t>
      </w:r>
    </w:p>
    <w:p>
      <w:pPr>
        <w:pStyle w:val="8"/>
        <w:rPr>
          <w:rFonts w:hint="eastAsia" w:ascii="仿宋_GB2312" w:eastAsia="仿宋_GB2312"/>
          <w:b w:val="0"/>
          <w:bCs/>
          <w:color w:val="000000"/>
          <w:sz w:val="32"/>
          <w:szCs w:val="32"/>
          <w:lang w:eastAsia="zh-CN"/>
        </w:rPr>
      </w:pPr>
      <w:r>
        <w:rPr>
          <w:rFonts w:hint="eastAsia" w:ascii="仿宋_GB2312" w:cs="仿宋"/>
          <w:b w:val="0"/>
          <w:bCs/>
          <w:color w:val="auto"/>
          <w:sz w:val="32"/>
          <w:szCs w:val="32"/>
          <w:highlight w:val="none"/>
          <w:lang w:val="en-US" w:eastAsia="zh-CN" w:bidi="ar-SA"/>
        </w:rPr>
        <w:t>12.</w:t>
      </w:r>
      <w:r>
        <w:rPr>
          <w:rFonts w:hint="eastAsia" w:ascii="仿宋_GB2312" w:eastAsia="仿宋_GB2312" w:cs="仿宋"/>
          <w:b w:val="0"/>
          <w:bCs/>
          <w:color w:val="auto"/>
          <w:sz w:val="32"/>
          <w:szCs w:val="32"/>
          <w:highlight w:val="none"/>
          <w:lang w:val="en-US" w:eastAsia="zh-CN" w:bidi="ar-SA"/>
        </w:rPr>
        <w:t xml:space="preserve">社会保障和就业（类）行政事业单位养老支出（款）机关事业单位基本养老保险缴费支出（项）: </w:t>
      </w:r>
      <w:r>
        <w:rPr>
          <w:rFonts w:hint="eastAsia" w:ascii="仿宋_GB2312" w:eastAsia="仿宋_GB2312"/>
          <w:b w:val="0"/>
          <w:bCs/>
          <w:color w:val="000000"/>
          <w:sz w:val="32"/>
          <w:szCs w:val="32"/>
          <w:lang w:eastAsia="zh-CN"/>
        </w:rPr>
        <w:t>主要用于在职在编人员基本养老保险支出</w:t>
      </w:r>
      <w:r>
        <w:rPr>
          <w:rFonts w:hint="eastAsia" w:ascii="仿宋_GB2312"/>
          <w:b w:val="0"/>
          <w:bCs/>
          <w:color w:val="000000"/>
          <w:sz w:val="32"/>
          <w:szCs w:val="32"/>
          <w:lang w:eastAsia="zh-CN"/>
        </w:rPr>
        <w:t>。</w:t>
      </w:r>
    </w:p>
    <w:p>
      <w:pPr>
        <w:pStyle w:val="8"/>
        <w:rPr>
          <w:rFonts w:hint="eastAsia"/>
          <w:lang w:eastAsia="zh-CN"/>
        </w:rPr>
      </w:pPr>
      <w:r>
        <w:rPr>
          <w:rFonts w:hint="eastAsia" w:ascii="仿宋_GB2312" w:cs="仿宋"/>
          <w:b w:val="0"/>
          <w:bCs/>
          <w:color w:val="auto"/>
          <w:sz w:val="32"/>
          <w:szCs w:val="32"/>
          <w:highlight w:val="none"/>
          <w:lang w:val="en-US" w:eastAsia="zh-CN" w:bidi="ar-SA"/>
        </w:rPr>
        <w:t>13</w:t>
      </w:r>
      <w:r>
        <w:rPr>
          <w:rFonts w:hint="eastAsia" w:ascii="仿宋_GB2312" w:eastAsia="仿宋_GB2312" w:cs="仿宋"/>
          <w:b w:val="0"/>
          <w:bCs/>
          <w:color w:val="auto"/>
          <w:sz w:val="32"/>
          <w:szCs w:val="32"/>
          <w:highlight w:val="none"/>
          <w:lang w:val="en-US" w:eastAsia="zh-CN" w:bidi="ar-SA"/>
        </w:rPr>
        <w:t xml:space="preserve">.社会保障和就业（类）行政事业单位养老支出（款）机关事业单位职业年金缴费支出（项）: </w:t>
      </w:r>
      <w:r>
        <w:rPr>
          <w:rFonts w:hint="eastAsia" w:ascii="仿宋_GB2312" w:eastAsia="仿宋_GB2312"/>
          <w:b w:val="0"/>
          <w:bCs/>
          <w:color w:val="000000"/>
          <w:sz w:val="32"/>
          <w:szCs w:val="32"/>
          <w:lang w:eastAsia="zh-CN"/>
        </w:rPr>
        <w:t>主要用于在职在编人员职业年金支出</w:t>
      </w:r>
      <w:r>
        <w:rPr>
          <w:rFonts w:hint="eastAsia" w:ascii="仿宋_GB2312" w:eastAsia="仿宋_GB2312" w:cs="仿宋"/>
          <w:b w:val="0"/>
          <w:bCs/>
          <w:color w:val="auto"/>
          <w:sz w:val="32"/>
          <w:szCs w:val="32"/>
          <w:highlight w:val="none"/>
          <w:lang w:val="en-US" w:eastAsia="zh-CN" w:bidi="ar-SA"/>
        </w:rPr>
        <w:t>。</w:t>
      </w:r>
    </w:p>
    <w:p>
      <w:pPr>
        <w:ind w:firstLine="640" w:firstLineChars="200"/>
        <w:rPr>
          <w:rFonts w:hint="eastAsia" w:ascii="仿宋_GB2312" w:eastAsia="仿宋_GB2312" w:cs="仿宋"/>
          <w:b w:val="0"/>
          <w:bCs/>
          <w:color w:val="auto"/>
          <w:sz w:val="32"/>
          <w:szCs w:val="32"/>
          <w:highlight w:val="none"/>
          <w:lang w:val="en-US" w:eastAsia="zh-CN" w:bidi="ar-SA"/>
        </w:rPr>
      </w:pPr>
      <w:r>
        <w:rPr>
          <w:rFonts w:hint="eastAsia" w:ascii="仿宋" w:eastAsia="仿宋" w:cs="仿宋"/>
          <w:sz w:val="32"/>
          <w:szCs w:val="32"/>
          <w:lang w:val="en-US" w:eastAsia="zh-CN"/>
        </w:rPr>
        <w:t>14.</w:t>
      </w:r>
      <w:r>
        <w:rPr>
          <w:rFonts w:hint="eastAsia" w:ascii="仿宋_GB2312" w:eastAsia="仿宋_GB2312" w:cs="仿宋"/>
          <w:b w:val="0"/>
          <w:bCs/>
          <w:color w:val="auto"/>
          <w:sz w:val="32"/>
          <w:szCs w:val="32"/>
          <w:highlight w:val="none"/>
          <w:lang w:val="en-US" w:eastAsia="zh-CN" w:bidi="ar-SA"/>
        </w:rPr>
        <w:t>住房保障（类）住房改革支出（款）住房公积金（项）</w:t>
      </w:r>
      <w:r>
        <w:rPr>
          <w:rFonts w:hint="eastAsia" w:ascii="仿宋" w:eastAsia="仿宋" w:cs="仿宋"/>
          <w:sz w:val="32"/>
          <w:szCs w:val="32"/>
          <w:lang w:val="en-US" w:eastAsia="zh-CN"/>
        </w:rPr>
        <w:t>：</w:t>
      </w:r>
      <w:r>
        <w:rPr>
          <w:rFonts w:hint="eastAsia" w:ascii="仿宋_GB2312" w:eastAsia="仿宋_GB2312" w:cs="仿宋"/>
          <w:b w:val="0"/>
          <w:bCs/>
          <w:color w:val="auto"/>
          <w:sz w:val="32"/>
          <w:szCs w:val="32"/>
          <w:highlight w:val="none"/>
          <w:lang w:val="en-US" w:eastAsia="zh-CN" w:bidi="ar-SA"/>
        </w:rPr>
        <w:t>反映事业单位按人力资源和社会保障部、财政部规定的基本工资和津贴补贴以及规定比例为职工缴纳的住房公积金。</w:t>
      </w:r>
    </w:p>
    <w:p>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15</w:t>
      </w:r>
      <w:r>
        <w:rPr>
          <w:rFonts w:ascii="仿宋_GB2312" w:eastAsia="仿宋_GB2312"/>
          <w:color w:val="auto"/>
          <w:sz w:val="32"/>
          <w:szCs w:val="32"/>
          <w:highlight w:val="none"/>
        </w:rPr>
        <w:t>.</w:t>
      </w:r>
      <w:r>
        <w:rPr>
          <w:rFonts w:hint="eastAsia" w:ascii="仿宋_GB2312" w:eastAsia="仿宋_GB2312"/>
          <w:color w:val="auto"/>
          <w:sz w:val="32"/>
          <w:szCs w:val="32"/>
          <w:highlight w:val="none"/>
        </w:rPr>
        <w:t>基本支出：指为保障机构正常运转、完成日常工作任务而发生的人员支出和公用支出。</w:t>
      </w:r>
    </w:p>
    <w:p>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16</w:t>
      </w:r>
      <w:r>
        <w:rPr>
          <w:rFonts w:ascii="仿宋_GB2312" w:eastAsia="仿宋_GB2312"/>
          <w:color w:val="auto"/>
          <w:sz w:val="32"/>
          <w:szCs w:val="32"/>
          <w:highlight w:val="none"/>
        </w:rPr>
        <w:t>.</w:t>
      </w:r>
      <w:r>
        <w:rPr>
          <w:rFonts w:hint="eastAsia" w:ascii="仿宋_GB2312" w:eastAsia="仿宋_GB2312"/>
          <w:color w:val="auto"/>
          <w:sz w:val="32"/>
          <w:szCs w:val="32"/>
          <w:highlight w:val="none"/>
        </w:rPr>
        <w:t>项目支出：指在基本支出之外为完成特定任务和事业发展目标所发生的支出。</w:t>
      </w:r>
      <w:r>
        <w:rPr>
          <w:rFonts w:ascii="仿宋_GB2312" w:eastAsia="仿宋_GB2312"/>
          <w:color w:val="auto"/>
          <w:sz w:val="32"/>
          <w:szCs w:val="32"/>
          <w:highlight w:val="none"/>
        </w:rPr>
        <w:t xml:space="preserve"> </w:t>
      </w:r>
    </w:p>
    <w:p>
      <w:pPr>
        <w:pStyle w:val="26"/>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17</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“三公”经费：指</w:t>
      </w:r>
      <w:r>
        <w:rPr>
          <w:rFonts w:hint="eastAsia" w:ascii="仿宋_GB2312" w:eastAsia="仿宋_GB2312"/>
          <w:color w:val="auto"/>
          <w:sz w:val="32"/>
          <w:szCs w:val="32"/>
          <w:highlight w:val="none"/>
          <w:lang w:eastAsia="zh-CN"/>
        </w:rPr>
        <w:t>单位</w:t>
      </w:r>
      <w:r>
        <w:rPr>
          <w:rFonts w:hint="eastAsia" w:ascii="仿宋_GB2312" w:eastAsia="仿宋_GB2312"/>
          <w:color w:val="auto"/>
          <w:sz w:val="32"/>
          <w:szCs w:val="32"/>
          <w:highlight w:val="none"/>
        </w:rPr>
        <w:t>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spacing w:line="600" w:lineRule="exact"/>
        <w:ind w:firstLine="640" w:firstLineChars="200"/>
        <w:jc w:val="left"/>
        <w:outlineLvl w:val="0"/>
        <w:rPr>
          <w:rStyle w:val="21"/>
          <w:rFonts w:ascii="黑体" w:eastAsia="黑体"/>
          <w:b w:val="0"/>
          <w:color w:val="auto"/>
          <w:highlight w:val="none"/>
        </w:rPr>
      </w:pPr>
      <w:bookmarkStart w:id="86" w:name="_Toc7336"/>
      <w:r>
        <w:rPr>
          <w:rFonts w:hint="eastAsia" w:ascii="仿宋_GB2312" w:eastAsia="仿宋_GB2312"/>
          <w:color w:val="auto"/>
          <w:sz w:val="32"/>
          <w:szCs w:val="32"/>
          <w:highlight w:val="none"/>
          <w:lang w:val="en-US" w:eastAsia="zh-CN"/>
        </w:rPr>
        <w:t>18</w:t>
      </w:r>
      <w:r>
        <w:rPr>
          <w:rFonts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rPr>
        <w:t>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r>
        <w:br w:type="page"/>
      </w:r>
      <w:bookmarkStart w:id="87" w:name="_Toc15396614"/>
      <w:r>
        <w:rPr>
          <w:rFonts w:hint="eastAsia" w:ascii="黑体" w:eastAsia="黑体"/>
          <w:color w:val="auto"/>
          <w:sz w:val="44"/>
          <w:szCs w:val="44"/>
          <w:highlight w:val="none"/>
        </w:rPr>
        <w:t>第</w:t>
      </w:r>
      <w:r>
        <w:rPr>
          <w:rStyle w:val="21"/>
          <w:rFonts w:hint="eastAsia" w:ascii="黑体" w:eastAsia="黑体"/>
          <w:b w:val="0"/>
          <w:color w:val="auto"/>
          <w:highlight w:val="none"/>
        </w:rPr>
        <w:t>四部分 附件</w:t>
      </w:r>
      <w:bookmarkEnd w:id="86"/>
      <w:bookmarkEnd w:id="87"/>
    </w:p>
    <w:p>
      <w:pPr>
        <w:keepNext w:val="0"/>
        <w:keepLines w:val="0"/>
        <w:pageBreakBefore w:val="0"/>
        <w:widowControl w:val="0"/>
        <w:kinsoku/>
        <w:wordWrap/>
        <w:overflowPunct/>
        <w:topLinePunct w:val="0"/>
        <w:autoSpaceDE/>
        <w:autoSpaceDN/>
        <w:bidi w:val="0"/>
        <w:spacing w:line="572" w:lineRule="exact"/>
        <w:jc w:val="left"/>
        <w:textAlignment w:val="auto"/>
        <w:outlineLvl w:val="0"/>
        <w:rPr>
          <w:rFonts w:ascii="仿宋_GB2312" w:eastAsia="仿宋_GB2312" w:cs="仿宋_GB2312"/>
          <w:color w:val="auto"/>
          <w:sz w:val="32"/>
          <w:szCs w:val="32"/>
          <w:highlight w:val="none"/>
        </w:rPr>
      </w:pPr>
    </w:p>
    <w:tbl>
      <w:tblPr>
        <w:tblStyle w:val="16"/>
        <w:tblW w:w="8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631"/>
        <w:gridCol w:w="868"/>
        <w:gridCol w:w="868"/>
        <w:gridCol w:w="868"/>
        <w:gridCol w:w="710"/>
        <w:gridCol w:w="534"/>
        <w:gridCol w:w="387"/>
        <w:gridCol w:w="868"/>
        <w:gridCol w:w="868"/>
        <w:gridCol w:w="868"/>
        <w:gridCol w:w="8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52" w:hRule="atLeast"/>
        </w:trPr>
        <w:tc>
          <w:tcPr>
            <w:tcW w:w="8340" w:type="dxa"/>
            <w:gridSpan w:val="11"/>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黑体" w:eastAsia="黑体" w:cs="黑体"/>
                <w:b/>
                <w:i w:val="0"/>
                <w:color w:val="000000"/>
                <w:sz w:val="30"/>
                <w:szCs w:val="30"/>
                <w:u w:val="none"/>
              </w:rPr>
            </w:pPr>
            <w:bookmarkStart w:id="88" w:name="_Toc15396618"/>
            <w:r>
              <w:rPr>
                <w:rFonts w:hint="eastAsia" w:ascii="黑体" w:eastAsia="黑体" w:cs="黑体"/>
                <w:b/>
                <w:i w:val="0"/>
                <w:color w:val="000000"/>
                <w:kern w:val="0"/>
                <w:sz w:val="30"/>
                <w:szCs w:val="30"/>
                <w:u w:val="none"/>
                <w:lang w:val="en-US" w:eastAsia="zh-CN"/>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7" w:hRule="atLeast"/>
        </w:trPr>
        <w:tc>
          <w:tcPr>
            <w:tcW w:w="1499"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left"/>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项目名称</w:t>
            </w:r>
          </w:p>
        </w:tc>
        <w:tc>
          <w:tcPr>
            <w:tcW w:w="6841" w:type="dxa"/>
            <w:gridSpan w:val="9"/>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left"/>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51081122T000006832293-二类疫苗服务费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52" w:hRule="atLeast"/>
        </w:trPr>
        <w:tc>
          <w:tcPr>
            <w:tcW w:w="1499"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left"/>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主管部门</w:t>
            </w:r>
          </w:p>
        </w:tc>
        <w:tc>
          <w:tcPr>
            <w:tcW w:w="3367"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left"/>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广元</w:t>
            </w:r>
            <w:bookmarkStart w:id="116" w:name="_GoBack"/>
            <w:bookmarkEnd w:id="116"/>
            <w:r>
              <w:rPr>
                <w:rFonts w:ascii="宋体" w:eastAsia="宋体" w:cs="宋体"/>
                <w:i w:val="0"/>
                <w:color w:val="000000"/>
                <w:kern w:val="0"/>
                <w:sz w:val="18"/>
                <w:szCs w:val="18"/>
                <w:u w:val="none"/>
                <w:lang w:val="en-US" w:eastAsia="zh-CN"/>
              </w:rPr>
              <w:t>市昭化区卫生健康局部门</w:t>
            </w:r>
          </w:p>
        </w:tc>
        <w:tc>
          <w:tcPr>
            <w:tcW w:w="868" w:type="dxa"/>
            <w:tcBorders>
              <w:top w:val="nil"/>
              <w:left w:val="nil"/>
              <w:bottom w:val="nil"/>
              <w:right w:val="nil"/>
            </w:tcBorders>
            <w:shd w:val="clear" w:color="auto" w:fill="auto"/>
            <w:noWrap/>
            <w:tcMar>
              <w:top w:w="10" w:type="dxa"/>
              <w:left w:w="10" w:type="dxa"/>
              <w:bottom w:w="0" w:type="dxa"/>
              <w:right w:w="10" w:type="dxa"/>
            </w:tcMar>
            <w:vAlign w:val="center"/>
          </w:tcPr>
          <w:p>
            <w:pPr>
              <w:keepNext w:val="0"/>
              <w:keepLines w:val="0"/>
              <w:widowControl/>
              <w:suppressLineNumbers w:val="0"/>
              <w:jc w:val="left"/>
              <w:textAlignment w:val="center"/>
              <w:rPr>
                <w:rFonts w:ascii="黑体" w:eastAsia="黑体" w:cs="黑体"/>
                <w:i w:val="0"/>
                <w:color w:val="000000"/>
                <w:sz w:val="18"/>
                <w:szCs w:val="18"/>
                <w:u w:val="none"/>
              </w:rPr>
            </w:pPr>
            <w:r>
              <w:rPr>
                <w:rFonts w:hint="eastAsia" w:ascii="黑体" w:eastAsia="黑体" w:cs="黑体"/>
                <w:i w:val="0"/>
                <w:color w:val="000000"/>
                <w:kern w:val="0"/>
                <w:sz w:val="18"/>
                <w:szCs w:val="18"/>
                <w:u w:val="none"/>
                <w:lang w:val="en-US" w:eastAsia="zh-CN"/>
              </w:rPr>
              <w:t>实施单位 （盖章）</w:t>
            </w:r>
          </w:p>
        </w:tc>
        <w:tc>
          <w:tcPr>
            <w:tcW w:w="2606"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文村乡卫生院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25" w:hRule="atLeast"/>
        </w:trPr>
        <w:tc>
          <w:tcPr>
            <w:tcW w:w="631"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left"/>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项目基本情况</w:t>
            </w:r>
          </w:p>
        </w:tc>
        <w:tc>
          <w:tcPr>
            <w:tcW w:w="868"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left"/>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1.项目年度目标完成情况</w:t>
            </w:r>
          </w:p>
        </w:tc>
        <w:tc>
          <w:tcPr>
            <w:tcW w:w="3367"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项目年度目标</w:t>
            </w:r>
          </w:p>
        </w:tc>
        <w:tc>
          <w:tcPr>
            <w:tcW w:w="3474"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黑体" w:eastAsia="黑体" w:cs="黑体"/>
                <w:i w:val="0"/>
                <w:color w:val="000000"/>
                <w:sz w:val="18"/>
                <w:szCs w:val="18"/>
                <w:u w:val="none"/>
              </w:rPr>
            </w:pPr>
            <w:r>
              <w:rPr>
                <w:rFonts w:hint="eastAsia" w:ascii="黑体" w:eastAsia="黑体" w:cs="黑体"/>
                <w:i w:val="0"/>
                <w:color w:val="000000"/>
                <w:kern w:val="0"/>
                <w:sz w:val="18"/>
                <w:szCs w:val="18"/>
                <w:u w:val="none"/>
                <w:lang w:val="en-US" w:eastAsia="zh-CN"/>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43" w:hRule="atLeast"/>
        </w:trPr>
        <w:tc>
          <w:tcPr>
            <w:tcW w:w="631"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tc>
        <w:tc>
          <w:tcPr>
            <w:tcW w:w="868"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tc>
        <w:tc>
          <w:tcPr>
            <w:tcW w:w="3367"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rPr>
                <w:rFonts w:ascii="宋体" w:eastAsia="宋体" w:cs="宋体"/>
                <w:i w:val="0"/>
                <w:color w:val="000000"/>
                <w:sz w:val="18"/>
                <w:szCs w:val="18"/>
                <w:u w:val="none"/>
                <w:lang w:val="en-US" w:eastAsia="zh-CN"/>
              </w:rPr>
            </w:pPr>
            <w:r>
              <w:rPr>
                <w:rFonts w:hint="eastAsia" w:ascii="宋体" w:eastAsia="宋体" w:cs="宋体"/>
                <w:i w:val="0"/>
                <w:color w:val="000000"/>
                <w:sz w:val="18"/>
                <w:szCs w:val="18"/>
                <w:u w:val="none"/>
                <w:lang w:val="en-US" w:eastAsia="zh-CN"/>
              </w:rPr>
              <w:t xml:space="preserve">        </w:t>
            </w:r>
            <w:r>
              <w:rPr>
                <w:rFonts w:ascii="宋体" w:eastAsia="宋体" w:cs="宋体"/>
                <w:i w:val="0"/>
                <w:color w:val="000000"/>
                <w:sz w:val="18"/>
                <w:szCs w:val="18"/>
                <w:u w:val="none"/>
                <w:lang w:val="en-US" w:eastAsia="zh-CN"/>
              </w:rPr>
              <w:t>2.34</w:t>
            </w:r>
          </w:p>
        </w:tc>
        <w:tc>
          <w:tcPr>
            <w:tcW w:w="3474"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left"/>
              <w:textAlignment w:val="center"/>
              <w:rPr>
                <w:rFonts w:ascii="黑体" w:eastAsia="黑体" w:cs="黑体"/>
                <w:i w:val="0"/>
                <w:color w:val="000000"/>
                <w:sz w:val="18"/>
                <w:szCs w:val="18"/>
                <w:u w:val="none"/>
                <w:lang w:val="en-US"/>
              </w:rPr>
            </w:pPr>
            <w:r>
              <w:rPr>
                <w:rFonts w:hint="eastAsia" w:ascii="黑体" w:eastAsia="黑体" w:cs="黑体"/>
                <w:i w:val="0"/>
                <w:color w:val="000000"/>
                <w:kern w:val="0"/>
                <w:sz w:val="18"/>
                <w:szCs w:val="18"/>
                <w:u w:val="none"/>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9" w:hRule="atLeast"/>
        </w:trPr>
        <w:tc>
          <w:tcPr>
            <w:tcW w:w="631"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tc>
        <w:tc>
          <w:tcPr>
            <w:tcW w:w="8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left"/>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2.项目实施内容及过程概述</w:t>
            </w:r>
          </w:p>
        </w:tc>
        <w:tc>
          <w:tcPr>
            <w:tcW w:w="6841" w:type="dxa"/>
            <w:gridSpan w:val="9"/>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left"/>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按照《四川省发展和改革委员会四川省财政厅关于疫苗预防接种服务收费标准及有关问题的通知》（川发改价格〔2020〕640号）文件精神，二类疫苗接种服务费收入全额上缴国库，纳入财政预算管理。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52" w:hRule="atLeast"/>
        </w:trPr>
        <w:tc>
          <w:tcPr>
            <w:tcW w:w="631"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预算执行情况（10分）</w:t>
            </w:r>
          </w:p>
        </w:tc>
        <w:tc>
          <w:tcPr>
            <w:tcW w:w="8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年度预算数（万元）</w:t>
            </w:r>
          </w:p>
        </w:tc>
        <w:tc>
          <w:tcPr>
            <w:tcW w:w="8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年初预算</w:t>
            </w:r>
          </w:p>
        </w:tc>
        <w:tc>
          <w:tcPr>
            <w:tcW w:w="8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调整后预算数</w:t>
            </w:r>
          </w:p>
        </w:tc>
        <w:tc>
          <w:tcPr>
            <w:tcW w:w="163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预算执行数</w:t>
            </w:r>
          </w:p>
        </w:tc>
        <w:tc>
          <w:tcPr>
            <w:tcW w:w="8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预算执行率</w:t>
            </w:r>
          </w:p>
        </w:tc>
        <w:tc>
          <w:tcPr>
            <w:tcW w:w="8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权重</w:t>
            </w:r>
          </w:p>
        </w:tc>
        <w:tc>
          <w:tcPr>
            <w:tcW w:w="8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得分</w:t>
            </w:r>
          </w:p>
        </w:tc>
        <w:tc>
          <w:tcPr>
            <w:tcW w:w="870" w:type="dxa"/>
            <w:tcBorders>
              <w:top w:val="single" w:color="000000" w:sz="4" w:space="0"/>
              <w:left w:val="single" w:color="000000" w:sz="4" w:space="0"/>
              <w:bottom w:val="nil"/>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36" w:hRule="atLeast"/>
        </w:trPr>
        <w:tc>
          <w:tcPr>
            <w:tcW w:w="631"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tc>
        <w:tc>
          <w:tcPr>
            <w:tcW w:w="8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总额</w:t>
            </w:r>
          </w:p>
        </w:tc>
        <w:tc>
          <w:tcPr>
            <w:tcW w:w="8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0.00</w:t>
            </w:r>
          </w:p>
        </w:tc>
        <w:tc>
          <w:tcPr>
            <w:tcW w:w="8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hint="eastAsia" w:ascii="宋体" w:eastAsia="宋体" w:cs="宋体"/>
                <w:i w:val="0"/>
                <w:color w:val="000000"/>
                <w:sz w:val="18"/>
                <w:szCs w:val="18"/>
                <w:u w:val="none"/>
                <w:lang w:val="en-US" w:eastAsia="zh-CN"/>
              </w:rPr>
              <w:t xml:space="preserve">   </w:t>
            </w:r>
            <w:r>
              <w:rPr>
                <w:rFonts w:ascii="宋体" w:eastAsia="宋体" w:cs="宋体"/>
                <w:i w:val="0"/>
                <w:color w:val="000000"/>
                <w:sz w:val="18"/>
                <w:szCs w:val="18"/>
                <w:u w:val="none"/>
                <w:lang w:val="en-US" w:eastAsia="zh-CN"/>
              </w:rPr>
              <w:t>2.34</w:t>
            </w:r>
          </w:p>
        </w:tc>
        <w:tc>
          <w:tcPr>
            <w:tcW w:w="163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hint="eastAsia" w:ascii="宋体" w:eastAsia="宋体" w:cs="宋体"/>
                <w:i w:val="0"/>
                <w:color w:val="000000"/>
                <w:sz w:val="18"/>
                <w:szCs w:val="18"/>
                <w:u w:val="none"/>
                <w:lang w:val="en-US" w:eastAsia="zh-CN"/>
              </w:rPr>
              <w:t xml:space="preserve">   </w:t>
            </w:r>
            <w:r>
              <w:rPr>
                <w:rFonts w:ascii="宋体" w:eastAsia="宋体" w:cs="宋体"/>
                <w:i w:val="0"/>
                <w:color w:val="000000"/>
                <w:sz w:val="18"/>
                <w:szCs w:val="18"/>
                <w:u w:val="none"/>
                <w:lang w:val="en-US" w:eastAsia="zh-CN"/>
              </w:rPr>
              <w:t>2.34</w:t>
            </w:r>
          </w:p>
        </w:tc>
        <w:tc>
          <w:tcPr>
            <w:tcW w:w="8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100.00%</w:t>
            </w:r>
          </w:p>
        </w:tc>
        <w:tc>
          <w:tcPr>
            <w:tcW w:w="8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10</w:t>
            </w:r>
          </w:p>
        </w:tc>
        <w:tc>
          <w:tcPr>
            <w:tcW w:w="868" w:type="dxa"/>
            <w:tcBorders>
              <w:top w:val="single" w:color="000000" w:sz="4" w:space="0"/>
              <w:left w:val="single" w:color="000000" w:sz="4" w:space="0"/>
              <w:bottom w:val="single" w:color="000000" w:sz="4" w:space="0"/>
              <w:right w:val="nil"/>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100</w:t>
            </w: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eastAsia="宋体" w:cs="宋体"/>
                <w:i w:val="0"/>
                <w:color w:val="000000"/>
                <w:sz w:val="22"/>
                <w:szCs w:val="22"/>
                <w:u w:val="none"/>
              </w:rPr>
            </w:pPr>
            <w:r>
              <w:rPr>
                <w:rFonts w:hint="eastAsia" w:ascii="宋体" w:eastAsia="宋体" w:cs="宋体"/>
                <w:i w:val="0"/>
                <w:color w:val="000000"/>
                <w:kern w:val="0"/>
                <w:sz w:val="22"/>
                <w:szCs w:val="22"/>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52" w:hRule="atLeast"/>
        </w:trPr>
        <w:tc>
          <w:tcPr>
            <w:tcW w:w="631"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tc>
        <w:tc>
          <w:tcPr>
            <w:tcW w:w="8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其中：财政资金</w:t>
            </w:r>
          </w:p>
        </w:tc>
        <w:tc>
          <w:tcPr>
            <w:tcW w:w="8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0.00</w:t>
            </w:r>
          </w:p>
        </w:tc>
        <w:tc>
          <w:tcPr>
            <w:tcW w:w="8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hint="eastAsia" w:ascii="宋体" w:eastAsia="宋体" w:cs="宋体"/>
                <w:i w:val="0"/>
                <w:color w:val="000000"/>
                <w:sz w:val="18"/>
                <w:szCs w:val="18"/>
                <w:u w:val="none"/>
                <w:lang w:val="en-US" w:eastAsia="zh-CN"/>
              </w:rPr>
              <w:t xml:space="preserve">   </w:t>
            </w:r>
            <w:r>
              <w:rPr>
                <w:rFonts w:ascii="宋体" w:eastAsia="宋体" w:cs="宋体"/>
                <w:i w:val="0"/>
                <w:color w:val="000000"/>
                <w:sz w:val="18"/>
                <w:szCs w:val="18"/>
                <w:u w:val="none"/>
                <w:lang w:val="en-US" w:eastAsia="zh-CN"/>
              </w:rPr>
              <w:t>2.34</w:t>
            </w:r>
          </w:p>
        </w:tc>
        <w:tc>
          <w:tcPr>
            <w:tcW w:w="163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hint="eastAsia" w:ascii="宋体" w:eastAsia="宋体" w:cs="宋体"/>
                <w:i w:val="0"/>
                <w:color w:val="000000"/>
                <w:sz w:val="18"/>
                <w:szCs w:val="18"/>
                <w:u w:val="none"/>
                <w:lang w:val="en-US" w:eastAsia="zh-CN"/>
              </w:rPr>
              <w:t xml:space="preserve">   </w:t>
            </w:r>
            <w:r>
              <w:rPr>
                <w:rFonts w:ascii="宋体" w:eastAsia="宋体" w:cs="宋体"/>
                <w:i w:val="0"/>
                <w:color w:val="000000"/>
                <w:sz w:val="18"/>
                <w:szCs w:val="18"/>
                <w:u w:val="none"/>
                <w:lang w:val="en-US" w:eastAsia="zh-CN"/>
              </w:rPr>
              <w:t>2.34</w:t>
            </w:r>
          </w:p>
        </w:tc>
        <w:tc>
          <w:tcPr>
            <w:tcW w:w="8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100.00%</w:t>
            </w:r>
          </w:p>
        </w:tc>
        <w:tc>
          <w:tcPr>
            <w:tcW w:w="8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w:t>
            </w:r>
          </w:p>
        </w:tc>
        <w:tc>
          <w:tcPr>
            <w:tcW w:w="868" w:type="dxa"/>
            <w:tcBorders>
              <w:top w:val="single" w:color="000000" w:sz="4" w:space="0"/>
              <w:left w:val="single" w:color="000000" w:sz="4" w:space="0"/>
              <w:bottom w:val="single" w:color="000000" w:sz="4" w:space="0"/>
              <w:right w:val="nil"/>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100</w:t>
            </w: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eastAsia="宋体" w:cs="宋体"/>
                <w:i w:val="0"/>
                <w:color w:val="000000"/>
                <w:sz w:val="22"/>
                <w:szCs w:val="22"/>
                <w:u w:val="none"/>
              </w:rPr>
            </w:pPr>
            <w:r>
              <w:rPr>
                <w:rFonts w:hint="eastAsia" w:ascii="宋体" w:eastAsia="宋体" w:cs="宋体"/>
                <w:i w:val="0"/>
                <w:color w:val="000000"/>
                <w:kern w:val="0"/>
                <w:sz w:val="22"/>
                <w:szCs w:val="22"/>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52" w:hRule="atLeast"/>
        </w:trPr>
        <w:tc>
          <w:tcPr>
            <w:tcW w:w="631"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tc>
        <w:tc>
          <w:tcPr>
            <w:tcW w:w="8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财政专户管理资金</w:t>
            </w:r>
          </w:p>
        </w:tc>
        <w:tc>
          <w:tcPr>
            <w:tcW w:w="8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0.00</w:t>
            </w:r>
          </w:p>
        </w:tc>
        <w:tc>
          <w:tcPr>
            <w:tcW w:w="8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0.00</w:t>
            </w:r>
          </w:p>
        </w:tc>
        <w:tc>
          <w:tcPr>
            <w:tcW w:w="163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0.00</w:t>
            </w:r>
          </w:p>
        </w:tc>
        <w:tc>
          <w:tcPr>
            <w:tcW w:w="8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0.00%</w:t>
            </w:r>
          </w:p>
        </w:tc>
        <w:tc>
          <w:tcPr>
            <w:tcW w:w="8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w:t>
            </w:r>
          </w:p>
        </w:tc>
        <w:tc>
          <w:tcPr>
            <w:tcW w:w="868" w:type="dxa"/>
            <w:tcBorders>
              <w:top w:val="single" w:color="000000" w:sz="4" w:space="0"/>
              <w:left w:val="single" w:color="000000" w:sz="4" w:space="0"/>
              <w:bottom w:val="single" w:color="000000" w:sz="4" w:space="0"/>
              <w:right w:val="nil"/>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w:t>
            </w: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eastAsia="宋体" w:cs="宋体"/>
                <w:i w:val="0"/>
                <w:color w:val="000000"/>
                <w:sz w:val="22"/>
                <w:szCs w:val="22"/>
                <w:u w:val="none"/>
              </w:rPr>
            </w:pPr>
            <w:r>
              <w:rPr>
                <w:rFonts w:hint="eastAsia" w:ascii="宋体" w:eastAsia="宋体" w:cs="宋体"/>
                <w:i w:val="0"/>
                <w:color w:val="000000"/>
                <w:kern w:val="0"/>
                <w:sz w:val="22"/>
                <w:szCs w:val="22"/>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36" w:hRule="atLeast"/>
        </w:trPr>
        <w:tc>
          <w:tcPr>
            <w:tcW w:w="631"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tc>
        <w:tc>
          <w:tcPr>
            <w:tcW w:w="8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单位资金</w:t>
            </w:r>
          </w:p>
        </w:tc>
        <w:tc>
          <w:tcPr>
            <w:tcW w:w="8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0.00</w:t>
            </w:r>
          </w:p>
        </w:tc>
        <w:tc>
          <w:tcPr>
            <w:tcW w:w="8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0.00</w:t>
            </w:r>
          </w:p>
        </w:tc>
        <w:tc>
          <w:tcPr>
            <w:tcW w:w="163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0.00</w:t>
            </w:r>
          </w:p>
        </w:tc>
        <w:tc>
          <w:tcPr>
            <w:tcW w:w="8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0.00%</w:t>
            </w:r>
          </w:p>
        </w:tc>
        <w:tc>
          <w:tcPr>
            <w:tcW w:w="8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w:t>
            </w:r>
          </w:p>
        </w:tc>
        <w:tc>
          <w:tcPr>
            <w:tcW w:w="868" w:type="dxa"/>
            <w:tcBorders>
              <w:top w:val="single" w:color="000000" w:sz="4" w:space="0"/>
              <w:left w:val="single" w:color="000000" w:sz="4" w:space="0"/>
              <w:bottom w:val="single" w:color="000000" w:sz="4" w:space="0"/>
              <w:right w:val="nil"/>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w:t>
            </w: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eastAsia="宋体" w:cs="宋体"/>
                <w:i w:val="0"/>
                <w:color w:val="000000"/>
                <w:sz w:val="22"/>
                <w:szCs w:val="22"/>
                <w:u w:val="none"/>
              </w:rPr>
            </w:pPr>
            <w:r>
              <w:rPr>
                <w:rFonts w:hint="eastAsia" w:ascii="宋体" w:eastAsia="宋体" w:cs="宋体"/>
                <w:i w:val="0"/>
                <w:color w:val="000000"/>
                <w:kern w:val="0"/>
                <w:sz w:val="22"/>
                <w:szCs w:val="22"/>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66" w:hRule="atLeast"/>
        </w:trPr>
        <w:tc>
          <w:tcPr>
            <w:tcW w:w="631"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tc>
        <w:tc>
          <w:tcPr>
            <w:tcW w:w="8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其他资金</w:t>
            </w:r>
          </w:p>
        </w:tc>
        <w:tc>
          <w:tcPr>
            <w:tcW w:w="8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jc w:val="center"/>
              <w:rPr>
                <w:rFonts w:hint="eastAsia" w:ascii="微软雅黑" w:eastAsia="微软雅黑" w:cs="微软雅黑"/>
                <w:i/>
                <w:color w:val="000000"/>
                <w:sz w:val="16"/>
                <w:szCs w:val="16"/>
                <w:u w:val="none"/>
              </w:rPr>
            </w:pPr>
          </w:p>
        </w:tc>
        <w:tc>
          <w:tcPr>
            <w:tcW w:w="8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jc w:val="center"/>
              <w:rPr>
                <w:rFonts w:hint="eastAsia" w:ascii="微软雅黑" w:eastAsia="微软雅黑" w:cs="微软雅黑"/>
                <w:i/>
                <w:color w:val="000000"/>
                <w:sz w:val="16"/>
                <w:szCs w:val="16"/>
                <w:u w:val="none"/>
              </w:rPr>
            </w:pPr>
          </w:p>
        </w:tc>
        <w:tc>
          <w:tcPr>
            <w:tcW w:w="163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jc w:val="center"/>
              <w:rPr>
                <w:rFonts w:hint="eastAsia" w:ascii="微软雅黑" w:eastAsia="微软雅黑" w:cs="微软雅黑"/>
                <w:i/>
                <w:color w:val="000000"/>
                <w:sz w:val="16"/>
                <w:szCs w:val="16"/>
                <w:u w:val="none"/>
              </w:rPr>
            </w:pPr>
          </w:p>
        </w:tc>
        <w:tc>
          <w:tcPr>
            <w:tcW w:w="8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jc w:val="center"/>
              <w:rPr>
                <w:rFonts w:hint="eastAsia" w:ascii="微软雅黑" w:eastAsia="微软雅黑" w:cs="微软雅黑"/>
                <w:i/>
                <w:color w:val="000000"/>
                <w:sz w:val="16"/>
                <w:szCs w:val="16"/>
                <w:u w:val="none"/>
              </w:rPr>
            </w:pPr>
          </w:p>
        </w:tc>
        <w:tc>
          <w:tcPr>
            <w:tcW w:w="8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w:t>
            </w:r>
          </w:p>
        </w:tc>
        <w:tc>
          <w:tcPr>
            <w:tcW w:w="868" w:type="dxa"/>
            <w:tcBorders>
              <w:top w:val="single" w:color="000000" w:sz="4" w:space="0"/>
              <w:left w:val="single" w:color="000000" w:sz="4" w:space="0"/>
              <w:bottom w:val="single" w:color="000000" w:sz="4" w:space="0"/>
              <w:right w:val="nil"/>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w:t>
            </w: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eastAsia="宋体" w:cs="宋体"/>
                <w:i w:val="0"/>
                <w:color w:val="000000"/>
                <w:sz w:val="22"/>
                <w:szCs w:val="22"/>
                <w:u w:val="none"/>
              </w:rPr>
            </w:pPr>
            <w:r>
              <w:rPr>
                <w:rFonts w:hint="eastAsia" w:ascii="宋体" w:eastAsia="宋体" w:cs="宋体"/>
                <w:i w:val="0"/>
                <w:color w:val="000000"/>
                <w:kern w:val="0"/>
                <w:sz w:val="22"/>
                <w:szCs w:val="22"/>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93" w:hRule="atLeast"/>
        </w:trPr>
        <w:tc>
          <w:tcPr>
            <w:tcW w:w="631"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绩效指标（90分）</w:t>
            </w:r>
          </w:p>
        </w:tc>
        <w:tc>
          <w:tcPr>
            <w:tcW w:w="8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一级指标</w:t>
            </w:r>
          </w:p>
        </w:tc>
        <w:tc>
          <w:tcPr>
            <w:tcW w:w="8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二级指标</w:t>
            </w:r>
          </w:p>
        </w:tc>
        <w:tc>
          <w:tcPr>
            <w:tcW w:w="8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三级指标</w:t>
            </w:r>
          </w:p>
        </w:tc>
        <w:tc>
          <w:tcPr>
            <w:tcW w:w="7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指标性质</w:t>
            </w:r>
          </w:p>
        </w:tc>
        <w:tc>
          <w:tcPr>
            <w:tcW w:w="5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指标值</w:t>
            </w:r>
          </w:p>
        </w:tc>
        <w:tc>
          <w:tcPr>
            <w:tcW w:w="3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度量单位</w:t>
            </w:r>
          </w:p>
        </w:tc>
        <w:tc>
          <w:tcPr>
            <w:tcW w:w="8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完成值</w:t>
            </w:r>
          </w:p>
        </w:tc>
        <w:tc>
          <w:tcPr>
            <w:tcW w:w="8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权重</w:t>
            </w:r>
          </w:p>
        </w:tc>
        <w:tc>
          <w:tcPr>
            <w:tcW w:w="868" w:type="dxa"/>
            <w:tcBorders>
              <w:top w:val="single" w:color="000000" w:sz="4" w:space="0"/>
              <w:left w:val="single" w:color="000000" w:sz="4" w:space="0"/>
              <w:bottom w:val="single" w:color="000000" w:sz="4" w:space="0"/>
              <w:right w:val="nil"/>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得分</w:t>
            </w: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jc w:val="center"/>
              <w:rPr>
                <w:rFonts w:hint="eastAsia" w:asci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66" w:hRule="atLeast"/>
        </w:trPr>
        <w:tc>
          <w:tcPr>
            <w:tcW w:w="631"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tc>
        <w:tc>
          <w:tcPr>
            <w:tcW w:w="8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jc w:val="center"/>
              <w:rPr>
                <w:rFonts w:hint="eastAsia" w:ascii="宋体" w:eastAsia="宋体" w:cs="宋体"/>
                <w:i w:val="0"/>
                <w:color w:val="000000"/>
                <w:sz w:val="18"/>
                <w:szCs w:val="18"/>
                <w:u w:val="none"/>
              </w:rPr>
            </w:pPr>
          </w:p>
        </w:tc>
        <w:tc>
          <w:tcPr>
            <w:tcW w:w="8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jc w:val="center"/>
              <w:rPr>
                <w:rFonts w:hint="eastAsia" w:ascii="宋体" w:eastAsia="宋体" w:cs="宋体"/>
                <w:i w:val="0"/>
                <w:color w:val="000000"/>
                <w:sz w:val="18"/>
                <w:szCs w:val="18"/>
                <w:u w:val="none"/>
              </w:rPr>
            </w:pPr>
          </w:p>
        </w:tc>
        <w:tc>
          <w:tcPr>
            <w:tcW w:w="8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jc w:val="center"/>
              <w:rPr>
                <w:rFonts w:hint="eastAsia" w:ascii="宋体" w:eastAsia="宋体" w:cs="宋体"/>
                <w:i w:val="0"/>
                <w:color w:val="000000"/>
                <w:sz w:val="18"/>
                <w:szCs w:val="18"/>
                <w:u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jc w:val="center"/>
              <w:rPr>
                <w:rFonts w:hint="eastAsia" w:ascii="宋体" w:eastAsia="宋体" w:cs="宋体"/>
                <w:i w:val="0"/>
                <w:color w:val="000000"/>
                <w:sz w:val="18"/>
                <w:szCs w:val="18"/>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jc w:val="center"/>
              <w:rPr>
                <w:rFonts w:hint="eastAsia" w:ascii="宋体" w:eastAsia="宋体" w:cs="宋体"/>
                <w:i w:val="0"/>
                <w:color w:val="000000"/>
                <w:sz w:val="18"/>
                <w:szCs w:val="18"/>
                <w:u w:val="none"/>
              </w:rPr>
            </w:pPr>
          </w:p>
        </w:tc>
        <w:tc>
          <w:tcPr>
            <w:tcW w:w="3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jc w:val="center"/>
              <w:rPr>
                <w:rFonts w:hint="eastAsia" w:ascii="宋体" w:eastAsia="宋体" w:cs="宋体"/>
                <w:i w:val="0"/>
                <w:color w:val="000000"/>
                <w:sz w:val="18"/>
                <w:szCs w:val="18"/>
                <w:u w:val="none"/>
              </w:rPr>
            </w:pPr>
          </w:p>
        </w:tc>
        <w:tc>
          <w:tcPr>
            <w:tcW w:w="8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jc w:val="center"/>
              <w:rPr>
                <w:rFonts w:hint="eastAsia" w:ascii="微软雅黑" w:eastAsia="微软雅黑" w:cs="微软雅黑"/>
                <w:i/>
                <w:color w:val="000000"/>
                <w:sz w:val="16"/>
                <w:szCs w:val="16"/>
                <w:u w:val="none"/>
              </w:rPr>
            </w:pPr>
          </w:p>
        </w:tc>
        <w:tc>
          <w:tcPr>
            <w:tcW w:w="8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jc w:val="center"/>
              <w:rPr>
                <w:rFonts w:hint="eastAsia" w:ascii="宋体" w:eastAsia="宋体" w:cs="宋体"/>
                <w:i w:val="0"/>
                <w:color w:val="000000"/>
                <w:sz w:val="18"/>
                <w:szCs w:val="18"/>
                <w:u w:val="none"/>
              </w:rPr>
            </w:pPr>
          </w:p>
        </w:tc>
        <w:tc>
          <w:tcPr>
            <w:tcW w:w="8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jc w:val="center"/>
              <w:rPr>
                <w:rFonts w:hint="eastAsia" w:ascii="宋体" w:eastAsia="宋体" w:cs="宋体"/>
                <w:i w:val="0"/>
                <w:color w:val="000000"/>
                <w:sz w:val="18"/>
                <w:szCs w:val="18"/>
                <w:u w:val="none"/>
              </w:rPr>
            </w:pPr>
          </w:p>
        </w:tc>
        <w:tc>
          <w:tcPr>
            <w:tcW w:w="870" w:type="dxa"/>
            <w:tcBorders>
              <w:top w:val="nil"/>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jc w:val="center"/>
              <w:rPr>
                <w:rFonts w:hint="eastAsia" w:asci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36" w:hRule="atLeast"/>
        </w:trPr>
        <w:tc>
          <w:tcPr>
            <w:tcW w:w="5734" w:type="dxa"/>
            <w:gridSpan w:val="8"/>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合计</w:t>
            </w:r>
          </w:p>
        </w:tc>
        <w:tc>
          <w:tcPr>
            <w:tcW w:w="8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100</w:t>
            </w:r>
          </w:p>
        </w:tc>
        <w:tc>
          <w:tcPr>
            <w:tcW w:w="8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rPr>
                <w:rFonts w:hint="eastAsia" w:ascii="宋体" w:eastAsia="宋体" w:cs="宋体"/>
                <w:i w:val="0"/>
                <w:color w:val="000000"/>
                <w:sz w:val="18"/>
                <w:szCs w:val="18"/>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rPr>
                <w:rFonts w:hint="eastAsia" w:asci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52" w:hRule="atLeast"/>
        </w:trPr>
        <w:tc>
          <w:tcPr>
            <w:tcW w:w="6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评价结论</w:t>
            </w:r>
          </w:p>
        </w:tc>
        <w:tc>
          <w:tcPr>
            <w:tcW w:w="7709" w:type="dxa"/>
            <w:gridSpan w:val="10"/>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eastAsia="宋体" w:cs="宋体"/>
                <w:i w:val="0"/>
                <w:color w:val="000000"/>
                <w:sz w:val="18"/>
                <w:szCs w:val="18"/>
                <w:u w:val="none"/>
              </w:rPr>
            </w:pPr>
            <w:r>
              <w:rPr>
                <w:rFonts w:hint="eastAsia" w:ascii="宋体" w:eastAsia="宋体" w:cs="宋体"/>
                <w:i w:val="0"/>
                <w:color w:val="000000"/>
                <w:kern w:val="0"/>
                <w:sz w:val="18"/>
                <w:szCs w:val="18"/>
                <w:u w:val="none"/>
                <w:lang w:val="en-US" w:eastAsia="zh-CN"/>
              </w:rPr>
              <w:t>二类疫苗接种服务费收入全额上缴国库，纳入财政预算管理，实施效果较好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52" w:hRule="atLeast"/>
        </w:trPr>
        <w:tc>
          <w:tcPr>
            <w:tcW w:w="6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存在问题</w:t>
            </w:r>
          </w:p>
        </w:tc>
        <w:tc>
          <w:tcPr>
            <w:tcW w:w="7709" w:type="dxa"/>
            <w:gridSpan w:val="10"/>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eastAsia="宋体" w:cs="宋体"/>
                <w:i w:val="0"/>
                <w:color w:val="000000"/>
                <w:sz w:val="16"/>
                <w:szCs w:val="16"/>
                <w:u w:val="none"/>
              </w:rPr>
            </w:pPr>
            <w:r>
              <w:rPr>
                <w:rFonts w:hint="eastAsia" w:ascii="宋体" w:eastAsia="宋体" w:cs="宋体"/>
                <w:i w:val="0"/>
                <w:color w:val="000000"/>
                <w:kern w:val="0"/>
                <w:sz w:val="16"/>
                <w:szCs w:val="16"/>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52" w:hRule="atLeast"/>
        </w:trPr>
        <w:tc>
          <w:tcPr>
            <w:tcW w:w="6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改进措施</w:t>
            </w:r>
          </w:p>
        </w:tc>
        <w:tc>
          <w:tcPr>
            <w:tcW w:w="7709" w:type="dxa"/>
            <w:gridSpan w:val="10"/>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eastAsia="宋体" w:cs="宋体"/>
                <w:i w:val="0"/>
                <w:color w:val="000000"/>
                <w:sz w:val="16"/>
                <w:szCs w:val="16"/>
                <w:u w:val="none"/>
              </w:rPr>
            </w:pPr>
            <w:r>
              <w:rPr>
                <w:rFonts w:hint="eastAsia" w:ascii="宋体" w:eastAsia="宋体" w:cs="宋体"/>
                <w:i w:val="0"/>
                <w:color w:val="000000"/>
                <w:kern w:val="0"/>
                <w:sz w:val="16"/>
                <w:szCs w:val="16"/>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46" w:hRule="atLeast"/>
        </w:trPr>
        <w:tc>
          <w:tcPr>
            <w:tcW w:w="3945"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left"/>
              <w:textAlignment w:val="center"/>
              <w:rPr>
                <w:rFonts w:hint="eastAsia" w:ascii="黑体" w:eastAsia="黑体" w:cs="黑体"/>
                <w:i w:val="0"/>
                <w:color w:val="000000"/>
                <w:sz w:val="18"/>
                <w:szCs w:val="18"/>
                <w:u w:val="none"/>
              </w:rPr>
            </w:pPr>
            <w:r>
              <w:rPr>
                <w:rFonts w:hint="eastAsia" w:ascii="黑体" w:eastAsia="黑体" w:cs="黑体"/>
                <w:i w:val="0"/>
                <w:color w:val="000000"/>
                <w:kern w:val="0"/>
                <w:sz w:val="18"/>
                <w:szCs w:val="18"/>
                <w:u w:val="none"/>
                <w:lang w:val="en-US" w:eastAsia="zh-CN"/>
              </w:rPr>
              <w:t>项目负责人：</w:t>
            </w:r>
          </w:p>
        </w:tc>
        <w:tc>
          <w:tcPr>
            <w:tcW w:w="4395" w:type="dxa"/>
            <w:gridSpan w:val="6"/>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left"/>
              <w:textAlignment w:val="center"/>
              <w:rPr>
                <w:rFonts w:hint="eastAsia" w:ascii="黑体" w:eastAsia="黑体" w:cs="黑体"/>
                <w:i w:val="0"/>
                <w:color w:val="000000"/>
                <w:sz w:val="18"/>
                <w:szCs w:val="18"/>
                <w:u w:val="none"/>
              </w:rPr>
            </w:pPr>
            <w:r>
              <w:rPr>
                <w:rFonts w:hint="eastAsia" w:ascii="黑体" w:eastAsia="黑体" w:cs="黑体"/>
                <w:i w:val="0"/>
                <w:color w:val="000000"/>
                <w:kern w:val="0"/>
                <w:sz w:val="18"/>
                <w:szCs w:val="18"/>
                <w:u w:val="none"/>
                <w:lang w:val="en-US" w:eastAsia="zh-CN"/>
              </w:rPr>
              <w:t>财务负责人：</w:t>
            </w:r>
          </w:p>
        </w:tc>
      </w:tr>
    </w:tbl>
    <w:p>
      <w:pPr>
        <w:pStyle w:val="2"/>
        <w:rPr>
          <w:rFonts w:hint="eastAsia" w:cs="仿宋"/>
          <w:color w:val="auto"/>
          <w:kern w:val="0"/>
          <w:sz w:val="32"/>
          <w:szCs w:val="32"/>
          <w:highlight w:val="none"/>
          <w:lang w:val="en-US" w:eastAsia="zh-CN" w:bidi="ar-SA"/>
        </w:rPr>
      </w:pPr>
    </w:p>
    <w:p>
      <w:pPr>
        <w:pStyle w:val="2"/>
        <w:rPr>
          <w:rFonts w:hint="eastAsia" w:ascii="仿宋_GB2312" w:eastAsia="仿宋_GB2312" w:cs="仿宋"/>
          <w:color w:val="auto"/>
          <w:kern w:val="0"/>
          <w:sz w:val="32"/>
          <w:szCs w:val="32"/>
          <w:highlight w:val="none"/>
          <w:lang w:val="en-US" w:eastAsia="zh-CN" w:bidi="ar-SA"/>
        </w:rPr>
      </w:pPr>
    </w:p>
    <w:p>
      <w:pPr>
        <w:spacing w:line="600" w:lineRule="exact"/>
        <w:jc w:val="center"/>
        <w:outlineLvl w:val="0"/>
        <w:rPr>
          <w:rFonts w:hint="eastAsia" w:ascii="仿宋" w:eastAsia="仿宋"/>
          <w:b w:val="0"/>
          <w:color w:val="auto"/>
          <w:highlight w:val="none"/>
        </w:rPr>
      </w:pPr>
      <w:bookmarkStart w:id="89" w:name="_Toc27807"/>
      <w:r>
        <w:rPr>
          <w:rFonts w:hint="eastAsia" w:ascii="黑体" w:eastAsia="黑体"/>
          <w:color w:val="auto"/>
          <w:sz w:val="44"/>
          <w:szCs w:val="44"/>
          <w:highlight w:val="none"/>
        </w:rPr>
        <w:t>第</w:t>
      </w:r>
      <w:r>
        <w:rPr>
          <w:rStyle w:val="21"/>
          <w:rFonts w:hint="eastAsia" w:ascii="黑体" w:eastAsia="黑体"/>
          <w:b w:val="0"/>
          <w:color w:val="auto"/>
          <w:highlight w:val="none"/>
        </w:rPr>
        <w:t>五部分 附表</w:t>
      </w:r>
      <w:bookmarkEnd w:id="85"/>
      <w:bookmarkEnd w:id="88"/>
      <w:bookmarkEnd w:id="89"/>
      <w:bookmarkStart w:id="90" w:name="_Toc15396619"/>
    </w:p>
    <w:p>
      <w:pPr>
        <w:pStyle w:val="4"/>
        <w:rPr>
          <w:rFonts w:ascii="仿宋" w:eastAsia="仿宋"/>
          <w:color w:val="auto"/>
          <w:highlight w:val="none"/>
        </w:rPr>
      </w:pPr>
      <w:bookmarkStart w:id="91" w:name="_Toc20886"/>
      <w:r>
        <w:rPr>
          <w:rFonts w:hint="eastAsia" w:ascii="仿宋" w:eastAsia="仿宋"/>
          <w:b w:val="0"/>
          <w:color w:val="auto"/>
          <w:highlight w:val="none"/>
        </w:rPr>
        <w:t>一、收</w:t>
      </w:r>
      <w:r>
        <w:rPr>
          <w:rStyle w:val="22"/>
          <w:rFonts w:hint="eastAsia" w:ascii="仿宋" w:eastAsia="仿宋"/>
          <w:b w:val="0"/>
          <w:bCs w:val="0"/>
          <w:color w:val="auto"/>
          <w:highlight w:val="none"/>
        </w:rPr>
        <w:t>入支出决算总表</w:t>
      </w:r>
      <w:bookmarkEnd w:id="90"/>
      <w:bookmarkEnd w:id="91"/>
    </w:p>
    <w:p>
      <w:pPr>
        <w:pStyle w:val="4"/>
        <w:rPr>
          <w:rFonts w:ascii="仿宋" w:eastAsia="仿宋"/>
          <w:color w:val="auto"/>
          <w:highlight w:val="none"/>
        </w:rPr>
      </w:pPr>
      <w:bookmarkStart w:id="92" w:name="_Toc19854"/>
      <w:bookmarkStart w:id="93" w:name="_Toc15396620"/>
      <w:r>
        <w:rPr>
          <w:rFonts w:hint="eastAsia" w:ascii="仿宋" w:eastAsia="仿宋"/>
          <w:b w:val="0"/>
          <w:color w:val="auto"/>
          <w:highlight w:val="none"/>
        </w:rPr>
        <w:t>二、收</w:t>
      </w:r>
      <w:r>
        <w:rPr>
          <w:rStyle w:val="22"/>
          <w:rFonts w:hint="eastAsia" w:ascii="仿宋" w:eastAsia="仿宋"/>
          <w:b w:val="0"/>
          <w:bCs w:val="0"/>
          <w:color w:val="auto"/>
          <w:highlight w:val="none"/>
        </w:rPr>
        <w:t>入决算表</w:t>
      </w:r>
      <w:bookmarkEnd w:id="92"/>
      <w:bookmarkEnd w:id="93"/>
    </w:p>
    <w:p>
      <w:pPr>
        <w:pStyle w:val="4"/>
        <w:rPr>
          <w:rFonts w:ascii="仿宋" w:eastAsia="仿宋"/>
          <w:color w:val="auto"/>
          <w:highlight w:val="none"/>
        </w:rPr>
      </w:pPr>
      <w:bookmarkStart w:id="94" w:name="_Toc7357"/>
      <w:bookmarkStart w:id="95" w:name="_Toc15396621"/>
      <w:r>
        <w:rPr>
          <w:rStyle w:val="22"/>
          <w:rFonts w:hint="eastAsia" w:ascii="仿宋" w:eastAsia="仿宋"/>
          <w:b w:val="0"/>
          <w:bCs w:val="0"/>
          <w:color w:val="auto"/>
          <w:highlight w:val="none"/>
        </w:rPr>
        <w:t>三、</w:t>
      </w:r>
      <w:r>
        <w:rPr>
          <w:rFonts w:hint="eastAsia" w:ascii="仿宋" w:eastAsia="仿宋"/>
          <w:b w:val="0"/>
          <w:color w:val="auto"/>
          <w:highlight w:val="none"/>
        </w:rPr>
        <w:t>支</w:t>
      </w:r>
      <w:r>
        <w:rPr>
          <w:rStyle w:val="22"/>
          <w:rFonts w:hint="eastAsia" w:ascii="仿宋" w:eastAsia="仿宋"/>
          <w:b w:val="0"/>
          <w:bCs w:val="0"/>
          <w:color w:val="auto"/>
          <w:highlight w:val="none"/>
        </w:rPr>
        <w:t>出决算表</w:t>
      </w:r>
      <w:bookmarkEnd w:id="94"/>
      <w:bookmarkEnd w:id="95"/>
    </w:p>
    <w:p>
      <w:pPr>
        <w:pStyle w:val="4"/>
        <w:rPr>
          <w:rFonts w:ascii="仿宋" w:eastAsia="仿宋"/>
          <w:b w:val="0"/>
          <w:color w:val="auto"/>
          <w:highlight w:val="none"/>
        </w:rPr>
      </w:pPr>
      <w:bookmarkStart w:id="96" w:name="_Toc23255"/>
      <w:bookmarkStart w:id="97" w:name="_Toc15396622"/>
      <w:r>
        <w:rPr>
          <w:rStyle w:val="22"/>
          <w:rFonts w:hint="eastAsia" w:ascii="仿宋" w:eastAsia="仿宋"/>
          <w:b w:val="0"/>
          <w:bCs w:val="0"/>
          <w:color w:val="auto"/>
          <w:highlight w:val="none"/>
        </w:rPr>
        <w:t>四、</w:t>
      </w:r>
      <w:r>
        <w:rPr>
          <w:rFonts w:hint="eastAsia" w:ascii="仿宋" w:eastAsia="仿宋"/>
          <w:b w:val="0"/>
          <w:color w:val="auto"/>
          <w:highlight w:val="none"/>
        </w:rPr>
        <w:t>财</w:t>
      </w:r>
      <w:r>
        <w:rPr>
          <w:rStyle w:val="22"/>
          <w:rFonts w:hint="eastAsia" w:ascii="仿宋" w:eastAsia="仿宋"/>
          <w:b w:val="0"/>
          <w:bCs w:val="0"/>
          <w:color w:val="auto"/>
          <w:highlight w:val="none"/>
        </w:rPr>
        <w:t>政拨款收入支出决算总表</w:t>
      </w:r>
      <w:bookmarkEnd w:id="96"/>
      <w:bookmarkEnd w:id="97"/>
    </w:p>
    <w:p>
      <w:pPr>
        <w:pStyle w:val="4"/>
        <w:rPr>
          <w:rStyle w:val="22"/>
          <w:rFonts w:ascii="仿宋" w:eastAsia="仿宋"/>
          <w:b w:val="0"/>
          <w:bCs w:val="0"/>
          <w:color w:val="auto"/>
          <w:highlight w:val="none"/>
        </w:rPr>
      </w:pPr>
      <w:bookmarkStart w:id="98" w:name="_Toc32453"/>
      <w:bookmarkStart w:id="99" w:name="_Toc15396623"/>
      <w:r>
        <w:rPr>
          <w:rStyle w:val="22"/>
          <w:rFonts w:hint="eastAsia" w:ascii="仿宋" w:eastAsia="仿宋"/>
          <w:b w:val="0"/>
          <w:bCs w:val="0"/>
          <w:color w:val="auto"/>
          <w:highlight w:val="none"/>
        </w:rPr>
        <w:t>五、</w:t>
      </w:r>
      <w:r>
        <w:rPr>
          <w:rFonts w:hint="eastAsia" w:ascii="仿宋" w:eastAsia="仿宋"/>
          <w:b w:val="0"/>
          <w:color w:val="auto"/>
          <w:highlight w:val="none"/>
        </w:rPr>
        <w:t>财</w:t>
      </w:r>
      <w:r>
        <w:rPr>
          <w:rStyle w:val="22"/>
          <w:rFonts w:hint="eastAsia" w:ascii="仿宋" w:eastAsia="仿宋"/>
          <w:b w:val="0"/>
          <w:bCs w:val="0"/>
          <w:color w:val="auto"/>
          <w:highlight w:val="none"/>
        </w:rPr>
        <w:t>政拨款支出决算明细表</w:t>
      </w:r>
      <w:bookmarkEnd w:id="98"/>
      <w:bookmarkEnd w:id="99"/>
      <w:bookmarkStart w:id="100" w:name="_Toc15396624"/>
    </w:p>
    <w:p>
      <w:pPr>
        <w:pStyle w:val="4"/>
        <w:rPr>
          <w:rFonts w:ascii="仿宋" w:eastAsia="仿宋"/>
          <w:color w:val="auto"/>
          <w:highlight w:val="none"/>
        </w:rPr>
      </w:pPr>
      <w:bookmarkStart w:id="101" w:name="_Toc5303"/>
      <w:r>
        <w:rPr>
          <w:rStyle w:val="22"/>
          <w:rFonts w:hint="eastAsia" w:ascii="仿宋" w:eastAsia="仿宋"/>
          <w:b w:val="0"/>
          <w:bCs w:val="0"/>
          <w:color w:val="auto"/>
          <w:highlight w:val="none"/>
        </w:rPr>
        <w:t>六、</w:t>
      </w:r>
      <w:r>
        <w:rPr>
          <w:rFonts w:hint="eastAsia" w:ascii="仿宋" w:eastAsia="仿宋"/>
          <w:b w:val="0"/>
          <w:color w:val="auto"/>
          <w:highlight w:val="none"/>
        </w:rPr>
        <w:t>一</w:t>
      </w:r>
      <w:r>
        <w:rPr>
          <w:rStyle w:val="22"/>
          <w:rFonts w:hint="eastAsia" w:ascii="仿宋" w:eastAsia="仿宋"/>
          <w:b w:val="0"/>
          <w:bCs w:val="0"/>
          <w:color w:val="auto"/>
          <w:highlight w:val="none"/>
        </w:rPr>
        <w:t>般公共预算财政拨款支出决算表</w:t>
      </w:r>
      <w:bookmarkEnd w:id="100"/>
      <w:bookmarkEnd w:id="101"/>
    </w:p>
    <w:p>
      <w:pPr>
        <w:pStyle w:val="4"/>
        <w:rPr>
          <w:rFonts w:ascii="仿宋" w:eastAsia="仿宋"/>
          <w:color w:val="auto"/>
          <w:highlight w:val="none"/>
        </w:rPr>
      </w:pPr>
      <w:bookmarkStart w:id="102" w:name="_Toc14431"/>
      <w:bookmarkStart w:id="103" w:name="_Toc15396625"/>
      <w:r>
        <w:rPr>
          <w:rStyle w:val="22"/>
          <w:rFonts w:hint="eastAsia" w:ascii="仿宋" w:eastAsia="仿宋"/>
          <w:b w:val="0"/>
          <w:bCs w:val="0"/>
          <w:color w:val="auto"/>
          <w:highlight w:val="none"/>
        </w:rPr>
        <w:t>七、</w:t>
      </w:r>
      <w:r>
        <w:rPr>
          <w:rFonts w:hint="eastAsia" w:ascii="仿宋" w:eastAsia="仿宋"/>
          <w:b w:val="0"/>
          <w:color w:val="auto"/>
          <w:highlight w:val="none"/>
        </w:rPr>
        <w:t>一</w:t>
      </w:r>
      <w:r>
        <w:rPr>
          <w:rStyle w:val="22"/>
          <w:rFonts w:hint="eastAsia" w:ascii="仿宋" w:eastAsia="仿宋"/>
          <w:b w:val="0"/>
          <w:bCs w:val="0"/>
          <w:color w:val="auto"/>
          <w:highlight w:val="none"/>
        </w:rPr>
        <w:t>般公共预算财政拨款支出决算明细表</w:t>
      </w:r>
      <w:bookmarkEnd w:id="102"/>
      <w:bookmarkEnd w:id="103"/>
    </w:p>
    <w:p>
      <w:pPr>
        <w:pStyle w:val="4"/>
        <w:rPr>
          <w:rFonts w:ascii="仿宋" w:eastAsia="仿宋"/>
          <w:color w:val="auto"/>
          <w:highlight w:val="none"/>
        </w:rPr>
      </w:pPr>
      <w:bookmarkStart w:id="104" w:name="_Toc7386"/>
      <w:bookmarkStart w:id="105" w:name="_Toc15396626"/>
      <w:r>
        <w:rPr>
          <w:rStyle w:val="22"/>
          <w:rFonts w:hint="eastAsia" w:ascii="仿宋" w:eastAsia="仿宋"/>
          <w:b w:val="0"/>
          <w:bCs w:val="0"/>
          <w:color w:val="auto"/>
          <w:highlight w:val="none"/>
        </w:rPr>
        <w:t>八、</w:t>
      </w:r>
      <w:r>
        <w:rPr>
          <w:rFonts w:hint="eastAsia" w:ascii="仿宋" w:eastAsia="仿宋"/>
          <w:b w:val="0"/>
          <w:color w:val="auto"/>
          <w:highlight w:val="none"/>
        </w:rPr>
        <w:t>一</w:t>
      </w:r>
      <w:r>
        <w:rPr>
          <w:rStyle w:val="22"/>
          <w:rFonts w:hint="eastAsia" w:ascii="仿宋" w:eastAsia="仿宋"/>
          <w:b w:val="0"/>
          <w:bCs w:val="0"/>
          <w:color w:val="auto"/>
          <w:highlight w:val="none"/>
        </w:rPr>
        <w:t>般公共预算财政拨款基本支出决算表</w:t>
      </w:r>
      <w:bookmarkEnd w:id="104"/>
      <w:bookmarkEnd w:id="105"/>
    </w:p>
    <w:p>
      <w:pPr>
        <w:pStyle w:val="4"/>
        <w:rPr>
          <w:rFonts w:ascii="仿宋" w:eastAsia="仿宋"/>
          <w:color w:val="auto"/>
          <w:highlight w:val="none"/>
        </w:rPr>
      </w:pPr>
      <w:bookmarkStart w:id="106" w:name="_Toc16706"/>
      <w:bookmarkStart w:id="107" w:name="_Toc15396627"/>
      <w:r>
        <w:rPr>
          <w:rStyle w:val="22"/>
          <w:rFonts w:hint="eastAsia" w:ascii="仿宋" w:eastAsia="仿宋"/>
          <w:b w:val="0"/>
          <w:bCs w:val="0"/>
          <w:color w:val="auto"/>
          <w:highlight w:val="none"/>
        </w:rPr>
        <w:t>九、</w:t>
      </w:r>
      <w:r>
        <w:rPr>
          <w:rFonts w:hint="eastAsia" w:ascii="仿宋" w:eastAsia="仿宋"/>
          <w:b w:val="0"/>
          <w:color w:val="auto"/>
          <w:highlight w:val="none"/>
        </w:rPr>
        <w:t>一</w:t>
      </w:r>
      <w:r>
        <w:rPr>
          <w:rStyle w:val="22"/>
          <w:rFonts w:hint="eastAsia" w:ascii="仿宋" w:eastAsia="仿宋"/>
          <w:b w:val="0"/>
          <w:bCs w:val="0"/>
          <w:color w:val="auto"/>
          <w:highlight w:val="none"/>
        </w:rPr>
        <w:t>般公共预算财政拨款项目支出决算表</w:t>
      </w:r>
      <w:bookmarkEnd w:id="106"/>
      <w:bookmarkEnd w:id="107"/>
    </w:p>
    <w:p>
      <w:pPr>
        <w:pStyle w:val="4"/>
        <w:rPr>
          <w:rFonts w:ascii="仿宋" w:eastAsia="仿宋"/>
          <w:color w:val="auto"/>
          <w:highlight w:val="none"/>
        </w:rPr>
      </w:pPr>
      <w:bookmarkStart w:id="108" w:name="_Toc15396628"/>
      <w:bookmarkStart w:id="109" w:name="_Toc24047"/>
      <w:r>
        <w:rPr>
          <w:rStyle w:val="22"/>
          <w:rFonts w:hint="eastAsia" w:ascii="仿宋" w:eastAsia="仿宋"/>
          <w:b w:val="0"/>
          <w:bCs w:val="0"/>
          <w:color w:val="auto"/>
          <w:highlight w:val="none"/>
        </w:rPr>
        <w:t>十、</w:t>
      </w:r>
      <w:bookmarkEnd w:id="108"/>
      <w:r>
        <w:rPr>
          <w:rFonts w:hint="eastAsia" w:ascii="仿宋" w:eastAsia="仿宋"/>
          <w:b w:val="0"/>
          <w:color w:val="auto"/>
          <w:highlight w:val="none"/>
        </w:rPr>
        <w:t>政</w:t>
      </w:r>
      <w:r>
        <w:rPr>
          <w:rStyle w:val="22"/>
          <w:rFonts w:hint="eastAsia" w:ascii="仿宋" w:eastAsia="仿宋"/>
          <w:b w:val="0"/>
          <w:bCs w:val="0"/>
          <w:color w:val="auto"/>
          <w:highlight w:val="none"/>
        </w:rPr>
        <w:t>府性基金预算财政拨款收入支出决算表</w:t>
      </w:r>
      <w:bookmarkEnd w:id="109"/>
    </w:p>
    <w:p>
      <w:pPr>
        <w:pStyle w:val="4"/>
        <w:rPr>
          <w:rFonts w:ascii="仿宋" w:eastAsia="仿宋"/>
          <w:color w:val="auto"/>
          <w:highlight w:val="none"/>
        </w:rPr>
      </w:pPr>
      <w:bookmarkStart w:id="110" w:name="_Toc15396629"/>
      <w:bookmarkStart w:id="111" w:name="_Toc11243"/>
      <w:r>
        <w:rPr>
          <w:rStyle w:val="22"/>
          <w:rFonts w:hint="eastAsia" w:ascii="仿宋" w:eastAsia="仿宋"/>
          <w:b w:val="0"/>
          <w:bCs w:val="0"/>
          <w:color w:val="auto"/>
          <w:highlight w:val="none"/>
        </w:rPr>
        <w:t>十一、</w:t>
      </w:r>
      <w:bookmarkEnd w:id="110"/>
      <w:r>
        <w:rPr>
          <w:rFonts w:hint="eastAsia" w:ascii="仿宋" w:eastAsia="仿宋"/>
          <w:b w:val="0"/>
          <w:color w:val="auto"/>
          <w:highlight w:val="none"/>
        </w:rPr>
        <w:t>国</w:t>
      </w:r>
      <w:r>
        <w:rPr>
          <w:rStyle w:val="22"/>
          <w:rFonts w:hint="eastAsia" w:ascii="仿宋" w:eastAsia="仿宋"/>
          <w:b w:val="0"/>
          <w:bCs w:val="0"/>
          <w:color w:val="auto"/>
          <w:highlight w:val="none"/>
        </w:rPr>
        <w:t>有资本经营预算</w:t>
      </w:r>
      <w:r>
        <w:rPr>
          <w:rStyle w:val="22"/>
          <w:rFonts w:hint="eastAsia" w:ascii="仿宋" w:eastAsia="仿宋"/>
          <w:b w:val="0"/>
          <w:bCs w:val="0"/>
          <w:color w:val="auto"/>
          <w:highlight w:val="none"/>
          <w:lang w:eastAsia="zh-CN"/>
        </w:rPr>
        <w:t>财政拨款收入</w:t>
      </w:r>
      <w:r>
        <w:rPr>
          <w:rStyle w:val="22"/>
          <w:rFonts w:hint="eastAsia" w:ascii="仿宋" w:eastAsia="仿宋"/>
          <w:b w:val="0"/>
          <w:bCs w:val="0"/>
          <w:color w:val="auto"/>
          <w:highlight w:val="none"/>
        </w:rPr>
        <w:t>支出决算表</w:t>
      </w:r>
      <w:bookmarkEnd w:id="111"/>
    </w:p>
    <w:p>
      <w:pPr>
        <w:pStyle w:val="4"/>
        <w:rPr>
          <w:rFonts w:ascii="仿宋" w:eastAsia="仿宋"/>
          <w:color w:val="auto"/>
          <w:highlight w:val="none"/>
        </w:rPr>
      </w:pPr>
      <w:bookmarkStart w:id="112" w:name="_Toc15396630"/>
      <w:bookmarkStart w:id="113" w:name="_Toc20705"/>
      <w:r>
        <w:rPr>
          <w:rStyle w:val="22"/>
          <w:rFonts w:hint="eastAsia" w:ascii="仿宋" w:eastAsia="仿宋"/>
          <w:b w:val="0"/>
          <w:bCs w:val="0"/>
          <w:color w:val="auto"/>
          <w:highlight w:val="none"/>
        </w:rPr>
        <w:t>十二、</w:t>
      </w:r>
      <w:bookmarkEnd w:id="112"/>
      <w:r>
        <w:rPr>
          <w:rStyle w:val="22"/>
          <w:rFonts w:hint="eastAsia" w:ascii="仿宋" w:eastAsia="仿宋"/>
          <w:b w:val="0"/>
          <w:bCs w:val="0"/>
          <w:color w:val="auto"/>
          <w:highlight w:val="none"/>
          <w:lang w:eastAsia="zh-CN"/>
        </w:rPr>
        <w:t>国有资本经营预算财政拨款支出决算表</w:t>
      </w:r>
      <w:bookmarkEnd w:id="113"/>
    </w:p>
    <w:p>
      <w:pPr>
        <w:pStyle w:val="4"/>
        <w:rPr>
          <w:rFonts w:hint="eastAsia" w:eastAsia="仿宋"/>
          <w:color w:val="auto"/>
          <w:highlight w:val="none"/>
          <w:lang w:eastAsia="zh-CN"/>
        </w:rPr>
      </w:pPr>
      <w:bookmarkStart w:id="114" w:name="_Toc15396631"/>
      <w:bookmarkStart w:id="115" w:name="_Toc1135"/>
      <w:r>
        <w:rPr>
          <w:rStyle w:val="22"/>
          <w:rFonts w:hint="eastAsia" w:ascii="仿宋" w:eastAsia="仿宋"/>
          <w:b w:val="0"/>
          <w:bCs w:val="0"/>
          <w:color w:val="auto"/>
          <w:highlight w:val="none"/>
        </w:rPr>
        <w:t>十三、</w:t>
      </w:r>
      <w:bookmarkEnd w:id="114"/>
      <w:r>
        <w:rPr>
          <w:rStyle w:val="22"/>
          <w:rFonts w:hint="eastAsia" w:ascii="仿宋" w:eastAsia="仿宋"/>
          <w:b w:val="0"/>
          <w:bCs w:val="0"/>
          <w:color w:val="auto"/>
          <w:highlight w:val="none"/>
          <w:lang w:eastAsia="zh-CN"/>
        </w:rPr>
        <w:t>财政拨款“三公”经费支出决算表</w:t>
      </w:r>
      <w:bookmarkEnd w:id="115"/>
    </w:p>
    <w:sectPr>
      <w:footerReference r:id="rId5" w:type="default"/>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方正小标宋简体">
    <w:altName w:val="黑体"/>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95019484"/>
    </w:sdtPr>
    <w:sdtContent>
      <w:p>
        <w:pPr>
          <w:pStyle w:val="11"/>
          <w:jc w:val="center"/>
        </w:pPr>
        <w:r>
          <w:fldChar w:fldCharType="begin"/>
        </w:r>
        <w:r>
          <w:instrText xml:space="preserve">PAGE   \* MERGEFORMAT</w:instrText>
        </w:r>
        <w:r>
          <w:fldChar w:fldCharType="separate"/>
        </w:r>
        <w:r>
          <w:rPr>
            <w:lang w:val="zh-CN"/>
          </w:rPr>
          <w:t>8</w:t>
        </w:r>
        <w:r>
          <w:fldChar w:fldCharType="end"/>
        </w:r>
      </w:p>
    </w:sdtContent>
  </w:sdt>
  <w:p>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95019484"/>
    </w:sdtPr>
    <w:sdtContent>
      <w:p>
        <w:pPr>
          <w:pStyle w:val="11"/>
          <w:jc w:val="center"/>
        </w:pPr>
        <w:r>
          <w:fldChar w:fldCharType="begin"/>
        </w:r>
        <w:r>
          <w:instrText xml:space="preserve">PAGE   \* MERGEFORMAT</w:instrText>
        </w:r>
        <w:r>
          <w:fldChar w:fldCharType="separate"/>
        </w:r>
        <w:r>
          <w:rPr>
            <w:lang w:val="zh-CN"/>
          </w:rPr>
          <w:t>8</w:t>
        </w:r>
        <w:r>
          <w:fldChar w:fldCharType="end"/>
        </w:r>
      </w:p>
    </w:sdtContent>
  </w:sdt>
  <w:p>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singleLevel"/>
    <w:tmpl w:val="BF205925"/>
    <w:lvl w:ilvl="0" w:tentative="0">
      <w:start w:val="3"/>
      <w:numFmt w:val="chineseCounting"/>
      <w:suff w:val="space"/>
      <w:lvlText w:val="第%1部分"/>
      <w:lvlJc w:val="left"/>
      <w:pPr>
        <w:ind w:left="0" w:firstLine="0"/>
      </w:pPr>
      <w:rPr>
        <w:rFonts w:hint="eastAsia" w:ascii="黑体" w:hAnsi="黑体" w:eastAsia="黑体" w:cs="黑体"/>
        <w:sz w:val="44"/>
        <w:szCs w:val="44"/>
      </w:rPr>
    </w:lvl>
  </w:abstractNum>
  <w:abstractNum w:abstractNumId="1">
    <w:nsid w:val="CF092B84"/>
    <w:multiLevelType w:val="singleLevel"/>
    <w:tmpl w:val="CF092B84"/>
    <w:lvl w:ilvl="0" w:tentative="0">
      <w:start w:val="9"/>
      <w:numFmt w:val="chineseCounting"/>
      <w:suff w:val="nothing"/>
      <w:lvlText w:val="%1、"/>
      <w:lvlJc w:val="left"/>
      <w:pPr>
        <w:ind w:left="0" w:firstLine="0"/>
      </w:pPr>
      <w:rPr>
        <w:rFonts w:hint="eastAsia"/>
      </w:rPr>
    </w:lvl>
  </w:abstractNum>
  <w:abstractNum w:abstractNumId="2">
    <w:nsid w:val="0053208E"/>
    <w:multiLevelType w:val="multilevel"/>
    <w:tmpl w:val="0053208E"/>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59ADCABA"/>
    <w:multiLevelType w:val="singleLevel"/>
    <w:tmpl w:val="59ADCABA"/>
    <w:lvl w:ilvl="0" w:tentative="0">
      <w:start w:val="3"/>
      <w:numFmt w:val="chineseCounting"/>
      <w:suff w:val="nothing"/>
      <w:lvlText w:val="（%1）"/>
      <w:lvlJc w:val="left"/>
      <w:pPr>
        <w:ind w:left="0" w:firstLine="0"/>
      </w:pPr>
      <w:rPr>
        <w:rFonts w:hint="eastAsia"/>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5"/>
  </w:compat>
  <w:docVars>
    <w:docVar w:name="commondata" w:val="eyJoZGlkIjoiZTBiNzA2ZjIyZTQwZmFmZGMwZjhhNjI3NTM3OGRmYjAifQ=="/>
  </w:docVars>
  <w:rsids>
    <w:rsidRoot w:val="00000000"/>
    <w:rsid w:val="5ADF48A2"/>
  </w:rsids>
  <m:mathPr>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autoRedefine/>
    <w:qFormat/>
    <w:uiPriority w:val="0"/>
    <w:pPr>
      <w:keepNext/>
      <w:keepLines/>
      <w:widowControl w:val="0"/>
      <w:spacing w:before="340" w:after="330" w:line="578" w:lineRule="auto"/>
      <w:outlineLvl w:val="0"/>
    </w:pPr>
    <w:rPr>
      <w:b/>
      <w:bCs/>
      <w:kern w:val="44"/>
      <w:sz w:val="44"/>
      <w:szCs w:val="44"/>
    </w:rPr>
  </w:style>
  <w:style w:type="paragraph" w:styleId="4">
    <w:name w:val="heading 2"/>
    <w:basedOn w:val="1"/>
    <w:next w:val="1"/>
    <w:link w:val="22"/>
    <w:autoRedefine/>
    <w:qFormat/>
    <w:uiPriority w:val="0"/>
    <w:pPr>
      <w:keepNext/>
      <w:keepLines/>
      <w:widowControl w:val="0"/>
      <w:spacing w:before="260" w:after="260" w:line="415" w:lineRule="auto"/>
      <w:outlineLvl w:val="1"/>
    </w:pPr>
    <w:rPr>
      <w:rFonts w:ascii="Cambria" w:hAnsi="Cambria" w:eastAsia="宋体" w:cs="Times New Roman"/>
      <w:b/>
      <w:bCs/>
      <w:sz w:val="32"/>
      <w:szCs w:val="32"/>
    </w:rPr>
  </w:style>
  <w:style w:type="paragraph" w:styleId="5">
    <w:name w:val="heading 3"/>
    <w:basedOn w:val="1"/>
    <w:next w:val="1"/>
    <w:autoRedefine/>
    <w:qFormat/>
    <w:uiPriority w:val="0"/>
    <w:pPr>
      <w:keepNext/>
      <w:keepLines/>
      <w:widowControl w:val="0"/>
      <w:spacing w:before="260" w:after="260" w:line="415" w:lineRule="auto"/>
      <w:outlineLvl w:val="2"/>
    </w:pPr>
    <w:rPr>
      <w:b/>
      <w:bCs/>
      <w:sz w:val="32"/>
      <w:szCs w:val="32"/>
    </w:rPr>
  </w:style>
  <w:style w:type="character" w:default="1" w:styleId="18">
    <w:name w:val="Default Paragraph Font"/>
    <w:autoRedefine/>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before="30" w:beforeLines="30"/>
    </w:pPr>
    <w:rPr>
      <w:rFonts w:ascii="仿宋_GB2312" w:eastAsia="仿宋_GB2312"/>
      <w:kern w:val="0"/>
      <w:sz w:val="30"/>
    </w:rPr>
  </w:style>
  <w:style w:type="paragraph" w:styleId="6">
    <w:name w:val="index 8"/>
    <w:basedOn w:val="1"/>
    <w:next w:val="1"/>
    <w:qFormat/>
    <w:uiPriority w:val="0"/>
    <w:pPr>
      <w:ind w:left="2940"/>
    </w:pPr>
  </w:style>
  <w:style w:type="paragraph" w:styleId="7">
    <w:name w:val="Body Text Indent"/>
    <w:basedOn w:val="1"/>
    <w:next w:val="8"/>
    <w:autoRedefine/>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0" w:beforeAutospacing="0" w:after="0" w:afterAutospacing="0" w:line="240" w:lineRule="auto"/>
      <w:ind w:left="0" w:right="0" w:firstLine="643"/>
      <w:jc w:val="both"/>
      <w:textAlignment w:val="auto"/>
      <w:outlineLvl w:val="9"/>
    </w:pPr>
    <w:rPr>
      <w:rFonts w:ascii="Times New Roman" w:hAnsi="Times New Roman" w:eastAsia="仿宋_GB2312" w:cs="宋体"/>
      <w:b/>
      <w:snapToGrid/>
      <w:color w:val="000000"/>
      <w:spacing w:val="0"/>
      <w:w w:val="100"/>
      <w:kern w:val="2"/>
      <w:position w:val="0"/>
      <w:sz w:val="32"/>
      <w:szCs w:val="24"/>
      <w:u w:val="none" w:color="auto"/>
      <w:vertAlign w:val="baseline"/>
      <w:lang w:val="en-US" w:eastAsia="zh-CN" w:bidi="ar-SA"/>
    </w:rPr>
  </w:style>
  <w:style w:type="paragraph" w:styleId="8">
    <w:name w:val="Body Text First Indent 2"/>
    <w:basedOn w:val="7"/>
    <w:next w:val="1"/>
    <w:qFormat/>
    <w:uiPriority w:val="0"/>
    <w:pPr>
      <w:ind w:firstLine="200" w:firstLineChars="200"/>
    </w:pPr>
  </w:style>
  <w:style w:type="paragraph" w:styleId="9">
    <w:name w:val="toc 3"/>
    <w:basedOn w:val="1"/>
    <w:next w:val="1"/>
    <w:autoRedefine/>
    <w:qFormat/>
    <w:uiPriority w:val="0"/>
    <w:pPr>
      <w:tabs>
        <w:tab w:val="right" w:leader="dot" w:pos="8296"/>
      </w:tabs>
      <w:ind w:left="400" w:leftChars="400"/>
    </w:pPr>
  </w:style>
  <w:style w:type="paragraph" w:styleId="10">
    <w:name w:val="Balloon Text"/>
    <w:basedOn w:val="1"/>
    <w:autoRedefine/>
    <w:qFormat/>
    <w:uiPriority w:val="0"/>
    <w:rPr>
      <w:sz w:val="18"/>
      <w:szCs w:val="18"/>
    </w:rPr>
  </w:style>
  <w:style w:type="paragraph" w:styleId="11">
    <w:name w:val="footer"/>
    <w:basedOn w:val="1"/>
    <w:autoRedefine/>
    <w:qFormat/>
    <w:uiPriority w:val="0"/>
    <w:pPr>
      <w:tabs>
        <w:tab w:val="center" w:pos="4153"/>
        <w:tab w:val="right" w:pos="8306"/>
      </w:tabs>
      <w:snapToGrid w:val="0"/>
      <w:jc w:val="left"/>
    </w:pPr>
    <w:rPr>
      <w:rFonts w:ascii="Calibri" w:hAnsi="Calibri"/>
      <w:kern w:val="0"/>
      <w:sz w:val="18"/>
      <w:szCs w:val="18"/>
    </w:rPr>
  </w:style>
  <w:style w:type="paragraph" w:styleId="12">
    <w:name w:val="header"/>
    <w:basedOn w:val="1"/>
    <w:autoRedefine/>
    <w:qFormat/>
    <w:uiPriority w:val="0"/>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3">
    <w:name w:val="toc 1"/>
    <w:basedOn w:val="1"/>
    <w:next w:val="1"/>
    <w:autoRedefine/>
    <w:qFormat/>
    <w:uiPriority w:val="0"/>
    <w:pPr>
      <w:tabs>
        <w:tab w:val="right" w:leader="dot" w:pos="8296"/>
      </w:tabs>
      <w:spacing w:before="93"/>
      <w:jc w:val="center"/>
    </w:pPr>
    <w:rPr>
      <w:rFonts w:ascii="仿宋" w:eastAsia="仿宋"/>
      <w:sz w:val="28"/>
      <w:szCs w:val="28"/>
    </w:rPr>
  </w:style>
  <w:style w:type="paragraph" w:styleId="14">
    <w:name w:val="toc 2"/>
    <w:basedOn w:val="1"/>
    <w:next w:val="1"/>
    <w:autoRedefine/>
    <w:qFormat/>
    <w:uiPriority w:val="0"/>
    <w:pPr>
      <w:tabs>
        <w:tab w:val="right" w:leader="dot" w:pos="8296"/>
      </w:tabs>
      <w:ind w:left="200" w:leftChars="200"/>
    </w:pPr>
  </w:style>
  <w:style w:type="paragraph" w:styleId="15">
    <w:name w:val="Normal (Web)"/>
    <w:autoRedefine/>
    <w:qFormat/>
    <w:uiPriority w:val="0"/>
    <w:pPr>
      <w:widowControl w:val="0"/>
      <w:spacing w:before="100" w:beforeAutospacing="1" w:after="100" w:afterAutospacing="1"/>
      <w:ind w:left="0" w:right="0"/>
      <w:jc w:val="left"/>
    </w:pPr>
    <w:rPr>
      <w:rFonts w:ascii="Times New Roman" w:hAnsi="Times New Roman" w:eastAsia="宋体" w:cs="Times New Roman"/>
      <w:kern w:val="0"/>
      <w:sz w:val="24"/>
      <w:szCs w:val="24"/>
      <w:lang w:val="en-US" w:eastAsia="zh-CN" w:bidi="ar-SA"/>
    </w:rPr>
  </w:style>
  <w:style w:type="table" w:styleId="17">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autoRedefine/>
    <w:qFormat/>
    <w:uiPriority w:val="0"/>
    <w:rPr>
      <w:b/>
    </w:rPr>
  </w:style>
  <w:style w:type="character" w:styleId="20">
    <w:name w:val="Hyperlink"/>
    <w:basedOn w:val="18"/>
    <w:autoRedefine/>
    <w:qFormat/>
    <w:uiPriority w:val="0"/>
    <w:rPr>
      <w:color w:val="0000FF"/>
      <w:u w:val="single"/>
    </w:rPr>
  </w:style>
  <w:style w:type="character" w:customStyle="1" w:styleId="21">
    <w:name w:val="heading 1 Char"/>
    <w:basedOn w:val="18"/>
    <w:link w:val="3"/>
    <w:autoRedefine/>
    <w:qFormat/>
    <w:uiPriority w:val="0"/>
    <w:rPr>
      <w:rFonts w:ascii="Times New Roman" w:hAnsi="Times New Roman" w:eastAsia="宋体" w:cs="Times New Roman"/>
      <w:b/>
      <w:bCs/>
      <w:kern w:val="44"/>
      <w:sz w:val="44"/>
      <w:szCs w:val="44"/>
      <w:lang w:val="en-US" w:eastAsia="zh-CN" w:bidi="ar-SA"/>
    </w:rPr>
  </w:style>
  <w:style w:type="character" w:customStyle="1" w:styleId="22">
    <w:name w:val="heading 2 Char"/>
    <w:basedOn w:val="18"/>
    <w:link w:val="4"/>
    <w:autoRedefine/>
    <w:qFormat/>
    <w:uiPriority w:val="0"/>
    <w:rPr>
      <w:rFonts w:ascii="Cambria" w:hAnsi="Cambria" w:eastAsia="宋体" w:cs="Times New Roman"/>
      <w:b/>
      <w:bCs/>
      <w:kern w:val="2"/>
      <w:sz w:val="32"/>
      <w:szCs w:val="32"/>
      <w:lang w:val="en-US" w:eastAsia="zh-CN" w:bidi="ar-SA"/>
    </w:rPr>
  </w:style>
  <w:style w:type="character" w:customStyle="1" w:styleId="23">
    <w:name w:val="Header Char"/>
    <w:basedOn w:val="18"/>
    <w:autoRedefine/>
    <w:qFormat/>
    <w:uiPriority w:val="0"/>
    <w:rPr>
      <w:rFonts w:ascii="Times New Roman" w:hAnsi="Times New Roman"/>
      <w:sz w:val="18"/>
      <w:szCs w:val="18"/>
    </w:rPr>
  </w:style>
  <w:style w:type="character" w:customStyle="1" w:styleId="24">
    <w:name w:val="Footer Char"/>
    <w:basedOn w:val="18"/>
    <w:autoRedefine/>
    <w:qFormat/>
    <w:uiPriority w:val="0"/>
    <w:rPr>
      <w:rFonts w:ascii="Times New Roman" w:hAnsi="Times New Roman"/>
      <w:sz w:val="18"/>
      <w:szCs w:val="18"/>
    </w:rPr>
  </w:style>
  <w:style w:type="character" w:customStyle="1" w:styleId="25">
    <w:name w:val="Body Text Char"/>
    <w:basedOn w:val="18"/>
    <w:autoRedefine/>
    <w:qFormat/>
    <w:uiPriority w:val="0"/>
    <w:rPr>
      <w:rFonts w:ascii="Times New Roman" w:hAnsi="Times New Roman"/>
      <w:szCs w:val="24"/>
    </w:rPr>
  </w:style>
  <w:style w:type="paragraph" w:customStyle="1" w:styleId="26">
    <w:name w:val="Default"/>
    <w:qFormat/>
    <w:uiPriority w:val="0"/>
    <w:pPr>
      <w:widowControl w:val="0"/>
      <w:autoSpaceDE w:val="0"/>
      <w:autoSpaceDN w:val="0"/>
      <w:adjustRightInd w:val="0"/>
    </w:pPr>
    <w:rPr>
      <w:rFonts w:ascii="仿宋" w:hAnsi="Times New Roman" w:eastAsia="仿宋" w:cs="仿宋"/>
      <w:color w:val="000000"/>
      <w:sz w:val="24"/>
      <w:szCs w:val="24"/>
      <w:lang w:val="en-US" w:eastAsia="zh-CN" w:bidi="ar-SA"/>
    </w:rPr>
  </w:style>
  <w:style w:type="paragraph" w:styleId="27">
    <w:name w:val="List Paragraph"/>
    <w:basedOn w:val="1"/>
    <w:autoRedefine/>
    <w:qFormat/>
    <w:uiPriority w:val="0"/>
    <w:pPr>
      <w:ind w:firstLine="200" w:firstLineChars="200"/>
    </w:pPr>
  </w:style>
  <w:style w:type="paragraph" w:customStyle="1" w:styleId="28">
    <w:name w:val="TOC 标题1"/>
    <w:basedOn w:val="3"/>
    <w:next w:val="1"/>
    <w:qFormat/>
    <w:uiPriority w:val="0"/>
    <w:pPr>
      <w:keepNext/>
      <w:keepLines/>
      <w:widowControl/>
      <w:spacing w:before="480" w:after="0" w:line="276" w:lineRule="auto"/>
      <w:jc w:val="left"/>
      <w:outlineLvl w:val="9"/>
    </w:pPr>
    <w:rPr>
      <w:rFonts w:ascii="Cambria" w:hAnsi="Cambria" w:eastAsia="宋体" w:cs="Times New Roman"/>
      <w:color w:val="376092"/>
      <w:kern w:val="0"/>
      <w:sz w:val="28"/>
      <w:szCs w:val="28"/>
    </w:rPr>
  </w:style>
  <w:style w:type="paragraph" w:customStyle="1" w:styleId="29">
    <w:name w:val="TOC Heading"/>
    <w:basedOn w:val="3"/>
    <w:next w:val="1"/>
    <w:qFormat/>
    <w:uiPriority w:val="0"/>
    <w:pPr>
      <w:keepNext/>
      <w:keepLines/>
      <w:widowControl/>
      <w:spacing w:before="480" w:after="0" w:line="276" w:lineRule="auto"/>
      <w:jc w:val="left"/>
      <w:outlineLvl w:val="9"/>
    </w:pPr>
    <w:rPr>
      <w:rFonts w:ascii="Cambria" w:hAnsi="Cambria" w:eastAsia="宋体" w:cs="Times New Roman"/>
      <w:color w:val="376092"/>
      <w:kern w:val="0"/>
      <w:sz w:val="28"/>
      <w:szCs w:val="28"/>
    </w:rPr>
  </w:style>
  <w:style w:type="character" w:customStyle="1" w:styleId="30">
    <w:name w:val="19"/>
    <w:qFormat/>
    <w:uiPriority w:val="0"/>
    <w:rPr>
      <w:rFonts w:ascii="Times New Roman" w:hAnsi="Times New Roman" w:eastAsia="楷体_GB2312" w:cs="楷体_GB2312"/>
      <w:sz w:val="32"/>
      <w:szCs w:val="32"/>
    </w:rPr>
  </w:style>
</w:styles>
</file>

<file path=word/_rels/document.xml.rels><?xml version="1.0" encoding="UTF-8" standalone="yes"?>
<Relationships xmlns="http://schemas.openxmlformats.org/package/2006/relationships"><Relationship Id="rId9" Type="http://schemas.openxmlformats.org/officeDocument/2006/relationships/chart" Target="charts/chart3.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3.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chart" Target="charts/chart6.xml"/><Relationship Id="rId11" Type="http://schemas.openxmlformats.org/officeDocument/2006/relationships/chart" Target="charts/chart5.xml"/><Relationship Id="rId10" Type="http://schemas.openxmlformats.org/officeDocument/2006/relationships/chart" Target="charts/chart4.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file:///I:\2022&#24180;&#20915;&#31639;&#32534;&#21046;&#36164;&#26009;\&#20915;&#31639;&#26609;&#29366;&#39292;&#29366;&#22270;.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I:\2022&#24180;&#20915;&#31639;&#32534;&#21046;&#36164;&#26009;\&#20915;&#31639;&#26609;&#29366;&#39292;&#29366;&#22270;.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I:\2022&#24180;&#20915;&#31639;&#32534;&#21046;&#36164;&#26009;\&#20915;&#31639;&#26609;&#29366;&#39292;&#29366;&#22270;.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I:\2022&#24180;&#20915;&#31639;&#32534;&#21046;&#36164;&#26009;\&#20915;&#31639;&#26609;&#29366;&#39292;&#29366;&#22270;.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I:\2022&#24180;&#20915;&#31639;&#32534;&#21046;&#36164;&#26009;\&#20915;&#31639;&#26609;&#29366;&#39292;&#29366;&#22270;.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I:\2022&#24180;&#20915;&#31639;&#32534;&#21046;&#36164;&#26009;\&#20915;&#31639;&#26609;&#29366;&#39292;&#29366;&#2227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[决算柱状饼状图.xlsx]Sheet1!$A$2</c:f>
              <c:strCache>
                <c:ptCount val="1"/>
                <c:pt idx="0">
                  <c:v>2021年</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dk1">
                          <a:lumMod val="50000"/>
                          <a:lumOff val="50000"/>
                        </a:schemeClr>
                      </a:solidFill>
                      <a:prstDash val="solid"/>
                      <a:round/>
                    </a:ln>
                    <a:effectLst/>
                  </c:spPr>
                </c15:leaderLines>
              </c:ext>
            </c:extLst>
          </c:dLbls>
          <c:errBars>
            <c:errBarType val="both"/>
            <c:errValType val="stdErr"/>
            <c:noEndCap val="0"/>
            <c:spPr>
              <a:noFill/>
              <a:ln w="9525" cap="flat" cmpd="sng" algn="ctr">
                <a:solidFill>
                  <a:schemeClr val="dk1">
                    <a:lumMod val="65000"/>
                    <a:lumOff val="35000"/>
                  </a:schemeClr>
                </a:solidFill>
                <a:prstDash val="solid"/>
                <a:round/>
              </a:ln>
              <a:effectLst/>
            </c:spPr>
          </c:errBars>
          <c:cat>
            <c:strRef>
              <c:f>[决算柱状饼状图.xlsx]Sheet1!$B$1:$C$1</c:f>
              <c:strCache>
                <c:ptCount val="2"/>
                <c:pt idx="0">
                  <c:v>收入</c:v>
                </c:pt>
                <c:pt idx="1">
                  <c:v>支出</c:v>
                </c:pt>
              </c:strCache>
            </c:strRef>
          </c:cat>
          <c:val>
            <c:numRef>
              <c:f>[决算柱状饼状图.xlsx]Sheet1!$B$2:$C$2</c:f>
              <c:numCache>
                <c:formatCode>0.00_ </c:formatCode>
                <c:ptCount val="2"/>
                <c:pt idx="0">
                  <c:v>160.13</c:v>
                </c:pt>
                <c:pt idx="1">
                  <c:v>160.13</c:v>
                </c:pt>
              </c:numCache>
            </c:numRef>
          </c:val>
        </c:ser>
        <c:ser>
          <c:idx val="1"/>
          <c:order val="1"/>
          <c:tx>
            <c:strRef>
              <c:f>[决算柱状饼状图.xlsx]Sheet1!$A$3</c:f>
              <c:strCache>
                <c:ptCount val="1"/>
                <c:pt idx="0">
                  <c:v>2022年</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dk1">
                          <a:lumMod val="50000"/>
                          <a:lumOff val="50000"/>
                        </a:schemeClr>
                      </a:solidFill>
                      <a:prstDash val="solid"/>
                      <a:round/>
                    </a:ln>
                    <a:effectLst/>
                  </c:spPr>
                </c15:leaderLines>
              </c:ext>
            </c:extLst>
          </c:dLbls>
          <c:errBars>
            <c:errBarType val="both"/>
            <c:errValType val="stdErr"/>
            <c:noEndCap val="0"/>
            <c:spPr>
              <a:noFill/>
              <a:ln w="9525" cap="flat" cmpd="sng" algn="ctr">
                <a:solidFill>
                  <a:schemeClr val="dk1">
                    <a:lumMod val="65000"/>
                    <a:lumOff val="35000"/>
                  </a:schemeClr>
                </a:solidFill>
                <a:prstDash val="solid"/>
                <a:round/>
              </a:ln>
              <a:effectLst/>
            </c:spPr>
          </c:errBars>
          <c:cat>
            <c:strRef>
              <c:f>[决算柱状饼状图.xlsx]Sheet1!$B$1:$C$1</c:f>
              <c:strCache>
                <c:ptCount val="2"/>
                <c:pt idx="0">
                  <c:v>收入</c:v>
                </c:pt>
                <c:pt idx="1">
                  <c:v>支出</c:v>
                </c:pt>
              </c:strCache>
            </c:strRef>
          </c:cat>
          <c:val>
            <c:numRef>
              <c:f>[决算柱状饼状图.xlsx]Sheet1!$B$3:$C$3</c:f>
              <c:numCache>
                <c:formatCode>0.00_ </c:formatCode>
                <c:ptCount val="2"/>
                <c:pt idx="0">
                  <c:v>141</c:v>
                </c:pt>
                <c:pt idx="1">
                  <c:v>141</c:v>
                </c:pt>
              </c:numCache>
            </c:numRef>
          </c:val>
        </c:ser>
        <c:dLbls>
          <c:showLegendKey val="0"/>
          <c:showVal val="1"/>
          <c:showCatName val="0"/>
          <c:showSerName val="0"/>
          <c:showPercent val="0"/>
          <c:showBubbleSize val="0"/>
        </c:dLbls>
        <c:gapWidth val="65"/>
        <c:overlap val="0"/>
        <c:axId val="945988029"/>
        <c:axId val="91702100"/>
      </c:barChart>
      <c:catAx>
        <c:axId val="945988029"/>
        <c:scaling>
          <c:orientation val="minMax"/>
        </c:scaling>
        <c:delete val="0"/>
        <c:axPos val="b"/>
        <c:majorTickMark val="out"/>
        <c:minorTickMark val="none"/>
        <c:tickLblPos val="nextTo"/>
        <c:spPr>
          <a:noFill/>
          <a:ln w="19050" cap="flat" cmpd="sng" algn="ctr">
            <a:solidFill>
              <a:schemeClr val="dk1">
                <a:lumMod val="75000"/>
                <a:lumOff val="25000"/>
              </a:schemeClr>
            </a:solidFill>
            <a:prstDash val="solid"/>
            <a:round/>
          </a:ln>
          <a:effectLst/>
        </c:spPr>
        <c:txPr>
          <a:bodyPr rot="-60000000" spcFirstLastPara="0" vertOverflow="ellipsis" vert="horz" wrap="square" anchor="ctr" anchorCtr="1"/>
          <a:lstStyle/>
          <a:p>
            <a:pPr>
              <a:defRPr lang="zh-CN" sz="900" b="0" i="0" u="none" strike="noStrike" kern="1200" cap="all" baseline="0">
                <a:solidFill>
                  <a:schemeClr val="dk1">
                    <a:lumMod val="75000"/>
                    <a:lumOff val="25000"/>
                  </a:schemeClr>
                </a:solidFill>
                <a:latin typeface="+mn-lt"/>
                <a:ea typeface="+mn-ea"/>
                <a:cs typeface="+mn-cs"/>
              </a:defRPr>
            </a:pPr>
          </a:p>
        </c:txPr>
        <c:crossAx val="91702100"/>
        <c:crosses val="autoZero"/>
        <c:auto val="1"/>
        <c:lblAlgn val="ctr"/>
        <c:lblOffset val="100"/>
        <c:noMultiLvlLbl val="0"/>
      </c:catAx>
      <c:valAx>
        <c:axId val="91702100"/>
        <c:scaling>
          <c:orientation val="minMax"/>
        </c:scaling>
        <c:delete val="0"/>
        <c:axPos val="l"/>
        <c:numFmt formatCode="0.00_ " sourceLinked="1"/>
        <c:majorTickMark val="out"/>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crossAx val="945988029"/>
        <c:crosses val="autoZero"/>
        <c:crossBetween val="between"/>
      </c:valAx>
      <c:spPr>
        <a:noFill/>
        <a:ln>
          <a:noFill/>
        </a:ln>
        <a:effectLst/>
      </c:spPr>
    </c:plotArea>
    <c:legend>
      <c:legendPos val="b"/>
      <c:layout/>
      <c:overlay val="0"/>
      <c:spPr>
        <a:solidFill>
          <a:schemeClr val="lt1">
            <a:lumMod val="95000"/>
            <a:alpha val="39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legend>
    <c:plotVisOnly val="1"/>
    <c:dispBlanksAs val="gap"/>
    <c:showDLblsOverMax val="0"/>
  </c:chart>
  <c:spPr>
    <a:noFill/>
    <a:ln w="9525" cap="flat" cmpd="sng" algn="ctr">
      <a:solidFill>
        <a:schemeClr val="dk1">
          <a:lumMod val="25000"/>
          <a:lumOff val="75000"/>
        </a:schemeClr>
      </a:solidFill>
      <a:prstDash val="solid"/>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depthPercent val="100"/>
      <c:rAngAx val="0"/>
    </c:view3D>
    <c:floor>
      <c:thickness val="0"/>
      <c:spPr>
        <a:noFill/>
        <a:effectLst/>
      </c:spPr>
    </c:floor>
    <c:sideWall>
      <c:thickness val="0"/>
      <c:spPr>
        <a:noFill/>
        <a:effectLst/>
      </c:spPr>
    </c:sideWall>
    <c:backWall>
      <c:thickness val="0"/>
      <c:spPr>
        <a:noFill/>
        <a:effectLst/>
      </c:spPr>
    </c:backWall>
    <c:plotArea>
      <c:layout>
        <c:manualLayout>
          <c:layoutTarget val="inner"/>
          <c:xMode val="edge"/>
          <c:yMode val="edge"/>
          <c:x val="0.0301392607738453"/>
          <c:y val="0.209433621933622"/>
          <c:w val="0.938888888888889"/>
          <c:h val="0.645601851851852"/>
        </c:manualLayout>
      </c:layout>
      <c:pie3DChart>
        <c:varyColors val="1"/>
        <c:ser>
          <c:idx val="0"/>
          <c:order val="0"/>
          <c:spPr>
            <a:scene3d>
              <a:camera prst="orthographicFront"/>
              <a:lightRig rig="threePt" dir="t"/>
            </a:scene3d>
            <a:sp3d contourW="9525"/>
          </c:spPr>
          <c:explosion val="0"/>
          <c:dPt>
            <c:idx val="0"/>
            <c:bubble3D val="0"/>
            <c:spPr>
              <a:solidFill>
                <a:schemeClr val="accent1"/>
              </a:solidFill>
              <a:ln>
                <a:noFill/>
              </a:ln>
              <a:effectLst>
                <a:outerShdw blurRad="88900" sx="102000" sy="102000" algn="ctr" rotWithShape="0">
                  <a:prstClr val="black">
                    <a:alpha val="20000"/>
                  </a:prstClr>
                </a:outerShdw>
              </a:effectLst>
              <a:scene3d>
                <a:camera prst="orthographicFront"/>
                <a:lightRig rig="threePt" dir="t"/>
              </a:scene3d>
              <a:sp3d contourW="9525"/>
            </c:spPr>
          </c:dPt>
          <c:dPt>
            <c:idx val="1"/>
            <c:bubble3D val="0"/>
            <c:explosion val="27"/>
            <c:spPr>
              <a:solidFill>
                <a:schemeClr val="accent2"/>
              </a:solidFill>
              <a:ln>
                <a:noFill/>
              </a:ln>
              <a:effectLst>
                <a:outerShdw blurRad="88900" sx="102000" sy="102000" algn="ctr" rotWithShape="0">
                  <a:prstClr val="black">
                    <a:alpha val="20000"/>
                  </a:prstClr>
                </a:outerShdw>
              </a:effectLst>
            </c:spPr>
          </c:dPt>
          <c:dPt>
            <c:idx val="2"/>
            <c:bubble3D val="0"/>
            <c:explosion val="21"/>
            <c:spPr>
              <a:solidFill>
                <a:schemeClr val="accent3"/>
              </a:solidFill>
              <a:ln>
                <a:noFill/>
              </a:ln>
              <a:effectLst>
                <a:outerShdw blurRad="88900" sx="102000" sy="102000" algn="ctr" rotWithShape="0">
                  <a:prstClr val="black">
                    <a:alpha val="20000"/>
                  </a:prstClr>
                </a:outerShdw>
              </a:effectLst>
              <a:scene3d>
                <a:camera prst="orthographicFront"/>
                <a:lightRig rig="threePt" dir="t"/>
              </a:scene3d>
              <a:sp3d contourW="9525"/>
            </c:spPr>
          </c:dPt>
          <c:dLbls>
            <c:dLbl>
              <c:idx val="0"/>
              <c:layout>
                <c:manualLayout>
                  <c:x val="-0.144869234824354"/>
                  <c:y val="-0.228683543816511"/>
                </c:manualLayout>
              </c:layout>
              <c:tx>
                <c:rich>
                  <a:bodyPr rot="0" spcFirstLastPara="0" vertOverflow="ellipsis" vert="horz" wrap="square" lIns="38100" tIns="19050" rIns="38100" bIns="19050" anchor="ctr" anchorCtr="1"/>
                  <a:lstStyle/>
                  <a:p>
                    <a:pPr defTabSz="914400">
                      <a:defRPr lang="zh-CN" sz="900" b="1" i="0" u="none" strike="noStrike" kern="1200" baseline="0">
                        <a:solidFill>
                          <a:sysClr val="windowText" lastClr="000000"/>
                        </a:solidFill>
                        <a:latin typeface="+mn-lt"/>
                        <a:ea typeface="+mn-ea"/>
                        <a:cs typeface="+mn-cs"/>
                      </a:defRPr>
                    </a:pPr>
                    <a:r>
                      <a:rPr>
                        <a:solidFill>
                          <a:sysClr val="windowText" lastClr="000000"/>
                        </a:solidFill>
                      </a:rPr>
                      <a:t>财政拨款收入</a:t>
                    </a:r>
                    <a:endParaRPr lang="en-US" altLang="zh-CN">
                      <a:solidFill>
                        <a:sysClr val="windowText" lastClr="000000"/>
                      </a:solidFill>
                    </a:endParaRPr>
                  </a:p>
                  <a:p>
                    <a:pPr defTabSz="914400">
                      <a:defRPr lang="zh-CN" sz="900" b="1" i="0" u="none" strike="noStrike" kern="1200" baseline="0">
                        <a:solidFill>
                          <a:sysClr val="windowText" lastClr="000000"/>
                        </a:solidFill>
                        <a:latin typeface="+mn-lt"/>
                        <a:ea typeface="+mn-ea"/>
                        <a:cs typeface="+mn-cs"/>
                      </a:defRPr>
                    </a:pPr>
                    <a:r>
                      <a:rPr lang="en-US" altLang="zh-CN">
                        <a:solidFill>
                          <a:sysClr val="windowText" lastClr="000000"/>
                        </a:solidFill>
                      </a:rPr>
                      <a:t>56.8</a:t>
                    </a:r>
                    <a:r>
                      <a:rPr>
                        <a:solidFill>
                          <a:sysClr val="windowText" lastClr="000000"/>
                        </a:solidFill>
                      </a:rPr>
                      <a:t>%</a:t>
                    </a:r>
                    <a:endParaRPr>
                      <a:solidFill>
                        <a:sysClr val="windowText" lastClr="000000"/>
                      </a:solidFill>
                    </a:endParaRPr>
                  </a:p>
                </c:rich>
              </c:tx>
              <c:dLblPos val="bestFit"/>
              <c:showLegendKey val="0"/>
              <c:showVal val="0"/>
              <c:showCatName val="0"/>
              <c:showSerName val="0"/>
              <c:showPercent val="1"/>
              <c:showBubbleSize val="0"/>
              <c:extLst>
                <c:ext xmlns:c15="http://schemas.microsoft.com/office/drawing/2012/chart" uri="{CE6537A1-D6FC-4f65-9D91-7224C49458BB}">
                  <c15:layout/>
                </c:ext>
              </c:extLst>
            </c:dLbl>
            <c:dLbl>
              <c:idx val="1"/>
              <c:layout>
                <c:manualLayout>
                  <c:x val="0.0103891894312822"/>
                  <c:y val="-0.136033636529893"/>
                </c:manualLayout>
              </c:layout>
              <c:tx>
                <c:rich>
                  <a:bodyPr rot="0" spcFirstLastPara="0" vertOverflow="ellipsis" vert="horz" wrap="none" lIns="38100" tIns="19050" rIns="38100" bIns="19050" anchor="ctr" anchorCtr="1"/>
                  <a:lstStyle/>
                  <a:p>
                    <a:pPr defTabSz="914400">
                      <a:defRPr lang="zh-CN" sz="900" b="1" i="0" u="none" strike="noStrike" kern="1200" baseline="0">
                        <a:solidFill>
                          <a:sysClr val="windowText" lastClr="000000"/>
                        </a:solidFill>
                        <a:latin typeface="+mn-lt"/>
                        <a:ea typeface="+mn-ea"/>
                        <a:cs typeface="+mn-cs"/>
                      </a:defRPr>
                    </a:pPr>
                    <a:r>
                      <a:rPr>
                        <a:solidFill>
                          <a:sysClr val="windowText" lastClr="000000"/>
                        </a:solidFill>
                      </a:rPr>
                      <a:t>政府性基金</a:t>
                    </a:r>
                    <a:r>
                      <a:rPr lang="en-US" altLang="zh-CN">
                        <a:solidFill>
                          <a:sysClr val="windowText" lastClr="000000"/>
                        </a:solidFill>
                      </a:rPr>
                      <a:t>6.36</a:t>
                    </a:r>
                    <a:r>
                      <a:rPr>
                        <a:solidFill>
                          <a:sysClr val="windowText" lastClr="000000"/>
                        </a:solidFill>
                      </a:rPr>
                      <a:t>%</a:t>
                    </a:r>
                    <a:endParaRPr>
                      <a:solidFill>
                        <a:sysClr val="windowText" lastClr="000000"/>
                      </a:solidFill>
                    </a:endParaRPr>
                  </a:p>
                </c:rich>
              </c:tx>
              <c:numFmt formatCode="General" sourceLinked="1"/>
              <c:spPr>
                <a:noFill/>
                <a:ln>
                  <a:noFill/>
                </a:ln>
                <a:effectLst/>
              </c:spPr>
              <c:txPr>
                <a:bodyPr rot="0" spcFirstLastPara="0" vertOverflow="ellipsis" vert="horz" wrap="none" lIns="38100" tIns="19050" rIns="38100" bIns="19050" anchor="ctr" anchorCtr="1"/>
                <a:lstStyle/>
                <a:p>
                  <a:pPr>
                    <a:defRPr lang="zh-CN" sz="900" b="1" i="0" u="none" strike="noStrike" kern="1200" baseline="0">
                      <a:solidFill>
                        <a:sysClr val="windowText" lastClr="000000"/>
                      </a:solidFill>
                      <a:latin typeface="+mn-lt"/>
                      <a:ea typeface="+mn-ea"/>
                      <a:cs typeface="+mn-cs"/>
                    </a:defRPr>
                  </a:pPr>
                </a:p>
              </c:txPr>
              <c:dLblPos val="bestFit"/>
              <c:showLegendKey val="0"/>
              <c:showVal val="0"/>
              <c:showCatName val="0"/>
              <c:showSerName val="0"/>
              <c:showPercent val="1"/>
              <c:showBubbleSize val="0"/>
              <c:extLst>
                <c:ext xmlns:c15="http://schemas.microsoft.com/office/drawing/2012/chart" uri="{CE6537A1-D6FC-4f65-9D91-7224C49458BB}">
                  <c15:layout/>
                </c:ext>
              </c:extLst>
            </c:dLbl>
            <c:dLbl>
              <c:idx val="2"/>
              <c:layout>
                <c:manualLayout>
                  <c:x val="0.132209341974917"/>
                  <c:y val="-0.0106418953524439"/>
                </c:manualLayout>
              </c:layout>
              <c:tx>
                <c:rich>
                  <a:bodyPr rot="0" spcFirstLastPara="0" vertOverflow="ellipsis" vert="horz" wrap="none" lIns="38100" tIns="19050" rIns="38100" bIns="19050" anchor="ctr" anchorCtr="1"/>
                  <a:lstStyle/>
                  <a:p>
                    <a:pPr defTabSz="914400">
                      <a:defRPr lang="zh-CN" sz="900" b="1" i="0" u="none" strike="noStrike" kern="1200" baseline="0">
                        <a:solidFill>
                          <a:sysClr val="windowText" lastClr="000000"/>
                        </a:solidFill>
                        <a:latin typeface="+mn-lt"/>
                        <a:ea typeface="+mn-ea"/>
                        <a:cs typeface="+mn-cs"/>
                      </a:defRPr>
                    </a:pPr>
                    <a:r>
                      <a:rPr>
                        <a:solidFill>
                          <a:sysClr val="windowText" lastClr="000000"/>
                        </a:solidFill>
                      </a:rPr>
                      <a:t>事业收入</a:t>
                    </a:r>
                    <a:r>
                      <a:rPr lang="en-US" altLang="zh-CN">
                        <a:solidFill>
                          <a:sysClr val="windowText" lastClr="000000"/>
                        </a:solidFill>
                      </a:rPr>
                      <a:t>43.2</a:t>
                    </a:r>
                    <a:r>
                      <a:rPr>
                        <a:solidFill>
                          <a:sysClr val="windowText" lastClr="000000"/>
                        </a:solidFill>
                      </a:rPr>
                      <a:t>%</a:t>
                    </a:r>
                    <a:endParaRPr>
                      <a:solidFill>
                        <a:sysClr val="windowText" lastClr="000000"/>
                      </a:solidFill>
                    </a:endParaRPr>
                  </a:p>
                </c:rich>
              </c:tx>
              <c:numFmt formatCode="General" sourceLinked="1"/>
              <c:spPr>
                <a:noFill/>
                <a:ln>
                  <a:noFill/>
                </a:ln>
                <a:effectLst/>
              </c:spPr>
              <c:txPr>
                <a:bodyPr rot="0" spcFirstLastPara="0" vertOverflow="ellipsis" vert="horz" wrap="none" lIns="38100" tIns="19050" rIns="38100" bIns="19050" anchor="ctr" anchorCtr="1"/>
                <a:lstStyle/>
                <a:p>
                  <a:pPr>
                    <a:defRPr lang="zh-CN" sz="900" b="1" i="0" u="none" strike="noStrike" kern="1200" baseline="0">
                      <a:solidFill>
                        <a:sysClr val="windowText" lastClr="000000"/>
                      </a:solidFill>
                      <a:latin typeface="+mn-lt"/>
                      <a:ea typeface="+mn-ea"/>
                      <a:cs typeface="+mn-cs"/>
                    </a:defRPr>
                  </a:pPr>
                </a:p>
              </c:txPr>
              <c:dLblPos val="bestFit"/>
              <c:showLegendKey val="0"/>
              <c:showVal val="0"/>
              <c:showCatName val="0"/>
              <c:showSerName val="0"/>
              <c:showPercent val="1"/>
              <c:showBubbleSize val="0"/>
              <c:extLst>
                <c:ext xmlns:c15="http://schemas.microsoft.com/office/drawing/2012/chart" uri="{CE6537A1-D6FC-4f65-9D91-7224C49458BB}">
                  <c15:layout>
                    <c:manualLayout>
                      <c:w val="0.214305555555556"/>
                      <c:h val="0.08125"/>
                    </c:manualLayout>
                  </c15:layout>
                </c:ext>
              </c:extLst>
            </c:dLbl>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ysClr val="windowText" lastClr="000000"/>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dk1">
                          <a:lumMod val="35000"/>
                          <a:lumOff val="65000"/>
                        </a:schemeClr>
                      </a:solidFill>
                      <a:prstDash val="solid"/>
                      <a:round/>
                    </a:ln>
                    <a:effectLst/>
                  </c:spPr>
                </c15:leaderLines>
              </c:ext>
            </c:extLst>
          </c:dLbls>
          <c:cat>
            <c:strRef>
              <c:f>[决算柱状饼状图.xlsx]Sheet1!$A$16:$A$18</c:f>
              <c:strCache>
                <c:ptCount val="3"/>
                <c:pt idx="0">
                  <c:v>财政拨款收入</c:v>
                </c:pt>
                <c:pt idx="2">
                  <c:v>事业收入</c:v>
                </c:pt>
              </c:strCache>
            </c:strRef>
          </c:cat>
          <c:val>
            <c:numRef>
              <c:f>[决算柱状饼状图.xlsx]Sheet1!$B$16:$B$18</c:f>
              <c:numCache>
                <c:formatCode>General</c:formatCode>
                <c:ptCount val="3"/>
                <c:pt idx="0">
                  <c:v>80.09</c:v>
                </c:pt>
                <c:pt idx="2">
                  <c:v>60.92</c:v>
                </c:pt>
              </c:numCache>
            </c:numRef>
          </c:val>
        </c:ser>
        <c:ser>
          <c:idx val="1"/>
          <c:order val="1"/>
          <c:explosion val="0"/>
          <c:dPt>
            <c:idx val="0"/>
            <c:bubble3D val="0"/>
            <c:spPr>
              <a:solidFill>
                <a:schemeClr val="accent1"/>
              </a:solidFill>
              <a:ln>
                <a:noFill/>
              </a:ln>
              <a:effectLst>
                <a:outerShdw blurRad="88900" sx="102000" sy="102000" algn="ctr" rotWithShape="0">
                  <a:prstClr val="black">
                    <a:alpha val="20000"/>
                  </a:prstClr>
                </a:outerShdw>
              </a:effectLst>
            </c:spPr>
          </c:dPt>
          <c:dPt>
            <c:idx val="1"/>
            <c:bubble3D val="0"/>
            <c:spPr>
              <a:solidFill>
                <a:schemeClr val="accent2"/>
              </a:solidFill>
              <a:ln>
                <a:noFill/>
              </a:ln>
              <a:effectLst>
                <a:outerShdw blurRad="88900" sx="102000" sy="102000" algn="ctr" rotWithShape="0">
                  <a:prstClr val="black">
                    <a:alpha val="20000"/>
                  </a:prstClr>
                </a:outerShdw>
              </a:effectLst>
            </c:spPr>
          </c:dPt>
          <c:dPt>
            <c:idx val="2"/>
            <c:bubble3D val="0"/>
            <c:spPr>
              <a:solidFill>
                <a:schemeClr val="accent3"/>
              </a:solidFill>
              <a:ln>
                <a:noFill/>
              </a:ln>
              <a:effectLst>
                <a:outerShdw blurRad="88900" sx="102000" sy="102000" algn="ctr" rotWithShape="0">
                  <a:prstClr val="black">
                    <a:alpha val="20000"/>
                  </a:prstClr>
                </a:outerShdw>
              </a:effectLst>
            </c:spPr>
          </c:dPt>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ysClr val="windowText" lastClr="000000"/>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dk1">
                          <a:lumMod val="35000"/>
                          <a:lumOff val="65000"/>
                        </a:schemeClr>
                      </a:solidFill>
                      <a:prstDash val="solid"/>
                      <a:round/>
                    </a:ln>
                    <a:effectLst/>
                  </c:spPr>
                </c15:leaderLines>
              </c:ext>
            </c:extLst>
          </c:dLbls>
          <c:cat>
            <c:strRef>
              <c:f>[决算柱状饼状图.xlsx]Sheet1!$A$16:$A$18</c:f>
              <c:strCache>
                <c:ptCount val="3"/>
                <c:pt idx="0">
                  <c:v>财政拨款收入</c:v>
                </c:pt>
                <c:pt idx="2">
                  <c:v>事业收入</c:v>
                </c:pt>
              </c:strCache>
            </c:strRef>
          </c:cat>
          <c:val>
            <c:numRef>
              <c:f>[决算柱状饼状图.xlsx]Sheet1!$C$16:$C$18</c:f>
              <c:numCache>
                <c:formatCode>0.00%</c:formatCode>
                <c:ptCount val="3"/>
                <c:pt idx="0">
                  <c:v>0.6384</c:v>
                </c:pt>
                <c:pt idx="2">
                  <c:v>0.3616</c:v>
                </c:pt>
              </c:numCache>
            </c:numRef>
          </c:val>
        </c:ser>
        <c:dLbls>
          <c:showLegendKey val="0"/>
          <c:showVal val="0"/>
          <c:showCatName val="0"/>
          <c:showSerName val="0"/>
          <c:showPercent val="1"/>
          <c:showBubbleSize val="0"/>
        </c:dLbls>
      </c:pie3DChart>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legendEntry>
      <c:legendEntry>
        <c:idx val="1"/>
        <c:delete val="1"/>
      </c:legendEntry>
      <c:legendEntry>
        <c:idx val="2"/>
        <c:txPr>
          <a:bodyPr rot="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legendEntry>
      <c:layout/>
      <c:overlay val="0"/>
      <c:spPr>
        <a:solidFill>
          <a:schemeClr val="lt1">
            <a:alpha val="78000"/>
          </a:schemeClr>
        </a:solidFill>
        <a:ln>
          <a:noFill/>
        </a:ln>
        <a:effectLst/>
      </c:spPr>
      <c:txPr>
        <a:bodyPr rot="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legend>
    <c:plotVisOnly val="1"/>
    <c:dispBlanksAs val="gap"/>
    <c:showDLblsOverMax val="0"/>
  </c:chart>
  <c:spPr>
    <a:pattFill prst="pct5">
      <a:fgClr>
        <a:schemeClr val="lt1">
          <a:lumMod val="95000"/>
        </a:schemeClr>
      </a:fgClr>
      <a:bgClr>
        <a:schemeClr val="lt1"/>
      </a:bgClr>
    </a:pattFill>
    <a:ln w="9525" cap="flat" cmpd="sng" algn="ctr">
      <a:solidFill>
        <a:schemeClr val="dk1">
          <a:lumMod val="15000"/>
          <a:lumOff val="85000"/>
        </a:schemeClr>
      </a:solidFill>
      <a:prstDash val="solid"/>
      <a:round/>
    </a:ln>
    <a:effectLst/>
  </c:spPr>
  <c:txPr>
    <a:bodyPr/>
    <a:lstStyle/>
    <a:p>
      <a:pPr>
        <a:defRPr lang="zh-CN">
          <a:solidFill>
            <a:sysClr val="windowText" lastClr="000000"/>
          </a:solidFill>
        </a:defRPr>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depthPercent val="100"/>
      <c:rAngAx val="0"/>
    </c:view3D>
    <c:floor>
      <c:thickness val="0"/>
      <c:spPr>
        <a:noFill/>
        <a:effectLst/>
      </c:spPr>
    </c:floor>
    <c:sideWall>
      <c:thickness val="0"/>
      <c:spPr>
        <a:noFill/>
        <a:effectLst/>
      </c:spPr>
    </c:sideWall>
    <c:backWall>
      <c:thickness val="0"/>
      <c:spPr>
        <a:noFill/>
        <a:effectLst/>
      </c:spPr>
    </c:backWall>
    <c:plotArea>
      <c:layout>
        <c:manualLayout>
          <c:layoutTarget val="inner"/>
          <c:xMode val="edge"/>
          <c:yMode val="edge"/>
          <c:x val="0.0435410560299053"/>
          <c:y val="0.204968284663004"/>
          <c:w val="0.915413533834586"/>
          <c:h val="0.601553166069295"/>
        </c:manualLayout>
      </c:layout>
      <c:pie3DChart>
        <c:varyColors val="1"/>
        <c:ser>
          <c:idx val="0"/>
          <c:order val="0"/>
          <c:spPr>
            <a:scene3d>
              <a:camera prst="orthographicFront"/>
              <a:lightRig rig="threePt" dir="t"/>
            </a:scene3d>
            <a:sp3d contourW="25400"/>
          </c:spPr>
          <c:explosion val="0"/>
          <c:dPt>
            <c:idx val="0"/>
            <c:bubble3D val="0"/>
            <c:spPr>
              <a:solidFill>
                <a:schemeClr val="accent1"/>
              </a:solidFill>
              <a:ln w="25400">
                <a:solidFill>
                  <a:schemeClr val="lt1"/>
                </a:solidFill>
              </a:ln>
              <a:effectLst/>
              <a:scene3d>
                <a:camera prst="orthographicFront"/>
                <a:lightRig rig="threePt" dir="t"/>
              </a:scene3d>
              <a:sp3d contourW="25400"/>
            </c:spPr>
          </c:dPt>
          <c:dPt>
            <c:idx val="1"/>
            <c:bubble3D val="0"/>
            <c:explosion val="25"/>
            <c:spPr>
              <a:solidFill>
                <a:schemeClr val="accent2"/>
              </a:solidFill>
              <a:ln w="25400">
                <a:solidFill>
                  <a:schemeClr val="lt1"/>
                </a:solidFill>
              </a:ln>
              <a:effectLst/>
              <a:scene3d>
                <a:camera prst="orthographicFront"/>
                <a:lightRig rig="threePt" dir="t"/>
              </a:scene3d>
              <a:sp3d contourW="25400"/>
            </c:spPr>
          </c:dPt>
          <c:dPt>
            <c:idx val="2"/>
            <c:bubble3D val="0"/>
            <c:spPr>
              <a:solidFill>
                <a:schemeClr val="accent3"/>
              </a:solidFill>
              <a:ln w="25400">
                <a:solidFill>
                  <a:schemeClr val="lt1"/>
                </a:solidFill>
              </a:ln>
              <a:effectLst/>
              <a:scene3d>
                <a:camera prst="orthographicFront"/>
                <a:lightRig rig="threePt" dir="t"/>
              </a:scene3d>
              <a:sp3d contourW="25400"/>
            </c:spPr>
          </c:dPt>
          <c:dLbls>
            <c:dLbl>
              <c:idx val="0"/>
              <c:layout>
                <c:manualLayout>
                  <c:x val="-0.156409031369495"/>
                  <c:y val="-0.253986348639451"/>
                </c:manualLayout>
              </c:layout>
              <c:tx>
                <c:rich>
                  <a:bodyPr rot="0" spcFirstLastPara="0" vertOverflow="ellipsis" vert="horz" wrap="none" lIns="38100" tIns="19050" rIns="38100" bIns="19050" anchor="ctr" anchorCtr="1">
                    <a:spAutoFit/>
                  </a:bodyPr>
                  <a:lstStyle/>
                  <a:p>
                    <a:pPr defTabSz="914400">
                      <a:defRPr lang="zh-CN" sz="900" b="1" i="0" u="none" strike="noStrike" kern="1200" baseline="0">
                        <a:solidFill>
                          <a:schemeClr val="tx1">
                            <a:lumMod val="75000"/>
                            <a:lumOff val="25000"/>
                          </a:schemeClr>
                        </a:solidFill>
                        <a:latin typeface="+mn-lt"/>
                        <a:ea typeface="+mn-ea"/>
                        <a:cs typeface="+mn-cs"/>
                      </a:defRPr>
                    </a:pPr>
                    <a:r>
                      <a:rPr b="1"/>
                      <a:t>基本支出</a:t>
                    </a:r>
                    <a:r>
                      <a:rPr lang="en-US" altLang="zh-CN" b="1"/>
                      <a:t>98.35%</a:t>
                    </a:r>
                    <a:endParaRPr lang="en-US" altLang="zh-CN" b="1"/>
                  </a:p>
                </c:rich>
              </c:tx>
              <c:numFmt formatCode="General" sourceLinked="1"/>
              <c:spPr>
                <a:noFill/>
                <a:ln>
                  <a:noFill/>
                </a:ln>
                <a:effectLst/>
              </c:spPr>
              <c:txPr>
                <a:bodyPr rot="0" spcFirstLastPara="0" vertOverflow="ellipsis" vert="horz" wrap="none" lIns="38100" tIns="19050" rIns="38100" bIns="19050" anchor="ctr" anchorCtr="1">
                  <a:spAutoFit/>
                </a:bodyPr>
                <a:lstStyle/>
                <a:p>
                  <a:pPr>
                    <a:defRPr lang="zh-CN" sz="900" b="1" i="0" u="none" strike="noStrike" kern="1200" baseline="0">
                      <a:solidFill>
                        <a:schemeClr val="tx1">
                          <a:lumMod val="75000"/>
                          <a:lumOff val="25000"/>
                        </a:schemeClr>
                      </a:solidFill>
                      <a:latin typeface="+mn-lt"/>
                      <a:ea typeface="+mn-ea"/>
                      <a:cs typeface="+mn-cs"/>
                    </a:defRPr>
                  </a:pPr>
                </a:p>
              </c:txPr>
              <c:dLblPos val="bestFit"/>
              <c:showLegendKey val="0"/>
              <c:showVal val="0"/>
              <c:showCatName val="1"/>
              <c:showSerName val="0"/>
              <c:showPercent val="0"/>
              <c:showBubbleSize val="0"/>
              <c:extLst>
                <c:ext xmlns:c15="http://schemas.microsoft.com/office/drawing/2012/chart" uri="{CE6537A1-D6FC-4f65-9D91-7224C49458BB}">
                  <c15:layout/>
                </c:ext>
              </c:extLst>
            </c:dLbl>
            <c:dLbl>
              <c:idx val="1"/>
              <c:layout>
                <c:manualLayout>
                  <c:x val="0.0629451607910172"/>
                  <c:y val="0.0606828345499753"/>
                </c:manualLayout>
              </c:layout>
              <c:tx>
                <c:rich>
                  <a:bodyPr rot="0" spcFirstLastPara="0" vertOverflow="ellipsis" vert="horz" wrap="none" lIns="38100" tIns="19050" rIns="38100" bIns="19050" anchor="ctr" anchorCtr="1"/>
                  <a:lstStyle/>
                  <a:p>
                    <a:pPr defTabSz="914400">
                      <a:defRPr lang="zh-CN" sz="900" b="1" i="0" u="none" strike="noStrike" kern="1200" baseline="0">
                        <a:solidFill>
                          <a:schemeClr val="tx1">
                            <a:lumMod val="75000"/>
                            <a:lumOff val="25000"/>
                          </a:schemeClr>
                        </a:solidFill>
                        <a:latin typeface="+mn-lt"/>
                        <a:ea typeface="+mn-ea"/>
                        <a:cs typeface="+mn-cs"/>
                      </a:defRPr>
                    </a:pPr>
                    <a:r>
                      <a:rPr b="1"/>
                      <a:t>项目支出</a:t>
                    </a:r>
                    <a:r>
                      <a:rPr lang="en-US" altLang="zh-CN" b="1"/>
                      <a:t>1.65%</a:t>
                    </a:r>
                    <a:endParaRPr lang="en-US" altLang="zh-CN" b="1"/>
                  </a:p>
                </c:rich>
              </c:tx>
              <c:numFmt formatCode="General" sourceLinked="1"/>
              <c:spPr>
                <a:noFill/>
                <a:ln>
                  <a:noFill/>
                </a:ln>
                <a:effectLst/>
              </c:spPr>
              <c:txPr>
                <a:bodyPr rot="0" spcFirstLastPara="0" vertOverflow="ellipsis" vert="horz" wrap="none" lIns="38100" tIns="19050" rIns="38100" bIns="19050" anchor="ctr" anchorCtr="1"/>
                <a:lstStyle/>
                <a:p>
                  <a:pPr>
                    <a:defRPr lang="zh-CN" sz="900" b="1" i="0" u="none" strike="noStrike" kern="1200" baseline="0">
                      <a:solidFill>
                        <a:schemeClr val="tx1">
                          <a:lumMod val="75000"/>
                          <a:lumOff val="25000"/>
                        </a:schemeClr>
                      </a:solidFill>
                      <a:latin typeface="+mn-lt"/>
                      <a:ea typeface="+mn-ea"/>
                      <a:cs typeface="+mn-cs"/>
                    </a:defRPr>
                  </a:pPr>
                </a:p>
              </c:txPr>
              <c:dLblPos val="bestFit"/>
              <c:showLegendKey val="0"/>
              <c:showVal val="0"/>
              <c:showCatName val="1"/>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tx1">
                        <a:lumMod val="75000"/>
                        <a:lumOff val="25000"/>
                      </a:schemeClr>
                    </a:solidFill>
                    <a:latin typeface="+mn-lt"/>
                    <a:ea typeface="+mn-ea"/>
                    <a:cs typeface="+mn-cs"/>
                  </a:defRPr>
                </a:pPr>
              </a:p>
            </c:txPr>
            <c:dLblPos val="inEnd"/>
            <c:showLegendKey val="0"/>
            <c:showVal val="0"/>
            <c:showCatName val="1"/>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[决算柱状饼状图.xlsx]Sheet1!$A$29:$A$31</c:f>
              <c:strCache>
                <c:ptCount val="3"/>
                <c:pt idx="0">
                  <c:v>基本支出</c:v>
                </c:pt>
                <c:pt idx="1">
                  <c:v>项目支出</c:v>
                </c:pt>
              </c:strCache>
            </c:strRef>
          </c:cat>
          <c:val>
            <c:numRef>
              <c:f>[决算柱状饼状图.xlsx]Sheet1!$B$29:$B$31</c:f>
              <c:numCache>
                <c:formatCode>General</c:formatCode>
                <c:ptCount val="3"/>
                <c:pt idx="0">
                  <c:v>138.67</c:v>
                </c:pt>
                <c:pt idx="1">
                  <c:v>2.34</c:v>
                </c:pt>
              </c:numCache>
            </c:numRef>
          </c:val>
        </c:ser>
        <c:ser>
          <c:idx val="1"/>
          <c:order val="1"/>
          <c:explosion val="0"/>
          <c:dPt>
            <c:idx val="0"/>
            <c:bubble3D val="0"/>
            <c:spPr>
              <a:solidFill>
                <a:schemeClr val="accent1"/>
              </a:solidFill>
              <a:ln w="25400">
                <a:solidFill>
                  <a:schemeClr val="lt1"/>
                </a:solidFill>
              </a:ln>
              <a:effectLst/>
            </c:spPr>
          </c:dPt>
          <c:dPt>
            <c:idx val="1"/>
            <c:bubble3D val="0"/>
            <c:spPr>
              <a:solidFill>
                <a:schemeClr val="accent2"/>
              </a:solidFill>
              <a:ln w="25400">
                <a:solidFill>
                  <a:schemeClr val="lt1"/>
                </a:solidFill>
              </a:ln>
              <a:effectLst/>
            </c:spPr>
          </c:dPt>
          <c:dPt>
            <c:idx val="2"/>
            <c:bubble3D val="0"/>
            <c:spPr>
              <a:solidFill>
                <a:schemeClr val="accent3"/>
              </a:solidFill>
              <a:ln w="2540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0"/>
            <c:showVal val="0"/>
            <c:showCatName val="1"/>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[决算柱状饼状图.xlsx]Sheet1!$A$29:$A$31</c:f>
              <c:strCache>
                <c:ptCount val="3"/>
                <c:pt idx="0">
                  <c:v>基本支出</c:v>
                </c:pt>
                <c:pt idx="1">
                  <c:v>项目支出</c:v>
                </c:pt>
              </c:strCache>
            </c:strRef>
          </c:cat>
          <c:val>
            <c:numRef>
              <c:f>[决算柱状饼状图.xlsx]Sheet1!$C$29:$C$31</c:f>
              <c:numCache>
                <c:formatCode>0.00%</c:formatCode>
                <c:ptCount val="3"/>
                <c:pt idx="0">
                  <c:v>0.9873</c:v>
                </c:pt>
                <c:pt idx="1">
                  <c:v>0.0127</c:v>
                </c:pt>
              </c:numCache>
            </c:numRef>
          </c:val>
        </c:ser>
        <c:dLbls>
          <c:showLegendKey val="0"/>
          <c:showVal val="0"/>
          <c:showCatName val="1"/>
          <c:showSerName val="0"/>
          <c:showPercent val="0"/>
          <c:showBubbleSize val="0"/>
        </c:dLbls>
      </c:pie3D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[决算柱状饼状图.xlsx]Sheet1!$A$39</c:f>
              <c:strCache>
                <c:ptCount val="1"/>
                <c:pt idx="0">
                  <c:v>2021年</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dk1">
                          <a:lumMod val="50000"/>
                          <a:lumOff val="50000"/>
                        </a:schemeClr>
                      </a:solidFill>
                      <a:prstDash val="solid"/>
                      <a:round/>
                    </a:ln>
                    <a:effectLst/>
                  </c:spPr>
                </c15:leaderLines>
              </c:ext>
            </c:extLst>
          </c:dLbls>
          <c:cat>
            <c:strRef>
              <c:f>[决算柱状饼状图.xlsx]Sheet1!$B$38:$C$38</c:f>
              <c:strCache>
                <c:ptCount val="2"/>
                <c:pt idx="0">
                  <c:v>财政拨款支出</c:v>
                </c:pt>
                <c:pt idx="1">
                  <c:v>财政拨款收入</c:v>
                </c:pt>
              </c:strCache>
            </c:strRef>
          </c:cat>
          <c:val>
            <c:numRef>
              <c:f>[决算柱状饼状图.xlsx]Sheet1!$B$39:$C$39</c:f>
              <c:numCache>
                <c:formatCode>General</c:formatCode>
                <c:ptCount val="2"/>
                <c:pt idx="0">
                  <c:v>117.72</c:v>
                </c:pt>
                <c:pt idx="1">
                  <c:v>117.72</c:v>
                </c:pt>
              </c:numCache>
            </c:numRef>
          </c:val>
        </c:ser>
        <c:ser>
          <c:idx val="1"/>
          <c:order val="1"/>
          <c:tx>
            <c:strRef>
              <c:f>[决算柱状饼状图.xlsx]Sheet1!$A$40</c:f>
              <c:strCache>
                <c:ptCount val="1"/>
                <c:pt idx="0">
                  <c:v>2022年</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dk1">
                          <a:lumMod val="50000"/>
                          <a:lumOff val="50000"/>
                        </a:schemeClr>
                      </a:solidFill>
                      <a:prstDash val="solid"/>
                      <a:round/>
                    </a:ln>
                    <a:effectLst/>
                  </c:spPr>
                </c15:leaderLines>
              </c:ext>
            </c:extLst>
          </c:dLbls>
          <c:cat>
            <c:strRef>
              <c:f>[决算柱状饼状图.xlsx]Sheet1!$B$38:$C$38</c:f>
              <c:strCache>
                <c:ptCount val="2"/>
                <c:pt idx="0">
                  <c:v>财政拨款支出</c:v>
                </c:pt>
                <c:pt idx="1">
                  <c:v>财政拨款收入</c:v>
                </c:pt>
              </c:strCache>
            </c:strRef>
          </c:cat>
          <c:val>
            <c:numRef>
              <c:f>[决算柱状饼状图.xlsx]Sheet1!$B$40:$C$40</c:f>
              <c:numCache>
                <c:formatCode>General</c:formatCode>
                <c:ptCount val="2"/>
                <c:pt idx="0">
                  <c:v>80.09</c:v>
                </c:pt>
                <c:pt idx="1">
                  <c:v>80.09</c:v>
                </c:pt>
              </c:numCache>
            </c:numRef>
          </c:val>
        </c:ser>
        <c:dLbls>
          <c:showLegendKey val="0"/>
          <c:showVal val="1"/>
          <c:showCatName val="0"/>
          <c:showSerName val="0"/>
          <c:showPercent val="0"/>
          <c:showBubbleSize val="0"/>
        </c:dLbls>
        <c:gapWidth val="65"/>
        <c:overlap val="0"/>
        <c:axId val="104436688"/>
        <c:axId val="38368975"/>
      </c:barChart>
      <c:catAx>
        <c:axId val="104436688"/>
        <c:scaling>
          <c:orientation val="minMax"/>
        </c:scaling>
        <c:delete val="0"/>
        <c:axPos val="b"/>
        <c:majorTickMark val="none"/>
        <c:minorTickMark val="none"/>
        <c:tickLblPos val="nextTo"/>
        <c:spPr>
          <a:noFill/>
          <a:ln w="19050" cap="flat" cmpd="sng" algn="ctr">
            <a:solidFill>
              <a:schemeClr val="dk1">
                <a:lumMod val="75000"/>
                <a:lumOff val="25000"/>
              </a:schemeClr>
            </a:solidFill>
            <a:prstDash val="solid"/>
            <a:round/>
          </a:ln>
          <a:effectLst/>
        </c:spPr>
        <c:txPr>
          <a:bodyPr rot="-60000000" spcFirstLastPara="0" vertOverflow="ellipsis" vert="horz" wrap="square" anchor="ctr" anchorCtr="1"/>
          <a:lstStyle/>
          <a:p>
            <a:pPr>
              <a:defRPr lang="zh-CN" sz="900" b="0" i="0" u="none" strike="noStrike" kern="1200" cap="all" baseline="0">
                <a:solidFill>
                  <a:schemeClr val="dk1">
                    <a:lumMod val="75000"/>
                    <a:lumOff val="25000"/>
                  </a:schemeClr>
                </a:solidFill>
                <a:latin typeface="+mn-lt"/>
                <a:ea typeface="+mn-ea"/>
                <a:cs typeface="+mn-cs"/>
              </a:defRPr>
            </a:pPr>
          </a:p>
        </c:txPr>
        <c:crossAx val="38368975"/>
        <c:crosses val="autoZero"/>
        <c:auto val="1"/>
        <c:lblAlgn val="ctr"/>
        <c:lblOffset val="100"/>
        <c:noMultiLvlLbl val="0"/>
      </c:catAx>
      <c:valAx>
        <c:axId val="38368975"/>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prstDash val="solid"/>
              <a:round/>
            </a:ln>
            <a:effectLst/>
          </c:spPr>
        </c:majorGridlines>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crossAx val="104436688"/>
        <c:crosses val="autoZero"/>
        <c:crossBetween val="between"/>
      </c:valAx>
      <c:spPr>
        <a:noFill/>
        <a:ln>
          <a:noFill/>
        </a:ln>
        <a:effectLst/>
      </c:spPr>
    </c:plotArea>
    <c:legend>
      <c:legendPos val="b"/>
      <c:layout/>
      <c:overlay val="0"/>
      <c:spPr>
        <a:solidFill>
          <a:schemeClr val="lt1">
            <a:lumMod val="95000"/>
            <a:alpha val="39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legend>
    <c:plotVisOnly val="1"/>
    <c:dispBlanksAs val="gap"/>
    <c:showDLblsOverMax val="0"/>
  </c:chart>
  <c:spPr>
    <a:noFill/>
    <a:ln w="9525" cap="flat" cmpd="sng" algn="ctr">
      <a:solidFill>
        <a:schemeClr val="dk1">
          <a:lumMod val="25000"/>
          <a:lumOff val="75000"/>
        </a:schemeClr>
      </a:solidFill>
      <a:prstDash val="solid"/>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643582306018854"/>
          <c:y val="0.109259259259259"/>
          <c:w val="0.920232052211748"/>
          <c:h val="0.755111111111111"/>
        </c:manualLayout>
      </c:layout>
      <c:barChart>
        <c:barDir val="col"/>
        <c:grouping val="stacked"/>
        <c:varyColors val="0"/>
        <c:ser>
          <c:idx val="0"/>
          <c:order val="0"/>
          <c:spPr>
            <a:solidFill>
              <a:schemeClr val="accent1"/>
            </a:solidFill>
            <a:ln>
              <a:noFill/>
            </a:ln>
            <a:effectLst/>
          </c:spPr>
          <c:invertIfNegative val="0"/>
          <c:dLbls>
            <c:dLbl>
              <c:idx val="1"/>
              <c:layout>
                <c:manualLayout>
                  <c:x val="-0.0123609199155848"/>
                  <c:y val="-0.0291666666666666"/>
                </c:manualLayout>
              </c:layout>
              <c:dLblPos val="ctr"/>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lt1"/>
                    </a:solidFill>
                    <a:latin typeface="+mn-lt"/>
                    <a:ea typeface="+mn-ea"/>
                    <a:cs typeface="+mn-cs"/>
                  </a:defRPr>
                </a:pPr>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[决算柱状饼状图.xlsx]Sheet1!$A$62:$A$63</c:f>
              <c:strCache>
                <c:ptCount val="2"/>
                <c:pt idx="0">
                  <c:v>2021年</c:v>
                </c:pt>
                <c:pt idx="1">
                  <c:v>2022年</c:v>
                </c:pt>
              </c:strCache>
            </c:strRef>
          </c:cat>
          <c:val>
            <c:numRef>
              <c:f>[决算柱状饼状图.xlsx]Sheet1!$B$62:$B$63</c:f>
              <c:numCache>
                <c:formatCode>General</c:formatCode>
                <c:ptCount val="2"/>
                <c:pt idx="0">
                  <c:v>117.72</c:v>
                </c:pt>
                <c:pt idx="1">
                  <c:v>77.75</c:v>
                </c:pt>
              </c:numCache>
            </c:numRef>
          </c:val>
        </c:ser>
        <c:dLbls>
          <c:showLegendKey val="0"/>
          <c:showVal val="1"/>
          <c:showCatName val="0"/>
          <c:showSerName val="0"/>
          <c:showPercent val="0"/>
          <c:showBubbleSize val="0"/>
        </c:dLbls>
        <c:gapWidth val="79"/>
        <c:overlap val="100"/>
        <c:axId val="254435126"/>
        <c:axId val="298260806"/>
      </c:barChart>
      <c:catAx>
        <c:axId val="254435126"/>
        <c:scaling>
          <c:orientation val="minMax"/>
        </c:scaling>
        <c:delete val="0"/>
        <c:axPos val="b"/>
        <c:majorGridlines>
          <c:spPr>
            <a:ln w="9525" cap="flat" cmpd="sng" algn="ctr">
              <a:solidFill>
                <a:schemeClr val="tx1">
                  <a:lumMod val="15000"/>
                  <a:lumOff val="85000"/>
                </a:schemeClr>
              </a:solidFill>
              <a:prstDash val="solid"/>
              <a:round/>
            </a:ln>
            <a:effectLst/>
          </c:spPr>
        </c:majorGridlines>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800" b="0" i="0" u="none" strike="noStrike" kern="1200" cap="all" spc="120" normalizeH="0" baseline="0">
                <a:solidFill>
                  <a:schemeClr val="tx1">
                    <a:lumMod val="65000"/>
                    <a:lumOff val="35000"/>
                  </a:schemeClr>
                </a:solidFill>
                <a:latin typeface="+mn-lt"/>
                <a:ea typeface="+mn-ea"/>
                <a:cs typeface="+mn-cs"/>
              </a:defRPr>
            </a:pPr>
          </a:p>
        </c:txPr>
        <c:crossAx val="298260806"/>
        <c:crosses val="autoZero"/>
        <c:auto val="1"/>
        <c:lblAlgn val="ctr"/>
        <c:lblOffset val="100"/>
        <c:noMultiLvlLbl val="0"/>
      </c:catAx>
      <c:valAx>
        <c:axId val="298260806"/>
        <c:scaling>
          <c:orientation val="minMax"/>
        </c:scaling>
        <c:delete val="1"/>
        <c:axPos val="l"/>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54435126"/>
        <c:crosses val="autoZero"/>
        <c:crossBetween val="between"/>
      </c:valAx>
      <c:spPr>
        <a:noFill/>
        <a:ln>
          <a:noFill/>
        </a:ln>
        <a:effectLst/>
      </c:spPr>
    </c:plotArea>
    <c:plotVisOnly val="1"/>
    <c:dispBlanksAs val="gap"/>
    <c:showDLblsOverMax val="0"/>
  </c:chart>
  <c:spPr>
    <a:solidFill>
      <a:schemeClr val="lt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depthPercent val="100"/>
      <c:rAngAx val="0"/>
    </c:view3D>
    <c:floor>
      <c:thickness val="0"/>
      <c:spPr>
        <a:noFill/>
        <a:effectLst/>
      </c:spPr>
    </c:floor>
    <c:sideWall>
      <c:thickness val="0"/>
      <c:spPr>
        <a:noFill/>
        <a:effectLst/>
      </c:spPr>
    </c:sideWall>
    <c:backWall>
      <c:thickness val="0"/>
      <c:spPr>
        <a:noFill/>
        <a:effectLst/>
      </c:spPr>
    </c:backWall>
    <c:plotArea>
      <c:layout>
        <c:manualLayout>
          <c:layoutTarget val="inner"/>
          <c:xMode val="edge"/>
          <c:yMode val="edge"/>
          <c:x val="0.0404709345106696"/>
          <c:y val="0.0467836257309941"/>
          <c:w val="0.611111111111111"/>
          <c:h val="0.871345029239766"/>
        </c:manualLayout>
      </c:layout>
      <c:pie3DChart>
        <c:varyColors val="1"/>
        <c:ser>
          <c:idx val="0"/>
          <c:order val="0"/>
          <c:spPr>
            <a:scene3d>
              <a:camera prst="orthographicFront"/>
              <a:lightRig rig="threePt" dir="t"/>
            </a:scene3d>
            <a:sp3d contourW="9525"/>
          </c:spPr>
          <c:explosion val="0"/>
          <c:dPt>
            <c:idx val="0"/>
            <c:bubble3D val="0"/>
            <c:explosion val="11"/>
            <c:spPr>
              <a:solidFill>
                <a:schemeClr val="accent1"/>
              </a:solidFill>
              <a:ln>
                <a:noFill/>
              </a:ln>
              <a:effectLst>
                <a:outerShdw blurRad="254000" sx="102000" sy="102000" algn="ctr" rotWithShape="0">
                  <a:prstClr val="black">
                    <a:alpha val="20000"/>
                  </a:prstClr>
                </a:outerShdw>
              </a:effectLst>
            </c:spPr>
          </c:dPt>
          <c:dPt>
            <c:idx val="1"/>
            <c:bubble3D val="0"/>
            <c:explosion val="42"/>
            <c:spPr>
              <a:solidFill>
                <a:schemeClr val="accent2"/>
              </a:solidFill>
              <a:ln>
                <a:noFill/>
              </a:ln>
              <a:effectLst>
                <a:outerShdw blurRad="254000" sx="102000" sy="102000" algn="ctr" rotWithShape="0">
                  <a:prstClr val="black">
                    <a:alpha val="20000"/>
                  </a:prstClr>
                </a:outerShdw>
              </a:effectLst>
            </c:spPr>
          </c:dPt>
          <c:dPt>
            <c:idx val="2"/>
            <c:bubble3D val="0"/>
            <c:explosion val="19"/>
            <c:spPr>
              <a:solidFill>
                <a:schemeClr val="accent3"/>
              </a:solidFill>
              <a:ln>
                <a:noFill/>
              </a:ln>
              <a:effectLst>
                <a:outerShdw blurRad="254000" sx="102000" sy="102000" algn="ctr" rotWithShape="0">
                  <a:prstClr val="black">
                    <a:alpha val="20000"/>
                  </a:prstClr>
                </a:outerShdw>
              </a:effectLst>
            </c:spPr>
          </c:dPt>
          <c:dLbls>
            <c:dLbl>
              <c:idx val="0"/>
              <c:layout>
                <c:manualLayout>
                  <c:x val="0.0466706326195523"/>
                  <c:y val="0"/>
                </c:manualLayout>
              </c:layout>
              <c:tx>
                <c:rich>
                  <a:bodyPr rot="0" spcFirstLastPara="0" vertOverflow="ellipsis" vert="horz" wrap="square" lIns="38100" tIns="19050" rIns="38100" bIns="19050" anchor="ctr" anchorCtr="1"/>
                  <a:lstStyle/>
                  <a:p>
                    <a:pPr defTabSz="914400">
                      <a:defRPr lang="zh-CN" sz="1000" b="1" i="0" u="none" strike="noStrike" kern="1200" baseline="0">
                        <a:solidFill>
                          <a:sysClr val="windowText" lastClr="000000"/>
                        </a:solidFill>
                        <a:latin typeface="+mn-lt"/>
                        <a:ea typeface="+mn-ea"/>
                        <a:cs typeface="+mn-cs"/>
                      </a:defRPr>
                    </a:pPr>
                    <a:r>
                      <a:rPr>
                        <a:solidFill>
                          <a:sysClr val="windowText" lastClr="000000"/>
                        </a:solidFill>
                      </a:rPr>
                      <a:t>社会保障和就业（类）支出</a:t>
                    </a:r>
                    <a:r>
                      <a:rPr lang="en-US" altLang="zh-CN">
                        <a:solidFill>
                          <a:sysClr val="windowText" lastClr="000000"/>
                        </a:solidFill>
                      </a:rPr>
                      <a:t>12.6</a:t>
                    </a:r>
                    <a:r>
                      <a:rPr>
                        <a:solidFill>
                          <a:sysClr val="windowText" lastClr="000000"/>
                        </a:solidFill>
                      </a:rPr>
                      <a:t>%</a:t>
                    </a:r>
                    <a:endParaRPr>
                      <a:solidFill>
                        <a:sysClr val="windowText" lastClr="000000"/>
                      </a:solidFill>
                    </a:endParaRPr>
                  </a:p>
                </c:rich>
              </c:tx>
              <c:numFmt formatCode="General" sourceLinked="1"/>
              <c:spPr>
                <a:noFill/>
                <a:ln>
                  <a:noFill/>
                </a:ln>
                <a:effectLst>
                  <a:outerShdw blurRad="50800" dist="38100" dir="2700000" algn="tl" rotWithShape="0">
                    <a:prstClr val="black">
                      <a:alpha val="40000"/>
                    </a:prstClr>
                  </a:outerShdw>
                </a:effectLst>
              </c:spPr>
              <c:txPr>
                <a:bodyPr rot="0" spcFirstLastPara="0" vertOverflow="ellipsis" vert="horz" wrap="square" lIns="38100" tIns="19050" rIns="38100" bIns="19050" anchor="ctr" anchorCtr="1"/>
                <a:lstStyle/>
                <a:p>
                  <a:pPr>
                    <a:defRPr lang="zh-CN" sz="1000" b="1" i="0" u="none" strike="noStrike" kern="1200" baseline="0">
                      <a:solidFill>
                        <a:sysClr val="windowText" lastClr="000000"/>
                      </a:solidFill>
                      <a:latin typeface="+mn-lt"/>
                      <a:ea typeface="+mn-ea"/>
                      <a:cs typeface="+mn-cs"/>
                    </a:defRPr>
                  </a:pPr>
                </a:p>
              </c:txPr>
              <c:dLblPos val="bestFit"/>
              <c:showLegendKey val="0"/>
              <c:showVal val="0"/>
              <c:showCatName val="0"/>
              <c:showSerName val="0"/>
              <c:showPercent val="1"/>
              <c:showBubbleSize val="0"/>
              <c:extLst>
                <c:ext xmlns:c15="http://schemas.microsoft.com/office/drawing/2012/chart" uri="{CE6537A1-D6FC-4f65-9D91-7224C49458BB}">
                  <c15:layout>
                    <c:manualLayout>
                      <c:w val="0.202520252025203"/>
                      <c:h val="0.270760233918129"/>
                    </c:manualLayout>
                  </c15:layout>
                </c:ext>
              </c:extLst>
            </c:dLbl>
            <c:dLbl>
              <c:idx val="1"/>
              <c:layout>
                <c:manualLayout>
                  <c:x val="0.0712115005100662"/>
                  <c:y val="-0.321915878330287"/>
                </c:manualLayout>
              </c:layout>
              <c:tx>
                <c:rich>
                  <a:bodyPr rot="0" spcFirstLastPara="0" vertOverflow="ellipsis" vert="horz" wrap="square" lIns="38100" tIns="19050" rIns="38100" bIns="19050" anchor="ctr" anchorCtr="1"/>
                  <a:lstStyle/>
                  <a:p>
                    <a:pPr defTabSz="914400">
                      <a:defRPr lang="zh-CN" sz="1000" b="1" i="0" u="none" strike="noStrike" kern="1200" baseline="0">
                        <a:solidFill>
                          <a:sysClr val="windowText" lastClr="000000"/>
                        </a:solidFill>
                        <a:latin typeface="+mn-lt"/>
                        <a:ea typeface="+mn-ea"/>
                        <a:cs typeface="+mn-cs"/>
                      </a:defRPr>
                    </a:pPr>
                    <a:r>
                      <a:rPr>
                        <a:solidFill>
                          <a:sysClr val="windowText" lastClr="000000"/>
                        </a:solidFill>
                      </a:rPr>
                      <a:t>卫生健康支出</a:t>
                    </a:r>
                    <a:r>
                      <a:rPr lang="en-US" altLang="zh-CN">
                        <a:solidFill>
                          <a:sysClr val="windowText" lastClr="000000"/>
                        </a:solidFill>
                      </a:rPr>
                      <a:t>77.35</a:t>
                    </a:r>
                    <a:r>
                      <a:rPr>
                        <a:solidFill>
                          <a:sysClr val="windowText" lastClr="000000"/>
                        </a:solidFill>
                      </a:rPr>
                      <a:t>%</a:t>
                    </a:r>
                    <a:endParaRPr>
                      <a:solidFill>
                        <a:sysClr val="windowText" lastClr="000000"/>
                      </a:solidFill>
                    </a:endParaRPr>
                  </a:p>
                </c:rich>
              </c:tx>
              <c:numFmt formatCode="General" sourceLinked="1"/>
              <c:spPr>
                <a:noFill/>
                <a:ln>
                  <a:noFill/>
                </a:ln>
                <a:effectLst>
                  <a:outerShdw blurRad="50800" dist="38100" dir="2700000" algn="tl" rotWithShape="0">
                    <a:prstClr val="black">
                      <a:alpha val="40000"/>
                    </a:prstClr>
                  </a:outerShdw>
                </a:effectLst>
              </c:spPr>
              <c:txPr>
                <a:bodyPr rot="0" spcFirstLastPara="0" vertOverflow="ellipsis" vert="horz" wrap="square" lIns="38100" tIns="19050" rIns="38100" bIns="19050" anchor="ctr" anchorCtr="1"/>
                <a:lstStyle/>
                <a:p>
                  <a:pPr>
                    <a:defRPr lang="zh-CN" sz="1000" b="1" i="0" u="none" strike="noStrike" kern="1200" baseline="0">
                      <a:solidFill>
                        <a:sysClr val="windowText" lastClr="000000"/>
                      </a:solidFill>
                      <a:latin typeface="+mn-lt"/>
                      <a:ea typeface="+mn-ea"/>
                      <a:cs typeface="+mn-cs"/>
                    </a:defRPr>
                  </a:pPr>
                </a:p>
              </c:txPr>
              <c:dLblPos val="bestFit"/>
              <c:showLegendKey val="0"/>
              <c:showVal val="0"/>
              <c:showCatName val="0"/>
              <c:showSerName val="0"/>
              <c:showPercent val="1"/>
              <c:showBubbleSize val="0"/>
              <c:extLst>
                <c:ext xmlns:c15="http://schemas.microsoft.com/office/drawing/2012/chart" uri="{CE6537A1-D6FC-4f65-9D91-7224C49458BB}">
                  <c15:layout/>
                </c:ext>
              </c:extLst>
            </c:dLbl>
            <c:dLbl>
              <c:idx val="2"/>
              <c:layout>
                <c:manualLayout>
                  <c:x val="-0.0364760013243475"/>
                  <c:y val="0.0189554732416128"/>
                </c:manualLayout>
              </c:layout>
              <c:tx>
                <c:rich>
                  <a:bodyPr rot="0" spcFirstLastPara="0" vertOverflow="ellipsis" vert="horz" wrap="square" lIns="38100" tIns="19050" rIns="38100" bIns="19050" anchor="ctr" anchorCtr="1"/>
                  <a:lstStyle/>
                  <a:p>
                    <a:pPr defTabSz="914400">
                      <a:defRPr lang="zh-CN" sz="1000" b="1" i="0" u="none" strike="noStrike" kern="1200" baseline="0">
                        <a:solidFill>
                          <a:sysClr val="windowText" lastClr="000000"/>
                        </a:solidFill>
                        <a:latin typeface="+mn-lt"/>
                        <a:ea typeface="+mn-ea"/>
                        <a:cs typeface="+mn-cs"/>
                      </a:defRPr>
                    </a:pPr>
                    <a:r>
                      <a:rPr>
                        <a:solidFill>
                          <a:sysClr val="windowText" lastClr="000000"/>
                        </a:solidFill>
                      </a:rPr>
                      <a:t>住房保障支出</a:t>
                    </a:r>
                    <a:r>
                      <a:rPr lang="en-US" altLang="zh-CN">
                        <a:solidFill>
                          <a:sysClr val="windowText" lastClr="000000"/>
                        </a:solidFill>
                      </a:rPr>
                      <a:t>10.05</a:t>
                    </a:r>
                    <a:r>
                      <a:rPr>
                        <a:solidFill>
                          <a:sysClr val="windowText" lastClr="000000"/>
                        </a:solidFill>
                      </a:rPr>
                      <a:t>%</a:t>
                    </a:r>
                    <a:endParaRPr>
                      <a:solidFill>
                        <a:sysClr val="windowText" lastClr="000000"/>
                      </a:solidFill>
                    </a:endParaRPr>
                  </a:p>
                </c:rich>
              </c:tx>
              <c:numFmt formatCode="General" sourceLinked="1"/>
              <c:spPr>
                <a:noFill/>
                <a:ln>
                  <a:noFill/>
                </a:ln>
                <a:effectLst>
                  <a:outerShdw blurRad="50800" dist="38100" dir="2700000" algn="tl" rotWithShape="0">
                    <a:prstClr val="black">
                      <a:alpha val="40000"/>
                    </a:prstClr>
                  </a:outerShdw>
                </a:effectLst>
              </c:spPr>
              <c:txPr>
                <a:bodyPr rot="0" spcFirstLastPara="0" vertOverflow="ellipsis" vert="horz" wrap="square" lIns="38100" tIns="19050" rIns="38100" bIns="19050" anchor="ctr" anchorCtr="1"/>
                <a:lstStyle/>
                <a:p>
                  <a:pPr>
                    <a:defRPr lang="zh-CN" sz="1000" b="1" i="0" u="none" strike="noStrike" kern="1200" baseline="0">
                      <a:solidFill>
                        <a:sysClr val="windowText" lastClr="000000"/>
                      </a:solidFill>
                      <a:latin typeface="+mn-lt"/>
                      <a:ea typeface="+mn-ea"/>
                      <a:cs typeface="+mn-cs"/>
                    </a:defRPr>
                  </a:pPr>
                </a:p>
              </c:txPr>
              <c:dLblPos val="bestFit"/>
              <c:showLegendKey val="0"/>
              <c:showVal val="0"/>
              <c:showCatName val="0"/>
              <c:showSerName val="0"/>
              <c:showPercent val="1"/>
              <c:showBubbleSize val="0"/>
              <c:extLst>
                <c:ext xmlns:c15="http://schemas.microsoft.com/office/drawing/2012/chart" uri="{CE6537A1-D6FC-4f65-9D91-7224C49458BB}">
                  <c15:layout/>
                </c:ext>
              </c:extLst>
            </c:dLbl>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0" vertOverflow="ellipsis" vert="horz" wrap="square" lIns="38100" tIns="19050" rIns="38100" bIns="19050" anchor="ctr" anchorCtr="1"/>
              <a:lstStyle/>
              <a:p>
                <a:pPr>
                  <a:defRPr lang="zh-CN" sz="1000" b="1" i="0" u="none" strike="noStrike" kern="1200" baseline="0">
                    <a:solidFill>
                      <a:sysClr val="windowText" lastClr="000000"/>
                    </a:solidFill>
                    <a:latin typeface="+mn-lt"/>
                    <a:ea typeface="+mn-ea"/>
                    <a:cs typeface="+mn-cs"/>
                  </a:defRPr>
                </a:pPr>
              </a:p>
            </c:txPr>
            <c:dLblPos val="ctr"/>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dk1">
                          <a:lumMod val="50000"/>
                          <a:lumOff val="50000"/>
                        </a:schemeClr>
                      </a:solidFill>
                      <a:prstDash val="solid"/>
                      <a:round/>
                    </a:ln>
                    <a:effectLst/>
                  </c:spPr>
                </c15:leaderLines>
              </c:ext>
            </c:extLst>
          </c:dLbls>
          <c:cat>
            <c:strRef>
              <c:f>[决算柱状饼状图.xlsx]Sheet1!$A$54:$A$56</c:f>
              <c:strCache>
                <c:ptCount val="3"/>
                <c:pt idx="0">
                  <c:v>社会保障和就业（类）支出</c:v>
                </c:pt>
                <c:pt idx="1">
                  <c:v>卫生健康支出</c:v>
                </c:pt>
                <c:pt idx="2">
                  <c:v>住房保障</c:v>
                </c:pt>
              </c:strCache>
            </c:strRef>
          </c:cat>
          <c:val>
            <c:numRef>
              <c:f>[决算柱状饼状图.xlsx]Sheet1!$B$54:$B$56</c:f>
              <c:numCache>
                <c:formatCode>General</c:formatCode>
                <c:ptCount val="3"/>
                <c:pt idx="0">
                  <c:v>9.81</c:v>
                </c:pt>
                <c:pt idx="1">
                  <c:v>60.14</c:v>
                </c:pt>
                <c:pt idx="2">
                  <c:v>7.81</c:v>
                </c:pt>
              </c:numCache>
            </c:numRef>
          </c:val>
        </c:ser>
        <c:ser>
          <c:idx val="1"/>
          <c:order val="1"/>
          <c:explosion val="0"/>
          <c:dPt>
            <c:idx val="0"/>
            <c:bubble3D val="0"/>
            <c:spPr>
              <a:solidFill>
                <a:schemeClr val="accent1"/>
              </a:solidFill>
              <a:ln>
                <a:noFill/>
              </a:ln>
              <a:effectLst>
                <a:outerShdw blurRad="254000" sx="102000" sy="102000" algn="ctr" rotWithShape="0">
                  <a:prstClr val="black">
                    <a:alpha val="20000"/>
                  </a:prstClr>
                </a:outerShdw>
              </a:effectLst>
            </c:spPr>
          </c:dPt>
          <c:dPt>
            <c:idx val="1"/>
            <c:bubble3D val="0"/>
            <c:spPr>
              <a:solidFill>
                <a:schemeClr val="accent2"/>
              </a:solidFill>
              <a:ln>
                <a:noFill/>
              </a:ln>
              <a:effectLst>
                <a:outerShdw blurRad="254000" sx="102000" sy="102000" algn="ctr" rotWithShape="0">
                  <a:prstClr val="black">
                    <a:alpha val="20000"/>
                  </a:prstClr>
                </a:outerShdw>
              </a:effectLst>
            </c:spPr>
          </c:dPt>
          <c:dPt>
            <c:idx val="2"/>
            <c:bubble3D val="0"/>
            <c:spPr>
              <a:solidFill>
                <a:schemeClr val="accent3"/>
              </a:solidFill>
              <a:ln>
                <a:noFill/>
              </a:ln>
              <a:effectLst>
                <a:outerShdw blurRad="254000" sx="102000" sy="102000" algn="ctr" rotWithShape="0">
                  <a:prstClr val="black">
                    <a:alpha val="20000"/>
                  </a:prstClr>
                </a:outerShdw>
              </a:effectLst>
            </c:spPr>
          </c:dPt>
          <c:dLbls>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0" vertOverflow="ellipsis" vert="horz" wrap="square" lIns="38100" tIns="19050" rIns="38100" bIns="19050" anchor="ctr" anchorCtr="1"/>
              <a:lstStyle/>
              <a:p>
                <a:pPr>
                  <a:defRPr lang="zh-CN" sz="1000" b="1" i="0" u="none" strike="noStrike" kern="1200" baseline="0">
                    <a:solidFill>
                      <a:sysClr val="windowText" lastClr="000000"/>
                    </a:solidFill>
                    <a:latin typeface="+mn-lt"/>
                    <a:ea typeface="+mn-ea"/>
                    <a:cs typeface="+mn-cs"/>
                  </a:defRPr>
                </a:pPr>
              </a:p>
            </c:txPr>
            <c:dLblPos val="ctr"/>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dk1">
                          <a:lumMod val="50000"/>
                          <a:lumOff val="50000"/>
                        </a:schemeClr>
                      </a:solidFill>
                      <a:prstDash val="solid"/>
                      <a:round/>
                    </a:ln>
                    <a:effectLst/>
                  </c:spPr>
                </c15:leaderLines>
              </c:ext>
            </c:extLst>
          </c:dLbls>
          <c:cat>
            <c:strRef>
              <c:f>[决算柱状饼状图.xlsx]Sheet1!$A$54:$A$56</c:f>
              <c:strCache>
                <c:ptCount val="3"/>
                <c:pt idx="0">
                  <c:v>社会保障和就业（类）支出</c:v>
                </c:pt>
                <c:pt idx="1">
                  <c:v>卫生健康支出</c:v>
                </c:pt>
                <c:pt idx="2">
                  <c:v>住房保障</c:v>
                </c:pt>
              </c:strCache>
            </c:strRef>
          </c:cat>
          <c:val>
            <c:numRef>
              <c:f>[决算柱状饼状图.xlsx]Sheet1!$C$54:$C$56</c:f>
              <c:numCache>
                <c:formatCode>0.00%</c:formatCode>
                <c:ptCount val="3"/>
                <c:pt idx="0">
                  <c:v>0.1262</c:v>
                </c:pt>
                <c:pt idx="1">
                  <c:v>0.8146</c:v>
                </c:pt>
                <c:pt idx="2">
                  <c:v>0.0752</c:v>
                </c:pt>
              </c:numCache>
            </c:numRef>
          </c:val>
        </c:ser>
        <c:dLbls>
          <c:showLegendKey val="0"/>
          <c:showVal val="0"/>
          <c:showCatName val="0"/>
          <c:showSerName val="0"/>
          <c:showPercent val="1"/>
          <c:showBubbleSize val="0"/>
        </c:dLbls>
      </c:pie3DChart>
      <c:spPr>
        <a:noFill/>
        <a:ln>
          <a:noFill/>
        </a:ln>
        <a:effectLst/>
      </c:spPr>
    </c:plotArea>
    <c:legend>
      <c:legendPos val="r"/>
      <c:legendEntry>
        <c:idx val="0"/>
        <c:txPr>
          <a:bodyPr rot="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legendEntry>
      <c:legendEntry>
        <c:idx val="1"/>
        <c:txPr>
          <a:bodyPr rot="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legendEntry>
      <c:legendEntry>
        <c:idx val="2"/>
        <c:txPr>
          <a:bodyPr rot="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legendEntry>
      <c:layout>
        <c:manualLayout>
          <c:xMode val="edge"/>
          <c:yMode val="edge"/>
          <c:x val="0.692939531632296"/>
          <c:y val="0.224448315911731"/>
          <c:w val="0.301468018175463"/>
          <c:h val="0.55952380952381"/>
        </c:manualLayout>
      </c:layout>
      <c:overlay val="0"/>
      <c:spPr>
        <a:solidFill>
          <a:schemeClr val="lt1">
            <a:lumMod val="95000"/>
            <a:alpha val="39000"/>
          </a:schemeClr>
        </a:solidFill>
        <a:ln>
          <a:noFill/>
        </a:ln>
        <a:effectLst/>
      </c:spPr>
      <c:txPr>
        <a:bodyPr rot="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legend>
    <c:plotVisOnly val="1"/>
    <c:dispBlanksAs val="gap"/>
    <c:showDLblsOverMax val="0"/>
  </c:chart>
  <c:spPr>
    <a:noFill/>
    <a:ln w="9525" cap="flat" cmpd="sng" algn="ctr">
      <a:solidFill>
        <a:schemeClr val="dk1">
          <a:lumMod val="25000"/>
          <a:lumOff val="75000"/>
        </a:schemeClr>
      </a:solidFill>
      <a:prstDash val="solid"/>
      <a:round/>
    </a:ln>
    <a:effectLst/>
  </c:spPr>
  <c:txPr>
    <a:bodyPr/>
    <a:lstStyle/>
    <a:p>
      <a:pPr>
        <a:defRPr lang="zh-CN">
          <a:solidFill>
            <a:sysClr val="windowText" lastClr="000000"/>
          </a:solidFill>
        </a:defRPr>
      </a:pPr>
    </a:p>
  </c:txPr>
  <c:externalData r:id="rId1">
    <c:autoUpdate val="0"/>
  </c:externalData>
</c:chartSpac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D4DEFA682F0F435DB548038D60823B9C_12</vt:lpwstr>
  </property>
</Properties>
</file>

<file path=customXml/item2.xml><?xml version="1.0" encoding="utf-8"?>
<Properties xmlns="http://schemas.openxmlformats.org/officeDocument/2006/extended-properties" xmlns:vt="http://schemas.openxmlformats.org/officeDocument/2006/docPropsVTypes">
  <Template>Normal.eit</Template>
  <Company>四川省财政厅</Company>
  <Pages>16</Pages>
  <Words>0</Words>
  <Characters>3632</Characters>
  <Lines>0</Lines>
  <Paragraphs>205</Paragraphs>
  <TotalTime>19</TotalTime>
  <ScaleCrop>false</ScaleCrop>
  <LinksUpToDate>false</LinksUpToDate>
  <CharactersWithSpaces>4843</CharactersWithSpaces>
  <Application>WPS Office_12.1.0.16412_F1E327BC-269C-435d-A152-05C5408002CA</Application>
</Properties>
</file>

<file path=customXml/item3.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WPS_1651227375</cp:lastModifiedBy>
  <cp:lastPrinted>2023-07-31T02:35:00Z</cp:lastPrinted>
  <dcterms:modified xsi:type="dcterms:W3CDTF">2024-07-26T07:43:49Z</dcterms:modified>
  <dc:title>四川省***</dc:title>
  <cp:revision>32</cp:revision>
</cp:coreProperties>
</file>

<file path=customXml/itemProps1.xml><?xml version="1.0" encoding="utf-8"?>
<ds:datastoreItem xmlns:ds="http://schemas.openxmlformats.org/officeDocument/2006/customXml" ds:itemID="{8951b96d-2591-404e-9c60-827905f5fa21}">
  <ds:schemaRefs/>
</ds:datastoreItem>
</file>

<file path=customXml/itemProps2.xml><?xml version="1.0" encoding="utf-8"?>
<ds:datastoreItem xmlns:ds="http://schemas.openxmlformats.org/officeDocument/2006/customXml" ds:itemID="{2b728b59-972a-4074-8ba6-65d1fe2b9a8f}">
  <ds:schemaRefs/>
</ds:datastoreItem>
</file>

<file path=customXml/itemProps3.xml><?xml version="1.0" encoding="utf-8"?>
<ds:datastoreItem xmlns:ds="http://schemas.openxmlformats.org/officeDocument/2006/customXml" ds:itemID="{7e2ad7b8-5589-4e25-bb0f-189b5a159629}">
  <ds:schemaRefs/>
</ds:datastoreItem>
</file>

<file path=docProps/app.xml><?xml version="1.0" encoding="utf-8"?>
<Properties xmlns="http://schemas.openxmlformats.org/officeDocument/2006/extended-properties" xmlns:vt="http://schemas.openxmlformats.org/officeDocument/2006/docPropsVTypes">
  <Template>Normal.eit</Template>
  <Company>四川省财政厅</Company>
  <Pages>16</Pages>
  <Words>0</Words>
  <Characters>3632</Characters>
  <Lines>0</Lines>
  <Paragraphs>205</Paragraphs>
  <TotalTime>20</TotalTime>
  <ScaleCrop>false</ScaleCrop>
  <LinksUpToDate>false</LinksUpToDate>
  <CharactersWithSpaces>4843</CharactersWithSpaces>
  <Application>WPS Office_12.1.0.16412_F1E327BC-269C-435d-A152-05C5408002CA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WPS_1651227375</cp:lastModifiedBy>
  <cp:lastPrinted>2023-07-31T02:35:00Z</cp:lastPrinted>
  <dcterms:modified xsi:type="dcterms:W3CDTF">2024-08-12T08:07:12Z</dcterms:modified>
  <dc:title>四川省_x002A__x002A__x002A_</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D4DEFA682F0F435DB548038D60823B9C_12</vt:lpwstr>
  </property>
</Properties>
</file>