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overflowPunct/>
        <w:topLinePunct w:val="0"/>
        <w:bidi w:val="0"/>
        <w:adjustRightInd w:val="0"/>
        <w:snapToGrid w:val="0"/>
        <w:spacing w:line="580" w:lineRule="exact"/>
        <w:jc w:val="center"/>
        <w:outlineLvl w:val="9"/>
        <w:rPr>
          <w:rFonts w:ascii="黑体" w:hAnsi="黑体" w:eastAsia="黑体"/>
          <w:color w:val="000000"/>
          <w:sz w:val="72"/>
          <w:szCs w:val="72"/>
        </w:rPr>
      </w:pPr>
      <w:bookmarkStart w:id="0" w:name="_Toc15377193"/>
      <w:bookmarkStart w:id="1" w:name="_Toc15396597"/>
      <w:bookmarkStart w:id="2" w:name="_Toc17059"/>
      <w:bookmarkStart w:id="3" w:name="_Toc15377425"/>
      <w:bookmarkStart w:id="4" w:name="_Toc15378441"/>
      <w:bookmarkStart w:id="5" w:name="_Toc15396475"/>
      <w:bookmarkStart w:id="6" w:name="_Toc15306267"/>
    </w:p>
    <w:p>
      <w:pPr>
        <w:pStyle w:val="17"/>
        <w:pageBreakBefore w:val="0"/>
        <w:kinsoku/>
        <w:wordWrap/>
        <w:overflowPunct/>
        <w:topLinePunct w:val="0"/>
        <w:bidi w:val="0"/>
        <w:spacing w:line="580" w:lineRule="exact"/>
        <w:ind w:firstLine="1440"/>
        <w:rPr>
          <w:rFonts w:ascii="黑体" w:hAnsi="黑体" w:eastAsia="黑体"/>
          <w:sz w:val="72"/>
          <w:szCs w:val="72"/>
        </w:rPr>
      </w:pPr>
    </w:p>
    <w:p>
      <w:pPr>
        <w:pStyle w:val="17"/>
        <w:pageBreakBefore w:val="0"/>
        <w:kinsoku/>
        <w:wordWrap/>
        <w:overflowPunct/>
        <w:topLinePunct w:val="0"/>
        <w:bidi w:val="0"/>
        <w:spacing w:line="580" w:lineRule="exact"/>
        <w:ind w:firstLine="1440"/>
        <w:rPr>
          <w:rFonts w:ascii="黑体" w:hAnsi="黑体" w:eastAsia="黑体"/>
          <w:sz w:val="72"/>
          <w:szCs w:val="72"/>
        </w:rPr>
      </w:pPr>
    </w:p>
    <w:p>
      <w:pPr>
        <w:pStyle w:val="17"/>
        <w:pageBreakBefore w:val="0"/>
        <w:kinsoku/>
        <w:wordWrap/>
        <w:overflowPunct/>
        <w:topLinePunct w:val="0"/>
        <w:bidi w:val="0"/>
        <w:spacing w:line="580" w:lineRule="exact"/>
        <w:ind w:firstLine="1440"/>
        <w:rPr>
          <w:rFonts w:ascii="黑体" w:hAnsi="黑体" w:eastAsia="黑体"/>
          <w:sz w:val="72"/>
          <w:szCs w:val="72"/>
        </w:rPr>
      </w:pPr>
    </w:p>
    <w:p>
      <w:pPr>
        <w:pageBreakBefore w:val="0"/>
        <w:kinsoku/>
        <w:wordWrap/>
        <w:overflowPunct/>
        <w:topLinePunct w:val="0"/>
        <w:bidi w:val="0"/>
        <w:adjustRightInd w:val="0"/>
        <w:snapToGrid w:val="0"/>
        <w:spacing w:line="240" w:lineRule="auto"/>
        <w:jc w:val="center"/>
        <w:outlineLvl w:val="0"/>
        <w:rPr>
          <w:rFonts w:ascii="方正小标宋简体" w:hAnsi="宋体" w:eastAsia="方正小标宋简体"/>
          <w:color w:val="000000"/>
          <w:sz w:val="72"/>
          <w:szCs w:val="72"/>
        </w:rPr>
      </w:pPr>
      <w:bookmarkStart w:id="7" w:name="_Toc16805"/>
      <w:bookmarkStart w:id="8" w:name="_Toc32609"/>
      <w:bookmarkStart w:id="9" w:name="_Toc28493"/>
      <w:bookmarkStart w:id="10" w:name="_Toc25090"/>
      <w:bookmarkStart w:id="11" w:name="_Toc29470"/>
      <w:bookmarkStart w:id="12" w:name="_Toc3652"/>
      <w:r>
        <w:rPr>
          <w:rFonts w:hint="eastAsia" w:ascii="黑体" w:hAnsi="黑体" w:eastAsia="黑体"/>
          <w:color w:val="000000"/>
          <w:sz w:val="72"/>
          <w:szCs w:val="72"/>
          <w:lang w:eastAsia="zh-CN"/>
        </w:rPr>
        <w:t>202</w:t>
      </w:r>
      <w:r>
        <w:rPr>
          <w:rFonts w:hint="eastAsia" w:ascii="黑体" w:hAnsi="黑体" w:eastAsia="黑体"/>
          <w:color w:val="000000"/>
          <w:sz w:val="72"/>
          <w:szCs w:val="72"/>
          <w:lang w:val="en-US" w:eastAsia="zh-CN"/>
        </w:rPr>
        <w:t>2</w:t>
      </w:r>
      <w:r>
        <w:rPr>
          <w:rFonts w:hint="eastAsia" w:ascii="方正小标宋简体" w:hAnsi="宋体" w:eastAsia="方正小标宋简体"/>
          <w:color w:val="000000"/>
          <w:sz w:val="72"/>
          <w:szCs w:val="72"/>
        </w:rPr>
        <w:t>年度</w:t>
      </w:r>
      <w:bookmarkEnd w:id="0"/>
      <w:bookmarkEnd w:id="1"/>
      <w:bookmarkEnd w:id="2"/>
      <w:bookmarkEnd w:id="3"/>
      <w:bookmarkEnd w:id="4"/>
      <w:bookmarkEnd w:id="5"/>
      <w:bookmarkEnd w:id="7"/>
      <w:bookmarkEnd w:id="8"/>
      <w:bookmarkEnd w:id="9"/>
      <w:bookmarkEnd w:id="10"/>
      <w:bookmarkEnd w:id="11"/>
      <w:bookmarkEnd w:id="12"/>
    </w:p>
    <w:p>
      <w:pPr>
        <w:pageBreakBefore w:val="0"/>
        <w:kinsoku/>
        <w:wordWrap/>
        <w:overflowPunct/>
        <w:topLinePunct w:val="0"/>
        <w:bidi w:val="0"/>
        <w:adjustRightInd w:val="0"/>
        <w:snapToGrid w:val="0"/>
        <w:spacing w:line="240" w:lineRule="auto"/>
        <w:jc w:val="center"/>
        <w:outlineLvl w:val="0"/>
        <w:rPr>
          <w:rFonts w:ascii="方正小标宋简体" w:hAnsi="宋体" w:eastAsia="方正小标宋简体"/>
          <w:color w:val="000000"/>
          <w:sz w:val="72"/>
          <w:szCs w:val="72"/>
        </w:rPr>
      </w:pPr>
      <w:bookmarkStart w:id="13" w:name="_Toc16997"/>
      <w:bookmarkStart w:id="14" w:name="_Toc6917"/>
      <w:bookmarkStart w:id="15" w:name="_Toc15396598"/>
      <w:bookmarkStart w:id="16" w:name="_Toc21501"/>
      <w:bookmarkStart w:id="17" w:name="_Toc15378442"/>
      <w:bookmarkStart w:id="18" w:name="_Toc21162"/>
      <w:bookmarkStart w:id="19" w:name="_Toc28716"/>
      <w:bookmarkStart w:id="20" w:name="_Toc15396476"/>
      <w:bookmarkStart w:id="21" w:name="_Toc15377194"/>
      <w:bookmarkStart w:id="22" w:name="_Toc6824"/>
      <w:bookmarkStart w:id="23" w:name="_Toc15377426"/>
      <w:bookmarkStart w:id="24" w:name="_Toc4455"/>
      <w:bookmarkStart w:id="25" w:name="_Toc6647"/>
      <w:r>
        <w:rPr>
          <w:rFonts w:hint="eastAsia" w:ascii="方正小标宋简体" w:hAnsi="宋体" w:eastAsia="方正小标宋简体"/>
          <w:color w:val="000000"/>
          <w:sz w:val="72"/>
          <w:szCs w:val="72"/>
        </w:rPr>
        <w:t>四川省</w:t>
      </w:r>
      <w:bookmarkEnd w:id="6"/>
      <w:bookmarkStart w:id="26" w:name="_Toc15306268"/>
      <w:r>
        <w:rPr>
          <w:rFonts w:hint="eastAsia" w:ascii="方正小标宋简体" w:hAnsi="宋体" w:eastAsia="方正小标宋简体"/>
          <w:color w:val="000000"/>
          <w:sz w:val="72"/>
          <w:szCs w:val="72"/>
        </w:rPr>
        <w:t>广元市昭化区</w:t>
      </w:r>
      <w:r>
        <w:rPr>
          <w:rFonts w:hint="eastAsia" w:ascii="方正小标宋简体" w:hAnsi="宋体" w:eastAsia="方正小标宋简体"/>
          <w:b/>
          <w:bCs/>
          <w:color w:val="000000"/>
          <w:sz w:val="72"/>
          <w:szCs w:val="72"/>
          <w:lang w:eastAsia="zh-CN"/>
        </w:rPr>
        <w:t>明觉中心</w:t>
      </w:r>
      <w:r>
        <w:rPr>
          <w:rFonts w:hint="eastAsia" w:ascii="方正小标宋简体" w:hAnsi="宋体" w:eastAsia="方正小标宋简体"/>
          <w:color w:val="000000"/>
          <w:sz w:val="72"/>
          <w:szCs w:val="72"/>
          <w:lang w:eastAsia="zh-CN"/>
        </w:rPr>
        <w:t>卫生院单位</w:t>
      </w:r>
      <w:r>
        <w:rPr>
          <w:rFonts w:hint="eastAsia" w:ascii="方正小标宋简体" w:hAnsi="宋体" w:eastAsia="方正小标宋简体"/>
          <w:color w:val="000000"/>
          <w:sz w:val="72"/>
          <w:szCs w:val="72"/>
        </w:rPr>
        <w:t>决算</w:t>
      </w:r>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ageBreakBefore w:val="0"/>
        <w:widowControl/>
        <w:kinsoku/>
        <w:wordWrap/>
        <w:overflowPunct/>
        <w:topLinePunct w:val="0"/>
        <w:bidi w:val="0"/>
        <w:spacing w:line="240" w:lineRule="auto"/>
        <w:jc w:val="center"/>
        <w:rPr>
          <w:rFonts w:hint="eastAsia" w:ascii="黑体" w:hAnsi="黑体" w:eastAsia="黑体"/>
          <w:color w:val="000000"/>
          <w:sz w:val="48"/>
          <w:szCs w:val="48"/>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p>
    <w:p>
      <w:pPr>
        <w:pageBreakBefore w:val="0"/>
        <w:widowControl/>
        <w:kinsoku/>
        <w:wordWrap/>
        <w:overflowPunct/>
        <w:topLinePunct w:val="0"/>
        <w:bidi w:val="0"/>
        <w:spacing w:line="580" w:lineRule="exact"/>
        <w:jc w:val="center"/>
        <w:rPr>
          <w:rFonts w:hint="eastAsia" w:ascii="黑体" w:hAnsi="黑体" w:eastAsia="黑体"/>
          <w:color w:val="000000"/>
          <w:sz w:val="48"/>
          <w:szCs w:val="48"/>
        </w:rPr>
      </w:pPr>
      <w:r>
        <w:rPr>
          <w:rFonts w:hint="eastAsia" w:ascii="黑体" w:hAnsi="黑体" w:eastAsia="黑体"/>
          <w:color w:val="000000"/>
          <w:sz w:val="48"/>
          <w:szCs w:val="48"/>
        </w:rPr>
        <w:t>目录</w:t>
      </w:r>
    </w:p>
    <w:p>
      <w:pPr>
        <w:pStyle w:val="26"/>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2"/>
          <w:sz w:val="30"/>
          <w:szCs w:val="30"/>
          <w:lang w:val="en-US" w:eastAsia="zh-CN" w:bidi="ar-SA"/>
        </w:rPr>
      </w:pPr>
      <w:r>
        <w:rPr>
          <w:rFonts w:hint="eastAsia" w:ascii="仿宋" w:hAnsi="仿宋" w:eastAsia="仿宋" w:cs="仿宋"/>
          <w:sz w:val="30"/>
          <w:szCs w:val="30"/>
        </w:rPr>
        <w:t>公开时间：202</w:t>
      </w:r>
      <w:r>
        <w:rPr>
          <w:rFonts w:hint="eastAsia" w:ascii="仿宋" w:hAnsi="仿宋" w:eastAsia="仿宋" w:cs="仿宋"/>
          <w:sz w:val="30"/>
          <w:szCs w:val="30"/>
          <w:lang w:val="en-US" w:eastAsia="zh-CN"/>
        </w:rPr>
        <w:t>2</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hint="eastAsia" w:cs="仿宋"/>
          <w:sz w:val="30"/>
          <w:szCs w:val="30"/>
          <w:lang w:val="en-US" w:eastAsia="zh-CN"/>
        </w:rPr>
        <w:t>28</w:t>
      </w:r>
      <w:r>
        <w:rPr>
          <w:rFonts w:hint="eastAsia" w:ascii="仿宋" w:hAnsi="仿宋" w:eastAsia="仿宋" w:cs="仿宋"/>
          <w:sz w:val="30"/>
          <w:szCs w:val="30"/>
        </w:rPr>
        <w:t>日</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TOC \o "1-2" \h \u</w:instrText>
      </w:r>
      <w:r>
        <w:rPr>
          <w:rFonts w:hint="eastAsia" w:ascii="仿宋" w:hAnsi="仿宋" w:eastAsia="仿宋" w:cs="仿宋"/>
          <w:sz w:val="30"/>
          <w:szCs w:val="30"/>
        </w:rPr>
        <w:fldChar w:fldCharType="separate"/>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center"/>
        <w:textAlignment w:val="auto"/>
      </w:pPr>
      <w:r>
        <w:rPr>
          <w:rFonts w:hint="eastAsia" w:ascii="仿宋" w:hAnsi="仿宋" w:eastAsia="仿宋" w:cs="仿宋"/>
          <w:sz w:val="30"/>
          <w:szCs w:val="30"/>
        </w:rPr>
        <w:fldChar w:fldCharType="end"/>
      </w:r>
      <w:r>
        <w:rPr>
          <w:rFonts w:hint="eastAsia"/>
        </w:rPr>
        <w:fldChar w:fldCharType="begin"/>
      </w:r>
      <w:r>
        <w:rPr>
          <w:rFonts w:hint="eastAsia"/>
        </w:rPr>
        <w:instrText xml:space="preserve">TOC \o "1-3" \h \u</w:instrText>
      </w:r>
      <w:r>
        <w:rPr>
          <w:rFonts w:hint="eastAsia"/>
        </w:rPr>
        <w:fldChar w:fldCharType="separate"/>
      </w:r>
    </w:p>
    <w:p>
      <w:pPr>
        <w:pStyle w:val="42"/>
        <w:tabs>
          <w:tab w:val="right" w:leader="dot" w:pos="8306"/>
        </w:tabs>
      </w:pPr>
      <w:r>
        <w:fldChar w:fldCharType="begin"/>
      </w:r>
      <w:r>
        <w:instrText xml:space="preserve"> HYPERLINK \l "_Toc9288" </w:instrText>
      </w:r>
      <w:r>
        <w:fldChar w:fldCharType="separate"/>
      </w:r>
      <w:r>
        <w:rPr>
          <w:rFonts w:hint="eastAsia" w:ascii="黑体" w:hAnsi="黑体" w:eastAsia="黑体"/>
        </w:rPr>
        <w:t>第一部分</w:t>
      </w:r>
      <w:r>
        <w:rPr>
          <w:rFonts w:ascii="黑体" w:hAnsi="黑体" w:eastAsia="黑体"/>
        </w:rPr>
        <w:t xml:space="preserve"> </w:t>
      </w:r>
      <w:r>
        <w:rPr>
          <w:rFonts w:hint="eastAsia" w:ascii="黑体" w:hAnsi="黑体" w:eastAsia="黑体"/>
          <w:lang w:eastAsia="zh-CN"/>
        </w:rPr>
        <w:t>单位</w:t>
      </w:r>
      <w:r>
        <w:rPr>
          <w:rFonts w:hint="eastAsia" w:ascii="黑体" w:hAnsi="黑体" w:eastAsia="黑体"/>
        </w:rPr>
        <w:t>概况</w:t>
      </w:r>
      <w:r>
        <w:tab/>
      </w:r>
      <w:r>
        <w:fldChar w:fldCharType="begin"/>
      </w:r>
      <w:r>
        <w:instrText xml:space="preserve"> PAGEREF _Toc9288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"_Toc2278" </w:instrText>
      </w:r>
      <w:r>
        <w:fldChar w:fldCharType="separate"/>
      </w:r>
      <w:r>
        <w:rPr>
          <w:rFonts w:hint="eastAsia" w:ascii="黑体" w:hAnsi="黑体" w:eastAsia="黑体"/>
          <w:bCs w:val="0"/>
          <w:highlight w:val="none"/>
          <w:lang w:eastAsia="zh-CN"/>
        </w:rPr>
        <w:t>一、主要职责</w:t>
      </w:r>
      <w:r>
        <w:tab/>
      </w:r>
      <w:r>
        <w:fldChar w:fldCharType="begin"/>
      </w:r>
      <w:r>
        <w:instrText xml:space="preserve"> PAGEREF _Toc2278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"_Toc15899" </w:instrText>
      </w:r>
      <w:r>
        <w:fldChar w:fldCharType="separate"/>
      </w:r>
      <w:r>
        <w:rPr>
          <w:rFonts w:hint="eastAsia" w:ascii="黑体" w:hAnsi="黑体" w:eastAsia="黑体"/>
          <w:lang w:val="en-US" w:eastAsia="zh-CN"/>
        </w:rPr>
        <w:t>二、</w:t>
      </w:r>
      <w:r>
        <w:rPr>
          <w:rFonts w:hint="eastAsia" w:ascii="黑体" w:hAnsi="黑体" w:eastAsia="黑体"/>
          <w:highlight w:val="none"/>
          <w:lang w:val="en-US" w:eastAsia="zh-CN"/>
        </w:rPr>
        <w:t>机构设置</w:t>
      </w:r>
      <w:r>
        <w:tab/>
      </w:r>
      <w:r>
        <w:fldChar w:fldCharType="begin"/>
      </w:r>
      <w:r>
        <w:instrText xml:space="preserve"> PAGEREF _Toc15899 \h </w:instrText>
      </w:r>
      <w:r>
        <w:fldChar w:fldCharType="separate"/>
      </w:r>
      <w:r>
        <w:t>1</w:t>
      </w:r>
      <w:r>
        <w:fldChar w:fldCharType="end"/>
      </w:r>
      <w:r>
        <w:fldChar w:fldCharType="end"/>
      </w:r>
    </w:p>
    <w:p>
      <w:pPr>
        <w:pStyle w:val="42"/>
        <w:tabs>
          <w:tab w:val="right" w:leader="dot" w:pos="8306"/>
        </w:tabs>
      </w:pPr>
      <w:r>
        <w:fldChar w:fldCharType="begin"/>
      </w:r>
      <w:r>
        <w:instrText xml:space="preserve"> HYPERLINK \l "_Toc25208" </w:instrText>
      </w:r>
      <w:r>
        <w:fldChar w:fldCharType="separate"/>
      </w:r>
      <w:r>
        <w:rPr>
          <w:rFonts w:hint="eastAsia" w:ascii="黑体" w:hAnsi="黑体" w:eastAsia="黑体"/>
        </w:rPr>
        <w:t>第二部分</w:t>
      </w:r>
      <w:r>
        <w:rPr>
          <w:rFonts w:ascii="黑体" w:hAnsi="黑体" w:eastAsia="黑体"/>
        </w:rPr>
        <w:t xml:space="preserve"> </w:t>
      </w:r>
      <w:r>
        <w:rPr>
          <w:rFonts w:hint="eastAsia" w:ascii="黑体" w:hAnsi="黑体" w:eastAsia="黑体"/>
          <w:lang w:eastAsia="zh-CN"/>
        </w:rPr>
        <w:t>202</w:t>
      </w:r>
      <w:r>
        <w:rPr>
          <w:rFonts w:hint="eastAsia" w:ascii="黑体" w:hAnsi="黑体" w:eastAsia="黑体"/>
          <w:lang w:val="en-US" w:eastAsia="zh-CN"/>
        </w:rPr>
        <w:t>2</w:t>
      </w:r>
      <w:r>
        <w:rPr>
          <w:rFonts w:hint="eastAsia" w:ascii="黑体" w:hAnsi="黑体" w:eastAsia="黑体"/>
        </w:rPr>
        <w:t>年度</w:t>
      </w:r>
      <w:r>
        <w:rPr>
          <w:rFonts w:hint="eastAsia" w:ascii="黑体" w:hAnsi="黑体" w:eastAsia="黑体"/>
          <w:lang w:eastAsia="zh-CN"/>
        </w:rPr>
        <w:t>单位</w:t>
      </w:r>
      <w:r>
        <w:rPr>
          <w:rFonts w:hint="eastAsia" w:ascii="黑体" w:hAnsi="黑体" w:eastAsia="黑体"/>
        </w:rPr>
        <w:t>决算情况说明</w:t>
      </w:r>
      <w:r>
        <w:tab/>
      </w:r>
      <w:r>
        <w:fldChar w:fldCharType="begin"/>
      </w:r>
      <w:r>
        <w:instrText xml:space="preserve"> PAGEREF _Toc25208 \h </w:instrText>
      </w:r>
      <w:r>
        <w:fldChar w:fldCharType="separate"/>
      </w:r>
      <w:r>
        <w:t>2</w:t>
      </w:r>
      <w:r>
        <w:fldChar w:fldCharType="end"/>
      </w:r>
      <w:r>
        <w:fldChar w:fldCharType="end"/>
      </w:r>
    </w:p>
    <w:p>
      <w:pPr>
        <w:pStyle w:val="40"/>
        <w:tabs>
          <w:tab w:val="right" w:leader="dot" w:pos="8306"/>
        </w:tabs>
      </w:pPr>
      <w:r>
        <w:fldChar w:fldCharType="begin"/>
      </w:r>
      <w:r>
        <w:instrText xml:space="preserve"> HYPERLINK \l "_Toc1787" </w:instrText>
      </w:r>
      <w:r>
        <w:fldChar w:fldCharType="separate"/>
      </w:r>
      <w:r>
        <w:rPr>
          <w:rFonts w:hint="default" w:ascii="黑体" w:hAnsi="黑体" w:eastAsia="黑体" w:cs="Times New Roma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_Toc1787 \h </w:instrText>
      </w:r>
      <w:r>
        <w:fldChar w:fldCharType="separate"/>
      </w:r>
      <w:r>
        <w:t>2</w:t>
      </w:r>
      <w:r>
        <w:fldChar w:fldCharType="end"/>
      </w:r>
      <w:r>
        <w:fldChar w:fldCharType="end"/>
      </w:r>
    </w:p>
    <w:p>
      <w:pPr>
        <w:pStyle w:val="40"/>
        <w:tabs>
          <w:tab w:val="right" w:leader="dot" w:pos="8306"/>
        </w:tabs>
      </w:pPr>
      <w:r>
        <w:fldChar w:fldCharType="begin"/>
      </w:r>
      <w:r>
        <w:instrText xml:space="preserve"> HYPERLINK \l "_Toc10383" </w:instrText>
      </w:r>
      <w:r>
        <w:fldChar w:fldCharType="separate"/>
      </w:r>
      <w:r>
        <w:rPr>
          <w:rFonts w:hint="default" w:ascii="黑体" w:hAnsi="黑体" w:eastAsia="黑体" w:cs="Times New Roma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_Toc10383 \h </w:instrText>
      </w:r>
      <w:r>
        <w:fldChar w:fldCharType="separate"/>
      </w:r>
      <w:r>
        <w:t>2</w:t>
      </w:r>
      <w:r>
        <w:fldChar w:fldCharType="end"/>
      </w:r>
      <w:r>
        <w:fldChar w:fldCharType="end"/>
      </w:r>
    </w:p>
    <w:p>
      <w:pPr>
        <w:pStyle w:val="40"/>
        <w:tabs>
          <w:tab w:val="right" w:leader="dot" w:pos="8306"/>
        </w:tabs>
      </w:pPr>
      <w:r>
        <w:fldChar w:fldCharType="begin"/>
      </w:r>
      <w:r>
        <w:instrText xml:space="preserve"> HYPERLINK \l "_Toc30527" </w:instrText>
      </w:r>
      <w:r>
        <w:fldChar w:fldCharType="separate"/>
      </w:r>
      <w:r>
        <w:rPr>
          <w:rFonts w:hint="default" w:ascii="黑体" w:hAnsi="黑体" w:eastAsia="黑体" w:cs="Times New Roma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_Toc30527 \h </w:instrText>
      </w:r>
      <w:r>
        <w:fldChar w:fldCharType="separate"/>
      </w:r>
      <w:r>
        <w:t>3</w:t>
      </w:r>
      <w:r>
        <w:fldChar w:fldCharType="end"/>
      </w:r>
      <w:r>
        <w:fldChar w:fldCharType="end"/>
      </w:r>
    </w:p>
    <w:p>
      <w:pPr>
        <w:pStyle w:val="40"/>
        <w:tabs>
          <w:tab w:val="right" w:leader="dot" w:pos="8306"/>
        </w:tabs>
      </w:pPr>
      <w:r>
        <w:fldChar w:fldCharType="begin"/>
      </w:r>
      <w:r>
        <w:instrText xml:space="preserve"> HYPERLINK \l "_Toc18621" </w:instrText>
      </w:r>
      <w:r>
        <w:fldChar w:fldCharType="separate"/>
      </w:r>
      <w:r>
        <w:rPr>
          <w:rFonts w:hint="eastAsia" w:ascii="黑体" w:hAnsi="黑体" w:eastAsia="黑体"/>
          <w:szCs w:val="32"/>
        </w:rPr>
        <w:t>四、</w:t>
      </w:r>
      <w:r>
        <w:rPr>
          <w:rFonts w:hint="eastAsia" w:ascii="黑体" w:hAnsi="黑体" w:eastAsia="黑体"/>
          <w:szCs w:val="32"/>
          <w:highlight w:val="none"/>
        </w:rPr>
        <w:t>财</w:t>
      </w:r>
      <w:r>
        <w:rPr>
          <w:rFonts w:hint="eastAsia" w:ascii="黑体" w:hAnsi="黑体" w:eastAsia="黑体"/>
          <w:highlight w:val="none"/>
        </w:rPr>
        <w:t>政拨款收入支出决算总体情况说明</w:t>
      </w:r>
      <w:r>
        <w:tab/>
      </w:r>
      <w:r>
        <w:fldChar w:fldCharType="begin"/>
      </w:r>
      <w:r>
        <w:instrText xml:space="preserve"> PAGEREF _Toc18621 \h </w:instrText>
      </w:r>
      <w:r>
        <w:fldChar w:fldCharType="separate"/>
      </w:r>
      <w:r>
        <w:t>3</w:t>
      </w:r>
      <w:r>
        <w:fldChar w:fldCharType="end"/>
      </w:r>
      <w:r>
        <w:fldChar w:fldCharType="end"/>
      </w:r>
    </w:p>
    <w:p>
      <w:pPr>
        <w:pStyle w:val="40"/>
        <w:tabs>
          <w:tab w:val="right" w:leader="dot" w:pos="8306"/>
        </w:tabs>
      </w:pPr>
      <w:r>
        <w:fldChar w:fldCharType="begin"/>
      </w:r>
      <w:r>
        <w:instrText xml:space="preserve"> HYPERLINK \l "_Toc28094" </w:instrText>
      </w:r>
      <w:r>
        <w:fldChar w:fldCharType="separate"/>
      </w:r>
      <w:r>
        <w:rPr>
          <w:rFonts w:hint="eastAsia" w:ascii="黑体" w:hAnsi="黑体" w:eastAsia="黑体"/>
          <w:szCs w:val="32"/>
        </w:rPr>
        <w:t>五、</w:t>
      </w:r>
      <w:r>
        <w:rPr>
          <w:rFonts w:hint="eastAsia" w:ascii="黑体" w:hAnsi="黑体" w:eastAsia="黑体"/>
          <w:szCs w:val="32"/>
          <w:highlight w:val="none"/>
        </w:rPr>
        <w:t>一</w:t>
      </w:r>
      <w:r>
        <w:rPr>
          <w:rFonts w:hint="eastAsia" w:ascii="黑体" w:hAnsi="黑体" w:eastAsia="黑体"/>
          <w:highlight w:val="none"/>
        </w:rPr>
        <w:t>般公共预算财政拨款支出决算情况说明</w:t>
      </w:r>
      <w:r>
        <w:tab/>
      </w:r>
      <w:r>
        <w:fldChar w:fldCharType="begin"/>
      </w:r>
      <w:r>
        <w:instrText xml:space="preserve"> PAGEREF _Toc28094 \h </w:instrText>
      </w:r>
      <w:r>
        <w:fldChar w:fldCharType="separate"/>
      </w:r>
      <w:r>
        <w:t>4</w:t>
      </w:r>
      <w:r>
        <w:fldChar w:fldCharType="end"/>
      </w:r>
      <w:r>
        <w:fldChar w:fldCharType="end"/>
      </w:r>
    </w:p>
    <w:p>
      <w:pPr>
        <w:pStyle w:val="49"/>
        <w:tabs>
          <w:tab w:val="right" w:leader="dot" w:pos="8306"/>
        </w:tabs>
      </w:pPr>
      <w:r>
        <w:fldChar w:fldCharType="begin"/>
      </w:r>
      <w:r>
        <w:instrText xml:space="preserve"> HYPERLINK \l "_Toc18541" </w:instrText>
      </w:r>
      <w:r>
        <w:fldChar w:fldCharType="separate"/>
      </w:r>
      <w:r>
        <w:rPr>
          <w:rFonts w:hint="eastAsia" w:ascii="仿宋" w:hAnsi="仿宋" w:eastAsia="仿宋"/>
          <w:szCs w:val="32"/>
        </w:rPr>
        <w:t>（一）一般公共预算财政拨款支出决算总体情况</w:t>
      </w:r>
      <w:r>
        <w:tab/>
      </w:r>
      <w:r>
        <w:fldChar w:fldCharType="begin"/>
      </w:r>
      <w:r>
        <w:instrText xml:space="preserve"> PAGEREF _Toc18541 \h </w:instrText>
      </w:r>
      <w:r>
        <w:fldChar w:fldCharType="separate"/>
      </w:r>
      <w:r>
        <w:t>4</w:t>
      </w:r>
      <w:r>
        <w:fldChar w:fldCharType="end"/>
      </w:r>
      <w:r>
        <w:fldChar w:fldCharType="end"/>
      </w:r>
    </w:p>
    <w:p>
      <w:pPr>
        <w:pStyle w:val="49"/>
        <w:tabs>
          <w:tab w:val="right" w:leader="dot" w:pos="8306"/>
        </w:tabs>
      </w:pPr>
      <w:r>
        <w:fldChar w:fldCharType="begin"/>
      </w:r>
      <w:r>
        <w:instrText xml:space="preserve"> HYPERLINK \l "_Toc7035" </w:instrText>
      </w:r>
      <w:r>
        <w:fldChar w:fldCharType="separate"/>
      </w:r>
      <w:r>
        <w:rPr>
          <w:rFonts w:hint="eastAsia" w:ascii="仿宋" w:hAnsi="仿宋" w:eastAsia="仿宋"/>
          <w:szCs w:val="32"/>
        </w:rPr>
        <w:t>（二）一般公共预算财政拨款支出决算结构情况</w:t>
      </w:r>
      <w:r>
        <w:tab/>
      </w:r>
      <w:r>
        <w:fldChar w:fldCharType="begin"/>
      </w:r>
      <w:r>
        <w:instrText xml:space="preserve"> PAGEREF _Toc7035 \h </w:instrText>
      </w:r>
      <w:r>
        <w:fldChar w:fldCharType="separate"/>
      </w:r>
      <w:r>
        <w:t>4</w:t>
      </w:r>
      <w:r>
        <w:fldChar w:fldCharType="end"/>
      </w:r>
      <w:r>
        <w:fldChar w:fldCharType="end"/>
      </w:r>
    </w:p>
    <w:p>
      <w:pPr>
        <w:pStyle w:val="49"/>
        <w:tabs>
          <w:tab w:val="right" w:leader="dot" w:pos="8306"/>
        </w:tabs>
      </w:pPr>
      <w:r>
        <w:fldChar w:fldCharType="begin"/>
      </w:r>
      <w:r>
        <w:instrText xml:space="preserve"> HYPERLINK \l "_Toc30837" </w:instrText>
      </w:r>
      <w:r>
        <w:fldChar w:fldCharType="separate"/>
      </w:r>
      <w:r>
        <w:rPr>
          <w:rFonts w:hint="eastAsia" w:ascii="仿宋" w:hAnsi="仿宋" w:eastAsia="仿宋"/>
          <w:szCs w:val="32"/>
        </w:rPr>
        <w:t>（三）一般公共预算财政拨款支出决算具体情</w:t>
      </w:r>
      <w:r>
        <w:tab/>
      </w:r>
      <w:r>
        <w:fldChar w:fldCharType="begin"/>
      </w:r>
      <w:r>
        <w:instrText xml:space="preserve"> PAGEREF _Toc30837 \h </w:instrText>
      </w:r>
      <w:r>
        <w:fldChar w:fldCharType="separate"/>
      </w:r>
      <w:r>
        <w:t>5</w:t>
      </w:r>
      <w:r>
        <w:fldChar w:fldCharType="end"/>
      </w:r>
      <w:r>
        <w:fldChar w:fldCharType="end"/>
      </w:r>
    </w:p>
    <w:p>
      <w:pPr>
        <w:pStyle w:val="40"/>
        <w:tabs>
          <w:tab w:val="right" w:leader="dot" w:pos="8306"/>
        </w:tabs>
      </w:pPr>
      <w:r>
        <w:fldChar w:fldCharType="begin"/>
      </w:r>
      <w:r>
        <w:instrText xml:space="preserve"> HYPERLINK \l "_Toc25851" </w:instrText>
      </w:r>
      <w:r>
        <w:fldChar w:fldCharType="separate"/>
      </w:r>
      <w:r>
        <w:rPr>
          <w:rFonts w:hint="eastAsia" w:ascii="黑体" w:eastAsia="黑体"/>
          <w:szCs w:val="32"/>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_Toc25851 \h </w:instrText>
      </w:r>
      <w:r>
        <w:fldChar w:fldCharType="separate"/>
      </w:r>
      <w:r>
        <w:t>6</w:t>
      </w:r>
      <w:r>
        <w:fldChar w:fldCharType="end"/>
      </w:r>
      <w:r>
        <w:fldChar w:fldCharType="end"/>
      </w:r>
    </w:p>
    <w:p>
      <w:pPr>
        <w:pStyle w:val="40"/>
        <w:tabs>
          <w:tab w:val="right" w:leader="dot" w:pos="8306"/>
        </w:tabs>
      </w:pPr>
      <w:r>
        <w:fldChar w:fldCharType="begin"/>
      </w:r>
      <w:r>
        <w:instrText xml:space="preserve"> HYPERLINK \l "_Toc12307" </w:instrText>
      </w:r>
      <w:r>
        <w:fldChar w:fldCharType="separate"/>
      </w:r>
      <w:r>
        <w:rPr>
          <w:rFonts w:hint="eastAsia" w:ascii="黑体" w:eastAsia="黑体"/>
          <w:szCs w:val="32"/>
        </w:rPr>
        <w:t>七、</w:t>
      </w:r>
      <w:r>
        <w:rPr>
          <w:rFonts w:hint="eastAsia" w:ascii="黑体" w:hAnsi="黑体" w:eastAsia="黑体"/>
          <w:highlight w:val="none"/>
        </w:rPr>
        <w:t>财政拨款“三公”经费支出决算情况说明</w:t>
      </w:r>
      <w:r>
        <w:tab/>
      </w:r>
      <w:r>
        <w:fldChar w:fldCharType="begin"/>
      </w:r>
      <w:r>
        <w:instrText xml:space="preserve"> PAGEREF _Toc12307 \h </w:instrText>
      </w:r>
      <w:r>
        <w:fldChar w:fldCharType="separate"/>
      </w:r>
      <w:r>
        <w:t>6</w:t>
      </w:r>
      <w:r>
        <w:fldChar w:fldCharType="end"/>
      </w:r>
      <w:r>
        <w:fldChar w:fldCharType="end"/>
      </w:r>
    </w:p>
    <w:p>
      <w:pPr>
        <w:pStyle w:val="40"/>
        <w:tabs>
          <w:tab w:val="right" w:leader="dot" w:pos="8306"/>
        </w:tabs>
      </w:pPr>
      <w:r>
        <w:fldChar w:fldCharType="begin"/>
      </w:r>
      <w:r>
        <w:instrText xml:space="preserve"> HYPERLINK \l "_Toc31577" </w:instrText>
      </w:r>
      <w:r>
        <w:fldChar w:fldCharType="separate"/>
      </w:r>
      <w:r>
        <w:rPr>
          <w:rFonts w:hint="eastAsia" w:ascii="黑体" w:eastAsia="黑体"/>
          <w:szCs w:val="32"/>
        </w:rPr>
        <w:t>八、</w:t>
      </w:r>
      <w:r>
        <w:rPr>
          <w:rFonts w:hint="eastAsia" w:ascii="黑体" w:hAnsi="黑体" w:eastAsia="黑体"/>
          <w:highlight w:val="none"/>
        </w:rPr>
        <w:t>政府性基金预算支出决算情况说明</w:t>
      </w:r>
      <w:r>
        <w:tab/>
      </w:r>
      <w:r>
        <w:fldChar w:fldCharType="begin"/>
      </w:r>
      <w:r>
        <w:instrText xml:space="preserve"> PAGEREF _Toc31577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"_Toc18696" </w:instrText>
      </w:r>
      <w:r>
        <w:fldChar w:fldCharType="separate"/>
      </w:r>
      <w:r>
        <w:rPr>
          <w:rFonts w:hint="eastAsia" w:ascii="黑体" w:hAnsi="黑体" w:eastAsia="黑体" w:cs="Times New Roman"/>
        </w:rPr>
        <w:t>九、</w:t>
      </w:r>
      <w:r>
        <w:rPr>
          <w:rFonts w:hint="eastAsia" w:ascii="黑体" w:hAnsi="黑体" w:eastAsia="黑体"/>
          <w:highlight w:val="none"/>
        </w:rPr>
        <w:t>国有资本经营预算支出决算情况说明</w:t>
      </w:r>
      <w:r>
        <w:tab/>
      </w:r>
      <w:r>
        <w:fldChar w:fldCharType="begin"/>
      </w:r>
      <w:r>
        <w:instrText xml:space="preserve"> PAGEREF _Toc18696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"_Toc30728" </w:instrText>
      </w:r>
      <w:r>
        <w:fldChar w:fldCharType="separate"/>
      </w:r>
      <w:r>
        <w:rPr>
          <w:rFonts w:hint="eastAsia" w:ascii="黑体" w:hAnsi="黑体" w:eastAsia="黑体" w:cs="Times New Roman"/>
        </w:rPr>
        <w:t>十、</w:t>
      </w:r>
      <w:r>
        <w:rPr>
          <w:rFonts w:hint="eastAsia" w:ascii="黑体" w:hAnsi="黑体" w:eastAsia="黑体"/>
          <w:highlight w:val="none"/>
        </w:rPr>
        <w:t>其他重要事项的情况说明</w:t>
      </w:r>
      <w:r>
        <w:tab/>
      </w:r>
      <w:r>
        <w:fldChar w:fldCharType="begin"/>
      </w:r>
      <w:r>
        <w:instrText xml:space="preserve"> PAGEREF _Toc30728 \h </w:instrText>
      </w:r>
      <w:r>
        <w:fldChar w:fldCharType="separate"/>
      </w:r>
      <w:r>
        <w:t>7</w:t>
      </w:r>
      <w:r>
        <w:fldChar w:fldCharType="end"/>
      </w:r>
      <w:r>
        <w:fldChar w:fldCharType="end"/>
      </w:r>
    </w:p>
    <w:p>
      <w:pPr>
        <w:pStyle w:val="49"/>
        <w:tabs>
          <w:tab w:val="right" w:leader="dot" w:pos="8306"/>
        </w:tabs>
      </w:pPr>
      <w:r>
        <w:fldChar w:fldCharType="begin"/>
      </w:r>
      <w:r>
        <w:instrText xml:space="preserve"> HYPERLINK \l "_Toc4624" </w:instrText>
      </w:r>
      <w:r>
        <w:fldChar w:fldCharType="separate"/>
      </w:r>
      <w:r>
        <w:rPr>
          <w:rFonts w:hint="eastAsia" w:ascii="仿宋" w:hAnsi="仿宋" w:eastAsia="仿宋"/>
          <w:szCs w:val="32"/>
        </w:rPr>
        <w:t>（一）</w:t>
      </w:r>
      <w:r>
        <w:rPr>
          <w:rFonts w:hint="eastAsia" w:ascii="仿宋" w:hAnsi="仿宋" w:eastAsia="仿宋"/>
          <w:szCs w:val="32"/>
          <w:lang w:eastAsia="zh-CN"/>
        </w:rPr>
        <w:t>机关</w:t>
      </w:r>
      <w:r>
        <w:rPr>
          <w:rFonts w:hint="eastAsia" w:ascii="仿宋" w:hAnsi="仿宋" w:eastAsia="仿宋"/>
          <w:szCs w:val="32"/>
        </w:rPr>
        <w:t>运行经费支出情况</w:t>
      </w:r>
      <w:r>
        <w:tab/>
      </w:r>
      <w:r>
        <w:fldChar w:fldCharType="begin"/>
      </w:r>
      <w:r>
        <w:instrText xml:space="preserve"> PAGEREF _Toc4624 \h </w:instrText>
      </w:r>
      <w:r>
        <w:fldChar w:fldCharType="separate"/>
      </w:r>
      <w:r>
        <w:t>7</w:t>
      </w:r>
      <w:r>
        <w:fldChar w:fldCharType="end"/>
      </w:r>
      <w:r>
        <w:fldChar w:fldCharType="end"/>
      </w:r>
    </w:p>
    <w:p>
      <w:pPr>
        <w:pStyle w:val="49"/>
        <w:tabs>
          <w:tab w:val="right" w:leader="dot" w:pos="8306"/>
        </w:tabs>
      </w:pPr>
      <w:r>
        <w:fldChar w:fldCharType="begin"/>
      </w:r>
      <w:r>
        <w:instrText xml:space="preserve"> HYPERLINK \l "_Toc29392"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_Toc29392 \h </w:instrText>
      </w:r>
      <w:r>
        <w:fldChar w:fldCharType="separate"/>
      </w:r>
      <w:r>
        <w:t>7</w:t>
      </w:r>
      <w:r>
        <w:fldChar w:fldCharType="end"/>
      </w:r>
      <w:r>
        <w:fldChar w:fldCharType="end"/>
      </w:r>
    </w:p>
    <w:p>
      <w:pPr>
        <w:pStyle w:val="49"/>
        <w:tabs>
          <w:tab w:val="right" w:leader="dot" w:pos="8306"/>
        </w:tabs>
      </w:pPr>
      <w:r>
        <w:fldChar w:fldCharType="begin"/>
      </w:r>
      <w:r>
        <w:instrText xml:space="preserve"> HYPERLINK \l "_Toc3193" </w:instrText>
      </w:r>
      <w:r>
        <w:fldChar w:fldCharType="separate"/>
      </w:r>
      <w:r>
        <w:rPr>
          <w:rFonts w:hint="eastAsia" w:ascii="仿宋" w:hAnsi="仿宋" w:eastAsia="仿宋"/>
          <w:szCs w:val="32"/>
        </w:rPr>
        <w:t>（三）国有资产占有使用情况</w:t>
      </w:r>
      <w:r>
        <w:tab/>
      </w:r>
      <w:r>
        <w:fldChar w:fldCharType="begin"/>
      </w:r>
      <w:r>
        <w:instrText xml:space="preserve"> PAGEREF _Toc3193 \h </w:instrText>
      </w:r>
      <w:r>
        <w:fldChar w:fldCharType="separate"/>
      </w:r>
      <w:r>
        <w:t>7</w:t>
      </w:r>
      <w:r>
        <w:fldChar w:fldCharType="end"/>
      </w:r>
      <w:r>
        <w:fldChar w:fldCharType="end"/>
      </w:r>
    </w:p>
    <w:p>
      <w:pPr>
        <w:pStyle w:val="49"/>
        <w:tabs>
          <w:tab w:val="right" w:leader="dot" w:pos="8306"/>
        </w:tabs>
      </w:pPr>
      <w:r>
        <w:fldChar w:fldCharType="begin"/>
      </w:r>
      <w:r>
        <w:instrText xml:space="preserve"> HYPERLINK \l "_Toc29296"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_Toc29296 \h </w:instrText>
      </w:r>
      <w:r>
        <w:fldChar w:fldCharType="separate"/>
      </w:r>
      <w:r>
        <w:t>7</w:t>
      </w:r>
      <w:r>
        <w:fldChar w:fldCharType="end"/>
      </w:r>
      <w:r>
        <w:fldChar w:fldCharType="end"/>
      </w:r>
    </w:p>
    <w:p>
      <w:pPr>
        <w:pStyle w:val="42"/>
        <w:tabs>
          <w:tab w:val="right" w:leader="dot" w:pos="8306"/>
        </w:tabs>
      </w:pPr>
      <w:r>
        <w:fldChar w:fldCharType="begin"/>
      </w:r>
      <w:r>
        <w:instrText xml:space="preserve"> HYPERLINK \l "_Toc13222" </w:instrText>
      </w:r>
      <w:r>
        <w:fldChar w:fldCharType="separate"/>
      </w:r>
      <w:r>
        <w:rPr>
          <w:rFonts w:hint="eastAsia" w:ascii="宋体" w:cs="Times New Roman"/>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_Toc13222 \h </w:instrText>
      </w:r>
      <w:r>
        <w:fldChar w:fldCharType="separate"/>
      </w:r>
      <w:r>
        <w:t>10</w:t>
      </w:r>
      <w:r>
        <w:fldChar w:fldCharType="end"/>
      </w:r>
      <w:r>
        <w:fldChar w:fldCharType="end"/>
      </w:r>
    </w:p>
    <w:p>
      <w:pPr>
        <w:pStyle w:val="42"/>
        <w:tabs>
          <w:tab w:val="right" w:leader="dot" w:pos="8306"/>
        </w:tabs>
      </w:pPr>
      <w:r>
        <w:fldChar w:fldCharType="begin"/>
      </w:r>
      <w:r>
        <w:instrText xml:space="preserve"> HYPERLINK \l "_Toc13032" </w:instrText>
      </w:r>
      <w:r>
        <w:fldChar w:fldCharType="separate"/>
      </w:r>
      <w:r>
        <w:rPr>
          <w:rFonts w:hint="eastAsia" w:ascii="黑体" w:hAnsi="黑体" w:eastAsia="黑体"/>
          <w:szCs w:val="44"/>
        </w:rPr>
        <w:t>第</w:t>
      </w:r>
      <w:r>
        <w:rPr>
          <w:rFonts w:hint="eastAsia" w:ascii="黑体" w:hAnsi="黑体" w:eastAsia="黑体"/>
        </w:rPr>
        <w:t>四部分</w:t>
      </w:r>
      <w:r>
        <w:rPr>
          <w:rFonts w:ascii="黑体" w:hAnsi="黑体" w:eastAsia="黑体"/>
        </w:rPr>
        <w:t xml:space="preserve"> </w:t>
      </w:r>
      <w:r>
        <w:rPr>
          <w:rFonts w:hint="eastAsia" w:ascii="黑体" w:hAnsi="黑体" w:eastAsia="黑体"/>
        </w:rPr>
        <w:t>附件</w:t>
      </w:r>
      <w:r>
        <w:tab/>
      </w:r>
      <w:r>
        <w:fldChar w:fldCharType="begin"/>
      </w:r>
      <w:r>
        <w:instrText xml:space="preserve"> PAGEREF _Toc13032 \h </w:instrText>
      </w:r>
      <w:r>
        <w:fldChar w:fldCharType="separate"/>
      </w:r>
      <w:r>
        <w:t>13</w:t>
      </w:r>
      <w:r>
        <w:fldChar w:fldCharType="end"/>
      </w:r>
      <w:r>
        <w:fldChar w:fldCharType="end"/>
      </w:r>
    </w:p>
    <w:p>
      <w:pPr>
        <w:pStyle w:val="42"/>
        <w:tabs>
          <w:tab w:val="right" w:leader="dot" w:pos="8306"/>
        </w:tabs>
      </w:pPr>
      <w:r>
        <w:fldChar w:fldCharType="begin"/>
      </w:r>
      <w:r>
        <w:instrText xml:space="preserve"> HYPERLINK \l "_Toc32342" </w:instrText>
      </w:r>
      <w:r>
        <w:fldChar w:fldCharType="separate"/>
      </w:r>
      <w:r>
        <w:rPr>
          <w:rFonts w:hint="eastAsia" w:ascii="黑体" w:hAnsi="黑体" w:eastAsia="黑体"/>
          <w:szCs w:val="44"/>
        </w:rPr>
        <w:t>第</w:t>
      </w:r>
      <w:r>
        <w:rPr>
          <w:rFonts w:hint="eastAsia" w:ascii="黑体" w:hAnsi="黑体" w:eastAsia="黑体"/>
        </w:rPr>
        <w:t>五部分</w:t>
      </w:r>
      <w:r>
        <w:rPr>
          <w:rFonts w:ascii="黑体" w:hAnsi="黑体" w:eastAsia="黑体"/>
        </w:rPr>
        <w:t xml:space="preserve"> </w:t>
      </w:r>
      <w:r>
        <w:rPr>
          <w:rFonts w:hint="eastAsia" w:ascii="黑体" w:hAnsi="黑体" w:eastAsia="黑体"/>
        </w:rPr>
        <w:t>附表</w:t>
      </w:r>
      <w:r>
        <w:tab/>
      </w:r>
      <w:r>
        <w:fldChar w:fldCharType="begin"/>
      </w:r>
      <w:r>
        <w:instrText xml:space="preserve"> PAGEREF _Toc32342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"_Toc4545"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_Toc4545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"_Toc11883"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_Toc11883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"_Toc21016"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_Toc21016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"_Toc16070"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_Toc16070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"_Toc25488"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_Toc25488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"_Toc7907"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_Toc7907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"_Toc28997"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_Toc28997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"_Toc10430"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_Toc10430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"_Toc871"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_Toc871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"_Toc2399"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_Toc2399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"_Toc10768"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_Toc10768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"_Toc4835"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_Toc4835 \h </w:instrText>
      </w:r>
      <w:r>
        <w:fldChar w:fldCharType="separate"/>
      </w:r>
      <w:r>
        <w:t>14</w:t>
      </w:r>
      <w:r>
        <w:fldChar w:fldCharType="end"/>
      </w:r>
      <w:r>
        <w:fldChar w:fldCharType="end"/>
      </w:r>
    </w:p>
    <w:p>
      <w:pPr>
        <w:pStyle w:val="40"/>
        <w:tabs>
          <w:tab w:val="right" w:leader="dot" w:pos="8306"/>
        </w:tabs>
      </w:pPr>
      <w:r>
        <w:fldChar w:fldCharType="begin"/>
      </w:r>
      <w:r>
        <w:instrText xml:space="preserve"> HYPERLINK \l "_Toc4009"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_Toc4009 \h </w:instrText>
      </w:r>
      <w:r>
        <w:fldChar w:fldCharType="separate"/>
      </w:r>
      <w:r>
        <w:t>14</w:t>
      </w:r>
      <w:r>
        <w:fldChar w:fldCharType="end"/>
      </w:r>
      <w:r>
        <w:fldChar w:fldCharType="end"/>
      </w:r>
    </w:p>
    <w:p>
      <w:pPr>
        <w:pStyle w:val="10"/>
        <w:rPr>
          <w:rFonts w:hint="eastAsia"/>
        </w:rPr>
      </w:pPr>
      <w:r>
        <w:rPr>
          <w:rFonts w:hint="eastAsia"/>
        </w:rPr>
        <w:fldChar w:fldCharType="end"/>
      </w:r>
    </w:p>
    <w:p>
      <w:pPr>
        <w:pStyle w:val="17"/>
        <w:pageBreakBefore w:val="0"/>
        <w:kinsoku/>
        <w:wordWrap/>
        <w:overflowPunct/>
        <w:topLinePunct w:val="0"/>
        <w:bidi w:val="0"/>
        <w:spacing w:line="580" w:lineRule="exact"/>
        <w:ind w:firstLine="640"/>
        <w:sectPr>
          <w:footerReference r:id="rId7" w:type="default"/>
          <w:pgSz w:w="11906" w:h="16838"/>
          <w:pgMar w:top="1440" w:right="1800" w:bottom="1440" w:left="1800" w:header="851" w:footer="992" w:gutter="0"/>
          <w:pgNumType w:start="1"/>
          <w:cols w:space="720" w:num="1"/>
          <w:docGrid w:type="lines" w:linePitch="312" w:charSpace="0"/>
        </w:sectPr>
      </w:pPr>
      <w:bookmarkStart w:id="27" w:name="_Toc15396599"/>
      <w:bookmarkStart w:id="28" w:name="_Toc15377196"/>
    </w:p>
    <w:p>
      <w:pPr>
        <w:pStyle w:val="5"/>
        <w:pageBreakBefore w:val="0"/>
        <w:kinsoku/>
        <w:wordWrap/>
        <w:overflowPunct/>
        <w:topLinePunct w:val="0"/>
        <w:bidi w:val="0"/>
        <w:spacing w:before="0" w:beforeAutospacing="0" w:after="0" w:afterAutospacing="0" w:line="580" w:lineRule="exact"/>
        <w:jc w:val="center"/>
        <w:rPr>
          <w:rFonts w:ascii="黑体" w:eastAsia="黑体"/>
          <w:color w:val="000000"/>
          <w:sz w:val="32"/>
          <w:szCs w:val="32"/>
        </w:rPr>
      </w:pPr>
      <w:bookmarkStart w:id="29" w:name="_Toc28957"/>
      <w:bookmarkStart w:id="30" w:name="_Toc9288"/>
      <w:bookmarkStart w:id="31" w:name="_Toc12384"/>
      <w:r>
        <w:rPr>
          <w:rFonts w:hint="eastAsia" w:ascii="黑体" w:hAnsi="黑体" w:eastAsia="黑体"/>
          <w:b w:val="0"/>
        </w:rPr>
        <w:t>第一部分</w:t>
      </w:r>
      <w:r>
        <w:rPr>
          <w:rFonts w:ascii="黑体" w:hAnsi="黑体" w:eastAsia="黑体"/>
          <w:b w:val="0"/>
        </w:rPr>
        <w:t xml:space="preserve"> </w:t>
      </w:r>
      <w:r>
        <w:rPr>
          <w:rStyle w:val="12"/>
          <w:rFonts w:hint="eastAsia" w:ascii="黑体" w:hAnsi="黑体" w:eastAsia="黑体"/>
          <w:b w:val="0"/>
          <w:bCs w:val="0"/>
          <w:lang w:eastAsia="zh-CN"/>
        </w:rPr>
        <w:t>单位</w:t>
      </w:r>
      <w:r>
        <w:rPr>
          <w:rStyle w:val="12"/>
          <w:rFonts w:hint="eastAsia" w:ascii="黑体" w:hAnsi="黑体" w:eastAsia="黑体"/>
          <w:b w:val="0"/>
          <w:bCs w:val="0"/>
        </w:rPr>
        <w:t>概况</w:t>
      </w:r>
      <w:bookmarkEnd w:id="27"/>
      <w:bookmarkEnd w:id="28"/>
      <w:bookmarkEnd w:id="29"/>
      <w:bookmarkEnd w:id="30"/>
      <w:bookmarkEnd w:id="31"/>
    </w:p>
    <w:p>
      <w:pPr>
        <w:pStyle w:val="6"/>
        <w:pageBreakBefore w:val="0"/>
        <w:numPr>
          <w:ilvl w:val="0"/>
          <w:numId w:val="0"/>
        </w:numPr>
        <w:kinsoku/>
        <w:wordWrap/>
        <w:overflowPunct/>
        <w:topLinePunct w:val="0"/>
        <w:bidi w:val="0"/>
        <w:spacing w:before="0" w:beforeAutospacing="0" w:after="0" w:afterAutospacing="0" w:line="580" w:lineRule="exact"/>
        <w:ind w:left="420" w:leftChars="200" w:firstLine="320" w:firstLineChars="100"/>
        <w:rPr>
          <w:rStyle w:val="32"/>
          <w:rFonts w:hint="eastAsia" w:ascii="黑体" w:hAnsi="黑体" w:eastAsia="黑体"/>
          <w:b w:val="0"/>
          <w:bCs w:val="0"/>
          <w:color w:val="auto"/>
          <w:highlight w:val="none"/>
          <w:lang w:eastAsia="zh-CN"/>
        </w:rPr>
      </w:pPr>
      <w:bookmarkStart w:id="32" w:name="_Toc2278"/>
      <w:bookmarkStart w:id="33" w:name="_Toc27126"/>
      <w:bookmarkStart w:id="34" w:name="_Toc6673"/>
      <w:bookmarkStart w:id="35" w:name="_Toc15377198"/>
      <w:bookmarkStart w:id="36" w:name="_Toc15378445"/>
      <w:r>
        <w:rPr>
          <w:rStyle w:val="32"/>
          <w:rFonts w:hint="eastAsia" w:ascii="黑体" w:hAnsi="黑体" w:eastAsia="黑体"/>
          <w:b w:val="0"/>
          <w:bCs w:val="0"/>
          <w:color w:val="auto"/>
          <w:highlight w:val="none"/>
          <w:lang w:eastAsia="zh-CN"/>
        </w:rPr>
        <w:t>一、主要职责</w:t>
      </w:r>
      <w:bookmarkEnd w:id="32"/>
      <w:bookmarkEnd w:id="33"/>
      <w:bookmarkEnd w:id="34"/>
    </w:p>
    <w:p>
      <w:pPr>
        <w:pStyle w:val="10"/>
        <w:keepNext w:val="0"/>
        <w:keepLines w:val="0"/>
        <w:pageBreakBefore w:val="0"/>
        <w:widowControl w:val="0"/>
        <w:kinsoku/>
        <w:wordWrap/>
        <w:overflowPunct/>
        <w:topLinePunct w:val="0"/>
        <w:autoSpaceDE/>
        <w:autoSpaceDN/>
        <w:bidi w:val="0"/>
        <w:adjustRightInd w:val="0"/>
        <w:snapToGrid w:val="0"/>
        <w:spacing w:beforeLines="0" w:line="520" w:lineRule="exact"/>
        <w:ind w:firstLine="640" w:firstLineChars="200"/>
        <w:textAlignment w:val="auto"/>
        <w:outlineLvl w:val="2"/>
        <w:rPr>
          <w:rFonts w:hint="eastAsia" w:ascii="仿宋" w:hAnsi="仿宋" w:eastAsia="仿宋" w:cs="仿宋"/>
          <w:b/>
          <w:bCs/>
          <w:snapToGrid w:val="0"/>
          <w:color w:val="000000"/>
          <w:sz w:val="31"/>
          <w:szCs w:val="31"/>
        </w:rPr>
      </w:pPr>
      <w:bookmarkStart w:id="37" w:name="_Toc1368"/>
      <w:bookmarkStart w:id="38" w:name="_Toc16875"/>
      <w:r>
        <w:rPr>
          <w:rFonts w:hint="eastAsia" w:ascii="仿宋" w:hAnsi="仿宋" w:eastAsia="仿宋" w:cs="仿宋"/>
          <w:bCs/>
          <w:color w:val="000000"/>
          <w:sz w:val="32"/>
          <w:szCs w:val="32"/>
        </w:rPr>
        <w:t>（一）</w:t>
      </w:r>
      <w:bookmarkEnd w:id="37"/>
      <w:r>
        <w:rPr>
          <w:rFonts w:hint="eastAsia" w:ascii="仿宋" w:hAnsi="仿宋" w:eastAsia="仿宋" w:cs="仿宋"/>
          <w:b/>
          <w:bCs/>
          <w:snapToGrid w:val="0"/>
          <w:color w:val="000000"/>
          <w:sz w:val="31"/>
          <w:szCs w:val="31"/>
          <w:shd w:val="clear" w:color="auto" w:fill="FFFFFF"/>
        </w:rPr>
        <w:t>基本公共卫生服务方面</w:t>
      </w:r>
      <w:bookmarkEnd w:id="38"/>
    </w:p>
    <w:p>
      <w:pPr>
        <w:pStyle w:val="27"/>
        <w:keepNext w:val="0"/>
        <w:keepLines w:val="0"/>
        <w:pageBreakBefore w:val="0"/>
        <w:widowControl w:val="0"/>
        <w:shd w:val="clear" w:color="auto" w:fill="FFFFFF"/>
        <w:kinsoku/>
        <w:wordWrap/>
        <w:overflowPunct/>
        <w:topLinePunct w:val="0"/>
        <w:autoSpaceDE/>
        <w:autoSpaceDN/>
        <w:bidi w:val="0"/>
        <w:spacing w:before="0" w:beforeAutospacing="0" w:after="0" w:afterAutospacing="0" w:line="520" w:lineRule="exact"/>
        <w:ind w:left="0" w:leftChars="0" w:firstLine="640" w:firstLineChars="200"/>
        <w:textAlignment w:val="auto"/>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shd w:val="clear" w:color="auto" w:fill="FFFFFF"/>
        </w:rPr>
        <w:t>落实农村居民健康档案管理及服务；普及卫生保健常识，指导开展爱国卫生工作；规范预防接种服务，执行国家免疫规划；及时发现、登记并报告辖区传染病病</w:t>
      </w:r>
      <w:r>
        <w:rPr>
          <w:rFonts w:hint="eastAsia" w:ascii="仿宋" w:hAnsi="仿宋" w:eastAsia="仿宋" w:cs="仿宋"/>
          <w:snapToGrid w:val="0"/>
          <w:color w:val="000000"/>
          <w:sz w:val="32"/>
          <w:szCs w:val="32"/>
          <w:shd w:val="clear" w:color="auto" w:fill="FFFFFF"/>
          <w:lang w:eastAsia="zh-CN"/>
        </w:rPr>
        <w:t>例</w:t>
      </w:r>
      <w:r>
        <w:rPr>
          <w:rFonts w:hint="eastAsia" w:ascii="仿宋" w:hAnsi="仿宋" w:eastAsia="仿宋" w:cs="仿宋"/>
          <w:snapToGrid w:val="0"/>
          <w:color w:val="000000"/>
          <w:sz w:val="32"/>
          <w:szCs w:val="32"/>
          <w:shd w:val="clear" w:color="auto" w:fill="FFFFFF"/>
        </w:rPr>
        <w:t>和疑似病例，参与现场疫情处理，协助处理辖区内突发公共卫生事件；开展新生儿访视及儿童、孕产妇保健系统管理；对辖区65岁及以上老年人和糖尿病、精神病、高血压等慢性疾病登记管理；接受区卫生行政单位委托，对辖区内传染病防治、学校卫生、饮用水卫生、职业卫生以及村级预防保健工作进行指导、培训、考核与监督等。</w:t>
      </w:r>
    </w:p>
    <w:p>
      <w:pPr>
        <w:pStyle w:val="27"/>
        <w:keepNext w:val="0"/>
        <w:keepLines w:val="0"/>
        <w:pageBreakBefore w:val="0"/>
        <w:widowControl w:val="0"/>
        <w:shd w:val="clear" w:color="auto" w:fill="FFFFFF"/>
        <w:kinsoku/>
        <w:wordWrap/>
        <w:overflowPunct/>
        <w:topLinePunct w:val="0"/>
        <w:autoSpaceDE/>
        <w:autoSpaceDN/>
        <w:bidi w:val="0"/>
        <w:spacing w:before="0" w:beforeAutospacing="0" w:after="0" w:afterAutospacing="0" w:line="520" w:lineRule="exact"/>
        <w:ind w:firstLine="640" w:firstLineChars="200"/>
        <w:textAlignment w:val="auto"/>
        <w:outlineLvl w:val="2"/>
        <w:rPr>
          <w:rFonts w:hint="eastAsia" w:ascii="仿宋" w:hAnsi="仿宋" w:eastAsia="仿宋" w:cs="仿宋"/>
          <w:b/>
          <w:bCs/>
          <w:snapToGrid w:val="0"/>
          <w:color w:val="000000"/>
          <w:sz w:val="31"/>
          <w:szCs w:val="31"/>
        </w:rPr>
      </w:pPr>
      <w:bookmarkStart w:id="39" w:name="_Toc4398"/>
      <w:bookmarkStart w:id="40" w:name="_Toc17887"/>
      <w:r>
        <w:rPr>
          <w:rFonts w:hint="eastAsia" w:ascii="仿宋" w:hAnsi="仿宋" w:eastAsia="仿宋" w:cs="仿宋"/>
          <w:color w:val="000000"/>
          <w:sz w:val="32"/>
          <w:szCs w:val="32"/>
          <w:lang w:val="en-US" w:eastAsia="zh-CN"/>
        </w:rPr>
        <w:t>（二）</w:t>
      </w:r>
      <w:r>
        <w:rPr>
          <w:rFonts w:hint="eastAsia" w:ascii="仿宋" w:hAnsi="仿宋" w:eastAsia="仿宋" w:cs="仿宋"/>
          <w:b/>
          <w:bCs/>
          <w:snapToGrid w:val="0"/>
          <w:color w:val="000000"/>
          <w:sz w:val="31"/>
          <w:szCs w:val="31"/>
          <w:shd w:val="clear" w:color="auto" w:fill="FFFFFF"/>
        </w:rPr>
        <w:t>基本医疗服务方面</w:t>
      </w:r>
      <w:bookmarkEnd w:id="39"/>
      <w:bookmarkEnd w:id="40"/>
    </w:p>
    <w:p>
      <w:pPr>
        <w:pStyle w:val="27"/>
        <w:keepNext w:val="0"/>
        <w:keepLines w:val="0"/>
        <w:pageBreakBefore w:val="0"/>
        <w:widowControl w:val="0"/>
        <w:shd w:val="clear" w:color="auto" w:fill="FFFFFF"/>
        <w:kinsoku/>
        <w:wordWrap/>
        <w:overflowPunct/>
        <w:topLinePunct w:val="0"/>
        <w:autoSpaceDE/>
        <w:autoSpaceDN/>
        <w:bidi w:val="0"/>
        <w:spacing w:before="0" w:beforeAutospacing="0" w:after="0" w:afterAutospacing="0" w:line="520" w:lineRule="exact"/>
        <w:ind w:firstLine="640" w:firstLineChars="200"/>
        <w:textAlignment w:val="auto"/>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shd w:val="clear" w:color="auto" w:fill="FFFFFF"/>
        </w:rPr>
        <w:t>正确处理常见病，多发病，对疑难杂症进行恰当的处理与转诊；加强急诊救护体系建设，承担乡村现场应急救护，转诊和康复服务；认真执行国家基本药物制度，加强医疗质量管理及院感防控。</w:t>
      </w:r>
    </w:p>
    <w:p>
      <w:pPr>
        <w:pStyle w:val="27"/>
        <w:keepNext w:val="0"/>
        <w:keepLines w:val="0"/>
        <w:pageBreakBefore w:val="0"/>
        <w:widowControl w:val="0"/>
        <w:shd w:val="clear" w:color="auto" w:fill="FFFFFF"/>
        <w:kinsoku/>
        <w:wordWrap/>
        <w:overflowPunct/>
        <w:topLinePunct w:val="0"/>
        <w:autoSpaceDE/>
        <w:autoSpaceDN/>
        <w:bidi w:val="0"/>
        <w:spacing w:before="0" w:beforeAutospacing="0" w:after="0" w:afterAutospacing="0" w:line="520" w:lineRule="exact"/>
        <w:ind w:firstLine="640" w:firstLineChars="200"/>
        <w:textAlignment w:val="auto"/>
        <w:outlineLvl w:val="2"/>
        <w:rPr>
          <w:rFonts w:hint="eastAsia" w:ascii="仿宋" w:hAnsi="仿宋" w:eastAsia="仿宋" w:cs="仿宋"/>
          <w:b/>
          <w:bCs/>
          <w:snapToGrid w:val="0"/>
          <w:color w:val="000000"/>
          <w:sz w:val="31"/>
          <w:szCs w:val="31"/>
        </w:rPr>
      </w:pPr>
      <w:bookmarkStart w:id="41" w:name="_Toc26525"/>
      <w:bookmarkStart w:id="42" w:name="_Toc6019"/>
      <w:r>
        <w:rPr>
          <w:rFonts w:hint="eastAsia" w:ascii="仿宋" w:hAnsi="仿宋" w:eastAsia="仿宋" w:cs="仿宋"/>
          <w:color w:val="000000"/>
          <w:sz w:val="32"/>
          <w:szCs w:val="32"/>
          <w:lang w:val="en-US" w:eastAsia="zh-CN"/>
        </w:rPr>
        <w:t>（三）</w:t>
      </w:r>
      <w:r>
        <w:rPr>
          <w:rFonts w:hint="eastAsia" w:ascii="仿宋" w:hAnsi="仿宋" w:eastAsia="仿宋" w:cs="仿宋"/>
          <w:b/>
          <w:bCs/>
          <w:snapToGrid w:val="0"/>
          <w:color w:val="000000"/>
          <w:sz w:val="31"/>
          <w:szCs w:val="31"/>
          <w:shd w:val="clear" w:color="auto" w:fill="FFFFFF"/>
        </w:rPr>
        <w:t>基本管理服务</w:t>
      </w:r>
      <w:bookmarkEnd w:id="41"/>
      <w:bookmarkEnd w:id="42"/>
    </w:p>
    <w:p>
      <w:pPr>
        <w:pStyle w:val="27"/>
        <w:keepNext w:val="0"/>
        <w:keepLines w:val="0"/>
        <w:pageBreakBefore w:val="0"/>
        <w:widowControl w:val="0"/>
        <w:shd w:val="clear" w:color="auto" w:fill="FFFFFF"/>
        <w:kinsoku/>
        <w:wordWrap/>
        <w:overflowPunct/>
        <w:topLinePunct w:val="0"/>
        <w:autoSpaceDE/>
        <w:autoSpaceDN/>
        <w:bidi w:val="0"/>
        <w:spacing w:before="0" w:beforeAutospacing="0" w:after="0" w:afterAutospacing="0" w:line="520" w:lineRule="exact"/>
        <w:ind w:firstLine="640" w:firstLineChars="200"/>
        <w:textAlignment w:val="auto"/>
        <w:rPr>
          <w:rFonts w:hint="eastAsia"/>
          <w:lang w:eastAsia="zh-CN"/>
        </w:rPr>
      </w:pPr>
      <w:r>
        <w:rPr>
          <w:rFonts w:hint="eastAsia" w:ascii="仿宋" w:hAnsi="仿宋" w:eastAsia="仿宋" w:cs="仿宋"/>
          <w:snapToGrid w:val="0"/>
          <w:color w:val="000000"/>
          <w:sz w:val="32"/>
          <w:szCs w:val="32"/>
          <w:shd w:val="clear" w:color="auto" w:fill="FFFFFF"/>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p>
    <w:bookmarkEnd w:id="35"/>
    <w:bookmarkEnd w:id="36"/>
    <w:p>
      <w:pPr>
        <w:pStyle w:val="6"/>
        <w:pageBreakBefore w:val="0"/>
        <w:numPr>
          <w:ilvl w:val="0"/>
          <w:numId w:val="1"/>
        </w:numPr>
        <w:kinsoku/>
        <w:wordWrap/>
        <w:overflowPunct/>
        <w:topLinePunct w:val="0"/>
        <w:bidi w:val="0"/>
        <w:spacing w:before="0" w:beforeAutospacing="0" w:after="0" w:afterAutospacing="0" w:line="580" w:lineRule="exact"/>
        <w:ind w:firstLine="640" w:firstLineChars="200"/>
        <w:rPr>
          <w:rFonts w:hint="eastAsia" w:ascii="黑体" w:hAnsi="黑体" w:eastAsia="黑体"/>
          <w:b w:val="0"/>
          <w:color w:val="auto"/>
          <w:highlight w:val="none"/>
          <w:lang w:val="en-US" w:eastAsia="zh-CN"/>
        </w:rPr>
      </w:pPr>
      <w:bookmarkStart w:id="43" w:name="_Toc15899"/>
      <w:bookmarkStart w:id="44" w:name="_Toc13402"/>
      <w:bookmarkStart w:id="45" w:name="_Toc26795"/>
      <w:bookmarkStart w:id="46" w:name="_Toc15377200"/>
      <w:bookmarkStart w:id="47" w:name="_Toc15396601"/>
      <w:r>
        <w:rPr>
          <w:rFonts w:hint="eastAsia" w:ascii="黑体" w:hAnsi="黑体" w:eastAsia="黑体"/>
          <w:b w:val="0"/>
          <w:color w:val="auto"/>
          <w:highlight w:val="none"/>
          <w:lang w:val="en-US" w:eastAsia="zh-CN"/>
        </w:rPr>
        <w:t>机构设置</w:t>
      </w:r>
      <w:bookmarkEnd w:id="43"/>
      <w:bookmarkEnd w:id="44"/>
      <w:bookmarkEnd w:id="45"/>
    </w:p>
    <w:p>
      <w:pPr>
        <w:pStyle w:val="10"/>
        <w:adjustRightInd w:val="0"/>
        <w:snapToGrid w:val="0"/>
        <w:spacing w:beforeLines="0" w:line="580" w:lineRule="exact"/>
        <w:ind w:firstLine="640" w:firstLineChars="200"/>
        <w:outlineLvl w:val="2"/>
        <w:rPr>
          <w:rFonts w:hint="eastAsia" w:ascii="仿宋" w:hAnsi="仿宋" w:eastAsia="仿宋" w:cs="仿宋"/>
          <w:bCs/>
          <w:color w:val="000000"/>
          <w:sz w:val="32"/>
          <w:szCs w:val="32"/>
        </w:rPr>
      </w:pPr>
      <w:bookmarkStart w:id="48" w:name="_Toc13761"/>
      <w:bookmarkStart w:id="49" w:name="_Toc13715"/>
      <w:bookmarkStart w:id="50" w:name="_Toc31216"/>
      <w:bookmarkStart w:id="51" w:name="_Toc23868"/>
      <w:r>
        <w:rPr>
          <w:rFonts w:hint="eastAsia" w:ascii="仿宋" w:hAnsi="仿宋" w:eastAsia="仿宋" w:cs="仿宋"/>
          <w:bCs/>
          <w:color w:val="000000"/>
          <w:sz w:val="32"/>
          <w:szCs w:val="32"/>
          <w:lang w:eastAsia="zh-CN"/>
        </w:rPr>
        <w:t>明觉</w:t>
      </w:r>
      <w:r>
        <w:rPr>
          <w:rFonts w:hint="eastAsia" w:ascii="仿宋" w:hAnsi="仿宋" w:eastAsia="仿宋" w:cs="仿宋"/>
          <w:b/>
          <w:bCs w:val="0"/>
          <w:color w:val="000000"/>
          <w:sz w:val="32"/>
          <w:szCs w:val="32"/>
          <w:lang w:eastAsia="zh-CN"/>
        </w:rPr>
        <w:t>中心卫生</w:t>
      </w:r>
      <w:r>
        <w:rPr>
          <w:rFonts w:hint="eastAsia" w:ascii="仿宋" w:hAnsi="仿宋" w:eastAsia="仿宋" w:cs="仿宋"/>
          <w:bCs/>
          <w:color w:val="000000"/>
          <w:sz w:val="32"/>
          <w:szCs w:val="32"/>
          <w:lang w:eastAsia="zh-CN"/>
        </w:rPr>
        <w:t>院属于主管部门下属单位，属于二级预算单位，无下属机构。</w:t>
      </w:r>
      <w:bookmarkEnd w:id="48"/>
      <w:bookmarkEnd w:id="49"/>
      <w:bookmarkEnd w:id="50"/>
      <w:bookmarkEnd w:id="51"/>
    </w:p>
    <w:bookmarkEnd w:id="46"/>
    <w:bookmarkEnd w:id="47"/>
    <w:p>
      <w:pPr>
        <w:pStyle w:val="5"/>
        <w:pageBreakBefore w:val="0"/>
        <w:kinsoku/>
        <w:wordWrap/>
        <w:overflowPunct/>
        <w:topLinePunct w:val="0"/>
        <w:bidi w:val="0"/>
        <w:spacing w:before="551" w:beforeAutospacing="0" w:after="216" w:afterLines="69" w:afterAutospacing="0" w:line="580" w:lineRule="exact"/>
        <w:ind w:right="0" w:rightChars="0"/>
        <w:jc w:val="center"/>
      </w:pPr>
      <w:bookmarkStart w:id="52" w:name="_Toc16955"/>
      <w:bookmarkStart w:id="53" w:name="_Toc25208"/>
      <w:bookmarkStart w:id="54" w:name="_Toc15377204"/>
      <w:bookmarkStart w:id="55" w:name="_Toc26668"/>
      <w:bookmarkStart w:id="56" w:name="_Toc15396602"/>
      <w:r>
        <w:rPr>
          <w:rFonts w:hint="eastAsia" w:ascii="黑体" w:hAnsi="黑体" w:eastAsia="黑体"/>
          <w:b w:val="0"/>
          <w:color w:val="000000"/>
        </w:rPr>
        <w:t>第二部分</w:t>
      </w:r>
      <w:r>
        <w:rPr>
          <w:rFonts w:ascii="黑体" w:hAnsi="黑体" w:eastAsia="黑体"/>
          <w:color w:val="000000"/>
        </w:rPr>
        <w:t xml:space="preserve"> </w:t>
      </w:r>
      <w:r>
        <w:rPr>
          <w:rStyle w:val="12"/>
          <w:rFonts w:hint="eastAsia" w:ascii="黑体" w:hAnsi="黑体" w:eastAsia="黑体"/>
          <w:b w:val="0"/>
          <w:bCs w:val="0"/>
          <w:lang w:eastAsia="zh-CN"/>
        </w:rPr>
        <w:t>202</w:t>
      </w:r>
      <w:r>
        <w:rPr>
          <w:rStyle w:val="12"/>
          <w:rFonts w:hint="eastAsia" w:ascii="黑体" w:hAnsi="黑体" w:eastAsia="黑体"/>
          <w:b w:val="0"/>
          <w:bCs w:val="0"/>
          <w:lang w:val="en-US" w:eastAsia="zh-CN"/>
        </w:rPr>
        <w:t>2</w:t>
      </w:r>
      <w:r>
        <w:rPr>
          <w:rStyle w:val="12"/>
          <w:rFonts w:hint="eastAsia" w:ascii="黑体" w:hAnsi="黑体" w:eastAsia="黑体"/>
          <w:b w:val="0"/>
          <w:bCs w:val="0"/>
        </w:rPr>
        <w:t>年度</w:t>
      </w:r>
      <w:r>
        <w:rPr>
          <w:rStyle w:val="12"/>
          <w:rFonts w:hint="eastAsia" w:ascii="黑体" w:hAnsi="黑体" w:eastAsia="黑体"/>
          <w:b w:val="0"/>
          <w:bCs w:val="0"/>
          <w:lang w:eastAsia="zh-CN"/>
        </w:rPr>
        <w:t>单位</w:t>
      </w:r>
      <w:r>
        <w:rPr>
          <w:rStyle w:val="12"/>
          <w:rFonts w:hint="eastAsia" w:ascii="黑体" w:hAnsi="黑体" w:eastAsia="黑体"/>
          <w:b w:val="0"/>
          <w:bCs w:val="0"/>
        </w:rPr>
        <w:t>决算情况说明</w:t>
      </w:r>
      <w:bookmarkEnd w:id="52"/>
      <w:bookmarkEnd w:id="53"/>
      <w:bookmarkEnd w:id="54"/>
      <w:bookmarkEnd w:id="55"/>
      <w:bookmarkEnd w:id="56"/>
    </w:p>
    <w:p>
      <w:pPr>
        <w:pStyle w:val="39"/>
        <w:numPr>
          <w:ilvl w:val="0"/>
          <w:numId w:val="2"/>
        </w:numPr>
        <w:spacing w:line="600" w:lineRule="exact"/>
        <w:ind w:firstLineChars="0"/>
        <w:outlineLvl w:val="1"/>
        <w:rPr>
          <w:rStyle w:val="32"/>
          <w:rFonts w:ascii="黑体" w:hAnsi="黑体" w:eastAsia="黑体"/>
          <w:b w:val="0"/>
          <w:color w:val="auto"/>
          <w:highlight w:val="none"/>
        </w:rPr>
      </w:pPr>
      <w:bookmarkStart w:id="57" w:name="_Toc1787"/>
      <w:bookmarkStart w:id="58" w:name="_Toc24947"/>
      <w:bookmarkStart w:id="59" w:name="_Toc15377205"/>
      <w:bookmarkStart w:id="60" w:name="_Toc15396603"/>
      <w:bookmarkStart w:id="61" w:name="_Toc7522"/>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入支出决算总体情况说明</w:t>
      </w:r>
      <w:bookmarkEnd w:id="57"/>
      <w:bookmarkEnd w:id="58"/>
      <w:bookmarkEnd w:id="59"/>
      <w:bookmarkEnd w:id="60"/>
      <w:bookmarkEnd w:id="61"/>
    </w:p>
    <w:p>
      <w:pPr>
        <w:spacing w:line="600" w:lineRule="exact"/>
        <w:ind w:firstLine="640" w:firstLineChars="200"/>
        <w:rPr>
          <w:rFonts w:ascii="仿宋" w:hAnsi="仿宋" w:eastAsia="仿宋" w:cs="仿宋"/>
          <w:sz w:val="32"/>
          <w:szCs w:val="32"/>
        </w:rPr>
      </w:pP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年明觉卫生院收支总计</w:t>
      </w:r>
      <w:r>
        <w:rPr>
          <w:rFonts w:hint="eastAsia" w:ascii="仿宋" w:hAnsi="仿宋" w:eastAsia="仿宋" w:cs="仿宋"/>
          <w:color w:val="000000"/>
          <w:sz w:val="32"/>
          <w:szCs w:val="32"/>
          <w:lang w:val="en-US" w:eastAsia="zh-CN"/>
        </w:rPr>
        <w:t>506.22</w:t>
      </w:r>
      <w:r>
        <w:rPr>
          <w:rFonts w:hint="eastAsia" w:ascii="仿宋" w:hAnsi="仿宋" w:eastAsia="仿宋" w:cs="仿宋"/>
          <w:color w:val="000000"/>
          <w:sz w:val="32"/>
          <w:szCs w:val="32"/>
        </w:rPr>
        <w:t>万元，与</w:t>
      </w:r>
      <w:r>
        <w:rPr>
          <w:rFonts w:hint="eastAsia" w:ascii="仿宋" w:hAnsi="仿宋" w:eastAsia="仿宋" w:cs="仿宋"/>
          <w:color w:val="000000"/>
          <w:sz w:val="32"/>
          <w:szCs w:val="32"/>
          <w:lang w:eastAsia="zh-CN"/>
        </w:rPr>
        <w:t>2021</w:t>
      </w:r>
      <w:r>
        <w:rPr>
          <w:rFonts w:hint="eastAsia" w:ascii="仿宋" w:hAnsi="仿宋" w:eastAsia="仿宋" w:cs="仿宋"/>
          <w:color w:val="000000"/>
          <w:sz w:val="32"/>
          <w:szCs w:val="32"/>
        </w:rPr>
        <w:t>年相比收、支总计各</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了</w:t>
      </w:r>
      <w:r>
        <w:rPr>
          <w:rFonts w:hint="eastAsia" w:ascii="仿宋" w:hAnsi="仿宋" w:eastAsia="仿宋" w:cs="仿宋"/>
          <w:color w:val="000000"/>
          <w:sz w:val="32"/>
          <w:szCs w:val="32"/>
          <w:lang w:val="en-US" w:eastAsia="zh-CN"/>
        </w:rPr>
        <w:t>25.02</w:t>
      </w:r>
      <w:r>
        <w:rPr>
          <w:rFonts w:hint="eastAsia" w:ascii="仿宋" w:hAnsi="仿宋" w:eastAsia="仿宋" w:cs="仿宋"/>
          <w:sz w:val="32"/>
          <w:szCs w:val="32"/>
        </w:rPr>
        <w:t>万元，增长</w:t>
      </w:r>
      <w:r>
        <w:rPr>
          <w:rFonts w:hint="eastAsia" w:ascii="仿宋" w:hAnsi="仿宋" w:eastAsia="仿宋" w:cs="仿宋"/>
          <w:sz w:val="32"/>
          <w:szCs w:val="32"/>
          <w:lang w:val="en-US" w:eastAsia="zh-CN"/>
        </w:rPr>
        <w:t>5.20</w:t>
      </w:r>
      <w:r>
        <w:rPr>
          <w:rFonts w:hint="eastAsia" w:ascii="仿宋" w:hAnsi="仿宋" w:eastAsia="仿宋" w:cs="仿宋"/>
          <w:sz w:val="32"/>
          <w:szCs w:val="32"/>
        </w:rPr>
        <w:t>%。</w:t>
      </w:r>
      <w:r>
        <w:rPr>
          <w:rFonts w:hint="eastAsia" w:ascii="仿宋" w:hAnsi="仿宋" w:eastAsia="仿宋"/>
          <w:color w:val="auto"/>
          <w:sz w:val="32"/>
          <w:szCs w:val="32"/>
          <w:highlight w:val="none"/>
          <w:lang w:eastAsia="zh-CN"/>
        </w:rPr>
        <w:t>收入</w:t>
      </w:r>
      <w:r>
        <w:rPr>
          <w:rFonts w:hint="eastAsia" w:ascii="仿宋" w:hAnsi="仿宋" w:eastAsia="仿宋"/>
          <w:color w:val="auto"/>
          <w:sz w:val="32"/>
          <w:szCs w:val="32"/>
          <w:highlight w:val="none"/>
        </w:rPr>
        <w:t>主要变动原因是</w:t>
      </w:r>
      <w:r>
        <w:rPr>
          <w:rFonts w:hint="eastAsia" w:ascii="仿宋" w:hAnsi="仿宋" w:eastAsia="仿宋" w:cs="仿宋"/>
          <w:color w:val="auto"/>
          <w:sz w:val="32"/>
          <w:szCs w:val="32"/>
          <w:lang w:val="en-US" w:eastAsia="zh-CN"/>
        </w:rPr>
        <w:t>2022年一般公共预算财政拨款收入相比上年减少了26.93万元，政府性基金增加2.65万元；事业收入增加了49.3万元。2022年支出主要变动的原因是：社会保障和就业支出增加了18.92万元，卫生健康支出减少3.66万元，城乡社区支出增加2.65万元，住房保障支出增加7.11万元。</w:t>
      </w:r>
    </w:p>
    <w:p>
      <w:pPr>
        <w:pStyle w:val="17"/>
        <w:pageBreakBefore w:val="0"/>
        <w:kinsoku/>
        <w:wordWrap/>
        <w:overflowPunct/>
        <w:topLinePunct w:val="0"/>
        <w:bidi w:val="0"/>
        <w:spacing w:line="240" w:lineRule="auto"/>
        <w:ind w:firstLine="0" w:firstLineChars="0"/>
        <w:jc w:val="center"/>
        <w:rPr>
          <w:rFonts w:hint="eastAsia"/>
        </w:rPr>
      </w:pPr>
      <w:r>
        <w:pict>
          <v:shape id="_x0000_i1025" o:spt="75" type="#_x0000_t75" style="height:151.5pt;width:319.5pt;" filled="f" stroked="f" coordsize="21600,21600">
            <v:path/>
            <v:fill on="f" focussize="0,0"/>
            <v:stroke on="f"/>
            <v:imagedata r:id="rId10" o:title=""/>
            <o:lock v:ext="edit" aspectratio="t"/>
            <w10:wrap type="none"/>
            <w10:anchorlock/>
          </v:shape>
        </w:pict>
      </w:r>
    </w:p>
    <w:p>
      <w:pPr>
        <w:pageBreakBefore w:val="0"/>
        <w:kinsoku/>
        <w:wordWrap/>
        <w:overflowPunct/>
        <w:topLinePunct w:val="0"/>
        <w:bidi w:val="0"/>
        <w:spacing w:line="580" w:lineRule="exact"/>
        <w:ind w:left="0" w:leftChars="0" w:firstLine="0" w:firstLineChars="0"/>
        <w:jc w:val="center"/>
        <w:rPr>
          <w:rFonts w:ascii="仿宋_GB2312" w:eastAsia="仿宋_GB2312"/>
          <w:color w:val="000000"/>
          <w:sz w:val="28"/>
          <w:szCs w:val="28"/>
        </w:rPr>
      </w:pPr>
      <w:r>
        <w:rPr>
          <w:rFonts w:hint="eastAsia" w:ascii="仿宋" w:hAnsi="仿宋" w:eastAsia="仿宋"/>
          <w:color w:val="auto"/>
          <w:sz w:val="28"/>
          <w:szCs w:val="28"/>
          <w:highlight w:val="none"/>
        </w:rPr>
        <w:t>（图</w:t>
      </w:r>
      <w:r>
        <w:rPr>
          <w:rFonts w:ascii="仿宋" w:hAnsi="仿宋" w:eastAsia="仿宋"/>
          <w:color w:val="auto"/>
          <w:sz w:val="28"/>
          <w:szCs w:val="28"/>
          <w:highlight w:val="none"/>
        </w:rPr>
        <w:t>1</w:t>
      </w:r>
      <w:r>
        <w:rPr>
          <w:rFonts w:hint="eastAsia" w:ascii="仿宋" w:hAnsi="仿宋" w:eastAsia="仿宋"/>
          <w:color w:val="auto"/>
          <w:sz w:val="28"/>
          <w:szCs w:val="28"/>
          <w:highlight w:val="none"/>
        </w:rPr>
        <w:t>：收、支决算总计变动情况图）（柱状图）</w:t>
      </w:r>
    </w:p>
    <w:p>
      <w:pPr>
        <w:pStyle w:val="39"/>
        <w:numPr>
          <w:ilvl w:val="0"/>
          <w:numId w:val="2"/>
        </w:numPr>
        <w:spacing w:line="600" w:lineRule="exact"/>
        <w:ind w:firstLineChars="0"/>
        <w:outlineLvl w:val="1"/>
        <w:rPr>
          <w:rStyle w:val="32"/>
          <w:rFonts w:ascii="黑体" w:hAnsi="黑体" w:eastAsia="黑体"/>
          <w:b w:val="0"/>
          <w:color w:val="auto"/>
          <w:highlight w:val="none"/>
        </w:rPr>
      </w:pPr>
      <w:bookmarkStart w:id="62" w:name="_Toc3039"/>
      <w:bookmarkStart w:id="63" w:name="_Toc10383"/>
      <w:bookmarkStart w:id="64" w:name="_Toc4552"/>
      <w:bookmarkStart w:id="65" w:name="_Toc15396604"/>
      <w:bookmarkStart w:id="66" w:name="_Toc15377206"/>
      <w:bookmarkStart w:id="67" w:name="_Toc2165"/>
      <w:bookmarkStart w:id="68" w:name="_Toc23252"/>
      <w:bookmarkStart w:id="69" w:name="_Toc5906"/>
      <w:bookmarkStart w:id="70" w:name="_Toc7231"/>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入决算情况说明</w:t>
      </w:r>
      <w:bookmarkEnd w:id="62"/>
      <w:bookmarkEnd w:id="63"/>
      <w:bookmarkEnd w:id="64"/>
      <w:bookmarkEnd w:id="65"/>
      <w:bookmarkEnd w:id="66"/>
    </w:p>
    <w:p>
      <w:pPr>
        <w:pageBreakBefore w:val="0"/>
        <w:kinsoku/>
        <w:wordWrap/>
        <w:overflowPunct/>
        <w:topLinePunct w:val="0"/>
        <w:bidi w:val="0"/>
        <w:spacing w:line="580" w:lineRule="exact"/>
        <w:ind w:firstLine="640" w:firstLineChars="200"/>
        <w:outlineLvl w:val="1"/>
        <w:rPr>
          <w:rFonts w:hint="eastAsia" w:ascii="仿宋" w:hAnsi="仿宋" w:eastAsia="仿宋"/>
          <w:color w:val="000000"/>
          <w:sz w:val="32"/>
          <w:szCs w:val="32"/>
        </w:rPr>
      </w:pPr>
      <w:bookmarkStart w:id="71" w:name="_Toc23083"/>
      <w:bookmarkStart w:id="72" w:name="_Toc767"/>
      <w:bookmarkStart w:id="73" w:name="_Toc9600"/>
      <w:bookmarkStart w:id="74" w:name="_Toc10649"/>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506.22</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282.59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55.82</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000000"/>
          <w:sz w:val="32"/>
          <w:szCs w:val="32"/>
          <w:lang w:val="en-US" w:eastAsia="zh-CN"/>
        </w:rPr>
        <w:t>2.65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0.52</w:t>
      </w:r>
      <w:r>
        <w:rPr>
          <w:rFonts w:hint="eastAsia"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220.98</w:t>
      </w:r>
      <w:r>
        <w:rPr>
          <w:rFonts w:hint="eastAsia" w:ascii="仿宋" w:hAnsi="仿宋" w:eastAsia="仿宋"/>
          <w:color w:val="000000"/>
          <w:sz w:val="32"/>
          <w:szCs w:val="32"/>
        </w:rPr>
        <w:t>元，占</w:t>
      </w:r>
      <w:r>
        <w:rPr>
          <w:rFonts w:hint="eastAsia" w:ascii="仿宋" w:hAnsi="仿宋" w:eastAsia="仿宋"/>
          <w:color w:val="000000"/>
          <w:sz w:val="32"/>
          <w:szCs w:val="32"/>
          <w:lang w:val="en-US" w:eastAsia="zh-CN"/>
        </w:rPr>
        <w:t>43.65</w:t>
      </w:r>
      <w:r>
        <w:rPr>
          <w:rFonts w:ascii="仿宋" w:hAnsi="仿宋" w:eastAsia="仿宋"/>
          <w:color w:val="000000"/>
          <w:sz w:val="32"/>
          <w:szCs w:val="32"/>
        </w:rPr>
        <w:t>%</w:t>
      </w:r>
      <w:r>
        <w:rPr>
          <w:rFonts w:hint="eastAsia" w:ascii="仿宋" w:hAnsi="仿宋" w:eastAsia="仿宋"/>
          <w:color w:val="000000"/>
          <w:sz w:val="32"/>
          <w:szCs w:val="32"/>
        </w:rPr>
        <w:t>；经营收入0万元，占0</w:t>
      </w:r>
      <w:r>
        <w:rPr>
          <w:rFonts w:ascii="仿宋" w:hAnsi="仿宋" w:eastAsia="仿宋"/>
          <w:color w:val="000000"/>
          <w:sz w:val="32"/>
          <w:szCs w:val="32"/>
        </w:rPr>
        <w:t>%</w:t>
      </w:r>
      <w:r>
        <w:rPr>
          <w:rFonts w:hint="eastAsia" w:ascii="仿宋" w:hAnsi="仿宋" w:eastAsia="仿宋"/>
          <w:color w:val="000000"/>
          <w:sz w:val="32"/>
          <w:szCs w:val="32"/>
        </w:rPr>
        <w:t>；附属单位上缴收入0万元，占0</w:t>
      </w:r>
      <w:r>
        <w:rPr>
          <w:rFonts w:ascii="仿宋" w:hAnsi="仿宋" w:eastAsia="仿宋"/>
          <w:color w:val="000000"/>
          <w:sz w:val="32"/>
          <w:szCs w:val="32"/>
        </w:rPr>
        <w:t>%</w:t>
      </w:r>
      <w:r>
        <w:rPr>
          <w:rFonts w:hint="eastAsia" w:ascii="仿宋" w:hAnsi="仿宋" w:eastAsia="仿宋"/>
          <w:color w:val="000000"/>
          <w:sz w:val="32"/>
          <w:szCs w:val="32"/>
        </w:rPr>
        <w:t>；其他收入0万元。</w:t>
      </w:r>
      <w:bookmarkEnd w:id="67"/>
      <w:bookmarkEnd w:id="68"/>
      <w:bookmarkEnd w:id="69"/>
      <w:bookmarkEnd w:id="70"/>
      <w:bookmarkEnd w:id="71"/>
      <w:bookmarkEnd w:id="72"/>
      <w:bookmarkEnd w:id="73"/>
      <w:bookmarkEnd w:id="74"/>
    </w:p>
    <w:p>
      <w:pPr>
        <w:pStyle w:val="17"/>
        <w:pageBreakBefore w:val="0"/>
        <w:kinsoku/>
        <w:wordWrap/>
        <w:overflowPunct/>
        <w:topLinePunct w:val="0"/>
        <w:bidi w:val="0"/>
        <w:spacing w:line="240" w:lineRule="auto"/>
        <w:ind w:firstLine="0" w:firstLineChars="0"/>
        <w:jc w:val="center"/>
        <w:rPr>
          <w:rFonts w:ascii="仿宋" w:hAnsi="仿宋" w:eastAsia="仿宋"/>
          <w:szCs w:val="32"/>
        </w:rPr>
      </w:pPr>
      <w:r>
        <w:pict>
          <v:shape id="_x0000_i1026" o:spt="75" type="#_x0000_t75" style="height:139.5pt;width:334.5pt;" filled="f" stroked="f" coordsize="21600,21600">
            <v:path/>
            <v:fill on="f" focussize="0,0"/>
            <v:stroke on="f"/>
            <v:imagedata r:id="rId11" o:title=""/>
            <o:lock v:ext="edit" aspectratio="t"/>
            <w10:wrap type="none"/>
            <w10:anchorlock/>
          </v:shape>
        </w:pict>
      </w:r>
    </w:p>
    <w:p>
      <w:pPr>
        <w:pageBreakBefore w:val="0"/>
        <w:kinsoku/>
        <w:wordWrap/>
        <w:overflowPunct/>
        <w:topLinePunct w:val="0"/>
        <w:bidi w:val="0"/>
        <w:spacing w:line="580" w:lineRule="exact"/>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（图2：收入决算结构图）（饼状图）</w:t>
      </w:r>
    </w:p>
    <w:p>
      <w:pPr>
        <w:pStyle w:val="39"/>
        <w:numPr>
          <w:ilvl w:val="0"/>
          <w:numId w:val="2"/>
        </w:numPr>
        <w:spacing w:line="600" w:lineRule="exact"/>
        <w:ind w:firstLineChars="0"/>
        <w:outlineLvl w:val="1"/>
        <w:rPr>
          <w:rStyle w:val="32"/>
          <w:rFonts w:ascii="黑体" w:hAnsi="黑体" w:eastAsia="黑体"/>
          <w:b w:val="0"/>
          <w:color w:val="auto"/>
          <w:highlight w:val="none"/>
        </w:rPr>
      </w:pPr>
      <w:bookmarkStart w:id="75" w:name="_Toc15107"/>
      <w:bookmarkStart w:id="76" w:name="_Toc15377207"/>
      <w:bookmarkStart w:id="77" w:name="_Toc30527"/>
      <w:bookmarkStart w:id="78" w:name="_Toc15396605"/>
      <w:bookmarkStart w:id="79" w:name="_Toc25633"/>
      <w:bookmarkStart w:id="80" w:name="_Toc19720"/>
      <w:bookmarkStart w:id="81" w:name="_Toc10084"/>
      <w:bookmarkStart w:id="82" w:name="_Toc32489"/>
      <w:bookmarkStart w:id="83" w:name="_Toc25460"/>
      <w:r>
        <w:rPr>
          <w:rFonts w:hint="eastAsia" w:ascii="黑体" w:hAnsi="黑体" w:eastAsia="黑体"/>
          <w:color w:val="auto"/>
          <w:sz w:val="32"/>
          <w:szCs w:val="32"/>
          <w:highlight w:val="none"/>
        </w:rPr>
        <w:t>支</w:t>
      </w:r>
      <w:r>
        <w:rPr>
          <w:rStyle w:val="32"/>
          <w:rFonts w:hint="eastAsia" w:ascii="黑体" w:hAnsi="黑体" w:eastAsia="黑体"/>
          <w:b w:val="0"/>
          <w:color w:val="auto"/>
          <w:highlight w:val="none"/>
        </w:rPr>
        <w:t>出决算情况说明</w:t>
      </w:r>
      <w:bookmarkEnd w:id="75"/>
      <w:bookmarkEnd w:id="76"/>
      <w:bookmarkEnd w:id="77"/>
      <w:bookmarkEnd w:id="78"/>
      <w:bookmarkEnd w:id="79"/>
    </w:p>
    <w:p>
      <w:pPr>
        <w:pageBreakBefore w:val="0"/>
        <w:kinsoku/>
        <w:wordWrap/>
        <w:overflowPunct/>
        <w:topLinePunct w:val="0"/>
        <w:bidi w:val="0"/>
        <w:spacing w:line="580" w:lineRule="exact"/>
        <w:ind w:firstLine="640" w:firstLineChars="200"/>
        <w:outlineLvl w:val="1"/>
        <w:rPr>
          <w:rFonts w:hint="eastAsia" w:ascii="仿宋" w:hAnsi="仿宋" w:eastAsia="仿宋"/>
          <w:color w:val="000000"/>
          <w:sz w:val="32"/>
          <w:szCs w:val="32"/>
        </w:rPr>
      </w:pPr>
      <w:bookmarkStart w:id="84" w:name="_Toc24120"/>
      <w:bookmarkStart w:id="85" w:name="_Toc14911"/>
      <w:bookmarkStart w:id="86" w:name="_Toc12309"/>
      <w:bookmarkStart w:id="87" w:name="_Toc27518"/>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506.22</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503.57</w:t>
      </w:r>
      <w:r>
        <w:rPr>
          <w:rFonts w:hint="eastAsia" w:ascii="仿宋" w:hAnsi="仿宋" w:eastAsia="仿宋"/>
          <w:color w:val="000000"/>
          <w:sz w:val="32"/>
          <w:szCs w:val="32"/>
        </w:rPr>
        <w:t>元，占</w:t>
      </w:r>
      <w:r>
        <w:rPr>
          <w:rFonts w:hint="eastAsia" w:ascii="仿宋" w:hAnsi="仿宋" w:eastAsia="仿宋"/>
          <w:color w:val="000000"/>
          <w:sz w:val="32"/>
          <w:szCs w:val="32"/>
          <w:lang w:val="en-US" w:eastAsia="zh-CN"/>
        </w:rPr>
        <w:t>99.48</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2.65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0.52</w:t>
      </w:r>
      <w:r>
        <w:rPr>
          <w:rFonts w:ascii="仿宋" w:hAnsi="仿宋" w:eastAsia="仿宋"/>
          <w:color w:val="000000"/>
          <w:sz w:val="32"/>
          <w:szCs w:val="32"/>
        </w:rPr>
        <w:t>%</w:t>
      </w:r>
      <w:r>
        <w:rPr>
          <w:rFonts w:hint="eastAsia" w:ascii="仿宋" w:hAnsi="仿宋" w:eastAsia="仿宋"/>
          <w:color w:val="000000"/>
          <w:sz w:val="32"/>
          <w:szCs w:val="32"/>
        </w:rPr>
        <w:t>；上缴上级支出0万元，占0</w:t>
      </w:r>
      <w:r>
        <w:rPr>
          <w:rFonts w:ascii="仿宋" w:hAnsi="仿宋" w:eastAsia="仿宋"/>
          <w:color w:val="000000"/>
          <w:sz w:val="32"/>
          <w:szCs w:val="32"/>
        </w:rPr>
        <w:t>%</w:t>
      </w:r>
      <w:r>
        <w:rPr>
          <w:rFonts w:hint="eastAsia" w:ascii="仿宋" w:hAnsi="仿宋" w:eastAsia="仿宋"/>
          <w:color w:val="000000"/>
          <w:sz w:val="32"/>
          <w:szCs w:val="32"/>
        </w:rPr>
        <w:t>；经营支出0万元，占0</w:t>
      </w:r>
      <w:r>
        <w:rPr>
          <w:rFonts w:ascii="仿宋" w:hAnsi="仿宋" w:eastAsia="仿宋"/>
          <w:color w:val="000000"/>
          <w:sz w:val="32"/>
          <w:szCs w:val="32"/>
        </w:rPr>
        <w:t>%</w:t>
      </w:r>
      <w:r>
        <w:rPr>
          <w:rFonts w:hint="eastAsia" w:ascii="仿宋" w:hAnsi="仿宋" w:eastAsia="仿宋"/>
          <w:color w:val="000000"/>
          <w:sz w:val="32"/>
          <w:szCs w:val="32"/>
        </w:rPr>
        <w:t>；对附属单位补助支出0万元，占0</w:t>
      </w:r>
      <w:r>
        <w:rPr>
          <w:rFonts w:ascii="仿宋" w:hAnsi="仿宋" w:eastAsia="仿宋"/>
          <w:color w:val="000000"/>
          <w:sz w:val="32"/>
          <w:szCs w:val="32"/>
        </w:rPr>
        <w:t>%</w:t>
      </w:r>
      <w:r>
        <w:rPr>
          <w:rFonts w:hint="eastAsia" w:ascii="仿宋" w:hAnsi="仿宋" w:eastAsia="仿宋"/>
          <w:color w:val="000000"/>
          <w:sz w:val="32"/>
          <w:szCs w:val="32"/>
        </w:rPr>
        <w:t>。</w:t>
      </w:r>
      <w:bookmarkEnd w:id="80"/>
      <w:bookmarkEnd w:id="81"/>
      <w:bookmarkEnd w:id="82"/>
      <w:bookmarkEnd w:id="83"/>
      <w:bookmarkEnd w:id="84"/>
      <w:bookmarkEnd w:id="85"/>
      <w:bookmarkEnd w:id="86"/>
      <w:bookmarkEnd w:id="87"/>
    </w:p>
    <w:p>
      <w:pPr>
        <w:pStyle w:val="17"/>
        <w:pageBreakBefore w:val="0"/>
        <w:kinsoku/>
        <w:wordWrap/>
        <w:overflowPunct/>
        <w:topLinePunct w:val="0"/>
        <w:bidi w:val="0"/>
        <w:spacing w:line="240" w:lineRule="auto"/>
        <w:ind w:firstLine="0" w:firstLineChars="0"/>
        <w:jc w:val="center"/>
        <w:rPr>
          <w:rFonts w:hint="eastAsia" w:ascii="黑体" w:hAnsi="黑体" w:eastAsia="黑体"/>
          <w:szCs w:val="32"/>
        </w:rPr>
      </w:pPr>
      <w:bookmarkStart w:id="88" w:name="_Toc15377208"/>
      <w:bookmarkStart w:id="89" w:name="_Toc15396606"/>
      <w:r>
        <w:pict>
          <v:shape id="_x0000_i1027" o:spt="75" type="#_x0000_t75" style="height:150pt;width:331.5pt;" filled="f" stroked="f" coordsize="21600,21600">
            <v:path/>
            <v:fill on="f" focussize="0,0"/>
            <v:stroke on="f"/>
            <v:imagedata r:id="rId12" o:title=""/>
            <o:lock v:ext="edit" aspectratio="t"/>
            <w10:wrap type="none"/>
            <w10:anchorlock/>
          </v:shape>
        </w:pict>
      </w:r>
    </w:p>
    <w:p>
      <w:pPr>
        <w:pageBreakBefore w:val="0"/>
        <w:kinsoku/>
        <w:wordWrap/>
        <w:overflowPunct/>
        <w:topLinePunct w:val="0"/>
        <w:bidi w:val="0"/>
        <w:spacing w:line="580" w:lineRule="exact"/>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（图3：支出决算结构图）（饼状图）</w:t>
      </w:r>
    </w:p>
    <w:p>
      <w:pPr>
        <w:pageBreakBefore w:val="0"/>
        <w:kinsoku/>
        <w:wordWrap/>
        <w:overflowPunct/>
        <w:topLinePunct w:val="0"/>
        <w:bidi w:val="0"/>
        <w:spacing w:line="580" w:lineRule="exact"/>
        <w:ind w:firstLine="640" w:firstLineChars="200"/>
        <w:outlineLvl w:val="1"/>
        <w:rPr>
          <w:rStyle w:val="13"/>
          <w:rFonts w:ascii="黑体" w:hAnsi="黑体" w:eastAsia="黑体"/>
          <w:b w:val="0"/>
        </w:rPr>
      </w:pPr>
      <w:bookmarkStart w:id="90" w:name="_Toc26766"/>
      <w:bookmarkStart w:id="91" w:name="_Toc5406"/>
      <w:bookmarkStart w:id="92" w:name="_Toc18621"/>
      <w:r>
        <w:rPr>
          <w:rFonts w:hint="eastAsia" w:ascii="黑体" w:hAnsi="黑体" w:eastAsia="黑体"/>
          <w:color w:val="auto"/>
          <w:sz w:val="32"/>
          <w:szCs w:val="32"/>
        </w:rPr>
        <w:t>四、</w:t>
      </w:r>
      <w:bookmarkEnd w:id="88"/>
      <w:bookmarkEnd w:id="89"/>
      <w:r>
        <w:rPr>
          <w:rFonts w:hint="eastAsia" w:ascii="黑体" w:hAnsi="黑体" w:eastAsia="黑体"/>
          <w:color w:val="auto"/>
          <w:sz w:val="32"/>
          <w:szCs w:val="32"/>
          <w:highlight w:val="none"/>
        </w:rPr>
        <w:t>财</w:t>
      </w:r>
      <w:r>
        <w:rPr>
          <w:rStyle w:val="32"/>
          <w:rFonts w:hint="eastAsia" w:ascii="黑体" w:hAnsi="黑体" w:eastAsia="黑体"/>
          <w:b w:val="0"/>
          <w:color w:val="auto"/>
          <w:highlight w:val="none"/>
        </w:rPr>
        <w:t>政拨款收入支出决算总体情况说明</w:t>
      </w:r>
      <w:bookmarkEnd w:id="90"/>
      <w:bookmarkEnd w:id="91"/>
      <w:bookmarkEnd w:id="92"/>
    </w:p>
    <w:p>
      <w:pPr>
        <w:pageBreakBefore w:val="0"/>
        <w:kinsoku/>
        <w:wordWrap/>
        <w:overflowPunct/>
        <w:topLinePunct w:val="0"/>
        <w:bidi w:val="0"/>
        <w:spacing w:line="58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285.24</w:t>
      </w:r>
      <w:r>
        <w:rPr>
          <w:rFonts w:hint="eastAsia" w:ascii="仿宋" w:hAnsi="仿宋" w:eastAsia="仿宋"/>
          <w:color w:val="000000"/>
          <w:sz w:val="32"/>
          <w:szCs w:val="32"/>
        </w:rPr>
        <w:t>万元。与</w:t>
      </w:r>
      <w:r>
        <w:rPr>
          <w:rFonts w:hint="eastAsia" w:ascii="仿宋" w:hAnsi="仿宋" w:eastAsia="仿宋"/>
          <w:color w:val="000000"/>
          <w:sz w:val="32"/>
          <w:szCs w:val="32"/>
          <w:lang w:eastAsia="zh-CN"/>
        </w:rPr>
        <w:t>2021</w:t>
      </w:r>
      <w:r>
        <w:rPr>
          <w:rFonts w:hint="eastAsia" w:ascii="仿宋" w:hAnsi="仿宋" w:eastAsia="仿宋"/>
          <w:color w:val="000000"/>
          <w:sz w:val="32"/>
          <w:szCs w:val="32"/>
        </w:rPr>
        <w:t>年</w:t>
      </w:r>
    </w:p>
    <w:p>
      <w:pPr>
        <w:spacing w:line="600" w:lineRule="exact"/>
        <w:rPr>
          <w:rStyle w:val="28"/>
          <w:rFonts w:ascii="仿宋_GB2312" w:eastAsia="仿宋"/>
          <w:b w:val="0"/>
          <w:color w:val="000000"/>
          <w:sz w:val="32"/>
          <w:szCs w:val="32"/>
        </w:rPr>
      </w:pPr>
      <w:r>
        <w:rPr>
          <w:rFonts w:hint="eastAsia" w:ascii="仿宋" w:hAnsi="仿宋" w:eastAsia="仿宋"/>
          <w:color w:val="000000"/>
          <w:sz w:val="32"/>
          <w:szCs w:val="32"/>
        </w:rPr>
        <w:t>相比，财政拨款收、支总计各</w:t>
      </w:r>
      <w:r>
        <w:rPr>
          <w:rFonts w:hint="eastAsia" w:ascii="仿宋" w:hAnsi="仿宋" w:eastAsia="仿宋"/>
          <w:color w:val="000000"/>
          <w:sz w:val="32"/>
          <w:szCs w:val="32"/>
          <w:lang w:eastAsia="zh-CN"/>
        </w:rPr>
        <w:t>减少</w:t>
      </w:r>
      <w:r>
        <w:rPr>
          <w:rFonts w:hint="eastAsia" w:ascii="仿宋" w:hAnsi="仿宋" w:eastAsia="仿宋"/>
          <w:color w:val="000000"/>
          <w:sz w:val="32"/>
          <w:szCs w:val="32"/>
        </w:rPr>
        <w:t>了</w:t>
      </w:r>
      <w:r>
        <w:rPr>
          <w:rFonts w:hint="eastAsia" w:ascii="仿宋" w:hAnsi="仿宋" w:eastAsia="仿宋"/>
          <w:color w:val="000000"/>
          <w:sz w:val="32"/>
          <w:szCs w:val="32"/>
          <w:lang w:val="en-US" w:eastAsia="zh-CN"/>
        </w:rPr>
        <w:t>24.28</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减少</w:t>
      </w:r>
      <w:r>
        <w:rPr>
          <w:rFonts w:hint="eastAsia" w:ascii="仿宋" w:hAnsi="仿宋" w:eastAsia="仿宋"/>
          <w:color w:val="000000"/>
          <w:sz w:val="32"/>
          <w:szCs w:val="32"/>
        </w:rPr>
        <w:t>了</w:t>
      </w:r>
      <w:r>
        <w:rPr>
          <w:rFonts w:hint="eastAsia" w:ascii="仿宋" w:hAnsi="仿宋" w:eastAsia="仿宋"/>
          <w:color w:val="000000"/>
          <w:sz w:val="32"/>
          <w:szCs w:val="32"/>
          <w:lang w:val="en-US" w:eastAsia="zh-CN"/>
        </w:rPr>
        <w:t>7.91</w:t>
      </w:r>
      <w:r>
        <w:rPr>
          <w:rFonts w:hint="eastAsia" w:ascii="仿宋" w:hAnsi="仿宋" w:eastAsia="仿宋"/>
          <w:color w:val="000000"/>
          <w:sz w:val="32"/>
          <w:szCs w:val="32"/>
        </w:rPr>
        <w:t>%。</w:t>
      </w:r>
      <w:r>
        <w:rPr>
          <w:rFonts w:hint="eastAsia" w:ascii="仿宋" w:hAnsi="仿宋" w:eastAsia="仿宋"/>
          <w:color w:val="auto"/>
          <w:sz w:val="32"/>
          <w:szCs w:val="32"/>
          <w:highlight w:val="none"/>
          <w:lang w:val="en-US" w:eastAsia="zh-CN"/>
        </w:rPr>
        <w:t>2022年收入</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是区划调整，政府拨款收入减少。</w:t>
      </w:r>
    </w:p>
    <w:p>
      <w:pPr>
        <w:pageBreakBefore w:val="0"/>
        <w:widowControl/>
        <w:kinsoku/>
        <w:wordWrap/>
        <w:overflowPunct/>
        <w:topLinePunct w:val="0"/>
        <w:bidi w:val="0"/>
        <w:spacing w:line="240" w:lineRule="auto"/>
        <w:jc w:val="center"/>
      </w:pPr>
      <w:r>
        <w:pict>
          <v:shape id="_x0000_i1028" o:spt="75" type="#_x0000_t75" style="height:132pt;width:312pt;" filled="f" stroked="f" coordsize="21600,21600">
            <v:path/>
            <v:fill on="f" focussize="0,0"/>
            <v:stroke on="f"/>
            <v:imagedata r:id="rId13" o:title=""/>
            <o:lock v:ext="edit" aspectratio="t"/>
            <w10:wrap type="none"/>
            <w10:anchorlock/>
          </v:shape>
        </w:pict>
      </w:r>
    </w:p>
    <w:p>
      <w:pPr>
        <w:pageBreakBefore w:val="0"/>
        <w:kinsoku/>
        <w:wordWrap/>
        <w:overflowPunct/>
        <w:topLinePunct w:val="0"/>
        <w:bidi w:val="0"/>
        <w:spacing w:line="580" w:lineRule="exact"/>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（图4：财政拨款收、支决算总计变动情况）（柱状图）</w:t>
      </w:r>
    </w:p>
    <w:p>
      <w:pPr>
        <w:pageBreakBefore w:val="0"/>
        <w:kinsoku/>
        <w:wordWrap/>
        <w:overflowPunct/>
        <w:topLinePunct w:val="0"/>
        <w:bidi w:val="0"/>
        <w:spacing w:line="580" w:lineRule="exact"/>
        <w:ind w:firstLine="640" w:firstLineChars="200"/>
        <w:outlineLvl w:val="1"/>
        <w:rPr>
          <w:rStyle w:val="13"/>
          <w:rFonts w:ascii="黑体" w:hAnsi="黑体" w:eastAsia="黑体"/>
          <w:b w:val="0"/>
        </w:rPr>
      </w:pPr>
      <w:bookmarkStart w:id="93" w:name="_Toc15377209"/>
      <w:bookmarkStart w:id="94" w:name="_Toc15396607"/>
      <w:bookmarkStart w:id="95" w:name="_Toc1668"/>
      <w:bookmarkStart w:id="96" w:name="_Toc20507"/>
      <w:bookmarkStart w:id="97" w:name="_Toc28094"/>
      <w:r>
        <w:rPr>
          <w:rFonts w:hint="eastAsia" w:ascii="黑体" w:hAnsi="黑体" w:eastAsia="黑体"/>
          <w:color w:val="000000"/>
          <w:sz w:val="32"/>
          <w:szCs w:val="32"/>
        </w:rPr>
        <w:t>五、</w:t>
      </w:r>
      <w:bookmarkEnd w:id="93"/>
      <w:bookmarkEnd w:id="94"/>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般公共预算财政拨款支出决算情况说明</w:t>
      </w:r>
      <w:bookmarkEnd w:id="95"/>
      <w:bookmarkEnd w:id="96"/>
      <w:bookmarkEnd w:id="97"/>
    </w:p>
    <w:p>
      <w:pPr>
        <w:pageBreakBefore w:val="0"/>
        <w:kinsoku/>
        <w:wordWrap/>
        <w:overflowPunct/>
        <w:topLinePunct w:val="0"/>
        <w:bidi w:val="0"/>
        <w:spacing w:line="580" w:lineRule="exact"/>
        <w:ind w:firstLine="643" w:firstLineChars="200"/>
        <w:outlineLvl w:val="2"/>
        <w:rPr>
          <w:rFonts w:ascii="仿宋" w:hAnsi="仿宋" w:eastAsia="仿宋"/>
          <w:b/>
          <w:color w:val="000000"/>
          <w:sz w:val="32"/>
          <w:szCs w:val="32"/>
        </w:rPr>
      </w:pPr>
      <w:bookmarkStart w:id="98" w:name="_Toc18541"/>
      <w:bookmarkStart w:id="99" w:name="_Toc15377210"/>
      <w:r>
        <w:rPr>
          <w:rFonts w:hint="eastAsia" w:ascii="仿宋" w:hAnsi="仿宋" w:eastAsia="仿宋"/>
          <w:b/>
          <w:color w:val="000000"/>
          <w:sz w:val="32"/>
          <w:szCs w:val="32"/>
        </w:rPr>
        <w:t>（一）一般公共预算财政拨款支出决算总体情况</w:t>
      </w:r>
      <w:bookmarkEnd w:id="98"/>
      <w:bookmarkEnd w:id="99"/>
    </w:p>
    <w:p>
      <w:pPr>
        <w:pageBreakBefore w:val="0"/>
        <w:kinsoku/>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282.59</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55.82</w:t>
      </w:r>
      <w:r>
        <w:rPr>
          <w:rFonts w:ascii="仿宋" w:hAnsi="仿宋" w:eastAsia="仿宋"/>
          <w:color w:val="000000"/>
          <w:sz w:val="32"/>
          <w:szCs w:val="32"/>
        </w:rPr>
        <w:t>%</w:t>
      </w:r>
      <w:r>
        <w:rPr>
          <w:rFonts w:hint="eastAsia" w:ascii="仿宋" w:hAnsi="仿宋" w:eastAsia="仿宋"/>
          <w:color w:val="000000"/>
          <w:sz w:val="32"/>
          <w:szCs w:val="32"/>
        </w:rPr>
        <w:t>。与</w:t>
      </w:r>
      <w:r>
        <w:rPr>
          <w:rFonts w:hint="eastAsia" w:ascii="仿宋" w:hAnsi="仿宋" w:eastAsia="仿宋"/>
          <w:color w:val="000000"/>
          <w:sz w:val="32"/>
          <w:szCs w:val="32"/>
          <w:lang w:eastAsia="zh-CN"/>
        </w:rPr>
        <w:t>2021</w:t>
      </w:r>
      <w:r>
        <w:rPr>
          <w:rFonts w:hint="eastAsia" w:ascii="仿宋" w:hAnsi="仿宋" w:eastAsia="仿宋"/>
          <w:color w:val="000000"/>
          <w:sz w:val="32"/>
          <w:szCs w:val="32"/>
        </w:rPr>
        <w:t>年相比，一般公共预算财政拨款支出</w:t>
      </w:r>
      <w:r>
        <w:rPr>
          <w:rFonts w:hint="eastAsia" w:ascii="仿宋" w:hAnsi="仿宋" w:eastAsia="仿宋"/>
          <w:color w:val="000000"/>
          <w:sz w:val="32"/>
          <w:szCs w:val="32"/>
          <w:lang w:eastAsia="zh-CN"/>
        </w:rPr>
        <w:t>减少</w:t>
      </w:r>
      <w:r>
        <w:rPr>
          <w:rFonts w:hint="eastAsia" w:ascii="仿宋" w:hAnsi="仿宋" w:eastAsia="仿宋"/>
          <w:color w:val="000000"/>
          <w:sz w:val="32"/>
          <w:szCs w:val="32"/>
          <w:lang w:val="en-US" w:eastAsia="zh-CN"/>
        </w:rPr>
        <w:t>26.93</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减少</w:t>
      </w:r>
      <w:r>
        <w:rPr>
          <w:rFonts w:hint="eastAsia" w:ascii="仿宋" w:hAnsi="仿宋" w:eastAsia="仿宋"/>
          <w:color w:val="000000"/>
          <w:sz w:val="32"/>
          <w:szCs w:val="32"/>
          <w:lang w:val="en-US" w:eastAsia="zh-CN"/>
        </w:rPr>
        <w:t>8.7</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是区划调整，政府拨款收入减少。</w:t>
      </w:r>
    </w:p>
    <w:p>
      <w:pPr>
        <w:pageBreakBefore w:val="0"/>
        <w:widowControl/>
        <w:kinsoku/>
        <w:wordWrap/>
        <w:overflowPunct/>
        <w:topLinePunct w:val="0"/>
        <w:bidi w:val="0"/>
        <w:spacing w:line="240" w:lineRule="auto"/>
        <w:jc w:val="center"/>
      </w:pPr>
      <w:r>
        <w:pict>
          <v:shape id="_x0000_i1029" o:spt="75" type="#_x0000_t75" style="height:136.5pt;width:277.5pt;" filled="f" stroked="f" coordsize="21600,21600">
            <v:path/>
            <v:fill on="f" focussize="0,0"/>
            <v:stroke on="f"/>
            <v:imagedata r:id="rId14" o:title=""/>
            <o:lock v:ext="edit" aspectratio="t"/>
            <w10:wrap type="none"/>
            <w10:anchorlock/>
          </v:shape>
        </w:pict>
      </w:r>
    </w:p>
    <w:p>
      <w:pPr>
        <w:pageBreakBefore w:val="0"/>
        <w:kinsoku/>
        <w:wordWrap/>
        <w:overflowPunct/>
        <w:topLinePunct w:val="0"/>
        <w:bidi w:val="0"/>
        <w:spacing w:line="580" w:lineRule="exact"/>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（图5：一般公共预算财政拨款支出决算变动情况）（柱状图）</w:t>
      </w:r>
    </w:p>
    <w:p>
      <w:pPr>
        <w:pageBreakBefore w:val="0"/>
        <w:kinsoku/>
        <w:wordWrap/>
        <w:overflowPunct/>
        <w:topLinePunct w:val="0"/>
        <w:bidi w:val="0"/>
        <w:spacing w:line="580" w:lineRule="exact"/>
        <w:outlineLvl w:val="2"/>
        <w:rPr>
          <w:rFonts w:ascii="仿宋" w:hAnsi="仿宋" w:eastAsia="仿宋"/>
          <w:b/>
          <w:color w:val="000000"/>
          <w:sz w:val="32"/>
          <w:szCs w:val="32"/>
        </w:rPr>
      </w:pPr>
      <w:bookmarkStart w:id="100" w:name="_Toc15377211"/>
      <w:bookmarkStart w:id="101" w:name="_Toc7035"/>
      <w:r>
        <w:rPr>
          <w:rFonts w:hint="eastAsia" w:ascii="仿宋" w:hAnsi="仿宋" w:eastAsia="仿宋"/>
          <w:b/>
          <w:color w:val="000000"/>
          <w:sz w:val="32"/>
          <w:szCs w:val="32"/>
        </w:rPr>
        <w:t>（二）一般公共预算财政拨款支出决算结构情况</w:t>
      </w:r>
      <w:bookmarkEnd w:id="100"/>
      <w:bookmarkEnd w:id="101"/>
    </w:p>
    <w:p>
      <w:pPr>
        <w:pageBreakBefore w:val="0"/>
        <w:kinsoku/>
        <w:wordWrap/>
        <w:overflowPunct/>
        <w:topLinePunct w:val="0"/>
        <w:bidi w:val="0"/>
        <w:spacing w:line="58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282.59</w:t>
      </w:r>
      <w:r>
        <w:rPr>
          <w:rFonts w:hint="eastAsia" w:ascii="仿宋" w:hAnsi="仿宋" w:eastAsia="仿宋"/>
          <w:color w:val="000000"/>
          <w:sz w:val="32"/>
          <w:szCs w:val="32"/>
        </w:rPr>
        <w:t>万元，主要用于；</w:t>
      </w:r>
      <w:r>
        <w:rPr>
          <w:rFonts w:hint="eastAsia" w:ascii="仿宋" w:hAnsi="仿宋" w:eastAsia="仿宋"/>
          <w:b/>
          <w:color w:val="000000"/>
          <w:sz w:val="32"/>
          <w:szCs w:val="32"/>
        </w:rPr>
        <w:t>社会保障和就业</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53.06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18.77</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211.1</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74.7</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b/>
          <w:bCs/>
          <w:color w:val="000000"/>
          <w:sz w:val="32"/>
          <w:szCs w:val="32"/>
        </w:rPr>
        <w:t>住房保障支出</w:t>
      </w:r>
      <w:r>
        <w:rPr>
          <w:rFonts w:hint="eastAsia" w:ascii="仿宋" w:hAnsi="仿宋" w:eastAsia="仿宋"/>
          <w:color w:val="000000"/>
          <w:sz w:val="32"/>
          <w:szCs w:val="32"/>
          <w:lang w:val="en-US" w:eastAsia="zh-CN"/>
        </w:rPr>
        <w:t>18.43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6.53</w:t>
      </w:r>
      <w:r>
        <w:rPr>
          <w:rFonts w:ascii="仿宋" w:hAnsi="仿宋" w:eastAsia="仿宋"/>
          <w:color w:val="000000"/>
          <w:sz w:val="32"/>
          <w:szCs w:val="32"/>
        </w:rPr>
        <w:t>%</w:t>
      </w:r>
      <w:r>
        <w:rPr>
          <w:rFonts w:hint="eastAsia" w:ascii="仿宋" w:hAnsi="仿宋" w:eastAsia="仿宋"/>
          <w:color w:val="000000"/>
          <w:sz w:val="32"/>
          <w:szCs w:val="32"/>
          <w:lang w:eastAsia="zh-CN"/>
        </w:rPr>
        <w:t>。</w:t>
      </w:r>
    </w:p>
    <w:p>
      <w:pPr>
        <w:pStyle w:val="17"/>
        <w:pageBreakBefore w:val="0"/>
        <w:kinsoku/>
        <w:wordWrap/>
        <w:overflowPunct/>
        <w:topLinePunct w:val="0"/>
        <w:bidi w:val="0"/>
        <w:spacing w:line="240" w:lineRule="auto"/>
        <w:ind w:firstLine="0" w:firstLineChars="0"/>
        <w:jc w:val="both"/>
        <w:rPr>
          <w:rFonts w:hint="eastAsia"/>
        </w:rPr>
      </w:pPr>
      <w:r>
        <w:rPr>
          <w:rFonts w:hint="eastAsia"/>
          <w:lang w:val="en-US" w:eastAsia="zh-CN"/>
        </w:rPr>
        <w:t xml:space="preserve">      </w:t>
      </w:r>
      <w:r>
        <w:pict>
          <v:shape id="_x0000_i1030" o:spt="75" type="#_x0000_t75" style="height:163.5pt;width:319.5pt;" filled="f" o:preferrelative="t" stroked="f" coordsize="21600,21600">
            <v:path/>
            <v:fill on="f" focussize="0,0"/>
            <v:stroke on="f"/>
            <v:imagedata r:id="rId15" o:title=""/>
            <o:lock v:ext="edit" aspectratio="t"/>
            <w10:wrap type="none"/>
            <w10:anchorlock/>
          </v:shape>
        </w:pict>
      </w:r>
    </w:p>
    <w:p>
      <w:pPr>
        <w:pageBreakBefore w:val="0"/>
        <w:kinsoku/>
        <w:wordWrap/>
        <w:overflowPunct/>
        <w:topLinePunct w:val="0"/>
        <w:bidi w:val="0"/>
        <w:spacing w:line="580" w:lineRule="exact"/>
        <w:jc w:val="center"/>
        <w:rPr>
          <w:rFonts w:ascii="仿宋" w:hAnsi="仿宋" w:eastAsia="仿宋"/>
          <w:color w:val="000000"/>
          <w:sz w:val="28"/>
          <w:szCs w:val="28"/>
        </w:rPr>
      </w:pPr>
      <w:r>
        <w:rPr>
          <w:rFonts w:hint="eastAsia" w:ascii="仿宋" w:hAnsi="仿宋" w:eastAsia="仿宋"/>
          <w:color w:val="auto"/>
          <w:sz w:val="28"/>
          <w:szCs w:val="28"/>
          <w:highlight w:val="none"/>
        </w:rPr>
        <w:t>（图6：一般公共预算财政拨款支出决算结构）（饼状图）</w:t>
      </w:r>
    </w:p>
    <w:p>
      <w:pPr>
        <w:pageBreakBefore w:val="0"/>
        <w:kinsoku/>
        <w:wordWrap/>
        <w:overflowPunct/>
        <w:topLinePunct w:val="0"/>
        <w:bidi w:val="0"/>
        <w:spacing w:line="580" w:lineRule="exact"/>
        <w:outlineLvl w:val="2"/>
        <w:rPr>
          <w:rFonts w:ascii="仿宋" w:hAnsi="仿宋" w:eastAsia="仿宋"/>
          <w:b/>
          <w:color w:val="000000"/>
          <w:sz w:val="32"/>
          <w:szCs w:val="32"/>
        </w:rPr>
      </w:pPr>
      <w:bookmarkStart w:id="102" w:name="_Toc30837"/>
      <w:bookmarkStart w:id="103" w:name="_Toc15377212"/>
      <w:r>
        <w:rPr>
          <w:rFonts w:hint="eastAsia" w:ascii="仿宋" w:hAnsi="仿宋" w:eastAsia="仿宋"/>
          <w:b/>
          <w:color w:val="000000"/>
          <w:sz w:val="32"/>
          <w:szCs w:val="32"/>
        </w:rPr>
        <w:t>（三）一般公共预算财政拨款支出决算具体情</w:t>
      </w:r>
      <w:bookmarkEnd w:id="102"/>
      <w:bookmarkEnd w:id="103"/>
    </w:p>
    <w:p>
      <w:pPr>
        <w:pageBreakBefore w:val="0"/>
        <w:kinsoku/>
        <w:wordWrap/>
        <w:overflowPunct/>
        <w:topLinePunct w:val="0"/>
        <w:bidi w:val="0"/>
        <w:spacing w:line="580" w:lineRule="exact"/>
        <w:ind w:firstLine="643" w:firstLineChars="200"/>
        <w:outlineLvl w:val="1"/>
        <w:rPr>
          <w:rStyle w:val="28"/>
          <w:rFonts w:hint="eastAsia" w:ascii="仿宋" w:hAnsi="仿宋" w:eastAsia="仿宋"/>
          <w:bCs/>
          <w:color w:val="000000"/>
          <w:sz w:val="32"/>
          <w:szCs w:val="32"/>
        </w:rPr>
      </w:pPr>
      <w:bookmarkStart w:id="104" w:name="_Toc15377213"/>
      <w:bookmarkStart w:id="105" w:name="_Toc15377444"/>
      <w:bookmarkStart w:id="106" w:name="_Toc8392"/>
      <w:bookmarkStart w:id="107" w:name="_Toc8000"/>
      <w:bookmarkStart w:id="108" w:name="_Toc15378460"/>
      <w:r>
        <w:rPr>
          <w:rFonts w:hint="eastAsia" w:ascii="仿宋" w:hAnsi="仿宋" w:eastAsia="仿宋"/>
          <w:b/>
          <w:color w:val="000000"/>
          <w:sz w:val="32"/>
          <w:szCs w:val="32"/>
          <w:lang w:eastAsia="zh-CN"/>
        </w:rPr>
        <w:t>2021</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282.59</w:t>
      </w:r>
      <w:r>
        <w:rPr>
          <w:rFonts w:hint="eastAsia" w:ascii="仿宋" w:hAnsi="仿宋" w:eastAsia="仿宋"/>
          <w:b/>
          <w:color w:val="000000"/>
          <w:sz w:val="32"/>
          <w:szCs w:val="32"/>
        </w:rPr>
        <w:t>万元</w:t>
      </w:r>
      <w:r>
        <w:rPr>
          <w:rFonts w:hint="eastAsia" w:ascii="仿宋" w:hAnsi="仿宋" w:eastAsia="仿宋"/>
          <w:color w:val="000000"/>
          <w:sz w:val="32"/>
          <w:szCs w:val="32"/>
        </w:rPr>
        <w:t>，</w:t>
      </w:r>
      <w:r>
        <w:rPr>
          <w:rStyle w:val="28"/>
          <w:rFonts w:hint="eastAsia" w:ascii="仿宋" w:hAnsi="仿宋" w:eastAsia="仿宋"/>
          <w:bCs/>
          <w:color w:val="000000"/>
          <w:sz w:val="32"/>
          <w:szCs w:val="32"/>
        </w:rPr>
        <w:t>完成预算100</w:t>
      </w:r>
      <w:r>
        <w:rPr>
          <w:rStyle w:val="28"/>
          <w:rFonts w:ascii="仿宋" w:hAnsi="仿宋" w:eastAsia="仿宋"/>
          <w:bCs/>
          <w:color w:val="000000"/>
          <w:sz w:val="32"/>
          <w:szCs w:val="32"/>
        </w:rPr>
        <w:t>%</w:t>
      </w:r>
      <w:r>
        <w:rPr>
          <w:rStyle w:val="28"/>
          <w:rFonts w:hint="eastAsia" w:ascii="仿宋" w:hAnsi="仿宋" w:eastAsia="仿宋"/>
          <w:bCs/>
          <w:color w:val="000000"/>
          <w:sz w:val="32"/>
          <w:szCs w:val="32"/>
        </w:rPr>
        <w:t>。其中：</w:t>
      </w:r>
      <w:bookmarkEnd w:id="104"/>
      <w:bookmarkEnd w:id="105"/>
      <w:bookmarkEnd w:id="106"/>
      <w:bookmarkEnd w:id="107"/>
      <w:bookmarkEnd w:id="108"/>
    </w:p>
    <w:p>
      <w:pPr>
        <w:pageBreakBefore w:val="0"/>
        <w:kinsoku/>
        <w:wordWrap/>
        <w:overflowPunct/>
        <w:topLinePunct w:val="0"/>
        <w:bidi w:val="0"/>
        <w:spacing w:line="580" w:lineRule="exact"/>
        <w:ind w:firstLine="643" w:firstLineChars="200"/>
        <w:rPr>
          <w:rFonts w:hint="eastAsia" w:ascii="仿宋_GB2312" w:eastAsia="仿宋_GB2312"/>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28"/>
          <w:rFonts w:hint="eastAsia" w:ascii="仿宋_GB2312" w:eastAsia="仿宋_GB2312"/>
          <w:color w:val="000000"/>
          <w:sz w:val="32"/>
          <w:szCs w:val="32"/>
        </w:rPr>
        <w:t>乡镇卫生院（项）：</w:t>
      </w:r>
      <w:r>
        <w:rPr>
          <w:rFonts w:hint="eastAsia" w:ascii="仿宋" w:hAnsi="仿宋" w:eastAsia="仿宋" w:cs="Times New Roman"/>
          <w:color w:val="000000"/>
          <w:sz w:val="32"/>
          <w:szCs w:val="32"/>
        </w:rPr>
        <w:t>主要</w:t>
      </w:r>
      <w:r>
        <w:rPr>
          <w:rFonts w:hint="eastAsia" w:ascii="仿宋" w:hAnsi="仿宋" w:eastAsia="仿宋" w:cs="Times New Roman"/>
          <w:color w:val="000000"/>
          <w:sz w:val="32"/>
          <w:szCs w:val="32"/>
          <w:lang w:eastAsia="zh-CN"/>
        </w:rPr>
        <w:t>用于</w:t>
      </w:r>
      <w:r>
        <w:rPr>
          <w:rFonts w:hint="eastAsia" w:ascii="仿宋" w:hAnsi="仿宋" w:eastAsia="仿宋" w:cs="Times New Roman"/>
          <w:color w:val="000000"/>
          <w:sz w:val="32"/>
          <w:szCs w:val="32"/>
        </w:rPr>
        <w:t>乡镇卫生院人员经费，决算数</w:t>
      </w:r>
      <w:r>
        <w:rPr>
          <w:rFonts w:hint="eastAsia" w:ascii="仿宋" w:hAnsi="仿宋" w:eastAsia="仿宋" w:cs="Times New Roman"/>
          <w:color w:val="000000"/>
          <w:sz w:val="32"/>
          <w:szCs w:val="32"/>
          <w:lang w:val="en-US" w:eastAsia="zh-CN"/>
        </w:rPr>
        <w:t>192.88</w:t>
      </w:r>
      <w:r>
        <w:rPr>
          <w:rFonts w:hint="eastAsia" w:ascii="仿宋" w:hAnsi="仿宋" w:eastAsia="仿宋" w:cs="Times New Roman"/>
          <w:color w:val="000000"/>
          <w:sz w:val="32"/>
          <w:szCs w:val="32"/>
        </w:rPr>
        <w:t>万元，完成预算100%。</w:t>
      </w:r>
    </w:p>
    <w:p>
      <w:pPr>
        <w:pageBreakBefore w:val="0"/>
        <w:kinsoku/>
        <w:wordWrap/>
        <w:overflowPunct/>
        <w:topLinePunct w:val="0"/>
        <w:bidi w:val="0"/>
        <w:spacing w:line="580" w:lineRule="exact"/>
        <w:ind w:firstLine="643" w:firstLineChars="200"/>
        <w:rPr>
          <w:rFonts w:hint="eastAsia" w:ascii="仿宋" w:hAnsi="仿宋" w:eastAsia="仿宋" w:cs="Times New Roman"/>
          <w:color w:val="000000"/>
          <w:sz w:val="32"/>
          <w:szCs w:val="32"/>
        </w:rPr>
      </w:pPr>
      <w:r>
        <w:rPr>
          <w:rStyle w:val="28"/>
          <w:rFonts w:hint="eastAsia" w:ascii="仿宋_GB2312" w:eastAsia="仿宋_GB2312"/>
          <w:bCs/>
          <w:color w:val="000000"/>
          <w:sz w:val="32"/>
          <w:szCs w:val="32"/>
        </w:rPr>
        <w:t>卫生健康支出（类）行政事业单位（款）事业单位医疗（项）</w:t>
      </w:r>
      <w:r>
        <w:rPr>
          <w:rStyle w:val="28"/>
          <w:rFonts w:hint="eastAsia" w:ascii="仿宋_GB2312" w:eastAsia="仿宋_GB2312"/>
          <w:b w:val="0"/>
          <w:color w:val="000000"/>
          <w:sz w:val="32"/>
          <w:szCs w:val="32"/>
        </w:rPr>
        <w:t>：</w:t>
      </w:r>
      <w:r>
        <w:rPr>
          <w:rFonts w:hint="eastAsia" w:ascii="仿宋" w:hAnsi="仿宋" w:eastAsia="仿宋" w:cs="Times New Roman"/>
          <w:color w:val="000000"/>
          <w:sz w:val="32"/>
          <w:szCs w:val="32"/>
        </w:rPr>
        <w:t>用于在职在编人员医疗保险支出，</w:t>
      </w:r>
      <w:r>
        <w:rPr>
          <w:rFonts w:hint="eastAsia" w:ascii="仿宋" w:hAnsi="仿宋" w:eastAsia="仿宋" w:cs="Times New Roman"/>
          <w:color w:val="000000"/>
          <w:sz w:val="32"/>
          <w:szCs w:val="32"/>
          <w:lang w:eastAsia="zh-CN"/>
        </w:rPr>
        <w:t>202</w:t>
      </w:r>
      <w:r>
        <w:rPr>
          <w:rFonts w:hint="eastAsia"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rPr>
        <w:t>年决算数</w:t>
      </w:r>
      <w:r>
        <w:rPr>
          <w:rFonts w:hint="eastAsia" w:ascii="仿宋" w:hAnsi="仿宋" w:eastAsia="仿宋" w:cs="Times New Roman"/>
          <w:color w:val="000000"/>
          <w:sz w:val="32"/>
          <w:szCs w:val="32"/>
          <w:lang w:val="en-US" w:eastAsia="zh-CN"/>
        </w:rPr>
        <w:t>18.22</w:t>
      </w:r>
      <w:r>
        <w:rPr>
          <w:rFonts w:hint="eastAsia" w:ascii="仿宋" w:hAnsi="仿宋" w:eastAsia="仿宋" w:cs="Times New Roman"/>
          <w:color w:val="000000"/>
          <w:sz w:val="32"/>
          <w:szCs w:val="32"/>
        </w:rPr>
        <w:t>万元，完成预算100%。</w:t>
      </w:r>
    </w:p>
    <w:p>
      <w:pPr>
        <w:pageBreakBefore w:val="0"/>
        <w:kinsoku/>
        <w:wordWrap/>
        <w:overflowPunct/>
        <w:topLinePunct w:val="0"/>
        <w:bidi w:val="0"/>
        <w:spacing w:line="580" w:lineRule="exact"/>
        <w:ind w:firstLine="643" w:firstLineChars="200"/>
        <w:rPr>
          <w:rStyle w:val="28"/>
          <w:rFonts w:hint="eastAsia" w:ascii="仿宋_GB2312" w:eastAsia="仿宋_GB2312"/>
          <w:b w:val="0"/>
          <w:color w:val="000000"/>
          <w:sz w:val="32"/>
          <w:szCs w:val="32"/>
        </w:rPr>
      </w:pPr>
      <w:r>
        <w:rPr>
          <w:rStyle w:val="28"/>
          <w:rFonts w:hint="eastAsia" w:ascii="仿宋_GB2312" w:eastAsia="仿宋_GB2312"/>
          <w:color w:val="000000"/>
          <w:sz w:val="32"/>
          <w:szCs w:val="32"/>
        </w:rPr>
        <w:t>住房保障支出（类）住房改革支出（款）</w:t>
      </w:r>
      <w:r>
        <w:rPr>
          <w:rStyle w:val="28"/>
          <w:rFonts w:hint="eastAsia" w:ascii="仿宋_GB2312" w:eastAsia="仿宋_GB2312"/>
          <w:bCs/>
          <w:color w:val="000000"/>
          <w:sz w:val="32"/>
          <w:szCs w:val="32"/>
        </w:rPr>
        <w:t>住房公积金支出（项）</w:t>
      </w:r>
      <w:r>
        <w:rPr>
          <w:rStyle w:val="28"/>
          <w:rFonts w:hint="eastAsia" w:ascii="仿宋_GB2312" w:eastAsia="仿宋_GB2312"/>
          <w:b w:val="0"/>
          <w:color w:val="000000"/>
          <w:sz w:val="32"/>
          <w:szCs w:val="32"/>
        </w:rPr>
        <w:t>:</w:t>
      </w:r>
      <w:r>
        <w:rPr>
          <w:rFonts w:hint="eastAsia" w:ascii="仿宋" w:hAnsi="仿宋" w:eastAsia="仿宋" w:cs="Times New Roman"/>
          <w:color w:val="000000"/>
          <w:sz w:val="32"/>
          <w:szCs w:val="32"/>
        </w:rPr>
        <w:t>主要用于在职在编人员缴纳住房公积金支出。</w:t>
      </w:r>
      <w:r>
        <w:rPr>
          <w:rFonts w:hint="eastAsia" w:ascii="仿宋" w:hAnsi="仿宋" w:eastAsia="仿宋" w:cs="Times New Roman"/>
          <w:color w:val="000000"/>
          <w:sz w:val="32"/>
          <w:szCs w:val="32"/>
          <w:lang w:eastAsia="zh-CN"/>
        </w:rPr>
        <w:t>202</w:t>
      </w:r>
      <w:r>
        <w:rPr>
          <w:rFonts w:hint="eastAsia"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rPr>
        <w:t>年决算数为</w:t>
      </w:r>
      <w:r>
        <w:rPr>
          <w:rFonts w:hint="eastAsia" w:ascii="仿宋" w:hAnsi="仿宋" w:eastAsia="仿宋" w:cs="Times New Roman"/>
          <w:color w:val="000000"/>
          <w:sz w:val="32"/>
          <w:szCs w:val="32"/>
          <w:lang w:val="en-US" w:eastAsia="zh-CN"/>
        </w:rPr>
        <w:t>18.43</w:t>
      </w:r>
      <w:r>
        <w:rPr>
          <w:rFonts w:hint="eastAsia" w:ascii="仿宋" w:hAnsi="仿宋" w:eastAsia="仿宋" w:cs="Times New Roman"/>
          <w:color w:val="000000"/>
          <w:sz w:val="32"/>
          <w:szCs w:val="32"/>
        </w:rPr>
        <w:t>万元，完成预算100%。</w:t>
      </w:r>
    </w:p>
    <w:p>
      <w:pPr>
        <w:pageBreakBefore w:val="0"/>
        <w:kinsoku/>
        <w:wordWrap/>
        <w:overflowPunct/>
        <w:topLinePunct w:val="0"/>
        <w:bidi w:val="0"/>
        <w:spacing w:line="580" w:lineRule="exact"/>
        <w:ind w:firstLine="643" w:firstLineChars="200"/>
        <w:rPr>
          <w:rFonts w:hint="eastAsia" w:ascii="仿宋" w:hAnsi="仿宋" w:eastAsia="仿宋" w:cs="Times New Roman"/>
          <w:color w:val="000000"/>
          <w:sz w:val="32"/>
          <w:szCs w:val="32"/>
        </w:rPr>
      </w:pPr>
      <w:r>
        <w:rPr>
          <w:rStyle w:val="28"/>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 w:hAnsi="仿宋" w:eastAsia="仿宋" w:cs="Times New Roman"/>
          <w:color w:val="000000"/>
          <w:sz w:val="32"/>
          <w:szCs w:val="32"/>
        </w:rPr>
        <w:t>主要用于在职在编人员基本养老保险支出，</w:t>
      </w:r>
      <w:r>
        <w:rPr>
          <w:rFonts w:hint="eastAsia" w:ascii="仿宋" w:hAnsi="仿宋" w:eastAsia="仿宋" w:cs="Times New Roman"/>
          <w:color w:val="000000"/>
          <w:sz w:val="32"/>
          <w:szCs w:val="32"/>
          <w:lang w:eastAsia="zh-CN"/>
        </w:rPr>
        <w:t>202</w:t>
      </w:r>
      <w:r>
        <w:rPr>
          <w:rFonts w:hint="eastAsia"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rPr>
        <w:t>年决算数为</w:t>
      </w:r>
      <w:r>
        <w:rPr>
          <w:rFonts w:hint="eastAsia" w:ascii="仿宋" w:hAnsi="仿宋" w:eastAsia="仿宋" w:cs="Times New Roman"/>
          <w:color w:val="000000"/>
          <w:sz w:val="32"/>
          <w:szCs w:val="32"/>
          <w:lang w:val="en-US" w:eastAsia="zh-CN"/>
        </w:rPr>
        <w:t>36.54</w:t>
      </w:r>
      <w:r>
        <w:rPr>
          <w:rFonts w:hint="eastAsia" w:ascii="仿宋" w:hAnsi="仿宋" w:eastAsia="仿宋" w:cs="Times New Roman"/>
          <w:color w:val="000000"/>
          <w:sz w:val="32"/>
          <w:szCs w:val="32"/>
        </w:rPr>
        <w:t>万元，完成预算100 %。</w:t>
      </w:r>
    </w:p>
    <w:p>
      <w:pPr>
        <w:pageBreakBefore w:val="0"/>
        <w:kinsoku/>
        <w:wordWrap/>
        <w:overflowPunct/>
        <w:topLinePunct w:val="0"/>
        <w:bidi w:val="0"/>
        <w:spacing w:line="580" w:lineRule="exact"/>
        <w:ind w:firstLine="643" w:firstLineChars="200"/>
        <w:rPr>
          <w:rFonts w:hint="eastAsia" w:ascii="仿宋" w:hAnsi="仿宋" w:eastAsia="仿宋" w:cs="Times New Roman"/>
          <w:color w:val="000000"/>
          <w:sz w:val="32"/>
          <w:szCs w:val="32"/>
        </w:rPr>
      </w:pPr>
      <w:r>
        <w:rPr>
          <w:rStyle w:val="28"/>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 w:hAnsi="仿宋" w:eastAsia="仿宋" w:cs="Times New Roman"/>
          <w:color w:val="000000"/>
          <w:sz w:val="32"/>
          <w:szCs w:val="32"/>
        </w:rPr>
        <w:t>主要用于在职在编人员职业年金支出，</w:t>
      </w:r>
      <w:r>
        <w:rPr>
          <w:rFonts w:hint="eastAsia" w:ascii="仿宋" w:hAnsi="仿宋" w:eastAsia="仿宋" w:cs="Times New Roman"/>
          <w:color w:val="000000"/>
          <w:sz w:val="32"/>
          <w:szCs w:val="32"/>
          <w:lang w:eastAsia="zh-CN"/>
        </w:rPr>
        <w:t>202</w:t>
      </w:r>
      <w:r>
        <w:rPr>
          <w:rFonts w:hint="eastAsia"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rPr>
        <w:t>年决算数为</w:t>
      </w:r>
      <w:r>
        <w:rPr>
          <w:rFonts w:hint="eastAsia" w:ascii="仿宋" w:hAnsi="仿宋" w:eastAsia="仿宋" w:cs="Times New Roman"/>
          <w:color w:val="000000"/>
          <w:sz w:val="32"/>
          <w:szCs w:val="32"/>
          <w:lang w:val="en-US" w:eastAsia="zh-CN"/>
        </w:rPr>
        <w:t>16.52</w:t>
      </w:r>
      <w:r>
        <w:rPr>
          <w:rFonts w:hint="eastAsia" w:ascii="仿宋" w:hAnsi="仿宋" w:eastAsia="仿宋" w:cs="Times New Roman"/>
          <w:color w:val="000000"/>
          <w:sz w:val="32"/>
          <w:szCs w:val="32"/>
        </w:rPr>
        <w:t>万元，完成预算100%。</w:t>
      </w:r>
    </w:p>
    <w:p>
      <w:pPr>
        <w:pageBreakBefore w:val="0"/>
        <w:tabs>
          <w:tab w:val="right" w:pos="8306"/>
        </w:tabs>
        <w:kinsoku/>
        <w:wordWrap/>
        <w:overflowPunct/>
        <w:topLinePunct w:val="0"/>
        <w:bidi w:val="0"/>
        <w:spacing w:line="580" w:lineRule="exact"/>
        <w:ind w:firstLine="640" w:firstLineChars="200"/>
        <w:outlineLvl w:val="1"/>
        <w:rPr>
          <w:rStyle w:val="13"/>
        </w:rPr>
      </w:pPr>
      <w:bookmarkStart w:id="109" w:name="_Toc15377214"/>
      <w:bookmarkStart w:id="110" w:name="_Toc15396608"/>
      <w:bookmarkStart w:id="111" w:name="_Toc25851"/>
      <w:bookmarkStart w:id="112" w:name="_Toc25331"/>
      <w:bookmarkStart w:id="113" w:name="_Toc7799"/>
      <w:r>
        <w:rPr>
          <w:rFonts w:hint="eastAsia" w:ascii="黑体" w:eastAsia="黑体"/>
          <w:color w:val="000000"/>
          <w:sz w:val="32"/>
          <w:szCs w:val="32"/>
        </w:rPr>
        <w:t>六</w:t>
      </w:r>
      <w:r>
        <w:rPr>
          <w:rFonts w:hint="eastAsia" w:ascii="黑体" w:eastAsia="黑体"/>
          <w:b/>
          <w:color w:val="000000"/>
          <w:sz w:val="32"/>
          <w:szCs w:val="32"/>
        </w:rPr>
        <w:t>、</w:t>
      </w:r>
      <w:bookmarkEnd w:id="109"/>
      <w:bookmarkEnd w:id="110"/>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般公共预算财政拨款基本支出决算情况说明</w:t>
      </w:r>
      <w:bookmarkEnd w:id="111"/>
      <w:bookmarkEnd w:id="112"/>
      <w:bookmarkEnd w:id="113"/>
      <w:r>
        <w:rPr>
          <w:rStyle w:val="13"/>
          <w:rFonts w:ascii="黑体" w:hAnsi="黑体" w:eastAsia="黑体"/>
          <w:b w:val="0"/>
        </w:rPr>
        <w:tab/>
      </w:r>
    </w:p>
    <w:p>
      <w:pPr>
        <w:pageBreakBefore w:val="0"/>
        <w:kinsoku/>
        <w:wordWrap/>
        <w:overflowPunct/>
        <w:topLinePunct w:val="0"/>
        <w:bidi w:val="0"/>
        <w:spacing w:line="580" w:lineRule="exact"/>
        <w:ind w:firstLine="640" w:firstLineChars="200"/>
        <w:rPr>
          <w:rFonts w:hint="eastAsia" w:ascii="仿宋" w:hAnsi="仿宋" w:eastAsia="仿宋" w:cs="Times New Roman"/>
          <w:color w:val="000000"/>
          <w:sz w:val="32"/>
          <w:szCs w:val="32"/>
        </w:rPr>
      </w:pPr>
      <w:r>
        <w:rPr>
          <w:rFonts w:hint="eastAsia" w:ascii="仿宋" w:hAnsi="仿宋" w:eastAsia="仿宋" w:cs="Times New Roman"/>
          <w:color w:val="000000"/>
          <w:sz w:val="32"/>
          <w:szCs w:val="32"/>
          <w:lang w:eastAsia="zh-CN"/>
        </w:rPr>
        <w:t>202</w:t>
      </w:r>
      <w:r>
        <w:rPr>
          <w:rFonts w:hint="eastAsia"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rPr>
        <w:t>年一般公共预算财政拨款基本支出</w:t>
      </w:r>
      <w:r>
        <w:rPr>
          <w:rFonts w:hint="eastAsia" w:ascii="仿宋" w:hAnsi="仿宋" w:eastAsia="仿宋" w:cs="Times New Roman"/>
          <w:color w:val="000000"/>
          <w:sz w:val="32"/>
          <w:szCs w:val="32"/>
          <w:lang w:val="en-US" w:eastAsia="zh-CN"/>
        </w:rPr>
        <w:t>282.59</w:t>
      </w:r>
      <w:r>
        <w:rPr>
          <w:rFonts w:hint="eastAsia" w:ascii="仿宋" w:hAnsi="仿宋" w:eastAsia="仿宋" w:cs="Times New Roman"/>
          <w:color w:val="000000"/>
          <w:sz w:val="32"/>
          <w:szCs w:val="32"/>
        </w:rPr>
        <w:t>万元，其中：人员经费</w:t>
      </w:r>
      <w:r>
        <w:rPr>
          <w:rFonts w:hint="eastAsia" w:ascii="仿宋" w:hAnsi="仿宋" w:eastAsia="仿宋" w:cs="Times New Roman"/>
          <w:color w:val="000000"/>
          <w:sz w:val="32"/>
          <w:szCs w:val="32"/>
          <w:lang w:val="en-US" w:eastAsia="zh-CN"/>
        </w:rPr>
        <w:t>282.59</w:t>
      </w:r>
      <w:r>
        <w:rPr>
          <w:rFonts w:hint="eastAsia" w:ascii="仿宋" w:hAnsi="仿宋" w:eastAsia="仿宋" w:cs="Times New Roman"/>
          <w:color w:val="000000"/>
          <w:sz w:val="32"/>
          <w:szCs w:val="32"/>
        </w:rPr>
        <w:t>万元，主要包括：基本工资</w:t>
      </w:r>
      <w:r>
        <w:rPr>
          <w:rFonts w:hint="eastAsia" w:ascii="仿宋" w:hAnsi="仿宋" w:eastAsia="仿宋" w:cs="Times New Roman"/>
          <w:color w:val="000000"/>
          <w:sz w:val="32"/>
          <w:szCs w:val="32"/>
          <w:lang w:val="en-US" w:eastAsia="zh-CN"/>
        </w:rPr>
        <w:t>82.35</w:t>
      </w:r>
      <w:r>
        <w:rPr>
          <w:rFonts w:hint="eastAsia" w:ascii="仿宋" w:hAnsi="仿宋" w:eastAsia="仿宋" w:cs="Times New Roman"/>
          <w:color w:val="000000"/>
          <w:sz w:val="32"/>
          <w:szCs w:val="32"/>
        </w:rPr>
        <w:t>万元、津贴补贴</w:t>
      </w:r>
      <w:r>
        <w:rPr>
          <w:rFonts w:hint="eastAsia" w:ascii="仿宋" w:hAnsi="仿宋" w:eastAsia="仿宋" w:cs="Times New Roman"/>
          <w:color w:val="000000"/>
          <w:sz w:val="32"/>
          <w:szCs w:val="32"/>
          <w:lang w:val="en-US" w:eastAsia="zh-CN"/>
        </w:rPr>
        <w:t>4.85</w:t>
      </w:r>
      <w:r>
        <w:rPr>
          <w:rFonts w:hint="eastAsia" w:ascii="仿宋" w:hAnsi="仿宋" w:eastAsia="仿宋" w:cs="Times New Roman"/>
          <w:color w:val="000000"/>
          <w:sz w:val="32"/>
          <w:szCs w:val="32"/>
        </w:rPr>
        <w:t xml:space="preserve">万元、绩效工资 </w:t>
      </w:r>
      <w:r>
        <w:rPr>
          <w:rFonts w:hint="eastAsia" w:ascii="仿宋" w:hAnsi="仿宋" w:eastAsia="仿宋" w:cs="Times New Roman"/>
          <w:color w:val="000000"/>
          <w:sz w:val="32"/>
          <w:szCs w:val="32"/>
          <w:lang w:val="en-US" w:eastAsia="zh-CN"/>
        </w:rPr>
        <w:t>105.68</w:t>
      </w:r>
      <w:r>
        <w:rPr>
          <w:rFonts w:hint="eastAsia" w:ascii="仿宋" w:hAnsi="仿宋" w:eastAsia="仿宋" w:cs="Times New Roman"/>
          <w:color w:val="000000"/>
          <w:sz w:val="32"/>
          <w:szCs w:val="32"/>
        </w:rPr>
        <w:t>万元、机关事业单位基本养老保险缴费</w:t>
      </w:r>
      <w:r>
        <w:rPr>
          <w:rFonts w:hint="eastAsia" w:ascii="仿宋" w:hAnsi="仿宋" w:eastAsia="仿宋" w:cs="Times New Roman"/>
          <w:color w:val="000000"/>
          <w:sz w:val="32"/>
          <w:szCs w:val="32"/>
          <w:lang w:val="en-US" w:eastAsia="zh-CN"/>
        </w:rPr>
        <w:t>36.54</w:t>
      </w:r>
      <w:r>
        <w:rPr>
          <w:rFonts w:hint="eastAsia" w:ascii="仿宋" w:hAnsi="仿宋" w:eastAsia="仿宋" w:cs="Times New Roman"/>
          <w:color w:val="000000"/>
          <w:sz w:val="32"/>
          <w:szCs w:val="32"/>
        </w:rPr>
        <w:t>万元、职业年金缴费</w:t>
      </w:r>
      <w:r>
        <w:rPr>
          <w:rFonts w:hint="eastAsia" w:ascii="仿宋" w:hAnsi="仿宋" w:eastAsia="仿宋" w:cs="Times New Roman"/>
          <w:color w:val="000000"/>
          <w:sz w:val="32"/>
          <w:szCs w:val="32"/>
          <w:lang w:val="en-US" w:eastAsia="zh-CN"/>
        </w:rPr>
        <w:t>16.52</w:t>
      </w:r>
      <w:r>
        <w:rPr>
          <w:rFonts w:hint="eastAsia" w:ascii="仿宋" w:hAnsi="仿宋" w:eastAsia="仿宋" w:cs="Times New Roman"/>
          <w:color w:val="000000"/>
          <w:sz w:val="32"/>
          <w:szCs w:val="32"/>
        </w:rPr>
        <w:t>万元、基本医疗保险缴费</w:t>
      </w:r>
      <w:r>
        <w:rPr>
          <w:rFonts w:hint="eastAsia" w:ascii="仿宋" w:hAnsi="仿宋" w:eastAsia="仿宋" w:cs="Times New Roman"/>
          <w:color w:val="000000"/>
          <w:sz w:val="32"/>
          <w:szCs w:val="32"/>
          <w:lang w:val="en-US" w:eastAsia="zh-CN"/>
        </w:rPr>
        <w:t>18.22</w:t>
      </w:r>
      <w:r>
        <w:rPr>
          <w:rFonts w:hint="eastAsia" w:ascii="仿宋" w:hAnsi="仿宋" w:eastAsia="仿宋" w:cs="Times New Roman"/>
          <w:color w:val="000000"/>
          <w:sz w:val="32"/>
          <w:szCs w:val="32"/>
        </w:rPr>
        <w:t>万元、住房公积金</w:t>
      </w:r>
      <w:r>
        <w:rPr>
          <w:rFonts w:hint="eastAsia" w:ascii="仿宋" w:hAnsi="仿宋" w:eastAsia="仿宋" w:cs="Times New Roman"/>
          <w:color w:val="000000"/>
          <w:sz w:val="32"/>
          <w:szCs w:val="32"/>
          <w:lang w:val="en-US" w:eastAsia="zh-CN"/>
        </w:rPr>
        <w:t>18.43</w:t>
      </w:r>
      <w:r>
        <w:rPr>
          <w:rFonts w:hint="eastAsia" w:ascii="仿宋" w:hAnsi="仿宋" w:eastAsia="仿宋" w:cs="Times New Roman"/>
          <w:color w:val="000000"/>
          <w:sz w:val="32"/>
          <w:szCs w:val="32"/>
        </w:rPr>
        <w:t>万元。</w:t>
      </w:r>
    </w:p>
    <w:p>
      <w:pPr>
        <w:pageBreakBefore w:val="0"/>
        <w:kinsoku/>
        <w:wordWrap/>
        <w:overflowPunct/>
        <w:topLinePunct w:val="0"/>
        <w:bidi w:val="0"/>
        <w:spacing w:line="580" w:lineRule="exact"/>
        <w:ind w:firstLine="640"/>
        <w:outlineLvl w:val="1"/>
        <w:rPr>
          <w:rStyle w:val="13"/>
          <w:rFonts w:ascii="黑体" w:hAnsi="黑体" w:eastAsia="黑体"/>
          <w:b w:val="0"/>
        </w:rPr>
      </w:pPr>
      <w:bookmarkStart w:id="114" w:name="_Toc15396609"/>
      <w:bookmarkStart w:id="115" w:name="_Toc15377215"/>
      <w:bookmarkStart w:id="116" w:name="_Toc6726"/>
      <w:bookmarkStart w:id="117" w:name="_Toc31284"/>
      <w:bookmarkStart w:id="118" w:name="_Toc12307"/>
      <w:r>
        <w:rPr>
          <w:rFonts w:hint="eastAsia" w:ascii="黑体" w:eastAsia="黑体"/>
          <w:color w:val="000000"/>
          <w:sz w:val="32"/>
          <w:szCs w:val="32"/>
        </w:rPr>
        <w:t>七、</w:t>
      </w:r>
      <w:bookmarkEnd w:id="114"/>
      <w:bookmarkEnd w:id="115"/>
      <w:r>
        <w:rPr>
          <w:rStyle w:val="32"/>
          <w:rFonts w:hint="eastAsia" w:ascii="黑体" w:hAnsi="黑体" w:eastAsia="黑体"/>
          <w:b w:val="0"/>
          <w:color w:val="auto"/>
          <w:highlight w:val="none"/>
        </w:rPr>
        <w:t>财政拨款</w:t>
      </w:r>
      <w:r>
        <w:rPr>
          <w:rStyle w:val="32"/>
          <w:rFonts w:hint="eastAsia" w:ascii="黑体" w:hAnsi="黑体" w:eastAsia="黑体"/>
          <w:color w:val="auto"/>
          <w:highlight w:val="none"/>
        </w:rPr>
        <w:t>“</w:t>
      </w:r>
      <w:r>
        <w:rPr>
          <w:rStyle w:val="32"/>
          <w:rFonts w:hint="eastAsia" w:ascii="黑体" w:hAnsi="黑体" w:eastAsia="黑体"/>
          <w:b w:val="0"/>
          <w:color w:val="auto"/>
          <w:highlight w:val="none"/>
        </w:rPr>
        <w:t>三公”经费支出决算情况说明</w:t>
      </w:r>
      <w:bookmarkEnd w:id="116"/>
      <w:bookmarkEnd w:id="117"/>
      <w:bookmarkEnd w:id="118"/>
    </w:p>
    <w:p>
      <w:pPr>
        <w:pageBreakBefore w:val="0"/>
        <w:kinsoku/>
        <w:wordWrap/>
        <w:overflowPunct/>
        <w:topLinePunct w:val="0"/>
        <w:bidi w:val="0"/>
        <w:spacing w:line="580" w:lineRule="exact"/>
        <w:ind w:firstLine="640"/>
        <w:outlineLvl w:val="2"/>
        <w:rPr>
          <w:rFonts w:ascii="仿宋" w:hAnsi="仿宋" w:eastAsia="仿宋"/>
          <w:b/>
          <w:color w:val="000000"/>
          <w:sz w:val="32"/>
          <w:szCs w:val="32"/>
        </w:rPr>
      </w:pPr>
      <w:bookmarkStart w:id="119" w:name="_Toc23076"/>
      <w:bookmarkStart w:id="120" w:name="_Toc15377216"/>
      <w:bookmarkStart w:id="121" w:name="_Toc15377218"/>
      <w:bookmarkStart w:id="122" w:name="_Toc15396610"/>
      <w:r>
        <w:rPr>
          <w:rFonts w:hint="eastAsia" w:ascii="仿宋" w:hAnsi="仿宋" w:eastAsia="仿宋"/>
          <w:b/>
          <w:color w:val="000000"/>
          <w:sz w:val="32"/>
          <w:szCs w:val="32"/>
        </w:rPr>
        <w:t>（一）“三公”经费财政拨款支出决算总体情况说明</w:t>
      </w:r>
      <w:bookmarkEnd w:id="119"/>
      <w:bookmarkEnd w:id="120"/>
    </w:p>
    <w:p>
      <w:pPr>
        <w:pageBreakBefore w:val="0"/>
        <w:kinsoku/>
        <w:wordWrap/>
        <w:overflowPunct/>
        <w:topLinePunct w:val="0"/>
        <w:bidi w:val="0"/>
        <w:spacing w:line="580" w:lineRule="exact"/>
        <w:ind w:firstLine="640"/>
        <w:rPr>
          <w:rFonts w:hint="eastAsia" w:ascii="仿宋" w:eastAsia="仿宋"/>
          <w:color w:val="000000"/>
          <w:sz w:val="32"/>
          <w:szCs w:val="32"/>
        </w:rPr>
      </w:pPr>
      <w:r>
        <w:rPr>
          <w:rFonts w:hint="eastAsia" w:ascii="仿宋" w:hAnsi="仿宋" w:eastAsia="仿宋"/>
          <w:color w:val="000000"/>
          <w:sz w:val="32"/>
          <w:szCs w:val="32"/>
          <w:highlight w:val="none"/>
          <w:lang w:eastAsia="zh-CN"/>
        </w:rPr>
        <w:t>202</w:t>
      </w:r>
      <w:r>
        <w:rPr>
          <w:rFonts w:hint="eastAsia" w:ascii="仿宋" w:hAnsi="仿宋" w:eastAsia="仿宋"/>
          <w:color w:val="000000"/>
          <w:sz w:val="32"/>
          <w:szCs w:val="32"/>
          <w:highlight w:val="none"/>
          <w:lang w:val="en-US" w:eastAsia="zh-CN"/>
        </w:rPr>
        <w:t>2</w:t>
      </w:r>
      <w:r>
        <w:rPr>
          <w:rFonts w:hint="eastAsia" w:ascii="仿宋" w:hAnsi="仿宋" w:eastAsia="仿宋"/>
          <w:color w:val="000000"/>
          <w:sz w:val="32"/>
          <w:szCs w:val="32"/>
          <w:highlight w:val="none"/>
        </w:rPr>
        <w:t>年“三公”经费财政拨款支出决算为</w:t>
      </w:r>
      <w:r>
        <w:rPr>
          <w:rFonts w:hint="eastAsia" w:ascii="仿宋" w:hAnsi="仿宋" w:eastAsia="仿宋"/>
          <w:color w:val="000000"/>
          <w:sz w:val="32"/>
          <w:szCs w:val="32"/>
          <w:highlight w:val="none"/>
          <w:lang w:val="en-US" w:eastAsia="zh-CN"/>
        </w:rPr>
        <w:t>0</w:t>
      </w:r>
      <w:r>
        <w:rPr>
          <w:rFonts w:hint="eastAsia" w:ascii="仿宋" w:hAnsi="仿宋" w:eastAsia="仿宋"/>
          <w:color w:val="000000"/>
          <w:sz w:val="32"/>
          <w:szCs w:val="32"/>
          <w:highlight w:val="none"/>
        </w:rPr>
        <w:t>万元，</w:t>
      </w:r>
      <w:bookmarkStart w:id="123" w:name="_Toc15377217"/>
      <w:r>
        <w:rPr>
          <w:rFonts w:hint="eastAsia" w:ascii="仿宋" w:eastAsia="仿宋"/>
          <w:color w:val="000000"/>
          <w:sz w:val="32"/>
          <w:szCs w:val="32"/>
        </w:rPr>
        <w:t>年初未安排预算。</w:t>
      </w:r>
    </w:p>
    <w:p>
      <w:pPr>
        <w:pageBreakBefore w:val="0"/>
        <w:kinsoku/>
        <w:wordWrap/>
        <w:overflowPunct/>
        <w:topLinePunct w:val="0"/>
        <w:bidi w:val="0"/>
        <w:spacing w:line="580" w:lineRule="exact"/>
        <w:ind w:firstLine="640"/>
        <w:outlineLvl w:val="2"/>
        <w:rPr>
          <w:rFonts w:ascii="仿宋" w:hAnsi="仿宋" w:eastAsia="仿宋"/>
          <w:b/>
          <w:color w:val="000000"/>
          <w:sz w:val="32"/>
          <w:szCs w:val="32"/>
        </w:rPr>
      </w:pPr>
      <w:bookmarkStart w:id="124" w:name="_Toc657"/>
      <w:r>
        <w:rPr>
          <w:rFonts w:hint="eastAsia" w:ascii="仿宋" w:hAnsi="仿宋" w:eastAsia="仿宋"/>
          <w:b/>
          <w:color w:val="000000"/>
          <w:sz w:val="32"/>
          <w:szCs w:val="32"/>
        </w:rPr>
        <w:t>（二）“三公”经费财政拨款支出决算具体情况说明</w:t>
      </w:r>
      <w:bookmarkEnd w:id="123"/>
      <w:bookmarkEnd w:id="124"/>
    </w:p>
    <w:p>
      <w:pPr>
        <w:pageBreakBefore w:val="0"/>
        <w:kinsoku/>
        <w:wordWrap/>
        <w:overflowPunct/>
        <w:topLinePunct w:val="0"/>
        <w:bidi w:val="0"/>
        <w:spacing w:line="580" w:lineRule="exact"/>
        <w:ind w:firstLine="640"/>
        <w:rPr>
          <w:rFonts w:hint="eastAsia" w:ascii="仿宋" w:hAnsi="仿宋" w:eastAsia="仿宋"/>
          <w:color w:val="000000"/>
          <w:sz w:val="32"/>
          <w:szCs w:val="32"/>
          <w:lang w:eastAsia="zh-CN"/>
        </w:rPr>
      </w:pPr>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年“三公”经费财政拨款支出决算中，因公出国（境）费支出决算0万元，</w:t>
      </w:r>
      <w:r>
        <w:rPr>
          <w:rFonts w:hint="eastAsia" w:ascii="仿宋" w:eastAsia="仿宋"/>
          <w:color w:val="000000"/>
          <w:sz w:val="32"/>
          <w:szCs w:val="32"/>
        </w:rPr>
        <w:t>年初未安排预算</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_GB2312" w:eastAsia="仿宋_GB2312"/>
          <w:color w:val="000000"/>
          <w:sz w:val="32"/>
          <w:szCs w:val="32"/>
        </w:rPr>
        <w:t>年初未安排预算，与上年数持平</w:t>
      </w:r>
      <w:r>
        <w:rPr>
          <w:rFonts w:hint="eastAsia" w:ascii="仿宋" w:eastAsia="仿宋"/>
          <w:color w:val="000000"/>
          <w:sz w:val="32"/>
          <w:szCs w:val="32"/>
          <w:lang w:eastAsia="zh-CN"/>
        </w:rPr>
        <w:t>；</w:t>
      </w:r>
      <w:r>
        <w:rPr>
          <w:rFonts w:hint="eastAsia" w:ascii="仿宋" w:hAnsi="仿宋" w:eastAsia="仿宋"/>
          <w:color w:val="000000"/>
          <w:sz w:val="32"/>
          <w:szCs w:val="32"/>
        </w:rPr>
        <w:t>公务接待费总支出决算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eastAsia="仿宋"/>
          <w:color w:val="000000"/>
          <w:sz w:val="32"/>
          <w:szCs w:val="32"/>
        </w:rPr>
        <w:t>年初未安排预算</w:t>
      </w:r>
      <w:r>
        <w:rPr>
          <w:rFonts w:hint="eastAsia" w:ascii="仿宋" w:eastAsia="仿宋"/>
          <w:color w:val="000000"/>
          <w:sz w:val="32"/>
          <w:szCs w:val="32"/>
          <w:lang w:eastAsia="zh-CN"/>
        </w:rPr>
        <w:t>。</w:t>
      </w:r>
    </w:p>
    <w:p>
      <w:pPr>
        <w:pageBreakBefore w:val="0"/>
        <w:kinsoku/>
        <w:wordWrap/>
        <w:overflowPunct/>
        <w:topLinePunct w:val="0"/>
        <w:bidi w:val="0"/>
        <w:spacing w:line="58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hAnsi="Times New Roman" w:eastAsia="仿宋_GB2312" w:cs="Times New Roman"/>
          <w:color w:val="000000"/>
          <w:sz w:val="32"/>
          <w:szCs w:val="32"/>
          <w:lang w:val="en-US" w:eastAsia="zh-CN"/>
        </w:rPr>
        <w:t>0</w:t>
      </w:r>
      <w:r>
        <w:rPr>
          <w:rFonts w:hint="eastAsia" w:ascii="仿宋_GB2312" w:hAnsi="Times New Roman" w:eastAsia="仿宋_GB2312" w:cs="Times New Roman"/>
          <w:color w:val="000000"/>
          <w:sz w:val="32"/>
          <w:szCs w:val="32"/>
        </w:rPr>
        <w:t>万元，年初未安排预算。年初未安排预算</w:t>
      </w:r>
      <w:r>
        <w:rPr>
          <w:rFonts w:hint="eastAsia" w:ascii="仿宋_GB2312" w:hAnsi="Times New Roman" w:eastAsia="仿宋_GB2312" w:cs="Times New Roman"/>
          <w:color w:val="000000"/>
          <w:sz w:val="32"/>
          <w:szCs w:val="32"/>
          <w:lang w:eastAsia="zh-CN"/>
        </w:rPr>
        <w:t>，</w:t>
      </w:r>
      <w:r>
        <w:rPr>
          <w:rFonts w:hint="eastAsia" w:ascii="仿宋_GB2312" w:hAnsi="Times New Roman" w:eastAsia="仿宋_GB2312" w:cs="Times New Roman"/>
          <w:color w:val="000000"/>
          <w:sz w:val="32"/>
          <w:szCs w:val="32"/>
        </w:rPr>
        <w:t>与上年数持平。</w:t>
      </w:r>
    </w:p>
    <w:p>
      <w:pPr>
        <w:pageBreakBefore w:val="0"/>
        <w:kinsoku/>
        <w:wordWrap/>
        <w:overflowPunct/>
        <w:topLinePunct w:val="0"/>
        <w:bidi w:val="0"/>
        <w:spacing w:line="580" w:lineRule="exact"/>
        <w:ind w:firstLine="640"/>
        <w:rPr>
          <w:rFonts w:hint="default" w:ascii="仿宋_GB2312" w:hAnsi="Times New Roman" w:eastAsia="仿宋_GB2312" w:cs="Times New Roman"/>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hAnsi="Times New Roman" w:eastAsia="仿宋_GB2312" w:cs="Times New Roman"/>
          <w:color w:val="000000"/>
          <w:sz w:val="32"/>
          <w:szCs w:val="32"/>
          <w:lang w:val="en-US" w:eastAsia="zh-CN"/>
        </w:rPr>
        <w:t>0万元,年初未安排预算。</w:t>
      </w:r>
    </w:p>
    <w:p>
      <w:pPr>
        <w:pageBreakBefore w:val="0"/>
        <w:kinsoku/>
        <w:wordWrap/>
        <w:overflowPunct/>
        <w:topLinePunct w:val="0"/>
        <w:bidi w:val="0"/>
        <w:spacing w:line="580" w:lineRule="exact"/>
        <w:ind w:firstLine="640"/>
        <w:rPr>
          <w:rFonts w:hint="eastAsia" w:ascii="仿宋_GB2312" w:eastAsia="仿宋_GB2312"/>
          <w:color w:val="000000"/>
          <w:sz w:val="32"/>
          <w:szCs w:val="32"/>
        </w:rPr>
      </w:pPr>
      <w:r>
        <w:rPr>
          <w:rFonts w:hint="eastAsia" w:ascii="仿宋_GB2312" w:eastAsia="仿宋_GB2312"/>
          <w:b/>
          <w:color w:val="000000"/>
          <w:sz w:val="32"/>
          <w:szCs w:val="32"/>
          <w:lang w:val="en-US" w:eastAsia="zh-CN"/>
        </w:rPr>
        <w:t>3.</w:t>
      </w:r>
      <w:r>
        <w:rPr>
          <w:rFonts w:hint="eastAsia" w:ascii="仿宋_GB2312" w:eastAsia="仿宋_GB2312"/>
          <w:b/>
          <w:color w:val="000000"/>
          <w:sz w:val="32"/>
          <w:szCs w:val="32"/>
        </w:rPr>
        <w:t>公务用车运行维护费支出</w:t>
      </w:r>
      <w:r>
        <w:rPr>
          <w:rFonts w:hint="eastAsia" w:ascii="仿宋_GB2312" w:hAnsi="Times New Roman" w:eastAsia="仿宋_GB2312" w:cs="Times New Roman"/>
          <w:color w:val="000000"/>
          <w:sz w:val="32"/>
          <w:szCs w:val="32"/>
          <w:lang w:val="en-US" w:eastAsia="zh-CN"/>
        </w:rPr>
        <w:t>0万元。</w:t>
      </w:r>
    </w:p>
    <w:p>
      <w:pPr>
        <w:pageBreakBefore w:val="0"/>
        <w:kinsoku/>
        <w:wordWrap/>
        <w:overflowPunct/>
        <w:topLinePunct w:val="0"/>
        <w:bidi w:val="0"/>
        <w:spacing w:line="580" w:lineRule="exact"/>
        <w:ind w:firstLine="640"/>
        <w:rPr>
          <w:rFonts w:hint="eastAsia" w:ascii="仿宋_GB2312" w:eastAsia="仿宋_GB2312"/>
          <w:color w:val="000000"/>
          <w:sz w:val="32"/>
          <w:szCs w:val="32"/>
          <w:lang w:eastAsia="zh-CN"/>
        </w:rPr>
      </w:pPr>
      <w:r>
        <w:rPr>
          <w:rFonts w:hint="eastAsia" w:ascii="仿宋_GB2312" w:eastAsia="仿宋_GB2312"/>
          <w:b/>
          <w:color w:val="000000"/>
          <w:sz w:val="32"/>
          <w:szCs w:val="32"/>
          <w:lang w:val="en-US" w:eastAsia="zh-CN"/>
        </w:rPr>
        <w:t>4</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_GB2312" w:hAnsi="Times New Roman" w:eastAsia="仿宋_GB2312" w:cs="Times New Roman"/>
          <w:color w:val="000000"/>
          <w:sz w:val="32"/>
          <w:szCs w:val="32"/>
          <w:lang w:val="en-US" w:eastAsia="zh-CN"/>
        </w:rPr>
        <w:t>0万元，年初未安排预算。</w:t>
      </w:r>
    </w:p>
    <w:p>
      <w:pPr>
        <w:pageBreakBefore w:val="0"/>
        <w:kinsoku/>
        <w:wordWrap/>
        <w:overflowPunct/>
        <w:topLinePunct w:val="0"/>
        <w:bidi w:val="0"/>
        <w:spacing w:line="580" w:lineRule="exact"/>
        <w:ind w:firstLine="640" w:firstLineChars="200"/>
        <w:outlineLvl w:val="1"/>
        <w:rPr>
          <w:rStyle w:val="31"/>
          <w:rFonts w:ascii="黑体" w:hAnsi="黑体" w:eastAsia="黑体"/>
        </w:rPr>
      </w:pPr>
      <w:bookmarkStart w:id="125" w:name="_Toc3880"/>
      <w:bookmarkStart w:id="126" w:name="_Toc25241"/>
      <w:bookmarkStart w:id="127" w:name="_Toc31577"/>
      <w:bookmarkStart w:id="128" w:name="_Toc20581"/>
      <w:bookmarkStart w:id="129" w:name="_Toc22709"/>
      <w:r>
        <w:rPr>
          <w:rFonts w:hint="eastAsia" w:ascii="黑体" w:eastAsia="黑体"/>
          <w:color w:val="000000"/>
          <w:sz w:val="32"/>
          <w:szCs w:val="32"/>
        </w:rPr>
        <w:t>八、</w:t>
      </w:r>
      <w:bookmarkEnd w:id="125"/>
      <w:bookmarkEnd w:id="126"/>
      <w:r>
        <w:rPr>
          <w:rStyle w:val="32"/>
          <w:rFonts w:hint="eastAsia" w:ascii="黑体" w:hAnsi="黑体" w:eastAsia="黑体"/>
          <w:b w:val="0"/>
          <w:color w:val="auto"/>
          <w:highlight w:val="none"/>
        </w:rPr>
        <w:t>政府性基金预算支出决算情况说明</w:t>
      </w:r>
      <w:bookmarkEnd w:id="127"/>
      <w:bookmarkEnd w:id="128"/>
      <w:bookmarkEnd w:id="129"/>
    </w:p>
    <w:p>
      <w:pPr>
        <w:pageBreakBefore w:val="0"/>
        <w:kinsoku/>
        <w:wordWrap/>
        <w:overflowPunct/>
        <w:topLinePunct w:val="0"/>
        <w:bidi w:val="0"/>
        <w:spacing w:line="580" w:lineRule="exact"/>
        <w:ind w:firstLine="640"/>
        <w:rPr>
          <w:rFonts w:hint="default" w:ascii="仿宋_GB2312" w:hAnsi="Times New Roman" w:eastAsia="仿宋_GB2312" w:cs="Times New Roman"/>
          <w:color w:val="000000"/>
          <w:sz w:val="32"/>
          <w:szCs w:val="32"/>
          <w:lang w:val="en-US" w:eastAsia="zh-CN"/>
        </w:rPr>
      </w:pPr>
      <w:r>
        <w:rPr>
          <w:rFonts w:hint="eastAsia" w:ascii="仿宋_GB2312" w:hAnsi="Times New Roman" w:eastAsia="仿宋_GB2312" w:cs="Times New Roman"/>
          <w:color w:val="000000"/>
          <w:sz w:val="32"/>
          <w:szCs w:val="32"/>
          <w:lang w:val="en-US" w:eastAsia="zh-CN"/>
        </w:rPr>
        <w:t>2022年政府性基金预算拨款支出2.65万元，决算支出2.65万元，完成预算100%。</w:t>
      </w:r>
    </w:p>
    <w:p>
      <w:pPr>
        <w:pageBreakBefore w:val="0"/>
        <w:numPr>
          <w:ilvl w:val="0"/>
          <w:numId w:val="3"/>
        </w:numPr>
        <w:kinsoku/>
        <w:wordWrap/>
        <w:overflowPunct/>
        <w:topLinePunct w:val="0"/>
        <w:bidi w:val="0"/>
        <w:spacing w:line="580" w:lineRule="exact"/>
        <w:ind w:left="-10" w:leftChars="0" w:firstLine="640" w:firstLineChars="0"/>
        <w:outlineLvl w:val="1"/>
        <w:rPr>
          <w:rStyle w:val="31"/>
          <w:rFonts w:ascii="黑体" w:hAnsi="黑体" w:eastAsia="黑体"/>
          <w:b w:val="0"/>
        </w:rPr>
      </w:pPr>
      <w:bookmarkStart w:id="130" w:name="_Toc18696"/>
      <w:bookmarkStart w:id="131" w:name="_Toc21061"/>
      <w:bookmarkStart w:id="132" w:name="_Toc22230"/>
      <w:r>
        <w:rPr>
          <w:rStyle w:val="32"/>
          <w:rFonts w:hint="eastAsia" w:ascii="黑体" w:hAnsi="黑体" w:eastAsia="黑体"/>
          <w:b w:val="0"/>
          <w:color w:val="auto"/>
          <w:highlight w:val="none"/>
        </w:rPr>
        <w:t>国有资本经营预算支出决算情况说明</w:t>
      </w:r>
      <w:bookmarkEnd w:id="130"/>
      <w:bookmarkEnd w:id="131"/>
      <w:bookmarkEnd w:id="132"/>
    </w:p>
    <w:p>
      <w:pPr>
        <w:pageBreakBefore w:val="0"/>
        <w:kinsoku/>
        <w:wordWrap/>
        <w:overflowPunct/>
        <w:topLinePunct w:val="0"/>
        <w:bidi w:val="0"/>
        <w:spacing w:line="580" w:lineRule="exact"/>
        <w:ind w:firstLine="640" w:firstLineChars="200"/>
        <w:outlineLvl w:val="2"/>
        <w:rPr>
          <w:rFonts w:hint="eastAsia" w:ascii="仿宋_GB2312" w:eastAsia="仿宋_GB2312"/>
          <w:color w:val="000000"/>
          <w:sz w:val="32"/>
          <w:szCs w:val="32"/>
        </w:rPr>
      </w:pPr>
      <w:bookmarkStart w:id="133" w:name="_Toc19798"/>
      <w:bookmarkStart w:id="134" w:name="_Toc6339"/>
      <w:r>
        <w:rPr>
          <w:rFonts w:hint="eastAsia" w:ascii="仿宋_GB2312" w:hAnsi="Times New Roman" w:eastAsia="仿宋_GB2312" w:cs="Times New Roman"/>
          <w:color w:val="000000"/>
          <w:sz w:val="32"/>
          <w:szCs w:val="32"/>
          <w:lang w:val="en-US" w:eastAsia="zh-CN"/>
        </w:rPr>
        <w:t>2022年国有资本经营预算拨款支出0万元。</w:t>
      </w:r>
      <w:bookmarkEnd w:id="133"/>
      <w:bookmarkEnd w:id="134"/>
    </w:p>
    <w:bookmarkEnd w:id="121"/>
    <w:bookmarkEnd w:id="122"/>
    <w:p>
      <w:pPr>
        <w:numPr>
          <w:ilvl w:val="0"/>
          <w:numId w:val="3"/>
        </w:numPr>
        <w:spacing w:line="600" w:lineRule="exact"/>
        <w:ind w:firstLine="640"/>
        <w:outlineLvl w:val="1"/>
        <w:rPr>
          <w:rStyle w:val="32"/>
          <w:rFonts w:hint="eastAsia" w:ascii="黑体" w:hAnsi="黑体" w:eastAsia="黑体"/>
          <w:b w:val="0"/>
          <w:color w:val="auto"/>
          <w:highlight w:val="none"/>
        </w:rPr>
      </w:pPr>
      <w:bookmarkStart w:id="135" w:name="_Toc30728"/>
      <w:bookmarkStart w:id="136" w:name="_Toc15396612"/>
      <w:bookmarkStart w:id="137" w:name="_Toc15377221"/>
      <w:bookmarkStart w:id="138" w:name="_Toc9262"/>
      <w:bookmarkStart w:id="139" w:name="_Toc845"/>
      <w:bookmarkStart w:id="140" w:name="_Toc15377222"/>
      <w:r>
        <w:rPr>
          <w:rStyle w:val="32"/>
          <w:rFonts w:hint="eastAsia" w:ascii="黑体" w:hAnsi="黑体" w:eastAsia="黑体"/>
          <w:b w:val="0"/>
          <w:color w:val="auto"/>
          <w:highlight w:val="none"/>
        </w:rPr>
        <w:t>其他重要事项的情况说明</w:t>
      </w:r>
      <w:bookmarkEnd w:id="135"/>
      <w:bookmarkEnd w:id="136"/>
      <w:bookmarkEnd w:id="137"/>
      <w:bookmarkEnd w:id="138"/>
      <w:bookmarkEnd w:id="139"/>
    </w:p>
    <w:p>
      <w:pPr>
        <w:pageBreakBefore w:val="0"/>
        <w:kinsoku/>
        <w:wordWrap/>
        <w:overflowPunct/>
        <w:topLinePunct w:val="0"/>
        <w:bidi w:val="0"/>
        <w:spacing w:line="580" w:lineRule="exact"/>
        <w:ind w:firstLine="643" w:firstLineChars="200"/>
        <w:outlineLvl w:val="2"/>
        <w:rPr>
          <w:rFonts w:ascii="仿宋" w:hAnsi="仿宋" w:eastAsia="仿宋"/>
          <w:color w:val="000000"/>
          <w:sz w:val="32"/>
          <w:szCs w:val="32"/>
        </w:rPr>
      </w:pPr>
      <w:bookmarkStart w:id="141" w:name="_Toc4624"/>
      <w:r>
        <w:rPr>
          <w:rFonts w:hint="eastAsia" w:ascii="仿宋" w:hAnsi="仿宋" w:eastAsia="仿宋"/>
          <w:b/>
          <w:color w:val="000000"/>
          <w:sz w:val="32"/>
          <w:szCs w:val="32"/>
        </w:rPr>
        <w:t>（一）</w:t>
      </w:r>
      <w:r>
        <w:rPr>
          <w:rFonts w:hint="eastAsia" w:ascii="仿宋" w:hAnsi="仿宋" w:eastAsia="仿宋"/>
          <w:b/>
          <w:color w:val="000000"/>
          <w:sz w:val="32"/>
          <w:szCs w:val="32"/>
          <w:lang w:eastAsia="zh-CN"/>
        </w:rPr>
        <w:t>机关</w:t>
      </w:r>
      <w:r>
        <w:rPr>
          <w:rFonts w:hint="eastAsia" w:ascii="仿宋" w:hAnsi="仿宋" w:eastAsia="仿宋"/>
          <w:b/>
          <w:color w:val="000000"/>
          <w:sz w:val="32"/>
          <w:szCs w:val="32"/>
        </w:rPr>
        <w:t>运行经费支出情况</w:t>
      </w:r>
      <w:bookmarkEnd w:id="140"/>
      <w:bookmarkEnd w:id="141"/>
    </w:p>
    <w:p>
      <w:pPr>
        <w:pageBreakBefore w:val="0"/>
        <w:kinsoku/>
        <w:wordWrap/>
        <w:overflowPunct/>
        <w:topLinePunct w:val="0"/>
        <w:autoSpaceDE w:val="0"/>
        <w:autoSpaceDN w:val="0"/>
        <w:bidi w:val="0"/>
        <w:adjustRightInd w:val="0"/>
        <w:spacing w:line="580" w:lineRule="exact"/>
        <w:ind w:left="638" w:leftChars="304" w:firstLine="0" w:firstLineChars="0"/>
        <w:jc w:val="left"/>
        <w:outlineLvl w:val="2"/>
        <w:rPr>
          <w:rFonts w:ascii="仿宋" w:hAnsi="仿宋" w:eastAsia="仿宋"/>
          <w:b/>
          <w:color w:val="auto"/>
          <w:sz w:val="32"/>
          <w:szCs w:val="32"/>
          <w:highlight w:val="none"/>
        </w:rPr>
      </w:pPr>
      <w:bookmarkStart w:id="142" w:name="_Toc15377223"/>
      <w:bookmarkStart w:id="143" w:name="_Toc29392"/>
      <w:r>
        <w:rPr>
          <w:rFonts w:hint="eastAsia" w:ascii="仿宋" w:hAnsi="仿宋" w:eastAsia="仿宋"/>
          <w:b w:val="0"/>
          <w:bCs/>
          <w:color w:val="auto"/>
          <w:sz w:val="32"/>
          <w:szCs w:val="32"/>
          <w:highlight w:val="none"/>
        </w:rPr>
        <w:t>202</w:t>
      </w:r>
      <w:r>
        <w:rPr>
          <w:rFonts w:hint="eastAsia" w:ascii="仿宋" w:hAnsi="仿宋" w:eastAsia="仿宋"/>
          <w:b w:val="0"/>
          <w:bCs/>
          <w:color w:val="auto"/>
          <w:sz w:val="32"/>
          <w:szCs w:val="32"/>
          <w:highlight w:val="none"/>
          <w:lang w:val="en-US" w:eastAsia="zh-CN"/>
        </w:rPr>
        <w:t>2</w:t>
      </w:r>
      <w:r>
        <w:rPr>
          <w:rFonts w:hint="eastAsia" w:ascii="仿宋" w:hAnsi="仿宋" w:eastAsia="仿宋"/>
          <w:b w:val="0"/>
          <w:bCs/>
          <w:color w:val="auto"/>
          <w:sz w:val="32"/>
          <w:szCs w:val="32"/>
          <w:highlight w:val="none"/>
        </w:rPr>
        <w:t>年未发生机关运行经费支出，与上年决算数持平。</w:t>
      </w:r>
      <w:r>
        <w:rPr>
          <w:rFonts w:hint="eastAsia" w:ascii="仿宋" w:hAnsi="仿宋" w:eastAsia="仿宋"/>
          <w:b/>
          <w:color w:val="auto"/>
          <w:sz w:val="32"/>
          <w:szCs w:val="32"/>
          <w:highlight w:val="none"/>
        </w:rPr>
        <w:t>（二）政府采购支出情况</w:t>
      </w:r>
      <w:bookmarkEnd w:id="142"/>
      <w:bookmarkEnd w:id="143"/>
    </w:p>
    <w:p>
      <w:pPr>
        <w:pageBreakBefore w:val="0"/>
        <w:kinsoku/>
        <w:wordWrap/>
        <w:overflowPunct/>
        <w:topLinePunct w:val="0"/>
        <w:autoSpaceDE w:val="0"/>
        <w:autoSpaceDN w:val="0"/>
        <w:bidi w:val="0"/>
        <w:adjustRightInd w:val="0"/>
        <w:spacing w:line="580" w:lineRule="exact"/>
        <w:ind w:left="638" w:leftChars="304" w:firstLine="0" w:firstLineChars="0"/>
        <w:jc w:val="left"/>
        <w:outlineLvl w:val="2"/>
        <w:rPr>
          <w:rFonts w:hint="eastAsia" w:ascii="仿宋" w:hAnsi="仿宋" w:eastAsia="仿宋" w:cs="Times New Roman"/>
          <w:b w:val="0"/>
          <w:bCs/>
          <w:color w:val="auto"/>
          <w:sz w:val="32"/>
          <w:szCs w:val="32"/>
          <w:highlight w:val="none"/>
        </w:rPr>
      </w:pPr>
      <w:r>
        <w:rPr>
          <w:rFonts w:hint="eastAsia" w:ascii="仿宋" w:hAnsi="仿宋" w:eastAsia="仿宋" w:cs="Times New Roman"/>
          <w:b w:val="0"/>
          <w:bCs/>
          <w:color w:val="auto"/>
          <w:sz w:val="32"/>
          <w:szCs w:val="32"/>
          <w:highlight w:val="none"/>
          <w:lang w:eastAsia="zh-CN"/>
        </w:rPr>
        <w:t>202</w:t>
      </w:r>
      <w:r>
        <w:rPr>
          <w:rFonts w:hint="eastAsia" w:ascii="仿宋" w:hAnsi="仿宋" w:eastAsia="仿宋" w:cs="Times New Roman"/>
          <w:b w:val="0"/>
          <w:bCs/>
          <w:color w:val="auto"/>
          <w:sz w:val="32"/>
          <w:szCs w:val="32"/>
          <w:highlight w:val="none"/>
          <w:lang w:val="en-US" w:eastAsia="zh-CN"/>
        </w:rPr>
        <w:t>2</w:t>
      </w:r>
      <w:r>
        <w:rPr>
          <w:rFonts w:hint="eastAsia" w:ascii="仿宋" w:hAnsi="仿宋" w:eastAsia="仿宋" w:cs="Times New Roman"/>
          <w:b w:val="0"/>
          <w:bCs/>
          <w:color w:val="auto"/>
          <w:sz w:val="32"/>
          <w:szCs w:val="32"/>
          <w:highlight w:val="none"/>
        </w:rPr>
        <w:t>年，明觉卫生院政府采购0万元。</w:t>
      </w:r>
    </w:p>
    <w:p>
      <w:pPr>
        <w:pageBreakBefore w:val="0"/>
        <w:kinsoku/>
        <w:wordWrap/>
        <w:overflowPunct/>
        <w:topLinePunct w:val="0"/>
        <w:autoSpaceDE w:val="0"/>
        <w:autoSpaceDN w:val="0"/>
        <w:bidi w:val="0"/>
        <w:adjustRightInd w:val="0"/>
        <w:spacing w:line="580" w:lineRule="exact"/>
        <w:ind w:firstLine="643" w:firstLineChars="200"/>
        <w:jc w:val="left"/>
        <w:outlineLvl w:val="2"/>
        <w:rPr>
          <w:rFonts w:ascii="仿宋" w:hAnsi="仿宋" w:eastAsia="仿宋"/>
          <w:b/>
          <w:color w:val="000000"/>
          <w:sz w:val="32"/>
          <w:szCs w:val="32"/>
        </w:rPr>
      </w:pPr>
      <w:bookmarkStart w:id="144" w:name="_Toc15377224"/>
      <w:bookmarkStart w:id="145" w:name="_Toc3193"/>
      <w:r>
        <w:rPr>
          <w:rFonts w:hint="eastAsia" w:ascii="仿宋" w:hAnsi="仿宋" w:eastAsia="仿宋"/>
          <w:b/>
          <w:color w:val="000000"/>
          <w:sz w:val="32"/>
          <w:szCs w:val="32"/>
        </w:rPr>
        <w:t>（三）国有资产占有使用情况</w:t>
      </w:r>
      <w:bookmarkEnd w:id="144"/>
      <w:bookmarkEnd w:id="145"/>
    </w:p>
    <w:p>
      <w:pPr>
        <w:pageBreakBefore w:val="0"/>
        <w:kinsoku/>
        <w:wordWrap/>
        <w:overflowPunct/>
        <w:topLinePunct w:val="0"/>
        <w:autoSpaceDE w:val="0"/>
        <w:autoSpaceDN w:val="0"/>
        <w:bidi w:val="0"/>
        <w:adjustRightInd w:val="0"/>
        <w:spacing w:afterAutospacing="0" w:line="58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截至</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年12月31日，明觉卫生院共有车辆0辆，单价50万元以上通用设备0台（套），单价100万元以上专用设备0台（套）。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146" w:name="_Toc29296"/>
      <w:r>
        <w:rPr>
          <w:rFonts w:hint="eastAsia" w:ascii="仿宋" w:hAnsi="仿宋" w:eastAsia="仿宋"/>
          <w:b/>
          <w:color w:val="auto"/>
          <w:sz w:val="32"/>
          <w:szCs w:val="32"/>
          <w:highlight w:val="none"/>
        </w:rPr>
        <w:t>（四）预算绩效管理情况</w:t>
      </w:r>
      <w:bookmarkEnd w:id="146"/>
    </w:p>
    <w:p>
      <w:pPr>
        <w:pStyle w:val="10"/>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年度预算编制阶段，组织对</w:t>
      </w:r>
      <w:r>
        <w:rPr>
          <w:rFonts w:hint="eastAsia" w:ascii="仿宋" w:hAnsi="仿宋" w:eastAsia="仿宋" w:cs="仿宋"/>
          <w:color w:val="auto"/>
          <w:sz w:val="32"/>
          <w:szCs w:val="32"/>
          <w:highlight w:val="none"/>
          <w:lang w:val="en-US" w:eastAsia="zh-CN"/>
        </w:rPr>
        <w:t>1个</w:t>
      </w:r>
      <w:r>
        <w:rPr>
          <w:rFonts w:hint="eastAsia" w:ascii="仿宋" w:hAnsi="仿宋" w:eastAsia="仿宋" w:cs="仿宋"/>
          <w:color w:val="auto"/>
          <w:sz w:val="32"/>
          <w:szCs w:val="32"/>
          <w:highlight w:val="none"/>
        </w:rPr>
        <w:t>项目</w:t>
      </w:r>
      <w:r>
        <w:rPr>
          <w:rFonts w:hint="eastAsia" w:ascii="仿宋" w:hAnsi="仿宋" w:eastAsia="仿宋" w:cs="仿宋"/>
          <w:color w:val="auto"/>
          <w:sz w:val="32"/>
          <w:szCs w:val="32"/>
          <w:highlight w:val="none"/>
          <w:lang w:eastAsia="zh-CN"/>
        </w:rPr>
        <w:t>二类疫苗服务费</w:t>
      </w:r>
      <w:r>
        <w:rPr>
          <w:rFonts w:hint="eastAsia" w:ascii="仿宋" w:hAnsi="仿宋" w:eastAsia="仿宋" w:cs="仿宋"/>
          <w:color w:val="auto"/>
          <w:sz w:val="32"/>
          <w:szCs w:val="32"/>
          <w:highlight w:val="none"/>
        </w:rPr>
        <w:t>开展了预算事前绩效评估，</w:t>
      </w:r>
      <w:r>
        <w:rPr>
          <w:rFonts w:hint="eastAsia" w:ascii="仿宋" w:hAnsi="仿宋" w:eastAsia="仿宋" w:cs="仿宋"/>
          <w:color w:val="auto"/>
          <w:sz w:val="32"/>
          <w:szCs w:val="32"/>
          <w:highlight w:val="none"/>
          <w:lang w:eastAsia="zh-CN"/>
        </w:rPr>
        <w:t>并对这个项目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开展绩效监控，组织对</w:t>
      </w:r>
      <w:r>
        <w:rPr>
          <w:rFonts w:hint="eastAsia" w:ascii="仿宋" w:hAnsi="仿宋" w:eastAsia="仿宋" w:cs="仿宋"/>
          <w:color w:val="auto"/>
          <w:sz w:val="32"/>
          <w:szCs w:val="32"/>
          <w:highlight w:val="none"/>
          <w:lang w:eastAsia="zh-CN"/>
        </w:rPr>
        <w:t>该项目</w:t>
      </w:r>
      <w:r>
        <w:rPr>
          <w:rFonts w:hint="eastAsia" w:ascii="仿宋" w:hAnsi="仿宋" w:eastAsia="仿宋" w:cs="仿宋"/>
          <w:color w:val="auto"/>
          <w:sz w:val="32"/>
          <w:szCs w:val="32"/>
          <w:highlight w:val="none"/>
        </w:rPr>
        <w:t>绩效自评，绩效自评表详见</w:t>
      </w:r>
      <w:r>
        <w:rPr>
          <w:rFonts w:hint="eastAsia" w:ascii="仿宋" w:hAnsi="仿宋" w:eastAsia="仿宋" w:cs="仿宋"/>
          <w:color w:val="auto"/>
          <w:sz w:val="32"/>
          <w:szCs w:val="32"/>
          <w:highlight w:val="none"/>
          <w:lang w:eastAsia="zh-CN"/>
        </w:rPr>
        <w:t>第四部分</w:t>
      </w:r>
      <w:r>
        <w:rPr>
          <w:rFonts w:hint="eastAsia" w:ascii="仿宋" w:hAnsi="仿宋" w:eastAsia="仿宋" w:cs="仿宋"/>
          <w:color w:val="auto"/>
          <w:sz w:val="32"/>
          <w:szCs w:val="32"/>
          <w:highlight w:val="none"/>
        </w:rPr>
        <w:t>附件。</w:t>
      </w:r>
    </w:p>
    <w:p>
      <w:pPr>
        <w:pStyle w:val="10"/>
        <w:numPr>
          <w:ilvl w:val="0"/>
          <w:numId w:val="0"/>
        </w:num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（一）二类疫苗服务费绩效评价</w:t>
      </w:r>
      <w:r>
        <w:rPr>
          <w:rFonts w:hint="eastAsia" w:ascii="仿宋" w:hAnsi="仿宋" w:eastAsia="仿宋" w:cs="仿宋"/>
          <w:color w:val="000000"/>
          <w:sz w:val="32"/>
          <w:szCs w:val="32"/>
        </w:rPr>
        <w:t>《四川省发展和改革委员会四川省财政厅关于疫苗预防接种服务收费标准及有关问题的通知》（川发改价格〔2018〕331号）制定了我省非免疫规划疫苗预防接种服务费收费标准，试行期2年。从试行情况看，该收费政策对加强我省非免疫规划疫苗接种管理，规范收费行为起到了积极作用。结合试行期收支情况和国家相关文件精神</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非免疫规划疫苗预防接种服务费收费属行政事业性收费，</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按规定做好收费公示工作，在门户网站、收费场所醒目位置公示收费项目、收费性质、收费标准、收费依据和价格监督电话等信息，接受社会监督。</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使用省级财政监（印）制的财政票据，收费收入全额上缴地方国库，纳入财政预算管理。</w:t>
      </w:r>
      <w:r>
        <w:rPr>
          <w:rFonts w:hint="eastAsia" w:ascii="仿宋" w:hAnsi="仿宋" w:eastAsia="仿宋" w:cs="仿宋"/>
          <w:color w:val="000000"/>
          <w:sz w:val="32"/>
          <w:szCs w:val="32"/>
          <w:lang w:val="en-US" w:eastAsia="zh-CN"/>
        </w:rPr>
        <w:t>我单位</w:t>
      </w:r>
      <w:r>
        <w:rPr>
          <w:rFonts w:hint="eastAsia" w:ascii="仿宋" w:hAnsi="仿宋" w:eastAsia="仿宋" w:cs="仿宋"/>
          <w:color w:val="000000"/>
          <w:sz w:val="32"/>
          <w:szCs w:val="32"/>
        </w:rPr>
        <w:t>建立健全非免疫规划疫苗管理制度，明确行业系统内部管理职责和程序，完善期间成本资料，减少非必要成本支出，整合现有资源降低接种服务成本。要加强对疫苗接种管理，确保非免疫规划疫苗接种工作的顺利开展，有效维护公共卫生安全。</w:t>
      </w:r>
    </w:p>
    <w:p>
      <w:pPr>
        <w:pStyle w:val="10"/>
        <w:numPr>
          <w:ilvl w:val="0"/>
          <w:numId w:val="0"/>
        </w:numPr>
        <w:ind w:firstLine="640" w:firstLineChars="200"/>
        <w:rPr>
          <w:rFonts w:hint="eastAsia" w:ascii="仿宋" w:hAnsi="仿宋" w:eastAsia="仿宋" w:cs="仿宋"/>
          <w:color w:val="auto"/>
          <w:highlight w:val="yellow"/>
        </w:rPr>
      </w:pPr>
      <w:r>
        <w:rPr>
          <w:rFonts w:hint="eastAsia" w:ascii="仿宋" w:hAnsi="仿宋" w:eastAsia="仿宋" w:cs="仿宋"/>
          <w:color w:val="000000"/>
          <w:sz w:val="32"/>
          <w:szCs w:val="32"/>
          <w:lang w:val="en-US" w:eastAsia="zh-CN"/>
        </w:rPr>
        <w:t>（二）</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整体支出绩效自评开展情况。</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按要求对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单位</w:t>
      </w:r>
      <w:r>
        <w:rPr>
          <w:rFonts w:hint="eastAsia" w:ascii="仿宋" w:hAnsi="仿宋" w:eastAsia="仿宋" w:cs="仿宋"/>
          <w:sz w:val="32"/>
          <w:szCs w:val="32"/>
        </w:rPr>
        <w:t>整体支出开展绩效自评，</w:t>
      </w:r>
      <w:r>
        <w:rPr>
          <w:rFonts w:hint="eastAsia" w:ascii="仿宋" w:hAnsi="仿宋" w:eastAsia="仿宋" w:cs="仿宋"/>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w:t>
      </w:r>
      <w:r>
        <w:rPr>
          <w:rFonts w:hint="eastAsia" w:ascii="仿宋" w:hAnsi="仿宋" w:eastAsia="仿宋" w:cs="仿宋"/>
          <w:color w:val="000000"/>
          <w:sz w:val="32"/>
          <w:szCs w:val="32"/>
          <w:lang w:eastAsia="zh-CN"/>
        </w:rPr>
        <w:t>有</w:t>
      </w:r>
      <w:r>
        <w:rPr>
          <w:rFonts w:hint="eastAsia" w:ascii="仿宋" w:hAnsi="仿宋" w:eastAsia="仿宋" w:cs="仿宋"/>
          <w:color w:val="000000"/>
          <w:sz w:val="32"/>
          <w:szCs w:val="32"/>
        </w:rPr>
        <w:t>资金对外借、贷款问题。本</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10"/>
        <w:spacing w:afterAutospacing="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ascii="仿宋" w:hAnsi="仿宋" w:eastAsia="仿宋" w:cs="仿宋"/>
        </w:rPr>
      </w:pPr>
    </w:p>
    <w:p>
      <w:pPr>
        <w:rPr>
          <w:rFonts w:hint="eastAsia" w:ascii="仿宋" w:hAnsi="仿宋" w:eastAsia="仿宋" w:cs="仿宋"/>
        </w:rPr>
      </w:pPr>
    </w:p>
    <w:p>
      <w:pPr>
        <w:pStyle w:val="10"/>
        <w:rPr>
          <w:rFonts w:hint="eastAsia"/>
        </w:rPr>
      </w:pPr>
    </w:p>
    <w:p>
      <w:pPr>
        <w:rPr>
          <w:rFonts w:hint="eastAsia" w:ascii="仿宋" w:hAnsi="仿宋" w:eastAsia="仿宋" w:cs="仿宋"/>
        </w:rPr>
      </w:pPr>
    </w:p>
    <w:p>
      <w:pPr>
        <w:pStyle w:val="10"/>
        <w:rPr>
          <w:rFonts w:hint="eastAsia" w:ascii="仿宋" w:hAnsi="仿宋" w:eastAsia="仿宋" w:cs="仿宋"/>
        </w:rPr>
      </w:pPr>
    </w:p>
    <w:p>
      <w:pPr>
        <w:rPr>
          <w:rFonts w:hint="eastAsia"/>
        </w:rPr>
      </w:pPr>
    </w:p>
    <w:p>
      <w:pPr>
        <w:pageBreakBefore w:val="0"/>
        <w:numPr>
          <w:ilvl w:val="0"/>
          <w:numId w:val="4"/>
        </w:numPr>
        <w:kinsoku/>
        <w:wordWrap/>
        <w:overflowPunct/>
        <w:topLinePunct w:val="0"/>
        <w:bidi w:val="0"/>
        <w:spacing w:before="159" w:beforeLines="50" w:beforeAutospacing="0" w:after="159" w:afterLines="50" w:afterAutospacing="0" w:line="580" w:lineRule="exact"/>
        <w:ind w:firstLine="660" w:firstLineChars="150"/>
        <w:jc w:val="center"/>
        <w:outlineLvl w:val="0"/>
        <w:rPr>
          <w:rFonts w:ascii="宋体"/>
          <w:b/>
          <w:color w:val="000000"/>
          <w:sz w:val="44"/>
          <w:szCs w:val="44"/>
        </w:rPr>
      </w:pPr>
      <w:bookmarkStart w:id="147" w:name="_Toc15396613"/>
      <w:bookmarkStart w:id="148" w:name="_Toc23431"/>
      <w:bookmarkStart w:id="149" w:name="_Toc15377225"/>
      <w:bookmarkStart w:id="150" w:name="_Toc16443"/>
      <w:bookmarkStart w:id="151" w:name="_Toc13222"/>
      <w:r>
        <w:rPr>
          <w:rFonts w:hint="eastAsia" w:ascii="黑体" w:hAnsi="黑体" w:eastAsia="黑体"/>
          <w:color w:val="000000"/>
          <w:sz w:val="44"/>
          <w:szCs w:val="44"/>
        </w:rPr>
        <w:t>名</w:t>
      </w:r>
      <w:r>
        <w:rPr>
          <w:rStyle w:val="12"/>
          <w:rFonts w:hint="eastAsia" w:ascii="黑体" w:hAnsi="黑体" w:eastAsia="黑体"/>
          <w:b w:val="0"/>
        </w:rPr>
        <w:t>词解释</w:t>
      </w:r>
      <w:bookmarkEnd w:id="147"/>
      <w:bookmarkEnd w:id="148"/>
      <w:bookmarkEnd w:id="149"/>
      <w:bookmarkEnd w:id="150"/>
      <w:bookmarkEnd w:id="151"/>
    </w:p>
    <w:p>
      <w:pPr>
        <w:pStyle w:val="37"/>
        <w:pageBreakBefore w:val="0"/>
        <w:kinsoku/>
        <w:wordWrap/>
        <w:overflowPunct/>
        <w:topLinePunct w:val="0"/>
        <w:bidi w:val="0"/>
        <w:spacing w:beforeAutospacing="0"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1.财政拨款收入：指单位从同级财政单位取得的各类拨款。</w:t>
      </w:r>
    </w:p>
    <w:p>
      <w:pPr>
        <w:pStyle w:val="37"/>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2.事业收入：指事业单位开展专业业务活动及辅助活动取得的收入。如区人民医院、</w:t>
      </w:r>
      <w:r>
        <w:rPr>
          <w:rFonts w:hint="eastAsia" w:hAnsi="仿宋" w:cs="仿宋"/>
          <w:color w:val="000000"/>
          <w:kern w:val="0"/>
          <w:sz w:val="32"/>
          <w:szCs w:val="32"/>
          <w:lang w:val="en-US" w:eastAsia="zh-CN" w:bidi="ar-SA"/>
        </w:rPr>
        <w:t>区</w:t>
      </w:r>
      <w:r>
        <w:rPr>
          <w:rFonts w:hint="eastAsia" w:ascii="仿宋" w:hAnsi="仿宋" w:eastAsia="仿宋" w:cs="仿宋"/>
          <w:color w:val="000000"/>
          <w:kern w:val="0"/>
          <w:sz w:val="32"/>
          <w:szCs w:val="32"/>
          <w:lang w:val="en-US" w:eastAsia="zh-CN" w:bidi="ar-SA"/>
        </w:rPr>
        <w:t>妇幼保健计</w:t>
      </w:r>
      <w:r>
        <w:rPr>
          <w:rFonts w:hint="eastAsia" w:hAnsi="仿宋" w:cs="仿宋"/>
          <w:color w:val="000000"/>
          <w:kern w:val="0"/>
          <w:sz w:val="32"/>
          <w:szCs w:val="32"/>
          <w:lang w:val="en-US" w:eastAsia="zh-CN" w:bidi="ar-SA"/>
        </w:rPr>
        <w:t>划</w:t>
      </w:r>
      <w:r>
        <w:rPr>
          <w:rFonts w:hint="eastAsia" w:ascii="仿宋" w:hAnsi="仿宋" w:eastAsia="仿宋" w:cs="仿宋"/>
          <w:color w:val="000000"/>
          <w:kern w:val="0"/>
          <w:sz w:val="32"/>
          <w:szCs w:val="32"/>
          <w:lang w:val="en-US" w:eastAsia="zh-CN" w:bidi="ar-SA"/>
        </w:rPr>
        <w:t>生育服务中心、区中医医院、乡镇卫生院医疗收入等。</w:t>
      </w:r>
    </w:p>
    <w:p>
      <w:pPr>
        <w:pStyle w:val="37"/>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3.其他收入：指单位取得的除上述收入以外的各项收入。主要是利息收入等。 </w:t>
      </w:r>
    </w:p>
    <w:p>
      <w:pPr>
        <w:pStyle w:val="37"/>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37"/>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5.年初结转和结余：指以前年度尚未完成、结转到本年按有关规定继续使用的资金。 </w:t>
      </w:r>
    </w:p>
    <w:p>
      <w:pPr>
        <w:pStyle w:val="37"/>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6.本年盈余分配：指事业单位按照政府会计制度的规定从非财政拨款结余或事业结余中提取的奖励基金和职工福利基金等。</w:t>
      </w:r>
    </w:p>
    <w:p>
      <w:pPr>
        <w:pStyle w:val="37"/>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7.年末结转和结余：指单位按有关规定结转到下年或以后年度继续使用的资金。</w:t>
      </w:r>
    </w:p>
    <w:p>
      <w:pPr>
        <w:keepNext w:val="0"/>
        <w:keepLines w:val="0"/>
        <w:pageBreakBefore w:val="0"/>
        <w:kinsoku/>
        <w:wordWrap/>
        <w:overflowPunct/>
        <w:topLinePunct w:val="0"/>
        <w:bidi w:val="0"/>
        <w:spacing w:line="580" w:lineRule="exact"/>
        <w:ind w:left="0" w:leftChars="0"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8.卫生健康支出（类）基层医疗卫生机构（款）乡镇卫生院（项）：反映乡镇卫生院的支出；卫生健康支出（类）公共卫生（款）基本公共卫生服务（项）：反映乡镇卫生院、社区卫生机构开展基本公共卫生服务的支出；卫生健康支出（类）基层医疗卫生机构（款）其他基层医疗卫生机构支出（项）：反映除乡镇卫生院、城市社区卫生机构以外的其他用于基层医疗卫生机构的支出；卫生健康支出（类）行政事业单位医疗（款）事业单位医疗（项）:反映卫生健康支出中的在职人员医疗保险。</w:t>
      </w:r>
    </w:p>
    <w:p>
      <w:pPr>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9.社会保障和就业支出：反映政府在社会保障和就业方面的支出。</w:t>
      </w:r>
    </w:p>
    <w:p>
      <w:pPr>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社会保障和就业支出-行政事业单位离退休-机关事业单位基本养老保险缴费支出：反映机关事业单位实施养老保险制度由单位缴纳的基本养老保险支出；</w:t>
      </w:r>
    </w:p>
    <w:p>
      <w:pPr>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10.住房保障支出：住房保障支出-住房改革支出-住房公积金：反映行政事业单位按人力资源和社会保障部、财政部规定的基本工资和津贴补贴以及规定比例为职工缴纳的住房公积金。</w:t>
      </w:r>
    </w:p>
    <w:p>
      <w:pPr>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11.基本支出：指为保障机构正常运转、完成日常工作任务而发生的人员支出和公用支出。</w:t>
      </w:r>
    </w:p>
    <w:p>
      <w:pPr>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12.项目支出：指在基本支出之外为完成特定行政任务和事业发展目标所发生的支出。</w:t>
      </w:r>
    </w:p>
    <w:p>
      <w:pPr>
        <w:pStyle w:val="37"/>
        <w:pageBreakBefore w:val="0"/>
        <w:kinsoku/>
        <w:wordWrap/>
        <w:overflowPunct/>
        <w:topLinePunct w:val="0"/>
        <w:bidi w:val="0"/>
        <w:spacing w:afterAutospacing="0"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7"/>
        <w:pageBreakBefore w:val="0"/>
        <w:kinsoku/>
        <w:wordWrap/>
        <w:overflowPunct/>
        <w:topLinePunct w:val="0"/>
        <w:bidi w:val="0"/>
        <w:spacing w:line="58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spacing w:before="471" w:beforeLines="150" w:beforeAutospacing="0" w:after="269" w:afterLines="86" w:afterAutospacing="0" w:line="580" w:lineRule="exact"/>
        <w:jc w:val="center"/>
        <w:outlineLvl w:val="0"/>
        <w:rPr>
          <w:rFonts w:hint="eastAsia" w:ascii="黑体" w:hAnsi="黑体" w:eastAsia="黑体"/>
          <w:color w:val="000000"/>
          <w:sz w:val="44"/>
          <w:szCs w:val="44"/>
        </w:rPr>
      </w:pPr>
      <w:bookmarkStart w:id="152" w:name="_Toc283"/>
      <w:bookmarkStart w:id="153" w:name="_Toc15396614"/>
      <w:bookmarkStart w:id="154" w:name="_Toc24015"/>
      <w:bookmarkStart w:id="155" w:name="_Toc13032"/>
      <w:bookmarkStart w:id="156" w:name="_Toc15377226"/>
    </w:p>
    <w:p>
      <w:pPr>
        <w:pageBreakBefore w:val="0"/>
        <w:kinsoku/>
        <w:wordWrap/>
        <w:overflowPunct/>
        <w:topLinePunct w:val="0"/>
        <w:bidi w:val="0"/>
        <w:spacing w:before="471" w:beforeLines="150" w:beforeAutospacing="0" w:after="269" w:afterLines="86"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269" w:afterLines="86"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269" w:afterLines="86"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269" w:afterLines="86"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269" w:afterLines="86"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269" w:afterLines="86"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269" w:afterLines="86"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269" w:afterLines="86" w:afterAutospacing="0" w:line="580" w:lineRule="exact"/>
        <w:jc w:val="center"/>
        <w:outlineLvl w:val="0"/>
        <w:rPr>
          <w:rStyle w:val="12"/>
          <w:rFonts w:ascii="黑体" w:hAnsi="黑体" w:eastAsia="黑体"/>
          <w:b w:val="0"/>
        </w:rPr>
      </w:pPr>
      <w:r>
        <w:rPr>
          <w:rFonts w:hint="eastAsia" w:ascii="黑体" w:hAnsi="黑体" w:eastAsia="黑体"/>
          <w:color w:val="000000"/>
          <w:sz w:val="44"/>
          <w:szCs w:val="44"/>
        </w:rPr>
        <w:t>第</w:t>
      </w:r>
      <w:r>
        <w:rPr>
          <w:rStyle w:val="12"/>
          <w:rFonts w:hint="eastAsia" w:ascii="黑体" w:hAnsi="黑体" w:eastAsia="黑体"/>
          <w:b w:val="0"/>
        </w:rPr>
        <w:t>四部分</w:t>
      </w:r>
      <w:r>
        <w:rPr>
          <w:rStyle w:val="12"/>
          <w:rFonts w:ascii="黑体" w:hAnsi="黑体" w:eastAsia="黑体"/>
          <w:b w:val="0"/>
        </w:rPr>
        <w:t xml:space="preserve"> </w:t>
      </w:r>
      <w:r>
        <w:rPr>
          <w:rStyle w:val="12"/>
          <w:rFonts w:hint="eastAsia" w:ascii="黑体" w:hAnsi="黑体" w:eastAsia="黑体"/>
          <w:b w:val="0"/>
        </w:rPr>
        <w:t>附件</w:t>
      </w:r>
      <w:bookmarkEnd w:id="152"/>
      <w:bookmarkEnd w:id="153"/>
      <w:bookmarkEnd w:id="154"/>
      <w:bookmarkEnd w:id="155"/>
    </w:p>
    <w:p>
      <w:pPr>
        <w:spacing w:line="600" w:lineRule="exact"/>
        <w:jc w:val="center"/>
        <w:outlineLvl w:val="1"/>
        <w:rPr>
          <w:rFonts w:ascii="方正小标宋简体" w:hAnsi="方正小标宋简体" w:eastAsia="方正小标宋简体" w:cs="方正小标宋简体"/>
          <w:sz w:val="32"/>
          <w:szCs w:val="32"/>
        </w:rPr>
      </w:pPr>
      <w:bookmarkStart w:id="157" w:name="_Toc25653"/>
      <w:bookmarkStart w:id="158" w:name="_Toc31405"/>
      <w:bookmarkStart w:id="159" w:name="_Toc22500"/>
      <w:r>
        <w:rPr>
          <w:rFonts w:hint="eastAsia" w:ascii="宋体" w:hAnsi="宋体" w:eastAsia="宋体" w:cs="宋体"/>
          <w:color w:val="auto"/>
          <w:kern w:val="0"/>
          <w:sz w:val="32"/>
          <w:szCs w:val="32"/>
          <w:highlight w:val="none"/>
          <w:lang w:val="en-US" w:eastAsia="zh-CN" w:bidi="ar-SA"/>
        </w:rPr>
        <w:t>部门预算项目支出绩效自评表（2022年度）</w:t>
      </w:r>
      <w:bookmarkEnd w:id="157"/>
      <w:bookmarkEnd w:id="158"/>
      <w:bookmarkEnd w:id="159"/>
    </w:p>
    <w:tbl>
      <w:tblPr>
        <w:tblStyle w:val="9"/>
        <w:tblpPr w:leftFromText="180" w:rightFromText="180" w:vertAnchor="text" w:horzAnchor="page" w:tblpX="1839" w:tblpY="691"/>
        <w:tblOverlap w:val="never"/>
        <w:tblW w:w="8245" w:type="dxa"/>
        <w:tblInd w:w="0" w:type="dxa"/>
        <w:shd w:val="clear" w:color="auto" w:fill="auto"/>
        <w:tblLayout w:type="fixed"/>
        <w:tblCellMar>
          <w:top w:w="0" w:type="dxa"/>
          <w:left w:w="0" w:type="dxa"/>
          <w:bottom w:w="0" w:type="dxa"/>
          <w:right w:w="0" w:type="dxa"/>
        </w:tblCellMar>
      </w:tblPr>
      <w:tblGrid>
        <w:gridCol w:w="434"/>
        <w:gridCol w:w="1034"/>
        <w:gridCol w:w="444"/>
        <w:gridCol w:w="1131"/>
        <w:gridCol w:w="410"/>
        <w:gridCol w:w="484"/>
        <w:gridCol w:w="429"/>
        <w:gridCol w:w="1405"/>
        <w:gridCol w:w="364"/>
        <w:gridCol w:w="222"/>
        <w:gridCol w:w="364"/>
        <w:gridCol w:w="626"/>
        <w:gridCol w:w="364"/>
        <w:gridCol w:w="534"/>
      </w:tblGrid>
      <w:tr>
        <w:tblPrEx>
          <w:shd w:val="clear" w:color="auto" w:fill="auto"/>
          <w:tblCellMar>
            <w:top w:w="0" w:type="dxa"/>
            <w:left w:w="0" w:type="dxa"/>
            <w:bottom w:w="0" w:type="dxa"/>
            <w:right w:w="0" w:type="dxa"/>
          </w:tblCellMar>
        </w:tblPrEx>
        <w:trPr>
          <w:trHeight w:val="580" w:hRule="atLeast"/>
        </w:trPr>
        <w:tc>
          <w:tcPr>
            <w:tcW w:w="8245" w:type="dxa"/>
            <w:gridSpan w:val="1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160" w:name="_Toc15396618"/>
            <w:r>
              <w:rPr>
                <w:rFonts w:hint="eastAsia" w:ascii="黑体" w:hAnsi="宋体" w:eastAsia="黑体" w:cs="黑体"/>
                <w:b/>
                <w:i w:val="0"/>
                <w:color w:val="000000"/>
                <w:kern w:val="0"/>
                <w:sz w:val="30"/>
                <w:szCs w:val="30"/>
                <w:u w:val="none"/>
                <w:lang w:val="en-US" w:eastAsia="zh-CN" w:bidi="en-AU"/>
              </w:rPr>
              <w:t>部门预算项目支出绩效自评表（2022年度）</w:t>
            </w:r>
          </w:p>
        </w:tc>
      </w:tr>
      <w:tr>
        <w:tblPrEx>
          <w:tblCellMar>
            <w:top w:w="0" w:type="dxa"/>
            <w:left w:w="0" w:type="dxa"/>
            <w:bottom w:w="0" w:type="dxa"/>
            <w:right w:w="0" w:type="dxa"/>
          </w:tblCellMar>
        </w:tblPrEx>
        <w:trPr>
          <w:trHeight w:val="391" w:hRule="atLeast"/>
        </w:trPr>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项目名称</w:t>
            </w:r>
          </w:p>
        </w:tc>
        <w:tc>
          <w:tcPr>
            <w:tcW w:w="6777" w:type="dxa"/>
            <w:gridSpan w:val="1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二类疫苗服务费</w:t>
            </w:r>
          </w:p>
        </w:tc>
      </w:tr>
      <w:tr>
        <w:tblPrEx>
          <w:tblCellMar>
            <w:top w:w="0" w:type="dxa"/>
            <w:left w:w="0" w:type="dxa"/>
            <w:bottom w:w="0" w:type="dxa"/>
            <w:right w:w="0" w:type="dxa"/>
          </w:tblCellMar>
        </w:tblPrEx>
        <w:trPr>
          <w:trHeight w:val="562" w:hRule="atLeast"/>
        </w:trPr>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主管部门</w:t>
            </w:r>
          </w:p>
        </w:tc>
        <w:tc>
          <w:tcPr>
            <w:tcW w:w="2469"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广元市昭化区卫生健康局部门</w:t>
            </w:r>
          </w:p>
        </w:tc>
        <w:tc>
          <w:tcPr>
            <w:tcW w:w="1834" w:type="dxa"/>
            <w:gridSpan w:val="2"/>
            <w:tcBorders>
              <w:top w:val="nil"/>
              <w:left w:val="nil"/>
              <w:bottom w:val="nil"/>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实施单位 （盖章）</w:t>
            </w:r>
          </w:p>
        </w:tc>
        <w:tc>
          <w:tcPr>
            <w:tcW w:w="2474" w:type="dxa"/>
            <w:gridSpan w:val="6"/>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明觉中心卫生院</w:t>
            </w:r>
          </w:p>
        </w:tc>
      </w:tr>
      <w:tr>
        <w:tblPrEx>
          <w:tblCellMar>
            <w:top w:w="0" w:type="dxa"/>
            <w:left w:w="0" w:type="dxa"/>
            <w:bottom w:w="0" w:type="dxa"/>
            <w:right w:w="0" w:type="dxa"/>
          </w:tblCellMar>
        </w:tblPrEx>
        <w:trPr>
          <w:trHeight w:val="278"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项目基本情况</w:t>
            </w:r>
          </w:p>
        </w:tc>
        <w:tc>
          <w:tcPr>
            <w:tcW w:w="1034"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1.项目年度目标完成情况</w:t>
            </w:r>
          </w:p>
        </w:tc>
        <w:tc>
          <w:tcPr>
            <w:tcW w:w="2469"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项目年度目标</w:t>
            </w:r>
          </w:p>
        </w:tc>
        <w:tc>
          <w:tcPr>
            <w:tcW w:w="4308" w:type="dxa"/>
            <w:gridSpan w:val="8"/>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年度目标完成情况</w:t>
            </w:r>
          </w:p>
        </w:tc>
      </w:tr>
      <w:tr>
        <w:tblPrEx>
          <w:tblCellMar>
            <w:top w:w="0" w:type="dxa"/>
            <w:left w:w="0" w:type="dxa"/>
            <w:bottom w:w="0" w:type="dxa"/>
            <w:right w:w="0" w:type="dxa"/>
          </w:tblCellMar>
        </w:tblPrEx>
        <w:trPr>
          <w:trHeight w:val="280"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2469"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2.65万元</w:t>
            </w:r>
          </w:p>
        </w:tc>
        <w:tc>
          <w:tcPr>
            <w:tcW w:w="4308" w:type="dxa"/>
            <w:gridSpan w:val="8"/>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bidi="en-AU"/>
              </w:rPr>
              <w:t>100%</w:t>
            </w:r>
          </w:p>
        </w:tc>
      </w:tr>
      <w:tr>
        <w:tblPrEx>
          <w:tblCellMar>
            <w:top w:w="0" w:type="dxa"/>
            <w:left w:w="0" w:type="dxa"/>
            <w:bottom w:w="0" w:type="dxa"/>
            <w:right w:w="0" w:type="dxa"/>
          </w:tblCellMar>
        </w:tblPrEx>
        <w:trPr>
          <w:trHeight w:val="137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2.项目实施内容及过程概述</w:t>
            </w:r>
          </w:p>
        </w:tc>
        <w:tc>
          <w:tcPr>
            <w:tcW w:w="6777" w:type="dxa"/>
            <w:gridSpan w:val="1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480"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预算执行情况（10分）</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年度预算数（万元）</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年初预算</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调整后预算数</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预算执行数</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预算执行率</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898" w:type="dxa"/>
            <w:gridSpan w:val="2"/>
            <w:tcBorders>
              <w:top w:val="single" w:color="000000" w:sz="4" w:space="0"/>
              <w:left w:val="single" w:color="000000" w:sz="4" w:space="0"/>
              <w:bottom w:val="nil"/>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未完成原因分析</w:t>
            </w:r>
          </w:p>
        </w:tc>
      </w:tr>
      <w:tr>
        <w:tblPrEx>
          <w:tblCellMar>
            <w:top w:w="0" w:type="dxa"/>
            <w:left w:w="0" w:type="dxa"/>
            <w:bottom w:w="0" w:type="dxa"/>
            <w:right w:w="0" w:type="dxa"/>
          </w:tblCellMar>
        </w:tblPrEx>
        <w:trPr>
          <w:trHeight w:val="708"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总额</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en-AU"/>
              </w:rPr>
              <w:t>2.</w:t>
            </w:r>
            <w:r>
              <w:rPr>
                <w:rFonts w:hint="eastAsia" w:ascii="宋体" w:hAnsi="宋体" w:eastAsia="宋体" w:cs="宋体"/>
                <w:i w:val="0"/>
                <w:color w:val="000000"/>
                <w:kern w:val="0"/>
                <w:sz w:val="18"/>
                <w:szCs w:val="18"/>
                <w:u w:val="none"/>
                <w:lang w:val="en-US" w:eastAsia="zh-CN" w:bidi="en-AU"/>
              </w:rPr>
              <w:t>65</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en-AU"/>
              </w:rPr>
              <w:t>2.</w:t>
            </w:r>
            <w:r>
              <w:rPr>
                <w:rFonts w:hint="eastAsia" w:ascii="宋体" w:hAnsi="宋体" w:eastAsia="宋体" w:cs="宋体"/>
                <w:i w:val="0"/>
                <w:color w:val="000000"/>
                <w:kern w:val="0"/>
                <w:sz w:val="18"/>
                <w:szCs w:val="18"/>
                <w:u w:val="none"/>
                <w:lang w:val="en-US" w:eastAsia="zh-CN" w:bidi="en-AU"/>
              </w:rPr>
              <w:t>65</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w:t>
            </w:r>
          </w:p>
        </w:tc>
        <w:tc>
          <w:tcPr>
            <w:tcW w:w="990" w:type="dxa"/>
            <w:gridSpan w:val="2"/>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480"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其中：财政资金</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en-AU"/>
              </w:rPr>
              <w:t>2.</w:t>
            </w:r>
            <w:r>
              <w:rPr>
                <w:rFonts w:hint="eastAsia" w:ascii="宋体" w:hAnsi="宋体" w:eastAsia="宋体" w:cs="宋体"/>
                <w:i w:val="0"/>
                <w:color w:val="000000"/>
                <w:kern w:val="0"/>
                <w:sz w:val="18"/>
                <w:szCs w:val="18"/>
                <w:u w:val="none"/>
                <w:lang w:val="en-US" w:eastAsia="zh-CN" w:bidi="en-AU"/>
              </w:rPr>
              <w:t>65</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en-AU"/>
              </w:rPr>
              <w:t>2.</w:t>
            </w:r>
            <w:r>
              <w:rPr>
                <w:rFonts w:hint="eastAsia" w:ascii="宋体" w:hAnsi="宋体" w:eastAsia="宋体" w:cs="宋体"/>
                <w:i w:val="0"/>
                <w:color w:val="000000"/>
                <w:kern w:val="0"/>
                <w:sz w:val="18"/>
                <w:szCs w:val="18"/>
                <w:u w:val="none"/>
                <w:lang w:val="en-US" w:eastAsia="zh-CN" w:bidi="en-AU"/>
              </w:rPr>
              <w:t>65</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w:t>
            </w:r>
            <w:bookmarkStart w:id="215" w:name="_GoBack"/>
            <w:bookmarkEnd w:id="215"/>
            <w:r>
              <w:rPr>
                <w:rFonts w:ascii="宋体" w:hAnsi="宋体" w:eastAsia="宋体" w:cs="宋体"/>
                <w:i w:val="0"/>
                <w:color w:val="000000"/>
                <w:kern w:val="0"/>
                <w:sz w:val="18"/>
                <w:szCs w:val="18"/>
                <w:u w:val="none"/>
                <w:lang w:val="en-US" w:eastAsia="zh-CN" w:bidi="en-AU"/>
              </w:rPr>
              <w:t>0%</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990" w:type="dxa"/>
            <w:gridSpan w:val="2"/>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480"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财政专户管理资金</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990" w:type="dxa"/>
            <w:gridSpan w:val="2"/>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280"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单位资金</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990" w:type="dxa"/>
            <w:gridSpan w:val="2"/>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249"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其他资金</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990" w:type="dxa"/>
            <w:gridSpan w:val="2"/>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701"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绩效指标（90分）</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一级指标</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二级指标</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三级指标</w:t>
            </w:r>
          </w:p>
        </w:tc>
        <w:tc>
          <w:tcPr>
            <w:tcW w:w="41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指标性质</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指标值</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度量单位</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完成值</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990" w:type="dxa"/>
            <w:gridSpan w:val="2"/>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18"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1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534" w:type="dxa"/>
            <w:tcBorders>
              <w:top w:val="nil"/>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30" w:hRule="atLeast"/>
        </w:trPr>
        <w:tc>
          <w:tcPr>
            <w:tcW w:w="5771" w:type="dxa"/>
            <w:gridSpan w:val="8"/>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合计</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44" w:hRule="atLeast"/>
        </w:trPr>
        <w:tc>
          <w:tcPr>
            <w:tcW w:w="4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评价结论</w:t>
            </w:r>
          </w:p>
        </w:tc>
        <w:tc>
          <w:tcPr>
            <w:tcW w:w="7811" w:type="dxa"/>
            <w:gridSpan w:val="1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二类疫苗接种服务费收入全额上缴国库，纳入财政预算管理，实施效果较好</w:t>
            </w:r>
          </w:p>
        </w:tc>
      </w:tr>
      <w:tr>
        <w:tblPrEx>
          <w:tblCellMar>
            <w:top w:w="0" w:type="dxa"/>
            <w:left w:w="0" w:type="dxa"/>
            <w:bottom w:w="0" w:type="dxa"/>
            <w:right w:w="0" w:type="dxa"/>
          </w:tblCellMar>
        </w:tblPrEx>
        <w:trPr>
          <w:trHeight w:val="530" w:hRule="atLeast"/>
        </w:trPr>
        <w:tc>
          <w:tcPr>
            <w:tcW w:w="4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存在问题</w:t>
            </w:r>
          </w:p>
        </w:tc>
        <w:tc>
          <w:tcPr>
            <w:tcW w:w="7811" w:type="dxa"/>
            <w:gridSpan w:val="1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trHeight w:val="653" w:hRule="atLeast"/>
        </w:trPr>
        <w:tc>
          <w:tcPr>
            <w:tcW w:w="43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改进措施</w:t>
            </w:r>
          </w:p>
        </w:tc>
        <w:tc>
          <w:tcPr>
            <w:tcW w:w="7811" w:type="dxa"/>
            <w:gridSpan w:val="1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trHeight w:val="649" w:hRule="atLeast"/>
        </w:trPr>
        <w:tc>
          <w:tcPr>
            <w:tcW w:w="3453"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项目负责人：</w:t>
            </w:r>
          </w:p>
        </w:tc>
        <w:tc>
          <w:tcPr>
            <w:tcW w:w="4792" w:type="dxa"/>
            <w:gridSpan w:val="9"/>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财务负责人：</w:t>
            </w:r>
          </w:p>
        </w:tc>
      </w:tr>
    </w:tbl>
    <w:p>
      <w:pPr>
        <w:pageBreakBefore w:val="0"/>
        <w:kinsoku/>
        <w:wordWrap/>
        <w:overflowPunct/>
        <w:topLinePunct w:val="0"/>
        <w:bidi w:val="0"/>
        <w:spacing w:line="580" w:lineRule="exact"/>
        <w:jc w:val="both"/>
        <w:outlineLvl w:val="0"/>
        <w:rPr>
          <w:rFonts w:hint="eastAsia" w:ascii="黑体" w:hAnsi="黑体" w:eastAsia="黑体"/>
          <w:color w:val="000000"/>
          <w:sz w:val="44"/>
          <w:szCs w:val="44"/>
        </w:rPr>
      </w:pPr>
      <w:bookmarkStart w:id="161" w:name="_Toc23381"/>
      <w:bookmarkStart w:id="162" w:name="_Toc32342"/>
      <w:bookmarkStart w:id="163" w:name="_Toc11063"/>
    </w:p>
    <w:p>
      <w:pPr>
        <w:pageBreakBefore w:val="0"/>
        <w:kinsoku/>
        <w:wordWrap/>
        <w:overflowPunct/>
        <w:topLinePunct w:val="0"/>
        <w:bidi w:val="0"/>
        <w:spacing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line="580" w:lineRule="exact"/>
        <w:jc w:val="center"/>
        <w:outlineLvl w:val="0"/>
        <w:rPr>
          <w:rStyle w:val="12"/>
          <w:rFonts w:hint="eastAsia" w:ascii="黑体" w:hAnsi="黑体" w:eastAsia="黑体"/>
          <w:b w:val="0"/>
        </w:rPr>
      </w:pPr>
      <w:r>
        <w:rPr>
          <w:rFonts w:hint="eastAsia" w:ascii="黑体" w:hAnsi="黑体" w:eastAsia="黑体"/>
          <w:color w:val="000000"/>
          <w:sz w:val="44"/>
          <w:szCs w:val="44"/>
        </w:rPr>
        <w:t>第</w:t>
      </w:r>
      <w:r>
        <w:rPr>
          <w:rStyle w:val="12"/>
          <w:rFonts w:hint="eastAsia" w:ascii="黑体" w:hAnsi="黑体" w:eastAsia="黑体"/>
          <w:b w:val="0"/>
        </w:rPr>
        <w:t>五部分</w:t>
      </w:r>
      <w:r>
        <w:rPr>
          <w:rStyle w:val="12"/>
          <w:rFonts w:ascii="黑体" w:hAnsi="黑体" w:eastAsia="黑体"/>
          <w:b w:val="0"/>
        </w:rPr>
        <w:t xml:space="preserve"> </w:t>
      </w:r>
      <w:r>
        <w:rPr>
          <w:rStyle w:val="12"/>
          <w:rFonts w:hint="eastAsia" w:ascii="黑体" w:hAnsi="黑体" w:eastAsia="黑体"/>
          <w:b w:val="0"/>
        </w:rPr>
        <w:t>附表</w:t>
      </w:r>
      <w:bookmarkEnd w:id="156"/>
      <w:bookmarkEnd w:id="160"/>
      <w:bookmarkEnd w:id="161"/>
      <w:bookmarkEnd w:id="162"/>
      <w:bookmarkEnd w:id="163"/>
      <w:bookmarkStart w:id="164" w:name="_Toc4545"/>
      <w:bookmarkStart w:id="165" w:name="_Toc3163"/>
      <w:bookmarkStart w:id="166" w:name="_Toc221"/>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一、收入支出决算总表</w:t>
      </w:r>
      <w:bookmarkEnd w:id="164"/>
      <w:bookmarkEnd w:id="165"/>
      <w:bookmarkEnd w:id="166"/>
      <w:bookmarkStart w:id="167" w:name="_Toc15396620"/>
      <w:bookmarkStart w:id="168" w:name="_Toc27388"/>
      <w:bookmarkStart w:id="169" w:name="_Toc14357"/>
      <w:bookmarkStart w:id="170" w:name="_Toc11883"/>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二、收入决算表</w:t>
      </w:r>
      <w:bookmarkEnd w:id="167"/>
      <w:bookmarkEnd w:id="168"/>
      <w:bookmarkEnd w:id="169"/>
      <w:bookmarkEnd w:id="170"/>
      <w:bookmarkStart w:id="171" w:name="_Toc4388"/>
      <w:bookmarkStart w:id="172" w:name="_Toc21016"/>
      <w:bookmarkStart w:id="173" w:name="_Toc15396621"/>
      <w:bookmarkStart w:id="174" w:name="_Toc27175"/>
    </w:p>
    <w:p>
      <w:pPr>
        <w:rPr>
          <w:rFonts w:hint="eastAsia" w:ascii="仿宋" w:hAnsi="仿宋" w:eastAsia="仿宋" w:cs="仿宋"/>
          <w:sz w:val="32"/>
          <w:szCs w:val="32"/>
        </w:rPr>
      </w:pPr>
      <w:r>
        <w:rPr>
          <w:rFonts w:hint="eastAsia" w:ascii="仿宋" w:hAnsi="仿宋" w:eastAsia="仿宋" w:cs="仿宋"/>
          <w:sz w:val="32"/>
          <w:szCs w:val="32"/>
          <w:lang w:val="en-US" w:eastAsia="zh-CN"/>
        </w:rPr>
        <w:t>三、支出决</w:t>
      </w:r>
      <w:r>
        <w:rPr>
          <w:rFonts w:hint="eastAsia" w:ascii="仿宋" w:hAnsi="仿宋" w:eastAsia="仿宋" w:cs="仿宋"/>
          <w:sz w:val="32"/>
          <w:szCs w:val="32"/>
        </w:rPr>
        <w:t>算表</w:t>
      </w:r>
      <w:bookmarkEnd w:id="171"/>
      <w:bookmarkEnd w:id="172"/>
      <w:bookmarkEnd w:id="173"/>
      <w:bookmarkEnd w:id="174"/>
      <w:bookmarkStart w:id="175" w:name="_Toc15396622"/>
      <w:bookmarkStart w:id="176" w:name="_Toc2812"/>
      <w:bookmarkStart w:id="177" w:name="_Toc21554"/>
      <w:bookmarkStart w:id="178" w:name="_Toc16070"/>
    </w:p>
    <w:p>
      <w:pPr>
        <w:rPr>
          <w:rFonts w:hint="eastAsia" w:ascii="仿宋" w:hAnsi="仿宋" w:eastAsia="仿宋" w:cs="仿宋"/>
          <w:sz w:val="32"/>
          <w:szCs w:val="32"/>
          <w:lang w:val="en-US" w:eastAsia="zh-CN"/>
        </w:rPr>
      </w:pPr>
      <w:r>
        <w:rPr>
          <w:rFonts w:hint="eastAsia" w:ascii="仿宋" w:hAnsi="仿宋" w:eastAsia="仿宋" w:cs="仿宋"/>
          <w:sz w:val="32"/>
          <w:szCs w:val="32"/>
        </w:rPr>
        <w:t>四</w:t>
      </w:r>
      <w:r>
        <w:rPr>
          <w:rFonts w:hint="eastAsia" w:ascii="仿宋" w:hAnsi="仿宋" w:eastAsia="仿宋" w:cs="仿宋"/>
          <w:sz w:val="32"/>
          <w:szCs w:val="32"/>
          <w:lang w:val="en-US" w:eastAsia="zh-CN"/>
        </w:rPr>
        <w:t>、财政拨款收入支出决算总表</w:t>
      </w:r>
      <w:bookmarkEnd w:id="175"/>
      <w:bookmarkEnd w:id="176"/>
      <w:bookmarkEnd w:id="177"/>
      <w:bookmarkEnd w:id="178"/>
      <w:bookmarkStart w:id="179" w:name="_Toc2221"/>
      <w:bookmarkStart w:id="180" w:name="_Toc15396623"/>
      <w:bookmarkStart w:id="181" w:name="_Toc14212"/>
      <w:bookmarkStart w:id="182" w:name="_Toc25488"/>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五、财政拨款支出决算明细表</w:t>
      </w:r>
      <w:bookmarkEnd w:id="179"/>
      <w:bookmarkEnd w:id="180"/>
      <w:bookmarkEnd w:id="181"/>
      <w:bookmarkEnd w:id="182"/>
      <w:bookmarkStart w:id="183" w:name="_Toc15396624"/>
      <w:bookmarkStart w:id="184" w:name="_Toc32120"/>
      <w:bookmarkStart w:id="185" w:name="_Toc650"/>
      <w:bookmarkStart w:id="186" w:name="_Toc7907"/>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六、一般公共预算财政拨款支出决算表</w:t>
      </w:r>
      <w:bookmarkEnd w:id="183"/>
      <w:bookmarkEnd w:id="184"/>
      <w:bookmarkEnd w:id="185"/>
      <w:bookmarkEnd w:id="186"/>
      <w:bookmarkStart w:id="187" w:name="_Toc27185"/>
      <w:bookmarkStart w:id="188" w:name="_Toc15396625"/>
      <w:bookmarkStart w:id="189" w:name="_Toc4916"/>
      <w:bookmarkStart w:id="190" w:name="_Toc28997"/>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七、一般公共预算财政拨款支出决算明细表</w:t>
      </w:r>
      <w:bookmarkEnd w:id="187"/>
      <w:bookmarkEnd w:id="188"/>
      <w:bookmarkEnd w:id="189"/>
      <w:bookmarkEnd w:id="190"/>
    </w:p>
    <w:p>
      <w:pPr>
        <w:rPr>
          <w:rFonts w:hint="eastAsia" w:ascii="仿宋" w:hAnsi="仿宋" w:eastAsia="仿宋" w:cs="仿宋"/>
          <w:sz w:val="32"/>
          <w:szCs w:val="32"/>
          <w:lang w:val="en-US" w:eastAsia="zh-CN"/>
        </w:rPr>
      </w:pPr>
      <w:bookmarkStart w:id="191" w:name="_Toc17581"/>
      <w:bookmarkStart w:id="192" w:name="_Toc15396626"/>
      <w:bookmarkStart w:id="193" w:name="_Toc23028"/>
      <w:bookmarkStart w:id="194" w:name="_Toc10430"/>
      <w:r>
        <w:rPr>
          <w:rFonts w:hint="eastAsia" w:ascii="仿宋" w:hAnsi="仿宋" w:eastAsia="仿宋" w:cs="仿宋"/>
          <w:sz w:val="32"/>
          <w:szCs w:val="32"/>
          <w:lang w:val="en-US" w:eastAsia="zh-CN"/>
        </w:rPr>
        <w:t>八、一般公共预算财政拨款基本支出决算表</w:t>
      </w:r>
      <w:bookmarkEnd w:id="191"/>
      <w:bookmarkEnd w:id="192"/>
      <w:bookmarkEnd w:id="193"/>
      <w:bookmarkEnd w:id="194"/>
    </w:p>
    <w:p>
      <w:pPr>
        <w:rPr>
          <w:rFonts w:hint="eastAsia" w:ascii="仿宋" w:hAnsi="仿宋" w:eastAsia="仿宋" w:cs="仿宋"/>
          <w:sz w:val="32"/>
          <w:szCs w:val="32"/>
          <w:lang w:val="en-US" w:eastAsia="zh-CN"/>
        </w:rPr>
      </w:pPr>
      <w:bookmarkStart w:id="195" w:name="_Toc15396627"/>
      <w:bookmarkStart w:id="196" w:name="_Toc3439"/>
      <w:bookmarkStart w:id="197" w:name="_Toc29094"/>
      <w:bookmarkStart w:id="198" w:name="_Toc871"/>
      <w:r>
        <w:rPr>
          <w:rFonts w:hint="eastAsia" w:ascii="仿宋" w:hAnsi="仿宋" w:eastAsia="仿宋" w:cs="仿宋"/>
          <w:sz w:val="32"/>
          <w:szCs w:val="32"/>
          <w:lang w:val="en-US" w:eastAsia="zh-CN"/>
        </w:rPr>
        <w:t>九、一般公共预算财政拨款项目支出决算表</w:t>
      </w:r>
      <w:bookmarkEnd w:id="195"/>
      <w:bookmarkEnd w:id="196"/>
      <w:bookmarkEnd w:id="197"/>
      <w:bookmarkEnd w:id="198"/>
    </w:p>
    <w:p>
      <w:pPr>
        <w:rPr>
          <w:rFonts w:hint="eastAsia" w:ascii="仿宋" w:hAnsi="仿宋" w:eastAsia="仿宋" w:cs="仿宋"/>
          <w:sz w:val="32"/>
          <w:szCs w:val="32"/>
          <w:lang w:val="en-US" w:eastAsia="zh-CN"/>
        </w:rPr>
      </w:pPr>
      <w:bookmarkStart w:id="199" w:name="_Toc15396628"/>
      <w:bookmarkStart w:id="200" w:name="_Toc15353"/>
      <w:bookmarkStart w:id="201" w:name="_Toc9263"/>
      <w:bookmarkStart w:id="202" w:name="_Toc2399"/>
      <w:r>
        <w:rPr>
          <w:rFonts w:hint="eastAsia" w:ascii="仿宋" w:hAnsi="仿宋" w:eastAsia="仿宋" w:cs="仿宋"/>
          <w:sz w:val="32"/>
          <w:szCs w:val="32"/>
          <w:lang w:val="en-US" w:eastAsia="zh-CN"/>
        </w:rPr>
        <w:t>十、</w:t>
      </w:r>
      <w:bookmarkEnd w:id="199"/>
      <w:r>
        <w:rPr>
          <w:rFonts w:hint="eastAsia" w:ascii="仿宋" w:hAnsi="仿宋" w:eastAsia="仿宋" w:cs="仿宋"/>
          <w:sz w:val="32"/>
          <w:szCs w:val="32"/>
          <w:lang w:val="en-US" w:eastAsia="zh-CN"/>
        </w:rPr>
        <w:t>政府性基金预算财政拨款收入支出决算表</w:t>
      </w:r>
      <w:bookmarkEnd w:id="200"/>
      <w:bookmarkEnd w:id="201"/>
      <w:bookmarkEnd w:id="202"/>
    </w:p>
    <w:p>
      <w:pPr>
        <w:rPr>
          <w:rFonts w:hint="eastAsia" w:ascii="仿宋" w:hAnsi="仿宋" w:eastAsia="仿宋" w:cs="仿宋"/>
          <w:sz w:val="32"/>
          <w:szCs w:val="32"/>
        </w:rPr>
      </w:pPr>
      <w:bookmarkStart w:id="203" w:name="_Toc15396629"/>
      <w:bookmarkStart w:id="204" w:name="_Toc8605"/>
      <w:bookmarkStart w:id="205" w:name="_Toc10089"/>
      <w:bookmarkStart w:id="206" w:name="_Toc10768"/>
      <w:r>
        <w:rPr>
          <w:rFonts w:hint="eastAsia" w:ascii="仿宋" w:hAnsi="仿宋" w:eastAsia="仿宋" w:cs="仿宋"/>
          <w:sz w:val="32"/>
          <w:szCs w:val="32"/>
          <w:lang w:val="en-US" w:eastAsia="zh-CN"/>
        </w:rPr>
        <w:t>十一、</w:t>
      </w:r>
      <w:bookmarkEnd w:id="203"/>
      <w:r>
        <w:rPr>
          <w:rFonts w:hint="eastAsia" w:ascii="仿宋" w:hAnsi="仿宋" w:eastAsia="仿宋" w:cs="仿宋"/>
          <w:sz w:val="32"/>
          <w:szCs w:val="32"/>
          <w:lang w:val="en-US" w:eastAsia="zh-CN"/>
        </w:rPr>
        <w:t>国有资本经营</w:t>
      </w:r>
      <w:r>
        <w:rPr>
          <w:rFonts w:hint="eastAsia" w:ascii="仿宋" w:hAnsi="仿宋" w:eastAsia="仿宋" w:cs="仿宋"/>
          <w:sz w:val="32"/>
          <w:szCs w:val="32"/>
        </w:rPr>
        <w:t>预算</w:t>
      </w:r>
      <w:r>
        <w:rPr>
          <w:rFonts w:hint="eastAsia" w:ascii="仿宋" w:hAnsi="仿宋" w:eastAsia="仿宋" w:cs="仿宋"/>
          <w:sz w:val="32"/>
          <w:szCs w:val="32"/>
          <w:lang w:eastAsia="zh-CN"/>
        </w:rPr>
        <w:t>财政拨款收入</w:t>
      </w:r>
      <w:r>
        <w:rPr>
          <w:rFonts w:hint="eastAsia" w:ascii="仿宋" w:hAnsi="仿宋" w:eastAsia="仿宋" w:cs="仿宋"/>
          <w:sz w:val="32"/>
          <w:szCs w:val="32"/>
        </w:rPr>
        <w:t>支出决算表</w:t>
      </w:r>
      <w:bookmarkEnd w:id="204"/>
      <w:bookmarkEnd w:id="205"/>
      <w:bookmarkEnd w:id="206"/>
    </w:p>
    <w:p>
      <w:pPr>
        <w:rPr>
          <w:rFonts w:hint="eastAsia" w:ascii="仿宋" w:hAnsi="仿宋" w:eastAsia="仿宋" w:cs="仿宋"/>
          <w:sz w:val="32"/>
          <w:szCs w:val="32"/>
        </w:rPr>
      </w:pPr>
      <w:bookmarkStart w:id="207" w:name="_Toc15396630"/>
      <w:bookmarkStart w:id="208" w:name="_Toc14809"/>
      <w:bookmarkStart w:id="209" w:name="_Toc30252"/>
      <w:bookmarkStart w:id="210" w:name="_Toc4835"/>
      <w:r>
        <w:rPr>
          <w:rFonts w:hint="eastAsia" w:ascii="仿宋" w:hAnsi="仿宋" w:eastAsia="仿宋" w:cs="仿宋"/>
          <w:sz w:val="32"/>
          <w:szCs w:val="32"/>
        </w:rPr>
        <w:t>十二、</w:t>
      </w:r>
      <w:bookmarkEnd w:id="207"/>
      <w:r>
        <w:rPr>
          <w:rFonts w:hint="eastAsia" w:ascii="仿宋" w:hAnsi="仿宋" w:eastAsia="仿宋" w:cs="仿宋"/>
          <w:sz w:val="32"/>
          <w:szCs w:val="32"/>
          <w:lang w:eastAsia="zh-CN"/>
        </w:rPr>
        <w:t>国有资本经营预算财政拨款支出决算表</w:t>
      </w:r>
      <w:bookmarkEnd w:id="208"/>
      <w:bookmarkEnd w:id="209"/>
      <w:bookmarkEnd w:id="210"/>
    </w:p>
    <w:p>
      <w:pPr>
        <w:rPr>
          <w:rFonts w:hint="eastAsia" w:ascii="仿宋" w:hAnsi="仿宋" w:eastAsia="仿宋" w:cs="仿宋"/>
          <w:sz w:val="32"/>
          <w:szCs w:val="32"/>
          <w:lang w:eastAsia="zh-CN"/>
        </w:rPr>
      </w:pPr>
      <w:bookmarkStart w:id="211" w:name="_Toc15396631"/>
      <w:bookmarkStart w:id="212" w:name="_Toc32476"/>
      <w:bookmarkStart w:id="213" w:name="_Toc17859"/>
      <w:bookmarkStart w:id="214" w:name="_Toc4009"/>
      <w:r>
        <w:rPr>
          <w:rFonts w:hint="eastAsia" w:ascii="仿宋" w:hAnsi="仿宋" w:eastAsia="仿宋" w:cs="仿宋"/>
          <w:sz w:val="32"/>
          <w:szCs w:val="32"/>
        </w:rPr>
        <w:t>十三、</w:t>
      </w:r>
      <w:bookmarkEnd w:id="211"/>
      <w:r>
        <w:rPr>
          <w:rFonts w:hint="eastAsia" w:ascii="仿宋" w:hAnsi="仿宋" w:eastAsia="仿宋" w:cs="仿宋"/>
          <w:sz w:val="32"/>
          <w:szCs w:val="32"/>
          <w:lang w:eastAsia="zh-CN"/>
        </w:rPr>
        <w:t>财政拨款“三公”经费支出决算表</w:t>
      </w:r>
      <w:bookmarkEnd w:id="212"/>
      <w:bookmarkEnd w:id="213"/>
      <w:bookmarkEnd w:id="214"/>
    </w:p>
    <w:p>
      <w:pPr>
        <w:pStyle w:val="6"/>
        <w:pageBreakBefore w:val="0"/>
        <w:kinsoku/>
        <w:wordWrap/>
        <w:overflowPunct/>
        <w:topLinePunct w:val="0"/>
        <w:bidi w:val="0"/>
        <w:spacing w:line="580" w:lineRule="exact"/>
        <w:outlineLvl w:val="9"/>
        <w:rPr>
          <w:rFonts w:ascii="仿宋" w:hAnsi="仿宋" w:eastAsia="仿宋"/>
          <w:color w:val="000000"/>
        </w:rPr>
      </w:pPr>
    </w:p>
    <w:sectPr>
      <w:footerReference r:id="rId8"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pict>
        <v:shape id="文本框 8"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pPr>
                  <w:pStyle w:val="21"/>
                  <w:jc w:val="center"/>
                </w:pPr>
                <w:r>
                  <w:fldChar w:fldCharType="begin"/>
                </w:r>
                <w:r>
                  <w:instrText xml:space="preserve">PAGE   \* MERGEFORMAT</w:instrText>
                </w:r>
                <w:r>
                  <w:fldChar w:fldCharType="separate"/>
                </w:r>
                <w:r>
                  <w:rPr>
                    <w:lang w:val="zh-CN"/>
                  </w:rPr>
                  <w:t>3</w:t>
                </w:r>
                <w: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chineseCounting"/>
      <w:suff w:val="space"/>
      <w:lvlText w:val="第%1部分"/>
      <w:lvlJc w:val="left"/>
      <w:rPr>
        <w:rFonts w:hint="eastAsia" w:cs="Times New Roman"/>
      </w:rPr>
    </w:lvl>
  </w:abstractNum>
  <w:abstractNum w:abstractNumId="1">
    <w:nsid w:val="CF092B84"/>
    <w:multiLevelType w:val="multilevel"/>
    <w:tmpl w:val="CF092B84"/>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59ADCABA"/>
    <w:multiLevelType w:val="singleLevel"/>
    <w:tmpl w:val="59ADCABA"/>
    <w:lvl w:ilvl="0" w:tentative="0">
      <w:start w:val="9"/>
      <w:numFmt w:val="chineseCounting"/>
      <w:suff w:val="nothing"/>
      <w:lvlText w:val="%1、"/>
      <w:lvlJc w:val="left"/>
      <w:rPr>
        <w:rFonts w:hint="eastAsia"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551C58CE"/>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30"/>
    <w:qFormat/>
    <w:uiPriority w:val="9"/>
    <w:pPr>
      <w:keepNext/>
      <w:keepLines/>
      <w:spacing w:before="340" w:after="330" w:line="578" w:lineRule="auto"/>
      <w:outlineLvl w:val="0"/>
    </w:pPr>
    <w:rPr>
      <w:b/>
      <w:bCs/>
      <w:kern w:val="44"/>
      <w:sz w:val="44"/>
      <w:szCs w:val="44"/>
    </w:rPr>
  </w:style>
  <w:style w:type="paragraph" w:customStyle="1" w:styleId="6">
    <w:name w:val="标题 21"/>
    <w:basedOn w:val="1"/>
    <w:next w:val="1"/>
    <w:link w:val="32"/>
    <w:qFormat/>
    <w:uiPriority w:val="9"/>
    <w:pPr>
      <w:keepNext/>
      <w:keepLines/>
      <w:spacing w:before="260" w:after="260" w:line="416" w:lineRule="auto"/>
      <w:outlineLvl w:val="1"/>
    </w:pPr>
    <w:rPr>
      <w:rFonts w:ascii="Cambria" w:hAnsi="Cambria"/>
      <w:b/>
      <w:bCs/>
      <w:sz w:val="32"/>
      <w:szCs w:val="32"/>
    </w:rPr>
  </w:style>
  <w:style w:type="paragraph" w:customStyle="1" w:styleId="7">
    <w:name w:val="标题 31"/>
    <w:basedOn w:val="1"/>
    <w:next w:val="1"/>
    <w:link w:val="14"/>
    <w:qFormat/>
    <w:uiPriority w:val="9"/>
    <w:pPr>
      <w:keepNext/>
      <w:keepLines/>
      <w:spacing w:before="260" w:after="260" w:line="416" w:lineRule="auto"/>
      <w:outlineLvl w:val="2"/>
    </w:pPr>
    <w:rPr>
      <w:b/>
      <w:bCs/>
      <w:sz w:val="32"/>
      <w:szCs w:val="32"/>
    </w:rPr>
  </w:style>
  <w:style w:type="character" w:customStyle="1" w:styleId="8">
    <w:name w:val="默认段落字体1"/>
    <w:unhideWhenUsed/>
    <w:uiPriority w:val="1"/>
  </w:style>
  <w:style w:type="table" w:customStyle="1" w:styleId="9">
    <w:name w:val="普通表格1"/>
    <w:unhideWhenUsed/>
    <w:qFormat/>
    <w:uiPriority w:val="99"/>
    <w:tblPr>
      <w:tblCellMar>
        <w:top w:w="0" w:type="dxa"/>
        <w:left w:w="108" w:type="dxa"/>
        <w:bottom w:w="0" w:type="dxa"/>
        <w:right w:w="108" w:type="dxa"/>
      </w:tblCellMar>
    </w:tblPr>
  </w:style>
  <w:style w:type="paragraph" w:customStyle="1" w:styleId="10">
    <w:name w:val="正文文本1"/>
    <w:basedOn w:val="1"/>
    <w:next w:val="1"/>
    <w:link w:val="11"/>
    <w:qFormat/>
    <w:uiPriority w:val="99"/>
    <w:pPr>
      <w:spacing w:beforeLines="30"/>
    </w:pPr>
    <w:rPr>
      <w:rFonts w:ascii="仿宋_GB2312" w:eastAsia="仿宋_GB2312"/>
      <w:kern w:val="0"/>
      <w:sz w:val="24"/>
      <w:szCs w:val="20"/>
    </w:rPr>
  </w:style>
  <w:style w:type="character" w:customStyle="1" w:styleId="11">
    <w:name w:val="正文文本 字符"/>
    <w:link w:val="10"/>
    <w:qFormat/>
    <w:locked/>
    <w:uiPriority w:val="99"/>
    <w:rPr>
      <w:rFonts w:ascii="仿宋_GB2312" w:hAnsi="Times New Roman" w:eastAsia="仿宋_GB2312"/>
      <w:sz w:val="24"/>
    </w:rPr>
  </w:style>
  <w:style w:type="character" w:customStyle="1" w:styleId="12">
    <w:name w:val=" Char Char6"/>
    <w:link w:val="5"/>
    <w:qFormat/>
    <w:locked/>
    <w:uiPriority w:val="9"/>
    <w:rPr>
      <w:rFonts w:ascii="Times New Roman" w:hAnsi="Times New Roman" w:cs="Times New Roman"/>
      <w:b/>
      <w:bCs/>
      <w:kern w:val="44"/>
      <w:sz w:val="44"/>
      <w:szCs w:val="44"/>
    </w:rPr>
  </w:style>
  <w:style w:type="character" w:customStyle="1" w:styleId="13">
    <w:name w:val="标题 2 字符"/>
    <w:link w:val="6"/>
    <w:qFormat/>
    <w:locked/>
    <w:uiPriority w:val="9"/>
    <w:rPr>
      <w:rFonts w:ascii="Cambria" w:hAnsi="Cambria" w:eastAsia="宋体" w:cs="Times New Roman"/>
      <w:b/>
      <w:bCs/>
      <w:kern w:val="2"/>
      <w:sz w:val="32"/>
      <w:szCs w:val="32"/>
    </w:rPr>
  </w:style>
  <w:style w:type="character" w:customStyle="1" w:styleId="14">
    <w:name w:val="标题 3 字符"/>
    <w:link w:val="7"/>
    <w:qFormat/>
    <w:locked/>
    <w:uiPriority w:val="9"/>
    <w:rPr>
      <w:rFonts w:ascii="Times New Roman" w:hAnsi="Times New Roman" w:cs="Times New Roman"/>
      <w:b/>
      <w:bCs/>
      <w:kern w:val="2"/>
      <w:sz w:val="32"/>
      <w:szCs w:val="32"/>
    </w:rPr>
  </w:style>
  <w:style w:type="paragraph" w:customStyle="1" w:styleId="15">
    <w:name w:val="称呼1"/>
    <w:basedOn w:val="1"/>
    <w:next w:val="1"/>
    <w:qFormat/>
    <w:uiPriority w:val="99"/>
    <w:rPr>
      <w:rFonts w:ascii="Times New Roman" w:hAnsi="Times New Roman"/>
      <w:szCs w:val="20"/>
    </w:rPr>
  </w:style>
  <w:style w:type="paragraph" w:customStyle="1" w:styleId="16">
    <w:name w:val="正文文本缩进1"/>
    <w:basedOn w:val="1"/>
    <w:next w:val="1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customStyle="1" w:styleId="17">
    <w:name w:val="正文首行缩进 21"/>
    <w:basedOn w:val="16"/>
    <w:next w:val="1"/>
    <w:autoRedefine/>
    <w:qFormat/>
    <w:uiPriority w:val="0"/>
    <w:pPr>
      <w:ind w:firstLine="420" w:firstLineChars="200"/>
    </w:pPr>
  </w:style>
  <w:style w:type="paragraph" w:customStyle="1" w:styleId="18">
    <w:name w:val="目录 31"/>
    <w:basedOn w:val="1"/>
    <w:next w:val="1"/>
    <w:autoRedefine/>
    <w:unhideWhenUsed/>
    <w:qFormat/>
    <w:uiPriority w:val="39"/>
    <w:pPr>
      <w:tabs>
        <w:tab w:val="right" w:leader="dot" w:pos="8296"/>
      </w:tabs>
      <w:ind w:left="840" w:leftChars="400"/>
    </w:pPr>
  </w:style>
  <w:style w:type="paragraph" w:customStyle="1" w:styleId="19">
    <w:name w:val="批注框文本1"/>
    <w:basedOn w:val="1"/>
    <w:link w:val="20"/>
    <w:autoRedefine/>
    <w:unhideWhenUsed/>
    <w:qFormat/>
    <w:uiPriority w:val="99"/>
    <w:rPr>
      <w:sz w:val="18"/>
      <w:szCs w:val="18"/>
    </w:rPr>
  </w:style>
  <w:style w:type="character" w:customStyle="1" w:styleId="20">
    <w:name w:val="批注框文本 字符"/>
    <w:link w:val="19"/>
    <w:autoRedefine/>
    <w:semiHidden/>
    <w:qFormat/>
    <w:locked/>
    <w:uiPriority w:val="99"/>
    <w:rPr>
      <w:rFonts w:ascii="Times New Roman" w:hAnsi="Times New Roman" w:cs="Times New Roman"/>
      <w:kern w:val="2"/>
      <w:sz w:val="18"/>
      <w:szCs w:val="18"/>
    </w:rPr>
  </w:style>
  <w:style w:type="paragraph" w:customStyle="1" w:styleId="21">
    <w:name w:val="页脚1"/>
    <w:basedOn w:val="1"/>
    <w:link w:val="22"/>
    <w:autoRedefine/>
    <w:qFormat/>
    <w:uiPriority w:val="99"/>
    <w:pPr>
      <w:tabs>
        <w:tab w:val="center" w:pos="4153"/>
        <w:tab w:val="right" w:pos="8306"/>
      </w:tabs>
      <w:snapToGrid w:val="0"/>
      <w:jc w:val="left"/>
    </w:pPr>
    <w:rPr>
      <w:rFonts w:ascii="Calibri" w:hAnsi="Calibri"/>
      <w:kern w:val="0"/>
      <w:sz w:val="18"/>
      <w:szCs w:val="20"/>
    </w:rPr>
  </w:style>
  <w:style w:type="character" w:customStyle="1" w:styleId="22">
    <w:name w:val="页脚 字符"/>
    <w:link w:val="21"/>
    <w:autoRedefine/>
    <w:qFormat/>
    <w:locked/>
    <w:uiPriority w:val="99"/>
    <w:rPr>
      <w:sz w:val="18"/>
    </w:rPr>
  </w:style>
  <w:style w:type="paragraph" w:customStyle="1" w:styleId="23">
    <w:name w:val="页眉1"/>
    <w:basedOn w:val="1"/>
    <w:link w:val="24"/>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character" w:customStyle="1" w:styleId="24">
    <w:name w:val="页眉 字符"/>
    <w:link w:val="23"/>
    <w:autoRedefine/>
    <w:semiHidden/>
    <w:qFormat/>
    <w:locked/>
    <w:uiPriority w:val="99"/>
    <w:rPr>
      <w:sz w:val="18"/>
    </w:rPr>
  </w:style>
  <w:style w:type="paragraph" w:customStyle="1" w:styleId="25">
    <w:name w:val="目录 11"/>
    <w:basedOn w:val="1"/>
    <w:next w:val="1"/>
    <w:autoRedefine/>
    <w:unhideWhenUsed/>
    <w:qFormat/>
    <w:uiPriority w:val="39"/>
    <w:pPr>
      <w:tabs>
        <w:tab w:val="right" w:leader="dot" w:pos="8296"/>
      </w:tabs>
      <w:spacing w:before="93"/>
      <w:jc w:val="center"/>
    </w:pPr>
    <w:rPr>
      <w:rFonts w:ascii="仿宋" w:hAnsi="仿宋" w:eastAsia="仿宋"/>
      <w:sz w:val="28"/>
      <w:szCs w:val="28"/>
    </w:rPr>
  </w:style>
  <w:style w:type="paragraph" w:customStyle="1" w:styleId="26">
    <w:name w:val="目录 21"/>
    <w:basedOn w:val="1"/>
    <w:next w:val="1"/>
    <w:autoRedefine/>
    <w:unhideWhenUsed/>
    <w:qFormat/>
    <w:uiPriority w:val="39"/>
    <w:pPr>
      <w:tabs>
        <w:tab w:val="right" w:leader="dot" w:pos="8296"/>
      </w:tabs>
      <w:ind w:left="420" w:leftChars="200"/>
    </w:pPr>
  </w:style>
  <w:style w:type="paragraph" w:customStyle="1" w:styleId="27">
    <w:name w:val="普通(网站)1"/>
    <w:basedOn w:val="1"/>
    <w:autoRedefine/>
    <w:qFormat/>
    <w:uiPriority w:val="0"/>
    <w:pPr>
      <w:spacing w:before="100" w:beforeAutospacing="1" w:after="100" w:afterAutospacing="1"/>
      <w:ind w:left="0" w:right="0"/>
      <w:jc w:val="left"/>
    </w:pPr>
    <w:rPr>
      <w:kern w:val="0"/>
      <w:sz w:val="24"/>
      <w:lang w:val="en-US" w:eastAsia="zh-CN" w:bidi="en-AU"/>
    </w:rPr>
  </w:style>
  <w:style w:type="character" w:customStyle="1" w:styleId="28">
    <w:name w:val="要点1"/>
    <w:basedOn w:val="8"/>
    <w:autoRedefine/>
    <w:qFormat/>
    <w:uiPriority w:val="99"/>
    <w:rPr>
      <w:rFonts w:cs="Times New Roman"/>
      <w:b/>
    </w:rPr>
  </w:style>
  <w:style w:type="character" w:customStyle="1" w:styleId="29">
    <w:name w:val="超链接1"/>
    <w:autoRedefine/>
    <w:unhideWhenUsed/>
    <w:qFormat/>
    <w:uiPriority w:val="99"/>
    <w:rPr>
      <w:rFonts w:cs="Times New Roman"/>
      <w:color w:val="0000FF"/>
      <w:u w:val="single"/>
    </w:rPr>
  </w:style>
  <w:style w:type="character" w:customStyle="1" w:styleId="30">
    <w:name w:val="标题 1 字符"/>
    <w:link w:val="5"/>
    <w:autoRedefine/>
    <w:qFormat/>
    <w:uiPriority w:val="9"/>
    <w:rPr>
      <w:rFonts w:ascii="Times New Roman" w:hAnsi="Times New Roman"/>
      <w:b/>
      <w:bCs/>
      <w:kern w:val="44"/>
      <w:sz w:val="44"/>
      <w:szCs w:val="44"/>
    </w:rPr>
  </w:style>
  <w:style w:type="character" w:customStyle="1" w:styleId="31">
    <w:name w:val=" Char Char5"/>
    <w:basedOn w:val="8"/>
    <w:link w:val="6"/>
    <w:autoRedefine/>
    <w:qFormat/>
    <w:locked/>
    <w:uiPriority w:val="9"/>
    <w:rPr>
      <w:rFonts w:ascii="Cambria" w:hAnsi="Cambria" w:eastAsia="宋体" w:cs="Times New Roman"/>
      <w:b/>
      <w:bCs/>
      <w:kern w:val="2"/>
      <w:sz w:val="32"/>
      <w:szCs w:val="32"/>
    </w:rPr>
  </w:style>
  <w:style w:type="character" w:customStyle="1" w:styleId="32">
    <w:name w:val="标题 2 Char"/>
    <w:basedOn w:val="8"/>
    <w:link w:val="6"/>
    <w:autoRedefine/>
    <w:qFormat/>
    <w:uiPriority w:val="9"/>
    <w:rPr>
      <w:rFonts w:ascii="Cambria" w:hAnsi="Cambria" w:eastAsia="宋体" w:cs="Times New Roman"/>
      <w:b/>
      <w:bCs/>
      <w:kern w:val="2"/>
      <w:sz w:val="32"/>
      <w:szCs w:val="32"/>
    </w:rPr>
  </w:style>
  <w:style w:type="character" w:customStyle="1" w:styleId="33">
    <w:name w:val="Footer Char"/>
    <w:autoRedefine/>
    <w:semiHidden/>
    <w:qFormat/>
    <w:uiPriority w:val="99"/>
    <w:rPr>
      <w:rFonts w:ascii="Times New Roman" w:hAnsi="Times New Roman" w:cs="Times New Roman"/>
      <w:sz w:val="18"/>
      <w:szCs w:val="18"/>
    </w:rPr>
  </w:style>
  <w:style w:type="character" w:customStyle="1" w:styleId="34">
    <w:name w:val="Body Text Char"/>
    <w:autoRedefine/>
    <w:semiHidden/>
    <w:qFormat/>
    <w:uiPriority w:val="99"/>
    <w:rPr>
      <w:rFonts w:ascii="Times New Roman" w:hAnsi="Times New Roman" w:cs="Times New Roman"/>
      <w:sz w:val="24"/>
      <w:szCs w:val="24"/>
    </w:rPr>
  </w:style>
  <w:style w:type="character" w:customStyle="1" w:styleId="35">
    <w:name w:val="Header Char"/>
    <w:autoRedefine/>
    <w:semiHidden/>
    <w:qFormat/>
    <w:uiPriority w:val="99"/>
    <w:rPr>
      <w:rFonts w:ascii="Times New Roman" w:hAnsi="Times New Roman" w:cs="Times New Roman"/>
      <w:sz w:val="18"/>
      <w:szCs w:val="18"/>
    </w:rPr>
  </w:style>
  <w:style w:type="paragraph" w:customStyle="1" w:styleId="36">
    <w:name w:val="TOC 标题1"/>
    <w:basedOn w:val="5"/>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7">
    <w:name w:val="Default"/>
    <w:autoRedefine/>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8">
    <w:name w:val="Normal_0"/>
    <w:autoRedefine/>
    <w:qFormat/>
    <w:uiPriority w:val="0"/>
    <w:pPr>
      <w:jc w:val="both"/>
    </w:pPr>
    <w:rPr>
      <w:rFonts w:ascii="Times New Roman" w:hAnsi="Times New Roman" w:eastAsia="宋体" w:cs="Times New Roman"/>
      <w:kern w:val="2"/>
      <w:sz w:val="21"/>
      <w:szCs w:val="21"/>
      <w:lang w:val="en-US" w:eastAsia="zh-CN" w:bidi="ar-SA"/>
    </w:rPr>
  </w:style>
  <w:style w:type="paragraph" w:styleId="39">
    <w:name w:val="List Paragraph"/>
    <w:basedOn w:val="1"/>
    <w:autoRedefine/>
    <w:qFormat/>
    <w:uiPriority w:val="34"/>
    <w:pPr>
      <w:ind w:firstLine="420" w:firstLineChars="200"/>
    </w:pPr>
  </w:style>
  <w:style w:type="paragraph" w:customStyle="1" w:styleId="40">
    <w:name w:val="WPSOffice手动目录 2"/>
    <w:autoRedefine/>
    <w:qFormat/>
    <w:uiPriority w:val="0"/>
    <w:pPr>
      <w:ind w:leftChars="200"/>
    </w:pPr>
    <w:rPr>
      <w:rFonts w:ascii="Times New Roman" w:hAnsi="Times New Roman" w:eastAsia="宋体" w:cs="Times New Roman"/>
      <w:lang w:val="en-US" w:eastAsia="zh-CN" w:bidi="ar-SA"/>
    </w:rPr>
  </w:style>
  <w:style w:type="paragraph" w:customStyle="1" w:styleId="41">
    <w:name w:val="TOC Heading1"/>
    <w:basedOn w:val="5"/>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2">
    <w:name w:val="WPSOffice手动目录 1"/>
    <w:autoRedefine/>
    <w:qFormat/>
    <w:uiPriority w:val="0"/>
    <w:rPr>
      <w:rFonts w:ascii="Times New Roman" w:hAnsi="Times New Roman" w:eastAsia="宋体" w:cs="Times New Roman"/>
      <w:lang w:val="en-US" w:eastAsia="zh-CN" w:bidi="ar-SA"/>
    </w:rPr>
  </w:style>
  <w:style w:type="character" w:customStyle="1" w:styleId="43">
    <w:name w:val="font112"/>
    <w:basedOn w:val="8"/>
    <w:autoRedefine/>
    <w:qFormat/>
    <w:uiPriority w:val="0"/>
    <w:rPr>
      <w:rFonts w:hint="eastAsia" w:ascii="宋体" w:hAnsi="宋体" w:eastAsia="宋体" w:cs="宋体"/>
      <w:color w:val="000000"/>
      <w:sz w:val="20"/>
      <w:szCs w:val="20"/>
      <w:u w:val="none"/>
    </w:rPr>
  </w:style>
  <w:style w:type="character" w:customStyle="1" w:styleId="44">
    <w:name w:val="font11"/>
    <w:basedOn w:val="8"/>
    <w:autoRedefine/>
    <w:qFormat/>
    <w:uiPriority w:val="0"/>
    <w:rPr>
      <w:rFonts w:hint="eastAsia" w:ascii="宋体" w:hAnsi="宋体" w:eastAsia="宋体" w:cs="宋体"/>
      <w:color w:val="000000"/>
      <w:sz w:val="20"/>
      <w:szCs w:val="20"/>
      <w:u w:val="none"/>
    </w:rPr>
  </w:style>
  <w:style w:type="character" w:customStyle="1" w:styleId="45">
    <w:name w:val="font121"/>
    <w:basedOn w:val="8"/>
    <w:autoRedefine/>
    <w:qFormat/>
    <w:uiPriority w:val="0"/>
    <w:rPr>
      <w:rFonts w:hint="eastAsia" w:ascii="宋体" w:hAnsi="宋体" w:eastAsia="宋体" w:cs="宋体"/>
      <w:color w:val="000000"/>
      <w:sz w:val="18"/>
      <w:szCs w:val="18"/>
      <w:u w:val="none"/>
    </w:rPr>
  </w:style>
  <w:style w:type="character" w:customStyle="1" w:styleId="46">
    <w:name w:val="font91"/>
    <w:basedOn w:val="8"/>
    <w:autoRedefine/>
    <w:qFormat/>
    <w:uiPriority w:val="0"/>
    <w:rPr>
      <w:rFonts w:hint="eastAsia" w:ascii="宋体" w:hAnsi="宋体" w:eastAsia="宋体" w:cs="宋体"/>
      <w:color w:val="000000"/>
      <w:sz w:val="20"/>
      <w:szCs w:val="20"/>
      <w:u w:val="none"/>
    </w:rPr>
  </w:style>
  <w:style w:type="character" w:customStyle="1" w:styleId="47">
    <w:name w:val="font101"/>
    <w:basedOn w:val="8"/>
    <w:autoRedefine/>
    <w:qFormat/>
    <w:uiPriority w:val="0"/>
    <w:rPr>
      <w:rFonts w:hint="eastAsia" w:ascii="宋体" w:hAnsi="宋体" w:eastAsia="宋体" w:cs="宋体"/>
      <w:color w:val="000000"/>
      <w:sz w:val="18"/>
      <w:szCs w:val="18"/>
      <w:u w:val="none"/>
    </w:rPr>
  </w:style>
  <w:style w:type="paragraph" w:customStyle="1" w:styleId="48">
    <w:name w:val="列表段落1"/>
    <w:basedOn w:val="1"/>
    <w:autoRedefine/>
    <w:qFormat/>
    <w:uiPriority w:val="34"/>
    <w:pPr>
      <w:ind w:firstLine="420" w:firstLineChars="200"/>
    </w:pPr>
    <w:rPr>
      <w:rFonts w:eastAsia="宋体"/>
    </w:rPr>
  </w:style>
  <w:style w:type="paragraph" w:customStyle="1" w:styleId="49">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15</Pages>
  <Words>5682</Words>
  <Characters>6179</Characters>
  <Lines>88</Lines>
  <Paragraphs>24</Paragraphs>
  <TotalTime>157282081</TotalTime>
  <ScaleCrop>false</ScaleCrop>
  <LinksUpToDate>false</LinksUpToDate>
  <CharactersWithSpaces>6240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WPS_1651227375</cp:lastModifiedBy>
  <cp:lastPrinted>2021-10-11T04:02:00Z</cp:lastPrinted>
  <dcterms:modified xsi:type="dcterms:W3CDTF">2024-08-12T07:06:04Z</dcterms:modified>
  <dc:title>四川省_x002A__x002A__x002A_</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22570D6F8854453B95BC4EE423D15768</vt:lpwstr>
  </property>
</Properties>
</file>