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5BBD44">
      <w:pPr>
        <w:spacing w:line="600" w:lineRule="exact"/>
        <w:jc w:val="left"/>
        <w:outlineLvl w:val="0"/>
        <w:rPr>
          <w:rFonts w:ascii="方正小标宋简体" w:eastAsia="方正小标宋简体"/>
          <w:color w:val="auto"/>
          <w:sz w:val="21"/>
          <w:szCs w:val="21"/>
          <w:highlight w:val="none"/>
        </w:rPr>
      </w:pPr>
      <w:bookmarkStart w:id="0" w:name="_Toc15306267"/>
    </w:p>
    <w:p w14:paraId="231D6430">
      <w:pPr>
        <w:spacing w:line="600" w:lineRule="exact"/>
        <w:jc w:val="center"/>
        <w:outlineLvl w:val="0"/>
        <w:rPr>
          <w:rFonts w:ascii="方正小标宋简体" w:eastAsia="方正小标宋简体"/>
          <w:color w:val="auto"/>
          <w:sz w:val="72"/>
          <w:szCs w:val="72"/>
          <w:highlight w:val="none"/>
        </w:rPr>
      </w:pPr>
    </w:p>
    <w:p w14:paraId="2D3E537F">
      <w:pPr>
        <w:spacing w:line="600" w:lineRule="exact"/>
        <w:jc w:val="center"/>
        <w:outlineLvl w:val="0"/>
        <w:rPr>
          <w:rFonts w:ascii="方正小标宋简体" w:eastAsia="方正小标宋简体"/>
          <w:color w:val="auto"/>
          <w:sz w:val="72"/>
          <w:szCs w:val="72"/>
          <w:highlight w:val="none"/>
        </w:rPr>
      </w:pPr>
    </w:p>
    <w:p w14:paraId="49769C8E">
      <w:pPr>
        <w:adjustRightInd w:val="0"/>
        <w:snapToGrid w:val="0"/>
        <w:spacing w:line="360" w:lineRule="auto"/>
        <w:jc w:val="center"/>
        <w:outlineLvl w:val="0"/>
        <w:rPr>
          <w:rFonts w:hint="eastAsia" w:ascii="方正小标宋简体" w:eastAsia="方正小标宋简体" w:cs="方正小标宋简体"/>
          <w:color w:val="auto"/>
          <w:sz w:val="72"/>
          <w:szCs w:val="72"/>
          <w:highlight w:val="none"/>
        </w:rPr>
      </w:pPr>
      <w:bookmarkStart w:id="1" w:name="_Toc15396475"/>
      <w:bookmarkStart w:id="2" w:name="_Toc15378441"/>
      <w:bookmarkStart w:id="3" w:name="_Toc15377193"/>
      <w:bookmarkStart w:id="4" w:name="_Toc15377425"/>
      <w:bookmarkStart w:id="5" w:name="_Toc32061"/>
      <w:bookmarkStart w:id="6" w:name="_Toc15396597"/>
      <w:bookmarkStart w:id="7" w:name="_Toc21847"/>
      <w:r>
        <w:rPr>
          <w:rFonts w:hint="eastAsia" w:ascii="方正小标宋简体" w:eastAsia="方正小标宋简体" w:cs="方正小标宋简体"/>
          <w:color w:val="auto"/>
          <w:sz w:val="72"/>
          <w:szCs w:val="72"/>
          <w:highlight w:val="none"/>
        </w:rPr>
        <w:t>20</w:t>
      </w:r>
      <w:r>
        <w:rPr>
          <w:rFonts w:hint="eastAsia" w:ascii="方正小标宋简体" w:eastAsia="方正小标宋简体" w:cs="方正小标宋简体"/>
          <w:color w:val="auto"/>
          <w:sz w:val="72"/>
          <w:szCs w:val="72"/>
          <w:highlight w:val="none"/>
          <w:lang w:val="en-US" w:eastAsia="zh-CN"/>
        </w:rPr>
        <w:t>22</w:t>
      </w:r>
      <w:r>
        <w:rPr>
          <w:rFonts w:hint="eastAsia" w:ascii="方正小标宋简体" w:eastAsia="方正小标宋简体" w:cs="方正小标宋简体"/>
          <w:color w:val="auto"/>
          <w:sz w:val="72"/>
          <w:szCs w:val="72"/>
          <w:highlight w:val="none"/>
        </w:rPr>
        <w:t>年度</w:t>
      </w:r>
      <w:bookmarkEnd w:id="1"/>
      <w:bookmarkEnd w:id="2"/>
      <w:bookmarkEnd w:id="3"/>
      <w:bookmarkEnd w:id="4"/>
      <w:bookmarkEnd w:id="5"/>
      <w:bookmarkEnd w:id="6"/>
      <w:bookmarkEnd w:id="7"/>
    </w:p>
    <w:p w14:paraId="3C9B0DEB">
      <w:pPr>
        <w:adjustRightInd w:val="0"/>
        <w:snapToGrid w:val="0"/>
        <w:spacing w:line="360" w:lineRule="auto"/>
        <w:jc w:val="center"/>
        <w:outlineLvl w:val="0"/>
        <w:rPr>
          <w:rFonts w:hint="eastAsia" w:ascii="方正小标宋简体" w:eastAsia="方正小标宋简体" w:cs="方正小标宋简体"/>
          <w:color w:val="auto"/>
          <w:sz w:val="72"/>
          <w:szCs w:val="72"/>
          <w:highlight w:val="none"/>
        </w:rPr>
      </w:pPr>
      <w:bookmarkStart w:id="8" w:name="_Toc15377194"/>
      <w:bookmarkStart w:id="9" w:name="_Toc5615"/>
      <w:bookmarkStart w:id="10" w:name="_Toc15377426"/>
      <w:bookmarkStart w:id="11" w:name="_Toc15396476"/>
      <w:bookmarkStart w:id="12" w:name="_Toc15378442"/>
      <w:bookmarkStart w:id="13" w:name="_Toc17300"/>
      <w:bookmarkStart w:id="14" w:name="_Toc15396598"/>
      <w:r>
        <w:rPr>
          <w:rFonts w:hint="eastAsia" w:ascii="方正小标宋简体" w:eastAsia="方正小标宋简体" w:cs="方正小标宋简体"/>
          <w:color w:val="auto"/>
          <w:sz w:val="72"/>
          <w:szCs w:val="72"/>
          <w:highlight w:val="none"/>
        </w:rPr>
        <w:t>四川省</w:t>
      </w:r>
      <w:bookmarkEnd w:id="0"/>
      <w:bookmarkStart w:id="15" w:name="_Toc15306268"/>
      <w:r>
        <w:rPr>
          <w:rFonts w:hint="eastAsia" w:ascii="方正小标宋简体" w:eastAsia="方正小标宋简体" w:cs="方正小标宋简体"/>
          <w:color w:val="auto"/>
          <w:sz w:val="72"/>
          <w:szCs w:val="72"/>
          <w:highlight w:val="none"/>
          <w:lang w:eastAsia="zh-CN"/>
        </w:rPr>
        <w:t>广元市昭化区昭化镇中心卫生院单位</w:t>
      </w:r>
      <w:r>
        <w:rPr>
          <w:rFonts w:hint="eastAsia" w:ascii="方正小标宋简体" w:eastAsia="方正小标宋简体" w:cs="方正小标宋简体"/>
          <w:color w:val="auto"/>
          <w:sz w:val="72"/>
          <w:szCs w:val="72"/>
          <w:highlight w:val="none"/>
        </w:rPr>
        <w:t>决算</w:t>
      </w:r>
      <w:bookmarkEnd w:id="8"/>
      <w:bookmarkEnd w:id="9"/>
      <w:bookmarkEnd w:id="10"/>
      <w:bookmarkEnd w:id="11"/>
      <w:bookmarkEnd w:id="12"/>
      <w:bookmarkEnd w:id="13"/>
      <w:bookmarkEnd w:id="14"/>
      <w:bookmarkEnd w:id="15"/>
    </w:p>
    <w:p w14:paraId="56454BC8">
      <w:pPr>
        <w:widowControl/>
        <w:jc w:val="center"/>
      </w:pPr>
      <w:r>
        <w:br w:type="page"/>
      </w:r>
      <w:r>
        <w:rPr>
          <w:rFonts w:hint="eastAsia" w:ascii="黑体" w:eastAsia="黑体"/>
          <w:color w:val="auto"/>
          <w:sz w:val="48"/>
          <w:szCs w:val="48"/>
          <w:highlight w:val="none"/>
        </w:rPr>
        <w:t>目录</w:t>
      </w:r>
    </w:p>
    <w:p w14:paraId="6548026D">
      <w:pPr>
        <w:pStyle w:val="12"/>
        <w:rPr>
          <w:rFonts w:eastAsia="仿宋"/>
          <w:color w:val="auto"/>
          <w:highlight w:val="none"/>
          <w:lang w:val="en-US" w:eastAsia="zh-CN"/>
        </w:rPr>
      </w:pPr>
      <w:r>
        <w:rPr>
          <w:rFonts w:hint="eastAsia"/>
          <w:color w:val="auto"/>
          <w:highlight w:val="none"/>
        </w:rPr>
        <w:t>公开时间：2</w:t>
      </w:r>
      <w:r>
        <w:rPr>
          <w:rFonts w:hint="eastAsia"/>
          <w:color w:val="auto"/>
          <w:highlight w:val="none"/>
          <w:lang w:val="en-US" w:eastAsia="zh-CN"/>
        </w:rPr>
        <w:t>023年9月28日</w:t>
      </w:r>
    </w:p>
    <w:sdt>
      <w:sdtPr>
        <w:rPr>
          <w:rFonts w:ascii="宋体" w:eastAsia="宋体" w:cs="Times New Roman"/>
          <w:kern w:val="2"/>
          <w:sz w:val="21"/>
          <w:szCs w:val="24"/>
          <w:lang w:val="en-US" w:eastAsia="zh-CN" w:bidi="ar-SA"/>
        </w:rPr>
        <w:id w:val="-285538090"/>
        <w15:color w:val="DBDBDB"/>
        <w:docPartObj>
          <w:docPartGallery w:val="Table of Contents"/>
          <w:docPartUnique/>
        </w:docPartObj>
      </w:sdtPr>
      <w:sdtEndPr>
        <w:rPr>
          <w:rFonts w:ascii="宋体" w:eastAsia="宋体" w:cs="Times New Roman"/>
          <w:kern w:val="2"/>
          <w:sz w:val="21"/>
          <w:szCs w:val="24"/>
          <w:lang w:val="en-US" w:eastAsia="zh-CN" w:bidi="ar-SA"/>
        </w:rPr>
      </w:sdtEndPr>
      <w:sdtContent>
        <w:p w14:paraId="75B2276A">
          <w:pPr>
            <w:spacing w:before="0" w:beforeLines="0" w:after="0" w:afterLines="0" w:line="240" w:lineRule="auto"/>
            <w:ind w:left="0" w:leftChars="0" w:right="0" w:rightChars="0" w:firstLine="0" w:firstLineChars="0"/>
            <w:jc w:val="center"/>
            <w:rPr>
              <w:rFonts w:ascii="Times New Roman" w:hAnsi="Times New Roman" w:eastAsia="宋体" w:cs="Times New Roman"/>
              <w:kern w:val="2"/>
              <w:sz w:val="21"/>
              <w:szCs w:val="24"/>
              <w:lang w:val="en-US" w:eastAsia="zh-CN" w:bidi="ar-SA"/>
            </w:rPr>
          </w:pPr>
          <w:r>
            <w:fldChar w:fldCharType="begin"/>
          </w:r>
          <w:r>
            <w:instrText xml:space="preserve">TOC \o "1-3" \h \u</w:instrText>
          </w:r>
          <w:r>
            <w:fldChar w:fldCharType="separate"/>
          </w:r>
        </w:p>
        <w:p w14:paraId="140C2981">
          <w:pPr>
            <w:pStyle w:val="12"/>
            <w:tabs>
              <w:tab w:val="right" w:leader="dot" w:pos="8306"/>
              <w:tab w:val="clear" w:pos="8296"/>
            </w:tabs>
            <w:jc w:val="both"/>
          </w:pPr>
          <w:r>
            <w:fldChar w:fldCharType="begin"/>
          </w:r>
          <w:r>
            <w:instrText xml:space="preserve"> HYPERLINK \l "_Toc14672" </w:instrText>
          </w:r>
          <w:r>
            <w:fldChar w:fldCharType="separate"/>
          </w:r>
          <w:r>
            <w:rPr>
              <w:rFonts w:hint="eastAsia" w:ascii="黑体" w:eastAsia="黑体"/>
              <w:highlight w:val="none"/>
            </w:rPr>
            <w:t>第一部分</w:t>
          </w:r>
          <w:r>
            <w:rPr>
              <w:rFonts w:hint="eastAsia" w:ascii="黑体" w:eastAsia="黑体"/>
              <w:highlight w:val="none"/>
              <w:lang w:val="en-US" w:eastAsia="zh-CN"/>
            </w:rPr>
            <w:t xml:space="preserve"> </w:t>
          </w:r>
          <w:r>
            <w:rPr>
              <w:rFonts w:hint="eastAsia" w:ascii="黑体" w:eastAsia="黑体"/>
              <w:highlight w:val="none"/>
              <w:lang w:eastAsia="zh-CN"/>
            </w:rPr>
            <w:t>单位</w:t>
          </w:r>
          <w:r>
            <w:rPr>
              <w:rFonts w:hint="eastAsia" w:ascii="黑体" w:eastAsia="黑体"/>
              <w:bCs w:val="0"/>
              <w:highlight w:val="none"/>
            </w:rPr>
            <w:t>概况</w:t>
          </w:r>
          <w:r>
            <w:tab/>
          </w:r>
          <w:r>
            <w:fldChar w:fldCharType="begin"/>
          </w:r>
          <w:r>
            <w:instrText xml:space="preserve"> PAGEREF _Toc14672 </w:instrText>
          </w:r>
          <w:r>
            <w:fldChar w:fldCharType="separate"/>
          </w:r>
          <w:r>
            <w:t>1</w:t>
          </w:r>
          <w:r>
            <w:fldChar w:fldCharType="end"/>
          </w:r>
          <w:r>
            <w:fldChar w:fldCharType="end"/>
          </w:r>
        </w:p>
        <w:p w14:paraId="0788726A">
          <w:pPr>
            <w:pStyle w:val="13"/>
            <w:tabs>
              <w:tab w:val="right" w:leader="dot" w:pos="8306"/>
              <w:tab w:val="clear" w:pos="8296"/>
            </w:tabs>
          </w:pPr>
          <w:r>
            <w:fldChar w:fldCharType="begin"/>
          </w:r>
          <w:r>
            <w:instrText xml:space="preserve"> HYPERLINK \l "_Toc21023" </w:instrText>
          </w:r>
          <w:r>
            <w:fldChar w:fldCharType="separate"/>
          </w:r>
          <w:r>
            <w:rPr>
              <w:rFonts w:hint="eastAsia" w:ascii="黑体" w:eastAsia="黑体"/>
              <w:bCs w:val="0"/>
              <w:lang w:eastAsia="zh-CN"/>
            </w:rPr>
            <w:t>一、</w:t>
          </w:r>
          <w:r>
            <w:rPr>
              <w:rFonts w:hint="eastAsia" w:ascii="黑体" w:eastAsia="黑体"/>
              <w:bCs w:val="0"/>
              <w:highlight w:val="none"/>
              <w:lang w:eastAsia="zh-CN"/>
            </w:rPr>
            <w:t>主要职责</w:t>
          </w:r>
          <w:r>
            <w:tab/>
          </w:r>
          <w:r>
            <w:fldChar w:fldCharType="begin"/>
          </w:r>
          <w:r>
            <w:instrText xml:space="preserve"> PAGEREF _Toc21023 </w:instrText>
          </w:r>
          <w:r>
            <w:fldChar w:fldCharType="separate"/>
          </w:r>
          <w:r>
            <w:t>1</w:t>
          </w:r>
          <w:r>
            <w:fldChar w:fldCharType="end"/>
          </w:r>
          <w:r>
            <w:fldChar w:fldCharType="end"/>
          </w:r>
        </w:p>
        <w:p w14:paraId="0812520D">
          <w:pPr>
            <w:pStyle w:val="13"/>
            <w:tabs>
              <w:tab w:val="right" w:leader="dot" w:pos="8306"/>
              <w:tab w:val="clear" w:pos="8296"/>
            </w:tabs>
          </w:pPr>
          <w:r>
            <w:fldChar w:fldCharType="begin"/>
          </w:r>
          <w:r>
            <w:instrText xml:space="preserve"> HYPERLINK \l "_Toc10125" </w:instrText>
          </w:r>
          <w:r>
            <w:fldChar w:fldCharType="separate"/>
          </w:r>
          <w:r>
            <w:rPr>
              <w:rFonts w:hint="eastAsia" w:ascii="黑体" w:eastAsia="黑体" w:cs="Times New Roman"/>
              <w:bCs w:val="0"/>
              <w:lang w:val="en-US" w:eastAsia="zh-CN"/>
            </w:rPr>
            <w:t>二、</w:t>
          </w:r>
          <w:r>
            <w:rPr>
              <w:rFonts w:hint="eastAsia" w:ascii="黑体" w:eastAsia="黑体" w:cs="Times New Roman"/>
              <w:bCs w:val="0"/>
              <w:highlight w:val="none"/>
              <w:lang w:val="en-US" w:eastAsia="zh-CN"/>
            </w:rPr>
            <w:t>机构设置</w:t>
          </w:r>
          <w:r>
            <w:tab/>
          </w:r>
          <w:r>
            <w:fldChar w:fldCharType="begin"/>
          </w:r>
          <w:r>
            <w:instrText xml:space="preserve"> PAGEREF _Toc10125 </w:instrText>
          </w:r>
          <w:r>
            <w:fldChar w:fldCharType="separate"/>
          </w:r>
          <w:r>
            <w:t>1</w:t>
          </w:r>
          <w:r>
            <w:fldChar w:fldCharType="end"/>
          </w:r>
          <w:r>
            <w:fldChar w:fldCharType="end"/>
          </w:r>
        </w:p>
        <w:p w14:paraId="215FC92D">
          <w:pPr>
            <w:pStyle w:val="12"/>
            <w:tabs>
              <w:tab w:val="right" w:leader="dot" w:pos="8306"/>
              <w:tab w:val="clear" w:pos="8296"/>
            </w:tabs>
          </w:pPr>
          <w:r>
            <w:fldChar w:fldCharType="begin"/>
          </w:r>
          <w:r>
            <w:instrText xml:space="preserve"> HYPERLINK \l "_Toc3497" </w:instrText>
          </w:r>
          <w:r>
            <w:fldChar w:fldCharType="separate"/>
          </w:r>
          <w:r>
            <w:rPr>
              <w:rFonts w:hint="eastAsia" w:ascii="黑体" w:eastAsia="黑体"/>
              <w:bCs/>
              <w:highlight w:val="none"/>
            </w:rPr>
            <w:t xml:space="preserve">第二部分 </w:t>
          </w:r>
          <w:r>
            <w:rPr>
              <w:rFonts w:hint="eastAsia" w:ascii="黑体" w:eastAsia="黑体"/>
              <w:bCs/>
              <w:highlight w:val="none"/>
              <w:lang w:val="en-US" w:eastAsia="zh-CN"/>
            </w:rPr>
            <w:t>2022年度</w:t>
          </w:r>
          <w:r>
            <w:rPr>
              <w:rFonts w:hint="eastAsia" w:ascii="黑体" w:eastAsia="黑体"/>
              <w:bCs/>
              <w:highlight w:val="none"/>
              <w:lang w:eastAsia="zh-CN"/>
            </w:rPr>
            <w:t>单位</w:t>
          </w:r>
          <w:r>
            <w:rPr>
              <w:rFonts w:hint="eastAsia" w:ascii="黑体" w:eastAsia="黑体"/>
              <w:bCs/>
              <w:highlight w:val="none"/>
            </w:rPr>
            <w:t>决算情况说明</w:t>
          </w:r>
          <w:r>
            <w:tab/>
          </w:r>
          <w:r>
            <w:fldChar w:fldCharType="begin"/>
          </w:r>
          <w:r>
            <w:instrText xml:space="preserve"> PAGEREF _Toc3497 </w:instrText>
          </w:r>
          <w:r>
            <w:fldChar w:fldCharType="separate"/>
          </w:r>
          <w:r>
            <w:t>2</w:t>
          </w:r>
          <w:r>
            <w:fldChar w:fldCharType="end"/>
          </w:r>
          <w:r>
            <w:fldChar w:fldCharType="end"/>
          </w:r>
        </w:p>
        <w:p w14:paraId="4F0D248C">
          <w:pPr>
            <w:pStyle w:val="13"/>
            <w:tabs>
              <w:tab w:val="right" w:leader="dot" w:pos="8306"/>
              <w:tab w:val="clear" w:pos="8296"/>
            </w:tabs>
          </w:pPr>
          <w:r>
            <w:fldChar w:fldCharType="begin"/>
          </w:r>
          <w:r>
            <w:instrText xml:space="preserve"> HYPERLINK \l "_Toc5715" </w:instrText>
          </w:r>
          <w:r>
            <w:fldChar w:fldCharType="separate"/>
          </w:r>
          <w:r>
            <w:rPr>
              <w:rFonts w:hint="default" w:ascii="黑体" w:eastAsia="黑体"/>
            </w:rPr>
            <w:t xml:space="preserve">一、 </w:t>
          </w:r>
          <w:r>
            <w:rPr>
              <w:rFonts w:hint="eastAsia" w:ascii="黑体" w:eastAsia="黑体"/>
              <w:szCs w:val="32"/>
              <w:highlight w:val="none"/>
            </w:rPr>
            <w:t>收</w:t>
          </w:r>
          <w:r>
            <w:rPr>
              <w:rFonts w:hint="eastAsia" w:ascii="黑体" w:eastAsia="黑体"/>
              <w:highlight w:val="none"/>
            </w:rPr>
            <w:t>入支出决算总体情况说明</w:t>
          </w:r>
          <w:r>
            <w:tab/>
          </w:r>
          <w:r>
            <w:fldChar w:fldCharType="begin"/>
          </w:r>
          <w:r>
            <w:instrText xml:space="preserve"> PAGEREF _Toc5715 </w:instrText>
          </w:r>
          <w:r>
            <w:fldChar w:fldCharType="separate"/>
          </w:r>
          <w:r>
            <w:t>2</w:t>
          </w:r>
          <w:r>
            <w:fldChar w:fldCharType="end"/>
          </w:r>
          <w:r>
            <w:fldChar w:fldCharType="end"/>
          </w:r>
        </w:p>
        <w:p w14:paraId="24C0B0DB">
          <w:pPr>
            <w:pStyle w:val="13"/>
            <w:tabs>
              <w:tab w:val="right" w:leader="dot" w:pos="8306"/>
              <w:tab w:val="clear" w:pos="8296"/>
            </w:tabs>
          </w:pPr>
          <w:r>
            <w:fldChar w:fldCharType="begin"/>
          </w:r>
          <w:r>
            <w:instrText xml:space="preserve"> HYPERLINK \l "_Toc16584" </w:instrText>
          </w:r>
          <w:r>
            <w:fldChar w:fldCharType="separate"/>
          </w:r>
          <w:r>
            <w:rPr>
              <w:rFonts w:hint="default" w:ascii="黑体" w:eastAsia="黑体"/>
            </w:rPr>
            <w:t xml:space="preserve">二、 </w:t>
          </w:r>
          <w:r>
            <w:rPr>
              <w:rFonts w:hint="eastAsia" w:ascii="黑体" w:eastAsia="黑体"/>
              <w:szCs w:val="32"/>
              <w:highlight w:val="none"/>
            </w:rPr>
            <w:t>收</w:t>
          </w:r>
          <w:r>
            <w:rPr>
              <w:rFonts w:hint="eastAsia" w:ascii="黑体" w:eastAsia="黑体"/>
              <w:highlight w:val="none"/>
            </w:rPr>
            <w:t>入决算情况说明</w:t>
          </w:r>
          <w:r>
            <w:tab/>
          </w:r>
          <w:r>
            <w:fldChar w:fldCharType="begin"/>
          </w:r>
          <w:r>
            <w:instrText xml:space="preserve"> PAGEREF _Toc16584 </w:instrText>
          </w:r>
          <w:r>
            <w:fldChar w:fldCharType="separate"/>
          </w:r>
          <w:r>
            <w:t>2</w:t>
          </w:r>
          <w:r>
            <w:fldChar w:fldCharType="end"/>
          </w:r>
          <w:r>
            <w:fldChar w:fldCharType="end"/>
          </w:r>
        </w:p>
        <w:p w14:paraId="2C308B05">
          <w:pPr>
            <w:pStyle w:val="13"/>
            <w:tabs>
              <w:tab w:val="right" w:leader="dot" w:pos="8306"/>
              <w:tab w:val="clear" w:pos="8296"/>
            </w:tabs>
          </w:pPr>
          <w:r>
            <w:fldChar w:fldCharType="begin"/>
          </w:r>
          <w:r>
            <w:instrText xml:space="preserve"> HYPERLINK \l "_Toc1238" </w:instrText>
          </w:r>
          <w:r>
            <w:fldChar w:fldCharType="separate"/>
          </w:r>
          <w:r>
            <w:rPr>
              <w:rFonts w:hint="default" w:ascii="黑体" w:eastAsia="黑体"/>
            </w:rPr>
            <w:t xml:space="preserve">三、 </w:t>
          </w:r>
          <w:r>
            <w:rPr>
              <w:rFonts w:hint="eastAsia" w:ascii="黑体" w:eastAsia="黑体"/>
              <w:szCs w:val="32"/>
              <w:highlight w:val="none"/>
            </w:rPr>
            <w:t>支</w:t>
          </w:r>
          <w:r>
            <w:rPr>
              <w:rFonts w:hint="eastAsia" w:ascii="黑体" w:eastAsia="黑体"/>
              <w:highlight w:val="none"/>
            </w:rPr>
            <w:t>出决算情况说明</w:t>
          </w:r>
          <w:r>
            <w:tab/>
          </w:r>
          <w:r>
            <w:fldChar w:fldCharType="begin"/>
          </w:r>
          <w:r>
            <w:instrText xml:space="preserve"> PAGEREF _Toc1238 </w:instrText>
          </w:r>
          <w:r>
            <w:fldChar w:fldCharType="separate"/>
          </w:r>
          <w:r>
            <w:t>3</w:t>
          </w:r>
          <w:r>
            <w:fldChar w:fldCharType="end"/>
          </w:r>
          <w:r>
            <w:fldChar w:fldCharType="end"/>
          </w:r>
        </w:p>
        <w:p w14:paraId="178E9112">
          <w:pPr>
            <w:pStyle w:val="13"/>
            <w:tabs>
              <w:tab w:val="right" w:leader="dot" w:pos="8306"/>
              <w:tab w:val="clear" w:pos="8296"/>
            </w:tabs>
          </w:pPr>
          <w:r>
            <w:fldChar w:fldCharType="begin"/>
          </w:r>
          <w:r>
            <w:instrText xml:space="preserve"> HYPERLINK \l "_Toc14162" </w:instrText>
          </w:r>
          <w:r>
            <w:fldChar w:fldCharType="separate"/>
          </w:r>
          <w:r>
            <w:rPr>
              <w:rFonts w:hint="eastAsia" w:ascii="黑体" w:eastAsia="黑体"/>
              <w:szCs w:val="32"/>
              <w:highlight w:val="none"/>
            </w:rPr>
            <w:t>四、财</w:t>
          </w:r>
          <w:r>
            <w:rPr>
              <w:rFonts w:hint="eastAsia" w:ascii="黑体" w:eastAsia="黑体"/>
              <w:highlight w:val="none"/>
            </w:rPr>
            <w:t>政拨款收入支出决算总体情况说明</w:t>
          </w:r>
          <w:r>
            <w:tab/>
          </w:r>
          <w:r>
            <w:fldChar w:fldCharType="begin"/>
          </w:r>
          <w:r>
            <w:instrText xml:space="preserve"> PAGEREF _Toc14162 </w:instrText>
          </w:r>
          <w:r>
            <w:fldChar w:fldCharType="separate"/>
          </w:r>
          <w:r>
            <w:t>3</w:t>
          </w:r>
          <w:r>
            <w:fldChar w:fldCharType="end"/>
          </w:r>
          <w:r>
            <w:fldChar w:fldCharType="end"/>
          </w:r>
        </w:p>
        <w:p w14:paraId="49F13D48">
          <w:pPr>
            <w:pStyle w:val="13"/>
            <w:tabs>
              <w:tab w:val="right" w:leader="dot" w:pos="8306"/>
              <w:tab w:val="clear" w:pos="8296"/>
            </w:tabs>
          </w:pPr>
          <w:r>
            <w:fldChar w:fldCharType="begin"/>
          </w:r>
          <w:r>
            <w:instrText xml:space="preserve"> HYPERLINK \l "_Toc11025" </w:instrText>
          </w:r>
          <w:r>
            <w:fldChar w:fldCharType="separate"/>
          </w:r>
          <w:r>
            <w:rPr>
              <w:rFonts w:hint="eastAsia" w:ascii="黑体" w:eastAsia="黑体"/>
              <w:szCs w:val="32"/>
              <w:highlight w:val="none"/>
            </w:rPr>
            <w:t>五、一</w:t>
          </w:r>
          <w:r>
            <w:rPr>
              <w:rFonts w:hint="eastAsia" w:ascii="黑体" w:eastAsia="黑体"/>
              <w:highlight w:val="none"/>
            </w:rPr>
            <w:t>般公共预算财政拨款支出决算情况说明</w:t>
          </w:r>
          <w:r>
            <w:tab/>
          </w:r>
          <w:r>
            <w:fldChar w:fldCharType="begin"/>
          </w:r>
          <w:r>
            <w:instrText xml:space="preserve"> PAGEREF _Toc11025 </w:instrText>
          </w:r>
          <w:r>
            <w:fldChar w:fldCharType="separate"/>
          </w:r>
          <w:r>
            <w:t>4</w:t>
          </w:r>
          <w:r>
            <w:fldChar w:fldCharType="end"/>
          </w:r>
          <w:r>
            <w:fldChar w:fldCharType="end"/>
          </w:r>
        </w:p>
        <w:p w14:paraId="3CC97063">
          <w:pPr>
            <w:pStyle w:val="8"/>
            <w:tabs>
              <w:tab w:val="right" w:leader="dot" w:pos="8306"/>
              <w:tab w:val="clear" w:pos="8296"/>
            </w:tabs>
          </w:pPr>
          <w:r>
            <w:fldChar w:fldCharType="begin"/>
          </w:r>
          <w:r>
            <w:instrText xml:space="preserve"> HYPERLINK \l "_Toc1604" </w:instrText>
          </w:r>
          <w:r>
            <w:fldChar w:fldCharType="separate"/>
          </w:r>
          <w:r>
            <w:rPr>
              <w:rFonts w:hint="eastAsia" w:ascii="仿宋" w:eastAsia="仿宋"/>
              <w:szCs w:val="32"/>
              <w:highlight w:val="none"/>
            </w:rPr>
            <w:t>（一）一般公共预算财政拨款支出决算总体情况</w:t>
          </w:r>
          <w:r>
            <w:tab/>
          </w:r>
          <w:r>
            <w:fldChar w:fldCharType="begin"/>
          </w:r>
          <w:r>
            <w:instrText xml:space="preserve"> PAGEREF _Toc1604 </w:instrText>
          </w:r>
          <w:r>
            <w:fldChar w:fldCharType="separate"/>
          </w:r>
          <w:r>
            <w:t>4</w:t>
          </w:r>
          <w:r>
            <w:fldChar w:fldCharType="end"/>
          </w:r>
          <w:r>
            <w:fldChar w:fldCharType="end"/>
          </w:r>
        </w:p>
        <w:p w14:paraId="54304123">
          <w:pPr>
            <w:pStyle w:val="8"/>
            <w:tabs>
              <w:tab w:val="right" w:leader="dot" w:pos="8306"/>
              <w:tab w:val="clear" w:pos="8296"/>
            </w:tabs>
          </w:pPr>
          <w:r>
            <w:fldChar w:fldCharType="begin"/>
          </w:r>
          <w:r>
            <w:instrText xml:space="preserve"> HYPERLINK \l "_Toc19847" </w:instrText>
          </w:r>
          <w:r>
            <w:fldChar w:fldCharType="separate"/>
          </w:r>
          <w:r>
            <w:rPr>
              <w:rFonts w:hint="eastAsia" w:ascii="仿宋" w:eastAsia="仿宋"/>
              <w:szCs w:val="32"/>
              <w:highlight w:val="none"/>
            </w:rPr>
            <w:t>（二）一般公共预算财政拨款支出决算结构情况</w:t>
          </w:r>
          <w:r>
            <w:tab/>
          </w:r>
          <w:r>
            <w:fldChar w:fldCharType="begin"/>
          </w:r>
          <w:r>
            <w:instrText xml:space="preserve"> PAGEREF _Toc19847 </w:instrText>
          </w:r>
          <w:r>
            <w:fldChar w:fldCharType="separate"/>
          </w:r>
          <w:r>
            <w:t>4</w:t>
          </w:r>
          <w:r>
            <w:fldChar w:fldCharType="end"/>
          </w:r>
          <w:r>
            <w:fldChar w:fldCharType="end"/>
          </w:r>
        </w:p>
        <w:p w14:paraId="3EE18707">
          <w:pPr>
            <w:pStyle w:val="8"/>
            <w:tabs>
              <w:tab w:val="right" w:leader="dot" w:pos="8306"/>
              <w:tab w:val="clear" w:pos="8296"/>
            </w:tabs>
          </w:pPr>
          <w:r>
            <w:fldChar w:fldCharType="begin"/>
          </w:r>
          <w:r>
            <w:instrText xml:space="preserve"> HYPERLINK \l "_Toc14489" </w:instrText>
          </w:r>
          <w:r>
            <w:fldChar w:fldCharType="separate"/>
          </w:r>
          <w:r>
            <w:rPr>
              <w:rFonts w:hint="eastAsia" w:ascii="仿宋" w:eastAsia="仿宋"/>
              <w:szCs w:val="32"/>
              <w:highlight w:val="none"/>
            </w:rPr>
            <w:t>（三）一般公共预算财政拨款支出决算具体情况</w:t>
          </w:r>
          <w:r>
            <w:tab/>
          </w:r>
          <w:r>
            <w:fldChar w:fldCharType="begin"/>
          </w:r>
          <w:r>
            <w:instrText xml:space="preserve"> PAGEREF _Toc14489 </w:instrText>
          </w:r>
          <w:r>
            <w:fldChar w:fldCharType="separate"/>
          </w:r>
          <w:r>
            <w:t>5</w:t>
          </w:r>
          <w:r>
            <w:fldChar w:fldCharType="end"/>
          </w:r>
          <w:r>
            <w:fldChar w:fldCharType="end"/>
          </w:r>
        </w:p>
        <w:p w14:paraId="2E38851D">
          <w:pPr>
            <w:pStyle w:val="13"/>
            <w:tabs>
              <w:tab w:val="right" w:leader="dot" w:pos="8306"/>
              <w:tab w:val="clear" w:pos="8296"/>
            </w:tabs>
          </w:pPr>
          <w:r>
            <w:fldChar w:fldCharType="begin"/>
          </w:r>
          <w:r>
            <w:instrText xml:space="preserve"> HYPERLINK \l "_Toc23139" </w:instrText>
          </w:r>
          <w:r>
            <w:fldChar w:fldCharType="separate"/>
          </w:r>
          <w:r>
            <w:rPr>
              <w:rFonts w:hint="eastAsia" w:ascii="黑体" w:eastAsia="黑体"/>
              <w:szCs w:val="32"/>
              <w:highlight w:val="none"/>
            </w:rPr>
            <w:t>六、一</w:t>
          </w:r>
          <w:r>
            <w:rPr>
              <w:rFonts w:hint="eastAsia" w:ascii="黑体" w:eastAsia="黑体"/>
              <w:highlight w:val="none"/>
            </w:rPr>
            <w:t>般公共预算财政拨款基本支出决算情况说明</w:t>
          </w:r>
          <w:r>
            <w:tab/>
          </w:r>
          <w:r>
            <w:fldChar w:fldCharType="begin"/>
          </w:r>
          <w:r>
            <w:instrText xml:space="preserve"> PAGEREF _Toc23139 </w:instrText>
          </w:r>
          <w:r>
            <w:fldChar w:fldCharType="separate"/>
          </w:r>
          <w:r>
            <w:t>5</w:t>
          </w:r>
          <w:r>
            <w:fldChar w:fldCharType="end"/>
          </w:r>
          <w:r>
            <w:fldChar w:fldCharType="end"/>
          </w:r>
        </w:p>
        <w:p w14:paraId="19E49204">
          <w:pPr>
            <w:pStyle w:val="13"/>
            <w:tabs>
              <w:tab w:val="right" w:leader="dot" w:pos="8306"/>
              <w:tab w:val="clear" w:pos="8296"/>
            </w:tabs>
          </w:pPr>
          <w:r>
            <w:fldChar w:fldCharType="begin"/>
          </w:r>
          <w:r>
            <w:instrText xml:space="preserve"> HYPERLINK \l "_Toc19745" </w:instrText>
          </w:r>
          <w:r>
            <w:fldChar w:fldCharType="separate"/>
          </w:r>
          <w:r>
            <w:rPr>
              <w:rFonts w:hint="eastAsia" w:ascii="黑体" w:eastAsia="黑体"/>
              <w:szCs w:val="32"/>
              <w:highlight w:val="none"/>
            </w:rPr>
            <w:t>七、</w:t>
          </w:r>
          <w:r>
            <w:rPr>
              <w:rFonts w:hint="eastAsia" w:ascii="黑体" w:eastAsia="黑体"/>
              <w:highlight w:val="none"/>
            </w:rPr>
            <w:t>财政拨款“三公”经费支出决算情况说明</w:t>
          </w:r>
          <w:r>
            <w:tab/>
          </w:r>
          <w:r>
            <w:fldChar w:fldCharType="begin"/>
          </w:r>
          <w:r>
            <w:instrText xml:space="preserve"> PAGEREF _Toc19745 </w:instrText>
          </w:r>
          <w:r>
            <w:fldChar w:fldCharType="separate"/>
          </w:r>
          <w:r>
            <w:t>6</w:t>
          </w:r>
          <w:r>
            <w:fldChar w:fldCharType="end"/>
          </w:r>
          <w:r>
            <w:fldChar w:fldCharType="end"/>
          </w:r>
        </w:p>
        <w:p w14:paraId="516CBD68">
          <w:pPr>
            <w:pStyle w:val="8"/>
            <w:tabs>
              <w:tab w:val="right" w:leader="dot" w:pos="8306"/>
              <w:tab w:val="clear" w:pos="8296"/>
            </w:tabs>
          </w:pPr>
          <w:r>
            <w:fldChar w:fldCharType="begin"/>
          </w:r>
          <w:r>
            <w:instrText xml:space="preserve"> HYPERLINK \l "_Toc29736" </w:instrText>
          </w:r>
          <w:r>
            <w:fldChar w:fldCharType="separate"/>
          </w:r>
          <w:r>
            <w:rPr>
              <w:rFonts w:hint="eastAsia" w:ascii="仿宋" w:eastAsia="仿宋"/>
              <w:szCs w:val="32"/>
              <w:highlight w:val="none"/>
            </w:rPr>
            <w:t>（一）“三公”经费财政拨款支出决算总体情况说明</w:t>
          </w:r>
          <w:r>
            <w:tab/>
          </w:r>
          <w:r>
            <w:fldChar w:fldCharType="begin"/>
          </w:r>
          <w:r>
            <w:instrText xml:space="preserve"> PAGEREF _Toc29736 </w:instrText>
          </w:r>
          <w:r>
            <w:fldChar w:fldCharType="separate"/>
          </w:r>
          <w:r>
            <w:t>6</w:t>
          </w:r>
          <w:r>
            <w:fldChar w:fldCharType="end"/>
          </w:r>
          <w:r>
            <w:fldChar w:fldCharType="end"/>
          </w:r>
        </w:p>
        <w:p w14:paraId="79DAE266">
          <w:pPr>
            <w:pStyle w:val="8"/>
            <w:tabs>
              <w:tab w:val="right" w:leader="dot" w:pos="8306"/>
              <w:tab w:val="clear" w:pos="8296"/>
            </w:tabs>
          </w:pPr>
          <w:r>
            <w:fldChar w:fldCharType="begin"/>
          </w:r>
          <w:r>
            <w:instrText xml:space="preserve"> HYPERLINK \l "_Toc9727" </w:instrText>
          </w:r>
          <w:r>
            <w:fldChar w:fldCharType="separate"/>
          </w:r>
          <w:r>
            <w:rPr>
              <w:rFonts w:hint="eastAsia" w:ascii="仿宋" w:eastAsia="仿宋"/>
              <w:szCs w:val="32"/>
              <w:highlight w:val="none"/>
            </w:rPr>
            <w:t>（二）“三公”经费财政拨款支出决算具体情况说明</w:t>
          </w:r>
          <w:r>
            <w:tab/>
          </w:r>
          <w:r>
            <w:fldChar w:fldCharType="begin"/>
          </w:r>
          <w:r>
            <w:instrText xml:space="preserve"> PAGEREF _Toc9727 </w:instrText>
          </w:r>
          <w:r>
            <w:fldChar w:fldCharType="separate"/>
          </w:r>
          <w:r>
            <w:t>6</w:t>
          </w:r>
          <w:r>
            <w:fldChar w:fldCharType="end"/>
          </w:r>
          <w:r>
            <w:fldChar w:fldCharType="end"/>
          </w:r>
        </w:p>
        <w:p w14:paraId="757B9052">
          <w:pPr>
            <w:pStyle w:val="13"/>
            <w:tabs>
              <w:tab w:val="right" w:leader="dot" w:pos="8306"/>
              <w:tab w:val="clear" w:pos="8296"/>
            </w:tabs>
          </w:pPr>
          <w:r>
            <w:fldChar w:fldCharType="begin"/>
          </w:r>
          <w:r>
            <w:instrText xml:space="preserve"> HYPERLINK \l "_Toc28071" </w:instrText>
          </w:r>
          <w:r>
            <w:fldChar w:fldCharType="separate"/>
          </w:r>
          <w:r>
            <w:rPr>
              <w:rFonts w:hint="eastAsia" w:ascii="黑体" w:eastAsia="黑体"/>
              <w:szCs w:val="32"/>
              <w:highlight w:val="none"/>
            </w:rPr>
            <w:t>八、</w:t>
          </w:r>
          <w:r>
            <w:rPr>
              <w:rFonts w:hint="eastAsia" w:ascii="黑体" w:eastAsia="黑体"/>
              <w:highlight w:val="none"/>
            </w:rPr>
            <w:t>政府性基金预算支出决算情况说明</w:t>
          </w:r>
          <w:r>
            <w:tab/>
          </w:r>
          <w:r>
            <w:fldChar w:fldCharType="begin"/>
          </w:r>
          <w:r>
            <w:instrText xml:space="preserve"> PAGEREF _Toc28071 </w:instrText>
          </w:r>
          <w:r>
            <w:fldChar w:fldCharType="separate"/>
          </w:r>
          <w:r>
            <w:t>6</w:t>
          </w:r>
          <w:r>
            <w:fldChar w:fldCharType="end"/>
          </w:r>
          <w:r>
            <w:fldChar w:fldCharType="end"/>
          </w:r>
        </w:p>
        <w:p w14:paraId="059865CD">
          <w:pPr>
            <w:pStyle w:val="13"/>
            <w:tabs>
              <w:tab w:val="right" w:leader="dot" w:pos="8306"/>
              <w:tab w:val="clear" w:pos="8296"/>
            </w:tabs>
          </w:pPr>
          <w:r>
            <w:fldChar w:fldCharType="begin"/>
          </w:r>
          <w:r>
            <w:instrText xml:space="preserve"> HYPERLINK \l "_Toc18776" </w:instrText>
          </w:r>
          <w:r>
            <w:fldChar w:fldCharType="separate"/>
          </w:r>
          <w:r>
            <w:rPr>
              <w:rFonts w:hint="eastAsia" w:ascii="黑体" w:eastAsia="黑体"/>
            </w:rPr>
            <w:t xml:space="preserve">九、 </w:t>
          </w:r>
          <w:r>
            <w:rPr>
              <w:rFonts w:hint="eastAsia" w:ascii="黑体" w:eastAsia="黑体"/>
              <w:highlight w:val="none"/>
            </w:rPr>
            <w:t>国有资本经营预算支出决算情况说明</w:t>
          </w:r>
          <w:r>
            <w:tab/>
          </w:r>
          <w:r>
            <w:fldChar w:fldCharType="begin"/>
          </w:r>
          <w:r>
            <w:instrText xml:space="preserve"> PAGEREF _Toc18776 </w:instrText>
          </w:r>
          <w:r>
            <w:fldChar w:fldCharType="separate"/>
          </w:r>
          <w:r>
            <w:t>6</w:t>
          </w:r>
          <w:r>
            <w:fldChar w:fldCharType="end"/>
          </w:r>
          <w:r>
            <w:fldChar w:fldCharType="end"/>
          </w:r>
        </w:p>
        <w:p w14:paraId="1C72CE4F">
          <w:pPr>
            <w:pStyle w:val="13"/>
            <w:tabs>
              <w:tab w:val="right" w:leader="dot" w:pos="8306"/>
              <w:tab w:val="clear" w:pos="8296"/>
            </w:tabs>
          </w:pPr>
          <w:r>
            <w:fldChar w:fldCharType="begin"/>
          </w:r>
          <w:r>
            <w:instrText xml:space="preserve"> HYPERLINK \l "_Toc32695" </w:instrText>
          </w:r>
          <w:r>
            <w:fldChar w:fldCharType="separate"/>
          </w:r>
          <w:r>
            <w:rPr>
              <w:rFonts w:hint="eastAsia" w:ascii="黑体" w:eastAsia="黑体"/>
            </w:rPr>
            <w:t xml:space="preserve">十、 </w:t>
          </w:r>
          <w:r>
            <w:rPr>
              <w:rFonts w:hint="eastAsia" w:ascii="黑体" w:eastAsia="黑体"/>
              <w:highlight w:val="none"/>
            </w:rPr>
            <w:t>其他重要事项的情况说明</w:t>
          </w:r>
          <w:r>
            <w:tab/>
          </w:r>
          <w:r>
            <w:fldChar w:fldCharType="begin"/>
          </w:r>
          <w:r>
            <w:instrText xml:space="preserve"> PAGEREF _Toc32695 </w:instrText>
          </w:r>
          <w:r>
            <w:fldChar w:fldCharType="separate"/>
          </w:r>
          <w:r>
            <w:t>7</w:t>
          </w:r>
          <w:r>
            <w:fldChar w:fldCharType="end"/>
          </w:r>
          <w:r>
            <w:fldChar w:fldCharType="end"/>
          </w:r>
        </w:p>
        <w:p w14:paraId="44137748">
          <w:pPr>
            <w:pStyle w:val="8"/>
            <w:tabs>
              <w:tab w:val="right" w:leader="dot" w:pos="8306"/>
              <w:tab w:val="clear" w:pos="8296"/>
            </w:tabs>
          </w:pPr>
          <w:r>
            <w:fldChar w:fldCharType="begin"/>
          </w:r>
          <w:r>
            <w:instrText xml:space="preserve"> HYPERLINK \l "_Toc7154" </w:instrText>
          </w:r>
          <w:r>
            <w:fldChar w:fldCharType="separate"/>
          </w:r>
          <w:r>
            <w:rPr>
              <w:rFonts w:hint="eastAsia" w:ascii="仿宋" w:eastAsia="仿宋"/>
              <w:szCs w:val="32"/>
              <w:highlight w:val="none"/>
            </w:rPr>
            <w:t>（一）机关运行经费支出情况</w:t>
          </w:r>
          <w:r>
            <w:tab/>
          </w:r>
          <w:r>
            <w:fldChar w:fldCharType="begin"/>
          </w:r>
          <w:r>
            <w:instrText xml:space="preserve"> PAGEREF _Toc7154 </w:instrText>
          </w:r>
          <w:r>
            <w:fldChar w:fldCharType="separate"/>
          </w:r>
          <w:r>
            <w:t>7</w:t>
          </w:r>
          <w:r>
            <w:fldChar w:fldCharType="end"/>
          </w:r>
          <w:r>
            <w:fldChar w:fldCharType="end"/>
          </w:r>
        </w:p>
        <w:p w14:paraId="51548629">
          <w:pPr>
            <w:pStyle w:val="8"/>
            <w:tabs>
              <w:tab w:val="right" w:leader="dot" w:pos="8306"/>
              <w:tab w:val="clear" w:pos="8296"/>
            </w:tabs>
          </w:pPr>
          <w:r>
            <w:fldChar w:fldCharType="begin"/>
          </w:r>
          <w:r>
            <w:instrText xml:space="preserve"> HYPERLINK \l "_Toc30254" </w:instrText>
          </w:r>
          <w:r>
            <w:fldChar w:fldCharType="separate"/>
          </w:r>
          <w:r>
            <w:rPr>
              <w:rFonts w:hint="eastAsia" w:ascii="仿宋" w:eastAsia="仿宋"/>
              <w:szCs w:val="32"/>
              <w:highlight w:val="none"/>
            </w:rPr>
            <w:t>（二）政府采购支出情况</w:t>
          </w:r>
          <w:r>
            <w:tab/>
          </w:r>
          <w:r>
            <w:fldChar w:fldCharType="begin"/>
          </w:r>
          <w:r>
            <w:instrText xml:space="preserve"> PAGEREF _Toc30254 </w:instrText>
          </w:r>
          <w:r>
            <w:fldChar w:fldCharType="separate"/>
          </w:r>
          <w:r>
            <w:t>7</w:t>
          </w:r>
          <w:r>
            <w:fldChar w:fldCharType="end"/>
          </w:r>
          <w:r>
            <w:fldChar w:fldCharType="end"/>
          </w:r>
        </w:p>
        <w:p w14:paraId="0615BA3B">
          <w:pPr>
            <w:pStyle w:val="8"/>
            <w:tabs>
              <w:tab w:val="right" w:leader="dot" w:pos="8306"/>
              <w:tab w:val="clear" w:pos="8296"/>
            </w:tabs>
          </w:pPr>
          <w:r>
            <w:fldChar w:fldCharType="begin"/>
          </w:r>
          <w:r>
            <w:instrText xml:space="preserve"> HYPERLINK \l "_Toc21476" </w:instrText>
          </w:r>
          <w:r>
            <w:fldChar w:fldCharType="separate"/>
          </w:r>
          <w:r>
            <w:rPr>
              <w:rFonts w:hint="eastAsia" w:ascii="仿宋" w:eastAsia="仿宋"/>
              <w:szCs w:val="32"/>
              <w:highlight w:val="none"/>
            </w:rPr>
            <w:t>（三）国有资产占有使用情况</w:t>
          </w:r>
          <w:r>
            <w:tab/>
          </w:r>
          <w:r>
            <w:fldChar w:fldCharType="begin"/>
          </w:r>
          <w:r>
            <w:instrText xml:space="preserve"> PAGEREF _Toc21476 </w:instrText>
          </w:r>
          <w:r>
            <w:fldChar w:fldCharType="separate"/>
          </w:r>
          <w:r>
            <w:t>7</w:t>
          </w:r>
          <w:r>
            <w:fldChar w:fldCharType="end"/>
          </w:r>
          <w:r>
            <w:fldChar w:fldCharType="end"/>
          </w:r>
        </w:p>
        <w:p w14:paraId="5086F36F">
          <w:pPr>
            <w:pStyle w:val="8"/>
            <w:tabs>
              <w:tab w:val="right" w:leader="dot" w:pos="8306"/>
              <w:tab w:val="clear" w:pos="8296"/>
            </w:tabs>
          </w:pPr>
          <w:r>
            <w:fldChar w:fldCharType="begin"/>
          </w:r>
          <w:r>
            <w:instrText xml:space="preserve"> HYPERLINK \l "_Toc18930" </w:instrText>
          </w:r>
          <w:r>
            <w:fldChar w:fldCharType="separate"/>
          </w:r>
          <w:r>
            <w:rPr>
              <w:rFonts w:hint="eastAsia" w:ascii="仿宋" w:eastAsia="仿宋"/>
              <w:szCs w:val="32"/>
              <w:highlight w:val="none"/>
            </w:rPr>
            <w:t>（四）预算绩效管理情况</w:t>
          </w:r>
          <w:r>
            <w:tab/>
          </w:r>
          <w:r>
            <w:fldChar w:fldCharType="begin"/>
          </w:r>
          <w:r>
            <w:instrText xml:space="preserve"> PAGEREF _Toc18930 </w:instrText>
          </w:r>
          <w:r>
            <w:fldChar w:fldCharType="separate"/>
          </w:r>
          <w:r>
            <w:t>7</w:t>
          </w:r>
          <w:r>
            <w:fldChar w:fldCharType="end"/>
          </w:r>
          <w:r>
            <w:fldChar w:fldCharType="end"/>
          </w:r>
        </w:p>
        <w:p w14:paraId="428A8282">
          <w:pPr>
            <w:pStyle w:val="12"/>
            <w:tabs>
              <w:tab w:val="right" w:leader="dot" w:pos="8306"/>
              <w:tab w:val="clear" w:pos="8296"/>
            </w:tabs>
          </w:pPr>
          <w:r>
            <w:fldChar w:fldCharType="begin"/>
          </w:r>
          <w:r>
            <w:instrText xml:space="preserve"> HYPERLINK \l "_Toc7331" </w:instrText>
          </w:r>
          <w:r>
            <w:fldChar w:fldCharType="separate"/>
          </w:r>
          <w:r>
            <w:rPr>
              <w:rFonts w:hint="eastAsia" w:ascii="黑体" w:hAnsi="黑体" w:eastAsia="黑体" w:cs="黑体"/>
              <w:szCs w:val="44"/>
            </w:rPr>
            <w:t xml:space="preserve">第三部分 </w:t>
          </w:r>
          <w:r>
            <w:rPr>
              <w:rFonts w:hint="eastAsia" w:ascii="黑体" w:eastAsia="黑体"/>
              <w:szCs w:val="44"/>
              <w:highlight w:val="none"/>
            </w:rPr>
            <w:t>名</w:t>
          </w:r>
          <w:r>
            <w:rPr>
              <w:rFonts w:hint="eastAsia" w:ascii="黑体" w:eastAsia="黑体"/>
              <w:highlight w:val="none"/>
            </w:rPr>
            <w:t>词解释</w:t>
          </w:r>
          <w:r>
            <w:tab/>
          </w:r>
          <w:r>
            <w:fldChar w:fldCharType="begin"/>
          </w:r>
          <w:r>
            <w:instrText xml:space="preserve"> PAGEREF _Toc7331 </w:instrText>
          </w:r>
          <w:r>
            <w:fldChar w:fldCharType="separate"/>
          </w:r>
          <w:r>
            <w:t>14</w:t>
          </w:r>
          <w:r>
            <w:fldChar w:fldCharType="end"/>
          </w:r>
          <w:r>
            <w:fldChar w:fldCharType="end"/>
          </w:r>
        </w:p>
        <w:p w14:paraId="0F957DC6">
          <w:pPr>
            <w:pStyle w:val="12"/>
            <w:tabs>
              <w:tab w:val="right" w:leader="dot" w:pos="8306"/>
              <w:tab w:val="clear" w:pos="8296"/>
            </w:tabs>
            <w:rPr>
              <w:rFonts w:hint="eastAsia" w:eastAsia="仿宋"/>
              <w:lang w:val="en-US" w:eastAsia="zh-CN"/>
            </w:rPr>
          </w:pPr>
          <w:r>
            <w:rPr>
              <w:rFonts w:hint="eastAsia" w:ascii="黑体" w:hAnsi="黑体" w:eastAsia="黑体" w:cs="黑体"/>
              <w:szCs w:val="32"/>
              <w:highlight w:val="none"/>
              <w:lang w:eastAsia="zh-CN"/>
            </w:rPr>
            <w:t>第四部分</w:t>
          </w:r>
          <w:r>
            <w:rPr>
              <w:rFonts w:hint="eastAsia" w:ascii="黑体" w:hAnsi="黑体" w:eastAsia="黑体" w:cs="黑体"/>
              <w:szCs w:val="32"/>
              <w:highlight w:val="none"/>
              <w:lang w:val="en-US" w:eastAsia="zh-CN"/>
            </w:rPr>
            <w:t xml:space="preserve"> </w:t>
          </w:r>
          <w:r>
            <w:fldChar w:fldCharType="begin"/>
          </w:r>
          <w:r>
            <w:instrText xml:space="preserve"> HYPERLINK \l "_Toc27603" </w:instrText>
          </w:r>
          <w:r>
            <w:fldChar w:fldCharType="separate"/>
          </w:r>
          <w:r>
            <w:rPr>
              <w:rFonts w:hint="eastAsia" w:ascii="黑体" w:hAnsi="黑体" w:eastAsia="黑体" w:cs="黑体"/>
              <w:szCs w:val="32"/>
              <w:highlight w:val="none"/>
            </w:rPr>
            <w:t>附件</w:t>
          </w:r>
          <w:r>
            <w:tab/>
          </w:r>
          <w:r>
            <w:rPr>
              <w:rFonts w:hint="eastAsia"/>
              <w:lang w:val="en-US" w:eastAsia="zh-CN"/>
            </w:rPr>
            <w:t>1</w:t>
          </w:r>
          <w:r>
            <w:rPr>
              <w:rFonts w:hint="eastAsia"/>
              <w:lang w:val="en-US" w:eastAsia="zh-CN"/>
            </w:rPr>
            <w:fldChar w:fldCharType="end"/>
          </w:r>
          <w:r>
            <w:rPr>
              <w:rFonts w:hint="eastAsia"/>
              <w:lang w:val="en-US" w:eastAsia="zh-CN"/>
            </w:rPr>
            <w:t>7</w:t>
          </w:r>
        </w:p>
        <w:p w14:paraId="0EC66B2D">
          <w:pPr>
            <w:pStyle w:val="12"/>
            <w:tabs>
              <w:tab w:val="right" w:leader="dot" w:pos="8306"/>
              <w:tab w:val="clear" w:pos="8296"/>
            </w:tabs>
          </w:pPr>
          <w:r>
            <w:fldChar w:fldCharType="begin"/>
          </w:r>
          <w:r>
            <w:instrText xml:space="preserve"> HYPERLINK \l "_Toc10876" </w:instrText>
          </w:r>
          <w:r>
            <w:fldChar w:fldCharType="separate"/>
          </w:r>
          <w:r>
            <w:rPr>
              <w:rFonts w:hint="eastAsia" w:ascii="黑体" w:eastAsia="黑体"/>
              <w:szCs w:val="44"/>
              <w:highlight w:val="none"/>
            </w:rPr>
            <w:t>第</w:t>
          </w:r>
          <w:r>
            <w:rPr>
              <w:rFonts w:hint="eastAsia" w:ascii="黑体" w:eastAsia="黑体"/>
              <w:highlight w:val="none"/>
            </w:rPr>
            <w:t>五部分 附表</w:t>
          </w:r>
          <w:r>
            <w:tab/>
          </w:r>
          <w:r>
            <w:fldChar w:fldCharType="begin"/>
          </w:r>
          <w:r>
            <w:instrText xml:space="preserve"> PAGEREF _Toc10876 </w:instrText>
          </w:r>
          <w:r>
            <w:fldChar w:fldCharType="separate"/>
          </w:r>
          <w:r>
            <w:t>24</w:t>
          </w:r>
          <w:r>
            <w:fldChar w:fldCharType="end"/>
          </w:r>
          <w:r>
            <w:fldChar w:fldCharType="end"/>
          </w:r>
        </w:p>
        <w:p w14:paraId="69C1F17D">
          <w:pPr>
            <w:pStyle w:val="13"/>
            <w:tabs>
              <w:tab w:val="right" w:leader="dot" w:pos="8306"/>
              <w:tab w:val="clear" w:pos="8296"/>
            </w:tabs>
          </w:pPr>
          <w:r>
            <w:fldChar w:fldCharType="begin"/>
          </w:r>
          <w:r>
            <w:instrText xml:space="preserve"> HYPERLINK \l "_Toc897" </w:instrText>
          </w:r>
          <w:r>
            <w:fldChar w:fldCharType="separate"/>
          </w:r>
          <w:r>
            <w:rPr>
              <w:rFonts w:hint="eastAsia" w:ascii="仿宋" w:eastAsia="仿宋"/>
              <w:highlight w:val="none"/>
            </w:rPr>
            <w:t>一、收</w:t>
          </w:r>
          <w:r>
            <w:rPr>
              <w:rFonts w:hint="eastAsia" w:ascii="仿宋" w:eastAsia="仿宋"/>
              <w:bCs w:val="0"/>
              <w:highlight w:val="none"/>
            </w:rPr>
            <w:t>入支出决算总表</w:t>
          </w:r>
          <w:r>
            <w:tab/>
          </w:r>
          <w:r>
            <w:fldChar w:fldCharType="begin"/>
          </w:r>
          <w:r>
            <w:instrText xml:space="preserve"> PAGEREF _Toc897 </w:instrText>
          </w:r>
          <w:r>
            <w:fldChar w:fldCharType="separate"/>
          </w:r>
          <w:r>
            <w:t>24</w:t>
          </w:r>
          <w:r>
            <w:fldChar w:fldCharType="end"/>
          </w:r>
          <w:r>
            <w:fldChar w:fldCharType="end"/>
          </w:r>
        </w:p>
        <w:p w14:paraId="681DD45C">
          <w:pPr>
            <w:pStyle w:val="13"/>
            <w:tabs>
              <w:tab w:val="right" w:leader="dot" w:pos="8306"/>
              <w:tab w:val="clear" w:pos="8296"/>
            </w:tabs>
          </w:pPr>
          <w:r>
            <w:fldChar w:fldCharType="begin"/>
          </w:r>
          <w:r>
            <w:instrText xml:space="preserve"> HYPERLINK \l "_Toc11362" </w:instrText>
          </w:r>
          <w:r>
            <w:fldChar w:fldCharType="separate"/>
          </w:r>
          <w:r>
            <w:rPr>
              <w:rFonts w:hint="eastAsia" w:ascii="仿宋" w:eastAsia="仿宋"/>
              <w:highlight w:val="none"/>
            </w:rPr>
            <w:t>二、收</w:t>
          </w:r>
          <w:r>
            <w:rPr>
              <w:rFonts w:hint="eastAsia" w:ascii="仿宋" w:eastAsia="仿宋"/>
              <w:bCs w:val="0"/>
              <w:highlight w:val="none"/>
            </w:rPr>
            <w:t>入决算表</w:t>
          </w:r>
          <w:r>
            <w:tab/>
          </w:r>
          <w:r>
            <w:fldChar w:fldCharType="begin"/>
          </w:r>
          <w:r>
            <w:instrText xml:space="preserve"> PAGEREF _Toc11362 </w:instrText>
          </w:r>
          <w:r>
            <w:fldChar w:fldCharType="separate"/>
          </w:r>
          <w:r>
            <w:t>24</w:t>
          </w:r>
          <w:r>
            <w:fldChar w:fldCharType="end"/>
          </w:r>
          <w:r>
            <w:fldChar w:fldCharType="end"/>
          </w:r>
        </w:p>
        <w:p w14:paraId="2891058F">
          <w:pPr>
            <w:pStyle w:val="13"/>
            <w:tabs>
              <w:tab w:val="right" w:leader="dot" w:pos="8306"/>
              <w:tab w:val="clear" w:pos="8296"/>
            </w:tabs>
          </w:pPr>
          <w:r>
            <w:fldChar w:fldCharType="begin"/>
          </w:r>
          <w:r>
            <w:instrText xml:space="preserve"> HYPERLINK \l "_Toc32033" </w:instrText>
          </w:r>
          <w:r>
            <w:fldChar w:fldCharType="separate"/>
          </w:r>
          <w:r>
            <w:rPr>
              <w:rFonts w:hint="eastAsia" w:ascii="仿宋" w:eastAsia="仿宋"/>
              <w:bCs w:val="0"/>
              <w:highlight w:val="none"/>
            </w:rPr>
            <w:t>三、</w:t>
          </w:r>
          <w:r>
            <w:rPr>
              <w:rFonts w:hint="eastAsia" w:ascii="仿宋" w:eastAsia="仿宋"/>
              <w:highlight w:val="none"/>
            </w:rPr>
            <w:t>支</w:t>
          </w:r>
          <w:r>
            <w:rPr>
              <w:rFonts w:hint="eastAsia" w:ascii="仿宋" w:eastAsia="仿宋"/>
              <w:bCs w:val="0"/>
              <w:highlight w:val="none"/>
            </w:rPr>
            <w:t>出决算表</w:t>
          </w:r>
          <w:r>
            <w:tab/>
          </w:r>
          <w:r>
            <w:fldChar w:fldCharType="begin"/>
          </w:r>
          <w:r>
            <w:instrText xml:space="preserve"> PAGEREF _Toc32033 </w:instrText>
          </w:r>
          <w:r>
            <w:fldChar w:fldCharType="separate"/>
          </w:r>
          <w:r>
            <w:t>24</w:t>
          </w:r>
          <w:r>
            <w:fldChar w:fldCharType="end"/>
          </w:r>
          <w:r>
            <w:fldChar w:fldCharType="end"/>
          </w:r>
        </w:p>
        <w:p w14:paraId="567361C2">
          <w:pPr>
            <w:pStyle w:val="13"/>
            <w:tabs>
              <w:tab w:val="right" w:leader="dot" w:pos="8306"/>
              <w:tab w:val="clear" w:pos="8296"/>
            </w:tabs>
          </w:pPr>
          <w:r>
            <w:fldChar w:fldCharType="begin"/>
          </w:r>
          <w:r>
            <w:instrText xml:space="preserve"> HYPERLINK \l "_Toc13108" </w:instrText>
          </w:r>
          <w:r>
            <w:fldChar w:fldCharType="separate"/>
          </w:r>
          <w:r>
            <w:rPr>
              <w:rFonts w:hint="eastAsia" w:ascii="仿宋" w:eastAsia="仿宋"/>
              <w:bCs w:val="0"/>
              <w:highlight w:val="none"/>
            </w:rPr>
            <w:t>四、</w:t>
          </w:r>
          <w:r>
            <w:rPr>
              <w:rFonts w:hint="eastAsia" w:ascii="仿宋" w:eastAsia="仿宋"/>
              <w:highlight w:val="none"/>
            </w:rPr>
            <w:t>财</w:t>
          </w:r>
          <w:r>
            <w:rPr>
              <w:rFonts w:hint="eastAsia" w:ascii="仿宋" w:eastAsia="仿宋"/>
              <w:bCs w:val="0"/>
              <w:highlight w:val="none"/>
            </w:rPr>
            <w:t>政拨款收入支出决算总表</w:t>
          </w:r>
          <w:r>
            <w:tab/>
          </w:r>
          <w:r>
            <w:fldChar w:fldCharType="begin"/>
          </w:r>
          <w:r>
            <w:instrText xml:space="preserve"> PAGEREF _Toc13108 </w:instrText>
          </w:r>
          <w:r>
            <w:fldChar w:fldCharType="separate"/>
          </w:r>
          <w:r>
            <w:t>24</w:t>
          </w:r>
          <w:r>
            <w:fldChar w:fldCharType="end"/>
          </w:r>
          <w:r>
            <w:fldChar w:fldCharType="end"/>
          </w:r>
        </w:p>
        <w:p w14:paraId="162E4C71">
          <w:pPr>
            <w:pStyle w:val="13"/>
            <w:tabs>
              <w:tab w:val="right" w:leader="dot" w:pos="8306"/>
              <w:tab w:val="clear" w:pos="8296"/>
            </w:tabs>
          </w:pPr>
          <w:r>
            <w:fldChar w:fldCharType="begin"/>
          </w:r>
          <w:r>
            <w:instrText xml:space="preserve"> HYPERLINK \l "_Toc14521" </w:instrText>
          </w:r>
          <w:r>
            <w:fldChar w:fldCharType="separate"/>
          </w:r>
          <w:r>
            <w:rPr>
              <w:rFonts w:hint="eastAsia" w:ascii="仿宋" w:eastAsia="仿宋"/>
              <w:bCs w:val="0"/>
              <w:highlight w:val="none"/>
            </w:rPr>
            <w:t>五、</w:t>
          </w:r>
          <w:r>
            <w:rPr>
              <w:rFonts w:hint="eastAsia" w:ascii="仿宋" w:eastAsia="仿宋"/>
              <w:highlight w:val="none"/>
            </w:rPr>
            <w:t>财</w:t>
          </w:r>
          <w:r>
            <w:rPr>
              <w:rFonts w:hint="eastAsia" w:ascii="仿宋" w:eastAsia="仿宋"/>
              <w:bCs w:val="0"/>
              <w:highlight w:val="none"/>
            </w:rPr>
            <w:t>政拨款支出决算明细表</w:t>
          </w:r>
          <w:r>
            <w:tab/>
          </w:r>
          <w:r>
            <w:fldChar w:fldCharType="begin"/>
          </w:r>
          <w:r>
            <w:instrText xml:space="preserve"> PAGEREF _Toc14521 </w:instrText>
          </w:r>
          <w:r>
            <w:fldChar w:fldCharType="separate"/>
          </w:r>
          <w:r>
            <w:t>24</w:t>
          </w:r>
          <w:r>
            <w:fldChar w:fldCharType="end"/>
          </w:r>
          <w:r>
            <w:fldChar w:fldCharType="end"/>
          </w:r>
        </w:p>
        <w:p w14:paraId="01FBBF2F">
          <w:pPr>
            <w:pStyle w:val="13"/>
            <w:tabs>
              <w:tab w:val="right" w:leader="dot" w:pos="8306"/>
              <w:tab w:val="clear" w:pos="8296"/>
            </w:tabs>
          </w:pPr>
          <w:r>
            <w:fldChar w:fldCharType="begin"/>
          </w:r>
          <w:r>
            <w:instrText xml:space="preserve"> HYPERLINK \l "_Toc3804" </w:instrText>
          </w:r>
          <w:r>
            <w:fldChar w:fldCharType="separate"/>
          </w:r>
          <w:r>
            <w:rPr>
              <w:rFonts w:hint="eastAsia" w:ascii="仿宋" w:eastAsia="仿宋"/>
              <w:bCs w:val="0"/>
              <w:highlight w:val="none"/>
            </w:rPr>
            <w:t>六、</w:t>
          </w:r>
          <w:r>
            <w:rPr>
              <w:rFonts w:hint="eastAsia" w:ascii="仿宋" w:eastAsia="仿宋"/>
              <w:highlight w:val="none"/>
            </w:rPr>
            <w:t>一</w:t>
          </w:r>
          <w:r>
            <w:rPr>
              <w:rFonts w:hint="eastAsia" w:ascii="仿宋" w:eastAsia="仿宋"/>
              <w:bCs w:val="0"/>
              <w:highlight w:val="none"/>
            </w:rPr>
            <w:t>般公共预算财政拨款支出决算表</w:t>
          </w:r>
          <w:r>
            <w:tab/>
          </w:r>
          <w:r>
            <w:fldChar w:fldCharType="begin"/>
          </w:r>
          <w:r>
            <w:instrText xml:space="preserve"> PAGEREF _Toc3804 </w:instrText>
          </w:r>
          <w:r>
            <w:fldChar w:fldCharType="separate"/>
          </w:r>
          <w:r>
            <w:t>24</w:t>
          </w:r>
          <w:r>
            <w:fldChar w:fldCharType="end"/>
          </w:r>
          <w:r>
            <w:fldChar w:fldCharType="end"/>
          </w:r>
        </w:p>
        <w:p w14:paraId="0E5DCD6C">
          <w:pPr>
            <w:pStyle w:val="13"/>
            <w:tabs>
              <w:tab w:val="right" w:leader="dot" w:pos="8306"/>
              <w:tab w:val="clear" w:pos="8296"/>
            </w:tabs>
          </w:pPr>
          <w:r>
            <w:fldChar w:fldCharType="begin"/>
          </w:r>
          <w:r>
            <w:instrText xml:space="preserve"> HYPERLINK \l "_Toc32392" </w:instrText>
          </w:r>
          <w:r>
            <w:fldChar w:fldCharType="separate"/>
          </w:r>
          <w:r>
            <w:rPr>
              <w:rFonts w:hint="eastAsia" w:ascii="仿宋" w:eastAsia="仿宋"/>
              <w:bCs w:val="0"/>
              <w:highlight w:val="none"/>
            </w:rPr>
            <w:t>七、</w:t>
          </w:r>
          <w:r>
            <w:rPr>
              <w:rFonts w:hint="eastAsia" w:ascii="仿宋" w:eastAsia="仿宋"/>
              <w:highlight w:val="none"/>
            </w:rPr>
            <w:t>一</w:t>
          </w:r>
          <w:r>
            <w:rPr>
              <w:rFonts w:hint="eastAsia" w:ascii="仿宋" w:eastAsia="仿宋"/>
              <w:bCs w:val="0"/>
              <w:highlight w:val="none"/>
            </w:rPr>
            <w:t>般公共预算财政拨款支出决算明细表</w:t>
          </w:r>
          <w:r>
            <w:tab/>
          </w:r>
          <w:r>
            <w:fldChar w:fldCharType="begin"/>
          </w:r>
          <w:r>
            <w:instrText xml:space="preserve"> PAGEREF _Toc32392 </w:instrText>
          </w:r>
          <w:r>
            <w:fldChar w:fldCharType="separate"/>
          </w:r>
          <w:r>
            <w:t>24</w:t>
          </w:r>
          <w:r>
            <w:fldChar w:fldCharType="end"/>
          </w:r>
          <w:r>
            <w:fldChar w:fldCharType="end"/>
          </w:r>
        </w:p>
        <w:p w14:paraId="721764DA">
          <w:pPr>
            <w:pStyle w:val="13"/>
            <w:tabs>
              <w:tab w:val="right" w:leader="dot" w:pos="8306"/>
              <w:tab w:val="clear" w:pos="8296"/>
            </w:tabs>
          </w:pPr>
          <w:r>
            <w:fldChar w:fldCharType="begin"/>
          </w:r>
          <w:r>
            <w:instrText xml:space="preserve"> HYPERLINK \l "_Toc9911" </w:instrText>
          </w:r>
          <w:r>
            <w:fldChar w:fldCharType="separate"/>
          </w:r>
          <w:r>
            <w:rPr>
              <w:rFonts w:hint="eastAsia" w:ascii="仿宋" w:eastAsia="仿宋"/>
              <w:bCs w:val="0"/>
              <w:highlight w:val="none"/>
            </w:rPr>
            <w:t>八、</w:t>
          </w:r>
          <w:r>
            <w:rPr>
              <w:rFonts w:hint="eastAsia" w:ascii="仿宋" w:eastAsia="仿宋"/>
              <w:highlight w:val="none"/>
            </w:rPr>
            <w:t>一</w:t>
          </w:r>
          <w:r>
            <w:rPr>
              <w:rFonts w:hint="eastAsia" w:ascii="仿宋" w:eastAsia="仿宋"/>
              <w:bCs w:val="0"/>
              <w:highlight w:val="none"/>
            </w:rPr>
            <w:t>般公共预算财政拨款基本支出决算表</w:t>
          </w:r>
          <w:r>
            <w:tab/>
          </w:r>
          <w:r>
            <w:fldChar w:fldCharType="begin"/>
          </w:r>
          <w:r>
            <w:instrText xml:space="preserve"> PAGEREF _Toc9911 </w:instrText>
          </w:r>
          <w:r>
            <w:fldChar w:fldCharType="separate"/>
          </w:r>
          <w:r>
            <w:t>24</w:t>
          </w:r>
          <w:r>
            <w:fldChar w:fldCharType="end"/>
          </w:r>
          <w:r>
            <w:fldChar w:fldCharType="end"/>
          </w:r>
        </w:p>
        <w:p w14:paraId="0539A689">
          <w:pPr>
            <w:pStyle w:val="13"/>
            <w:tabs>
              <w:tab w:val="right" w:leader="dot" w:pos="8306"/>
              <w:tab w:val="clear" w:pos="8296"/>
            </w:tabs>
          </w:pPr>
          <w:r>
            <w:fldChar w:fldCharType="begin"/>
          </w:r>
          <w:r>
            <w:instrText xml:space="preserve"> HYPERLINK \l "_Toc8261" </w:instrText>
          </w:r>
          <w:r>
            <w:fldChar w:fldCharType="separate"/>
          </w:r>
          <w:r>
            <w:rPr>
              <w:rFonts w:hint="eastAsia" w:ascii="仿宋" w:eastAsia="仿宋"/>
              <w:bCs w:val="0"/>
              <w:highlight w:val="none"/>
            </w:rPr>
            <w:t>九、</w:t>
          </w:r>
          <w:r>
            <w:rPr>
              <w:rFonts w:hint="eastAsia" w:ascii="仿宋" w:eastAsia="仿宋"/>
              <w:highlight w:val="none"/>
            </w:rPr>
            <w:t>一</w:t>
          </w:r>
          <w:r>
            <w:rPr>
              <w:rFonts w:hint="eastAsia" w:ascii="仿宋" w:eastAsia="仿宋"/>
              <w:bCs w:val="0"/>
              <w:highlight w:val="none"/>
            </w:rPr>
            <w:t>般公共预算财政拨款项目支出决算表</w:t>
          </w:r>
          <w:r>
            <w:tab/>
          </w:r>
          <w:r>
            <w:fldChar w:fldCharType="begin"/>
          </w:r>
          <w:r>
            <w:instrText xml:space="preserve"> PAGEREF _Toc8261 </w:instrText>
          </w:r>
          <w:r>
            <w:fldChar w:fldCharType="separate"/>
          </w:r>
          <w:r>
            <w:t>24</w:t>
          </w:r>
          <w:r>
            <w:fldChar w:fldCharType="end"/>
          </w:r>
          <w:r>
            <w:fldChar w:fldCharType="end"/>
          </w:r>
        </w:p>
        <w:p w14:paraId="5536484F">
          <w:pPr>
            <w:pStyle w:val="13"/>
            <w:tabs>
              <w:tab w:val="right" w:leader="dot" w:pos="8306"/>
              <w:tab w:val="clear" w:pos="8296"/>
            </w:tabs>
          </w:pPr>
          <w:r>
            <w:fldChar w:fldCharType="begin"/>
          </w:r>
          <w:r>
            <w:instrText xml:space="preserve"> HYPERLINK \l "_Toc5693" </w:instrText>
          </w:r>
          <w:r>
            <w:fldChar w:fldCharType="separate"/>
          </w:r>
          <w:r>
            <w:rPr>
              <w:rFonts w:hint="eastAsia" w:ascii="仿宋" w:eastAsia="仿宋"/>
              <w:bCs w:val="0"/>
              <w:highlight w:val="none"/>
            </w:rPr>
            <w:t>十、</w:t>
          </w:r>
          <w:r>
            <w:rPr>
              <w:rFonts w:hint="eastAsia" w:ascii="仿宋" w:eastAsia="仿宋"/>
              <w:highlight w:val="none"/>
            </w:rPr>
            <w:t>政</w:t>
          </w:r>
          <w:r>
            <w:rPr>
              <w:rFonts w:hint="eastAsia" w:ascii="仿宋" w:eastAsia="仿宋"/>
              <w:bCs w:val="0"/>
              <w:highlight w:val="none"/>
            </w:rPr>
            <w:t>府性基金预算财政拨款收入支出决算表</w:t>
          </w:r>
          <w:r>
            <w:tab/>
          </w:r>
          <w:r>
            <w:fldChar w:fldCharType="begin"/>
          </w:r>
          <w:r>
            <w:instrText xml:space="preserve"> PAGEREF _Toc5693 </w:instrText>
          </w:r>
          <w:r>
            <w:fldChar w:fldCharType="separate"/>
          </w:r>
          <w:r>
            <w:t>24</w:t>
          </w:r>
          <w:r>
            <w:fldChar w:fldCharType="end"/>
          </w:r>
          <w:r>
            <w:fldChar w:fldCharType="end"/>
          </w:r>
        </w:p>
        <w:p w14:paraId="56EE0382">
          <w:pPr>
            <w:pStyle w:val="13"/>
            <w:tabs>
              <w:tab w:val="right" w:leader="dot" w:pos="8306"/>
              <w:tab w:val="clear" w:pos="8296"/>
            </w:tabs>
          </w:pPr>
          <w:r>
            <w:fldChar w:fldCharType="begin"/>
          </w:r>
          <w:r>
            <w:instrText xml:space="preserve"> HYPERLINK \l "_Toc8601" </w:instrText>
          </w:r>
          <w:r>
            <w:fldChar w:fldCharType="separate"/>
          </w:r>
          <w:r>
            <w:rPr>
              <w:rFonts w:hint="eastAsia" w:ascii="仿宋" w:eastAsia="仿宋"/>
              <w:bCs w:val="0"/>
              <w:highlight w:val="none"/>
            </w:rPr>
            <w:t>十一、</w:t>
          </w:r>
          <w:r>
            <w:rPr>
              <w:rFonts w:hint="eastAsia" w:ascii="仿宋" w:eastAsia="仿宋"/>
              <w:highlight w:val="none"/>
            </w:rPr>
            <w:t>国</w:t>
          </w:r>
          <w:r>
            <w:rPr>
              <w:rFonts w:hint="eastAsia" w:ascii="仿宋" w:eastAsia="仿宋"/>
              <w:bCs w:val="0"/>
              <w:highlight w:val="none"/>
            </w:rPr>
            <w:t>有资本经营预算</w:t>
          </w:r>
          <w:r>
            <w:rPr>
              <w:rFonts w:hint="eastAsia" w:ascii="仿宋" w:eastAsia="仿宋"/>
              <w:bCs w:val="0"/>
              <w:highlight w:val="none"/>
              <w:lang w:eastAsia="zh-CN"/>
            </w:rPr>
            <w:t>财政拨款收入</w:t>
          </w:r>
          <w:r>
            <w:rPr>
              <w:rFonts w:hint="eastAsia" w:ascii="仿宋" w:eastAsia="仿宋"/>
              <w:bCs w:val="0"/>
              <w:highlight w:val="none"/>
            </w:rPr>
            <w:t>支出决算表</w:t>
          </w:r>
          <w:r>
            <w:tab/>
          </w:r>
          <w:r>
            <w:fldChar w:fldCharType="begin"/>
          </w:r>
          <w:r>
            <w:instrText xml:space="preserve"> PAGEREF _Toc8601 </w:instrText>
          </w:r>
          <w:r>
            <w:fldChar w:fldCharType="separate"/>
          </w:r>
          <w:r>
            <w:t>24</w:t>
          </w:r>
          <w:r>
            <w:fldChar w:fldCharType="end"/>
          </w:r>
          <w:r>
            <w:fldChar w:fldCharType="end"/>
          </w:r>
        </w:p>
        <w:p w14:paraId="75813A7D">
          <w:pPr>
            <w:pStyle w:val="13"/>
            <w:tabs>
              <w:tab w:val="right" w:leader="dot" w:pos="8306"/>
              <w:tab w:val="clear" w:pos="8296"/>
            </w:tabs>
          </w:pPr>
          <w:r>
            <w:fldChar w:fldCharType="begin"/>
          </w:r>
          <w:r>
            <w:instrText xml:space="preserve"> HYPERLINK \l "_Toc14374" </w:instrText>
          </w:r>
          <w:r>
            <w:fldChar w:fldCharType="separate"/>
          </w:r>
          <w:r>
            <w:rPr>
              <w:rFonts w:hint="eastAsia" w:ascii="仿宋" w:eastAsia="仿宋"/>
              <w:bCs w:val="0"/>
              <w:highlight w:val="none"/>
            </w:rPr>
            <w:t>十二、</w:t>
          </w:r>
          <w:r>
            <w:rPr>
              <w:rFonts w:hint="eastAsia" w:ascii="仿宋" w:eastAsia="仿宋"/>
              <w:bCs w:val="0"/>
              <w:highlight w:val="none"/>
              <w:lang w:eastAsia="zh-CN"/>
            </w:rPr>
            <w:t>国有资本经营预算财政拨款支出决算表</w:t>
          </w:r>
          <w:r>
            <w:tab/>
          </w:r>
          <w:r>
            <w:fldChar w:fldCharType="begin"/>
          </w:r>
          <w:r>
            <w:instrText xml:space="preserve"> PAGEREF _Toc14374 </w:instrText>
          </w:r>
          <w:r>
            <w:fldChar w:fldCharType="separate"/>
          </w:r>
          <w:r>
            <w:t>24</w:t>
          </w:r>
          <w:r>
            <w:fldChar w:fldCharType="end"/>
          </w:r>
          <w:r>
            <w:fldChar w:fldCharType="end"/>
          </w:r>
        </w:p>
        <w:p w14:paraId="28067E31">
          <w:pPr>
            <w:pStyle w:val="13"/>
            <w:tabs>
              <w:tab w:val="right" w:leader="dot" w:pos="8306"/>
              <w:tab w:val="clear" w:pos="8296"/>
            </w:tabs>
          </w:pPr>
          <w:r>
            <w:fldChar w:fldCharType="begin"/>
          </w:r>
          <w:r>
            <w:instrText xml:space="preserve"> HYPERLINK \l "_Toc2385" </w:instrText>
          </w:r>
          <w:r>
            <w:fldChar w:fldCharType="separate"/>
          </w:r>
          <w:r>
            <w:rPr>
              <w:rFonts w:hint="eastAsia" w:ascii="仿宋" w:eastAsia="仿宋"/>
              <w:bCs w:val="0"/>
              <w:highlight w:val="none"/>
            </w:rPr>
            <w:t>十三、</w:t>
          </w:r>
          <w:r>
            <w:rPr>
              <w:rFonts w:hint="eastAsia" w:ascii="仿宋" w:eastAsia="仿宋"/>
              <w:bCs w:val="0"/>
              <w:highlight w:val="none"/>
              <w:lang w:eastAsia="zh-CN"/>
            </w:rPr>
            <w:t>财政拨款“三公”经费支出决算表</w:t>
          </w:r>
          <w:r>
            <w:tab/>
          </w:r>
          <w:r>
            <w:fldChar w:fldCharType="begin"/>
          </w:r>
          <w:r>
            <w:instrText xml:space="preserve"> PAGEREF _Toc2385 </w:instrText>
          </w:r>
          <w:r>
            <w:fldChar w:fldCharType="separate"/>
          </w:r>
          <w:r>
            <w:t>24</w:t>
          </w:r>
          <w:r>
            <w:fldChar w:fldCharType="end"/>
          </w:r>
          <w:r>
            <w:fldChar w:fldCharType="end"/>
          </w:r>
        </w:p>
        <w:p w14:paraId="4E9A6510">
          <w:pPr>
            <w:widowControl/>
            <w:spacing w:before="0" w:after="0" w:line="240" w:lineRule="auto"/>
            <w:ind w:left="0" w:right="0" w:firstLine="0"/>
            <w:jc w:val="center"/>
          </w:pPr>
          <w:r>
            <w:fldChar w:fldCharType="end"/>
          </w:r>
        </w:p>
      </w:sdtContent>
    </w:sdt>
    <w:p w14:paraId="67685408">
      <w:pPr>
        <w:pStyle w:val="7"/>
      </w:pPr>
      <w:bookmarkStart w:id="16" w:name="_Toc15396599"/>
      <w:bookmarkStart w:id="17" w:name="_Toc15377196"/>
    </w:p>
    <w:p w14:paraId="08076B0B"/>
    <w:p w14:paraId="6D7B99AE">
      <w:pPr>
        <w:pStyle w:val="7"/>
      </w:pPr>
    </w:p>
    <w:p w14:paraId="2B47A8B0"/>
    <w:p w14:paraId="0288959C">
      <w:pPr>
        <w:pStyle w:val="7"/>
      </w:pPr>
    </w:p>
    <w:p w14:paraId="3E9C6798"/>
    <w:p w14:paraId="01F61AFC">
      <w:pPr>
        <w:pStyle w:val="7"/>
      </w:pPr>
    </w:p>
    <w:p w14:paraId="43A225B2"/>
    <w:p w14:paraId="51970E56">
      <w:pPr>
        <w:pStyle w:val="7"/>
      </w:pPr>
    </w:p>
    <w:p w14:paraId="4CEADCF0"/>
    <w:p w14:paraId="681A40E7">
      <w:pPr>
        <w:pStyle w:val="7"/>
      </w:pPr>
    </w:p>
    <w:p w14:paraId="0FDBF834"/>
    <w:p w14:paraId="62588474">
      <w:pPr>
        <w:pStyle w:val="7"/>
      </w:pPr>
    </w:p>
    <w:p w14:paraId="55C7162A"/>
    <w:p w14:paraId="6BB53B30">
      <w:pPr>
        <w:pStyle w:val="7"/>
      </w:pPr>
    </w:p>
    <w:p w14:paraId="254D4D57"/>
    <w:p w14:paraId="192F36B2">
      <w:pPr>
        <w:pStyle w:val="7"/>
      </w:pPr>
    </w:p>
    <w:p w14:paraId="0359CB11"/>
    <w:p w14:paraId="07E14A3D">
      <w:pPr>
        <w:pStyle w:val="7"/>
      </w:pPr>
    </w:p>
    <w:p w14:paraId="0CDC4758"/>
    <w:p w14:paraId="66A73182">
      <w:pPr>
        <w:pStyle w:val="7"/>
      </w:pPr>
    </w:p>
    <w:p w14:paraId="7475D7AD">
      <w:pPr>
        <w:pStyle w:val="4"/>
        <w:jc w:val="center"/>
        <w:rPr>
          <w:rFonts w:hint="eastAsia" w:ascii="黑体" w:eastAsia="黑体"/>
          <w:b w:val="0"/>
          <w:color w:val="auto"/>
          <w:highlight w:val="none"/>
        </w:rPr>
        <w:sectPr>
          <w:headerReference r:id="rId3" w:type="default"/>
          <w:pgSz w:w="11906" w:h="16838"/>
          <w:pgMar w:top="1440" w:right="1800" w:bottom="1440" w:left="1800" w:header="851" w:footer="992" w:gutter="0"/>
          <w:pgNumType w:start="1"/>
          <w:cols w:space="720" w:num="1"/>
          <w:titlePg/>
          <w:docGrid w:type="lines" w:linePitch="312" w:charSpace="0"/>
        </w:sectPr>
      </w:pPr>
      <w:bookmarkStart w:id="18" w:name="_Toc14672"/>
    </w:p>
    <w:p w14:paraId="46A877A3">
      <w:pPr>
        <w:pStyle w:val="4"/>
        <w:jc w:val="center"/>
        <w:rPr>
          <w:rFonts w:hint="eastAsia" w:ascii="黑体" w:eastAsia="黑体"/>
          <w:b w:val="0"/>
          <w:color w:val="auto"/>
          <w:highlight w:val="none"/>
        </w:rPr>
      </w:pPr>
    </w:p>
    <w:p w14:paraId="01BB50AE">
      <w:pPr>
        <w:pStyle w:val="4"/>
        <w:numPr>
          <w:ilvl w:val="0"/>
          <w:numId w:val="1"/>
        </w:numPr>
        <w:jc w:val="center"/>
      </w:pPr>
      <w:r>
        <w:rPr>
          <w:rFonts w:hint="eastAsia" w:ascii="黑体" w:eastAsia="黑体"/>
          <w:b w:val="0"/>
          <w:color w:val="auto"/>
          <w:highlight w:val="none"/>
          <w:lang w:eastAsia="zh-CN"/>
        </w:rPr>
        <w:t>单位</w:t>
      </w:r>
      <w:r>
        <w:rPr>
          <w:rStyle w:val="20"/>
          <w:rFonts w:hint="eastAsia" w:ascii="黑体" w:eastAsia="黑体"/>
          <w:b w:val="0"/>
          <w:bCs w:val="0"/>
          <w:color w:val="auto"/>
          <w:highlight w:val="none"/>
        </w:rPr>
        <w:t>概况</w:t>
      </w:r>
      <w:bookmarkEnd w:id="16"/>
      <w:bookmarkEnd w:id="17"/>
      <w:bookmarkEnd w:id="18"/>
    </w:p>
    <w:p w14:paraId="25054D6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atLeast"/>
        <w:ind w:right="0" w:rightChars="0" w:firstLine="640" w:firstLineChars="200"/>
        <w:jc w:val="both"/>
        <w:textAlignment w:val="auto"/>
        <w:rPr>
          <w:rStyle w:val="21"/>
          <w:rFonts w:hint="eastAsia" w:ascii="黑体" w:eastAsia="黑体" w:cs="Times New Roman"/>
          <w:b w:val="0"/>
          <w:bCs w:val="0"/>
          <w:color w:val="auto"/>
          <w:highlight w:val="none"/>
          <w:lang w:val="en-US" w:eastAsia="zh-CN"/>
        </w:rPr>
      </w:pPr>
      <w:bookmarkStart w:id="19" w:name="_Toc21023"/>
      <w:bookmarkStart w:id="20" w:name="_Toc15377197"/>
      <w:bookmarkStart w:id="21" w:name="_Toc15396600"/>
      <w:r>
        <w:rPr>
          <w:rStyle w:val="21"/>
          <w:rFonts w:hint="eastAsia" w:ascii="黑体" w:eastAsia="黑体" w:cs="Times New Roman"/>
          <w:b w:val="0"/>
          <w:bCs w:val="0"/>
          <w:color w:val="auto"/>
          <w:highlight w:val="none"/>
          <w:lang w:val="en-US" w:eastAsia="zh-CN"/>
        </w:rPr>
        <w:t>一、主要职责</w:t>
      </w:r>
      <w:bookmarkEnd w:id="19"/>
    </w:p>
    <w:p w14:paraId="3E3C1072">
      <w:pPr>
        <w:spacing w:line="600" w:lineRule="exact"/>
        <w:ind w:firstLine="640" w:firstLineChars="200"/>
        <w:rPr>
          <w:rFonts w:hint="eastAsia" w:ascii="仿宋" w:eastAsia="仿宋"/>
          <w:color w:val="auto"/>
          <w:sz w:val="32"/>
          <w:szCs w:val="32"/>
          <w:highlight w:val="none"/>
          <w:lang w:val="en-US" w:eastAsia="zh-CN"/>
        </w:rPr>
      </w:pPr>
      <w:r>
        <w:rPr>
          <w:rFonts w:hint="eastAsia" w:ascii="仿宋" w:eastAsia="仿宋"/>
          <w:color w:val="auto"/>
          <w:sz w:val="32"/>
          <w:szCs w:val="32"/>
          <w:highlight w:val="none"/>
          <w:lang w:val="en-US" w:eastAsia="zh-CN"/>
        </w:rPr>
        <w:t>负责本乡镇的卫生工作法律、法规、政策的贯彻，卫生事业发展规划和工作计划制定，社会公共卫生工作的组织和实施；负责本乡镇的基本医疗服务；负责本乡镇预防保健工作；负责本乡镇突发公共卫生事件的报告，并依据上级部门要求组织实施处置；负责对本乡镇辖区内村级卫生组织和乡村医生的业务指导和培训；负责承办政府卫生行政部门委托的相关业务或事项；负责上级卫生行政部门下达的其他工作等。</w:t>
      </w:r>
      <w:bookmarkEnd w:id="20"/>
      <w:bookmarkEnd w:id="21"/>
    </w:p>
    <w:p w14:paraId="7FA4743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atLeast"/>
        <w:ind w:right="0" w:rightChars="0" w:firstLine="640" w:firstLineChars="200"/>
        <w:jc w:val="both"/>
        <w:textAlignment w:val="auto"/>
        <w:rPr>
          <w:rStyle w:val="21"/>
          <w:rFonts w:hint="eastAsia" w:ascii="黑体" w:eastAsia="黑体" w:cs="Times New Roman"/>
          <w:b w:val="0"/>
          <w:bCs w:val="0"/>
          <w:color w:val="auto"/>
          <w:highlight w:val="none"/>
          <w:lang w:val="en-US" w:eastAsia="zh-CN"/>
        </w:rPr>
      </w:pPr>
      <w:bookmarkStart w:id="22" w:name="_Toc10125"/>
      <w:r>
        <w:rPr>
          <w:rStyle w:val="21"/>
          <w:rFonts w:hint="eastAsia" w:ascii="黑体" w:eastAsia="黑体" w:cs="Times New Roman"/>
          <w:b w:val="0"/>
          <w:bCs w:val="0"/>
          <w:color w:val="auto"/>
          <w:highlight w:val="none"/>
          <w:lang w:val="en-US" w:eastAsia="zh-CN"/>
        </w:rPr>
        <w:t>二、机构设置</w:t>
      </w:r>
      <w:bookmarkEnd w:id="22"/>
    </w:p>
    <w:p w14:paraId="1E7D6277">
      <w:pPr>
        <w:spacing w:line="600" w:lineRule="exact"/>
        <w:ind w:firstLine="640" w:firstLineChars="200"/>
        <w:rPr>
          <w:rFonts w:hint="eastAsia" w:ascii="仿宋" w:eastAsia="仿宋"/>
          <w:color w:val="auto"/>
          <w:sz w:val="32"/>
          <w:szCs w:val="32"/>
          <w:highlight w:val="none"/>
          <w:lang w:val="en-US" w:eastAsia="zh-CN"/>
        </w:rPr>
      </w:pPr>
      <w:r>
        <w:rPr>
          <w:rFonts w:hint="eastAsia" w:ascii="仿宋" w:eastAsia="仿宋"/>
          <w:color w:val="auto"/>
          <w:sz w:val="32"/>
          <w:szCs w:val="32"/>
          <w:highlight w:val="none"/>
          <w:lang w:val="en-US" w:eastAsia="zh-CN"/>
        </w:rPr>
        <w:t>广元市昭化区昭化镇中心卫生院属主管部门下属单位，属于二级预算单位，无下属机构。</w:t>
      </w:r>
    </w:p>
    <w:p w14:paraId="0A633E44">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leftChars="0" w:right="0" w:firstLine="0" w:firstLineChars="0"/>
        <w:jc w:val="both"/>
        <w:rPr>
          <w:rFonts w:ascii="仿宋" w:eastAsia="仿宋"/>
          <w:color w:val="auto"/>
          <w:kern w:val="0"/>
          <w:sz w:val="32"/>
          <w:szCs w:val="32"/>
          <w:highlight w:val="none"/>
        </w:rPr>
      </w:pPr>
      <w:r>
        <w:br w:type="page"/>
      </w:r>
    </w:p>
    <w:p w14:paraId="12EBEE15">
      <w:pPr>
        <w:pStyle w:val="4"/>
        <w:ind w:right="440"/>
        <w:jc w:val="both"/>
        <w:rPr>
          <w:rFonts w:hint="eastAsia" w:ascii="黑体" w:eastAsia="黑体"/>
          <w:b w:val="0"/>
          <w:bCs/>
          <w:color w:val="auto"/>
          <w:highlight w:val="none"/>
        </w:rPr>
      </w:pPr>
      <w:bookmarkStart w:id="23" w:name="_Toc3497"/>
      <w:bookmarkStart w:id="24" w:name="_Toc15377204"/>
      <w:bookmarkStart w:id="25" w:name="_Toc15396602"/>
    </w:p>
    <w:p w14:paraId="4686620B">
      <w:pPr>
        <w:pStyle w:val="4"/>
        <w:ind w:right="440"/>
        <w:jc w:val="center"/>
        <w:rPr>
          <w:color w:val="auto"/>
          <w:highlight w:val="none"/>
        </w:rPr>
      </w:pPr>
      <w:r>
        <w:rPr>
          <w:rFonts w:hint="eastAsia" w:ascii="黑体" w:eastAsia="黑体"/>
          <w:b w:val="0"/>
          <w:bCs/>
          <w:color w:val="auto"/>
          <w:highlight w:val="none"/>
          <w:lang w:val="en-US" w:eastAsia="zh-CN"/>
        </w:rPr>
        <w:t xml:space="preserve">  </w:t>
      </w:r>
      <w:r>
        <w:rPr>
          <w:rFonts w:hint="eastAsia" w:ascii="黑体" w:eastAsia="黑体"/>
          <w:b w:val="0"/>
          <w:bCs/>
          <w:color w:val="auto"/>
          <w:highlight w:val="none"/>
        </w:rPr>
        <w:t xml:space="preserve">第二部分 </w:t>
      </w:r>
      <w:r>
        <w:rPr>
          <w:rFonts w:hint="eastAsia" w:ascii="黑体" w:eastAsia="黑体"/>
          <w:b w:val="0"/>
          <w:bCs/>
          <w:color w:val="auto"/>
          <w:highlight w:val="none"/>
          <w:lang w:val="en-US" w:eastAsia="zh-CN"/>
        </w:rPr>
        <w:t>2022年度</w:t>
      </w:r>
      <w:r>
        <w:rPr>
          <w:rStyle w:val="20"/>
          <w:rFonts w:hint="eastAsia" w:ascii="黑体" w:eastAsia="黑体"/>
          <w:b w:val="0"/>
          <w:bCs/>
          <w:color w:val="auto"/>
          <w:highlight w:val="none"/>
          <w:lang w:eastAsia="zh-CN"/>
        </w:rPr>
        <w:t>单位</w:t>
      </w:r>
      <w:r>
        <w:rPr>
          <w:rStyle w:val="20"/>
          <w:rFonts w:hint="eastAsia" w:ascii="黑体" w:eastAsia="黑体"/>
          <w:b w:val="0"/>
          <w:bCs/>
          <w:color w:val="auto"/>
          <w:highlight w:val="none"/>
        </w:rPr>
        <w:t>决算情况说明</w:t>
      </w:r>
      <w:bookmarkEnd w:id="23"/>
      <w:bookmarkEnd w:id="24"/>
      <w:bookmarkEnd w:id="25"/>
    </w:p>
    <w:p w14:paraId="56C9FC9E">
      <w:pPr>
        <w:pStyle w:val="26"/>
        <w:numPr>
          <w:ilvl w:val="0"/>
          <w:numId w:val="3"/>
        </w:numPr>
        <w:spacing w:line="600" w:lineRule="exact"/>
        <w:ind w:firstLineChars="0"/>
        <w:outlineLvl w:val="1"/>
        <w:rPr>
          <w:rStyle w:val="21"/>
          <w:rFonts w:ascii="黑体" w:eastAsia="黑体"/>
          <w:b w:val="0"/>
          <w:color w:val="auto"/>
          <w:highlight w:val="none"/>
        </w:rPr>
      </w:pPr>
      <w:bookmarkStart w:id="26" w:name="_Toc15396603"/>
      <w:bookmarkStart w:id="27" w:name="_Toc5715"/>
      <w:bookmarkStart w:id="28" w:name="_Toc15377205"/>
      <w:r>
        <w:rPr>
          <w:rFonts w:hint="eastAsia" w:ascii="黑体" w:eastAsia="黑体"/>
          <w:color w:val="auto"/>
          <w:sz w:val="32"/>
          <w:szCs w:val="32"/>
          <w:highlight w:val="none"/>
        </w:rPr>
        <w:t>收</w:t>
      </w:r>
      <w:r>
        <w:rPr>
          <w:rStyle w:val="21"/>
          <w:rFonts w:hint="eastAsia" w:ascii="黑体" w:eastAsia="黑体"/>
          <w:b w:val="0"/>
          <w:color w:val="auto"/>
          <w:highlight w:val="none"/>
        </w:rPr>
        <w:t>入支出决算总体情况说明</w:t>
      </w:r>
      <w:bookmarkEnd w:id="26"/>
      <w:bookmarkEnd w:id="27"/>
      <w:bookmarkEnd w:id="28"/>
    </w:p>
    <w:p w14:paraId="5E5EF23C">
      <w:pPr>
        <w:spacing w:line="600" w:lineRule="exact"/>
        <w:ind w:firstLine="640" w:firstLineChars="200"/>
        <w:rPr>
          <w:rFonts w:hint="eastAsia" w:ascii="仿宋" w:eastAsia="仿宋"/>
          <w:color w:val="auto"/>
          <w:sz w:val="32"/>
          <w:szCs w:val="32"/>
          <w:highlight w:val="none"/>
          <w:lang w:eastAsia="zh-CN"/>
        </w:rPr>
      </w:pPr>
      <w:r>
        <w:rPr>
          <w:rFonts w:hint="eastAsia"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年度收、支总计</w:t>
      </w:r>
      <w:r>
        <w:rPr>
          <w:rFonts w:hint="eastAsia" w:ascii="仿宋" w:eastAsia="仿宋"/>
          <w:color w:val="auto"/>
          <w:sz w:val="32"/>
          <w:szCs w:val="32"/>
          <w:highlight w:val="none"/>
          <w:lang w:val="en-US" w:eastAsia="zh-CN"/>
        </w:rPr>
        <w:t>869.54</w:t>
      </w:r>
      <w:r>
        <w:rPr>
          <w:rFonts w:hint="eastAsia" w:ascii="仿宋" w:eastAsia="仿宋"/>
          <w:color w:val="auto"/>
          <w:sz w:val="32"/>
          <w:szCs w:val="32"/>
          <w:highlight w:val="none"/>
        </w:rPr>
        <w:t>万元。与20</w:t>
      </w:r>
      <w:r>
        <w:rPr>
          <w:rFonts w:hint="eastAsia" w:ascii="仿宋" w:eastAsia="仿宋"/>
          <w:color w:val="auto"/>
          <w:sz w:val="32"/>
          <w:szCs w:val="32"/>
          <w:highlight w:val="none"/>
          <w:lang w:val="en-US" w:eastAsia="zh-CN"/>
        </w:rPr>
        <w:t>21</w:t>
      </w:r>
      <w:r>
        <w:rPr>
          <w:rFonts w:hint="eastAsia" w:ascii="仿宋" w:eastAsia="仿宋"/>
          <w:color w:val="auto"/>
          <w:sz w:val="32"/>
          <w:szCs w:val="32"/>
          <w:highlight w:val="none"/>
        </w:rPr>
        <w:t>年相比，收、支总计各增加</w:t>
      </w:r>
      <w:r>
        <w:rPr>
          <w:rFonts w:hint="eastAsia" w:ascii="仿宋" w:eastAsia="仿宋"/>
          <w:color w:val="auto"/>
          <w:sz w:val="32"/>
          <w:szCs w:val="32"/>
          <w:highlight w:val="none"/>
          <w:lang w:val="en-US" w:eastAsia="zh-CN"/>
        </w:rPr>
        <w:t>222.29</w:t>
      </w:r>
      <w:r>
        <w:rPr>
          <w:rFonts w:hint="eastAsia" w:ascii="仿宋" w:eastAsia="仿宋"/>
          <w:color w:val="auto"/>
          <w:sz w:val="32"/>
          <w:szCs w:val="32"/>
          <w:highlight w:val="none"/>
        </w:rPr>
        <w:t>万元，增长</w:t>
      </w:r>
      <w:r>
        <w:rPr>
          <w:rFonts w:hint="eastAsia" w:ascii="仿宋" w:eastAsia="仿宋"/>
          <w:color w:val="auto"/>
          <w:sz w:val="32"/>
          <w:szCs w:val="32"/>
          <w:highlight w:val="none"/>
          <w:lang w:val="en-US" w:eastAsia="zh-CN"/>
        </w:rPr>
        <w:t>34.34</w:t>
      </w:r>
      <w:r>
        <w:rPr>
          <w:rFonts w:ascii="仿宋" w:eastAsia="仿宋"/>
          <w:color w:val="auto"/>
          <w:sz w:val="32"/>
          <w:szCs w:val="32"/>
          <w:highlight w:val="none"/>
        </w:rPr>
        <w:t>%</w:t>
      </w:r>
      <w:r>
        <w:rPr>
          <w:rFonts w:hint="eastAsia" w:ascii="仿宋" w:eastAsia="仿宋"/>
          <w:color w:val="auto"/>
          <w:sz w:val="32"/>
          <w:szCs w:val="32"/>
          <w:highlight w:val="none"/>
        </w:rPr>
        <w:t>。主要变动原因是</w:t>
      </w:r>
      <w:r>
        <w:rPr>
          <w:rFonts w:hint="eastAsia" w:ascii="仿宋" w:eastAsia="仿宋"/>
          <w:color w:val="auto"/>
          <w:sz w:val="32"/>
          <w:szCs w:val="32"/>
          <w:highlight w:val="none"/>
          <w:lang w:eastAsia="zh-CN"/>
        </w:rPr>
        <w:t>医疗收入增加，人员经费增加。</w:t>
      </w:r>
    </w:p>
    <w:p w14:paraId="04BCF884">
      <w:pPr>
        <w:pStyle w:val="7"/>
        <w:rPr>
          <w:rFonts w:hint="eastAsia"/>
          <w:lang w:eastAsia="zh-CN"/>
        </w:rPr>
      </w:pPr>
      <w:r>
        <w:rPr>
          <w:rFonts w:hint="eastAsia"/>
          <w:lang w:val="en-US" w:eastAsia="zh-CN"/>
        </w:rPr>
        <w:t xml:space="preserve">         </w:t>
      </w:r>
      <w:r>
        <w:drawing>
          <wp:inline distT="0" distB="0" distL="114300" distR="114300">
            <wp:extent cx="3571875" cy="2276475"/>
            <wp:effectExtent l="6350" t="6350" r="22225" b="22225"/>
            <wp:docPr id="297" name="图表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75DA4C77">
      <w:pPr>
        <w:spacing w:line="600" w:lineRule="exact"/>
        <w:ind w:firstLine="640" w:firstLineChars="200"/>
        <w:rPr>
          <w:rFonts w:ascii="仿宋" w:eastAsia="仿宋"/>
          <w:color w:val="auto"/>
          <w:sz w:val="32"/>
          <w:szCs w:val="32"/>
          <w:highlight w:val="none"/>
        </w:rPr>
      </w:pPr>
      <w:r>
        <w:rPr>
          <w:rFonts w:hint="eastAsia" w:ascii="仿宋" w:eastAsia="仿宋"/>
          <w:color w:val="auto"/>
          <w:sz w:val="32"/>
          <w:szCs w:val="32"/>
          <w:highlight w:val="none"/>
        </w:rPr>
        <w:t>（图</w:t>
      </w:r>
      <w:r>
        <w:rPr>
          <w:rFonts w:ascii="仿宋" w:eastAsia="仿宋"/>
          <w:color w:val="auto"/>
          <w:sz w:val="32"/>
          <w:szCs w:val="32"/>
          <w:highlight w:val="none"/>
        </w:rPr>
        <w:t>1</w:t>
      </w:r>
      <w:r>
        <w:rPr>
          <w:rFonts w:hint="eastAsia" w:ascii="仿宋" w:eastAsia="仿宋"/>
          <w:color w:val="auto"/>
          <w:sz w:val="32"/>
          <w:szCs w:val="32"/>
          <w:highlight w:val="none"/>
        </w:rPr>
        <w:t>：收、支决算总计变动情况图）（柱状图）</w:t>
      </w:r>
    </w:p>
    <w:p w14:paraId="5A5F8449">
      <w:pPr>
        <w:spacing w:line="600" w:lineRule="exact"/>
        <w:ind w:firstLine="640" w:firstLineChars="200"/>
        <w:jc w:val="left"/>
        <w:rPr>
          <w:rFonts w:ascii="仿宋_GB2312" w:eastAsia="仿宋_GB2312"/>
          <w:color w:val="auto"/>
          <w:sz w:val="32"/>
          <w:szCs w:val="32"/>
          <w:highlight w:val="none"/>
        </w:rPr>
      </w:pPr>
    </w:p>
    <w:p w14:paraId="180FDF2C">
      <w:pPr>
        <w:pStyle w:val="26"/>
        <w:numPr>
          <w:ilvl w:val="0"/>
          <w:numId w:val="3"/>
        </w:numPr>
        <w:spacing w:line="600" w:lineRule="exact"/>
        <w:ind w:firstLineChars="0"/>
        <w:outlineLvl w:val="1"/>
        <w:rPr>
          <w:rStyle w:val="21"/>
          <w:rFonts w:ascii="黑体" w:eastAsia="黑体"/>
          <w:b w:val="0"/>
          <w:color w:val="auto"/>
          <w:highlight w:val="none"/>
        </w:rPr>
      </w:pPr>
      <w:bookmarkStart w:id="29" w:name="_Toc16584"/>
      <w:bookmarkStart w:id="30" w:name="_Toc15377206"/>
      <w:bookmarkStart w:id="31" w:name="_Toc15396604"/>
      <w:r>
        <w:rPr>
          <w:rFonts w:hint="eastAsia" w:ascii="黑体" w:eastAsia="黑体"/>
          <w:color w:val="auto"/>
          <w:sz w:val="32"/>
          <w:szCs w:val="32"/>
          <w:highlight w:val="none"/>
        </w:rPr>
        <w:t>收</w:t>
      </w:r>
      <w:r>
        <w:rPr>
          <w:rStyle w:val="21"/>
          <w:rFonts w:hint="eastAsia" w:ascii="黑体" w:eastAsia="黑体"/>
          <w:b w:val="0"/>
          <w:color w:val="auto"/>
          <w:highlight w:val="none"/>
        </w:rPr>
        <w:t>入决算情况说明</w:t>
      </w:r>
      <w:bookmarkEnd w:id="29"/>
      <w:bookmarkEnd w:id="30"/>
      <w:bookmarkEnd w:id="31"/>
    </w:p>
    <w:p w14:paraId="593A8838">
      <w:pPr>
        <w:spacing w:line="600" w:lineRule="exact"/>
        <w:ind w:firstLine="640" w:firstLineChars="200"/>
        <w:outlineLvl w:val="1"/>
        <w:rPr>
          <w:rFonts w:hint="eastAsia" w:ascii="仿宋" w:eastAsia="仿宋"/>
          <w:color w:val="auto"/>
          <w:sz w:val="32"/>
          <w:szCs w:val="32"/>
          <w:highlight w:val="none"/>
          <w:lang w:eastAsia="zh-CN"/>
        </w:rPr>
      </w:pPr>
      <w:bookmarkStart w:id="32" w:name="_Toc21436"/>
      <w:bookmarkStart w:id="33" w:name="_Toc9422"/>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w:t>
      </w:r>
      <w:r>
        <w:rPr>
          <w:rFonts w:hint="eastAsia" w:ascii="仿宋" w:eastAsia="仿宋"/>
          <w:color w:val="auto"/>
          <w:sz w:val="32"/>
          <w:szCs w:val="32"/>
          <w:highlight w:val="none"/>
          <w:lang w:val="en-US" w:eastAsia="zh-CN"/>
        </w:rPr>
        <w:t>本年收入合计869.54万元，其中：一般公共预算财政拨款收入547.04万元，占62.91%；政府性基金预算财政拨款收入18.42万元，占2.12%</w:t>
      </w:r>
      <w:r>
        <w:rPr>
          <w:rFonts w:hint="eastAsia" w:ascii="仿宋" w:eastAsia="仿宋"/>
          <w:color w:val="auto"/>
          <w:sz w:val="32"/>
          <w:szCs w:val="32"/>
          <w:highlight w:val="none"/>
        </w:rPr>
        <w:t>；事业收入</w:t>
      </w:r>
      <w:r>
        <w:rPr>
          <w:rFonts w:hint="eastAsia" w:ascii="仿宋" w:eastAsia="仿宋"/>
          <w:color w:val="auto"/>
          <w:sz w:val="32"/>
          <w:szCs w:val="32"/>
          <w:highlight w:val="none"/>
          <w:lang w:val="en-US" w:eastAsia="zh-CN"/>
        </w:rPr>
        <w:t>304.08</w:t>
      </w:r>
      <w:r>
        <w:rPr>
          <w:rFonts w:hint="eastAsia" w:ascii="仿宋" w:eastAsia="仿宋"/>
          <w:color w:val="auto"/>
          <w:sz w:val="32"/>
          <w:szCs w:val="32"/>
          <w:highlight w:val="none"/>
        </w:rPr>
        <w:t>万元，占</w:t>
      </w:r>
      <w:r>
        <w:rPr>
          <w:rFonts w:hint="eastAsia" w:ascii="仿宋" w:eastAsia="仿宋"/>
          <w:color w:val="auto"/>
          <w:sz w:val="32"/>
          <w:szCs w:val="32"/>
          <w:highlight w:val="none"/>
          <w:lang w:val="en-US" w:eastAsia="zh-CN"/>
        </w:rPr>
        <w:t>34.97</w:t>
      </w:r>
      <w:r>
        <w:rPr>
          <w:rFonts w:ascii="仿宋" w:eastAsia="仿宋"/>
          <w:color w:val="auto"/>
          <w:sz w:val="32"/>
          <w:szCs w:val="32"/>
          <w:highlight w:val="none"/>
        </w:rPr>
        <w:t>%</w:t>
      </w:r>
      <w:r>
        <w:rPr>
          <w:rFonts w:hint="eastAsia" w:ascii="仿宋" w:eastAsia="仿宋"/>
          <w:color w:val="auto"/>
          <w:sz w:val="32"/>
          <w:szCs w:val="32"/>
          <w:highlight w:val="none"/>
          <w:lang w:eastAsia="zh-CN"/>
        </w:rPr>
        <w:t>。</w:t>
      </w:r>
      <w:bookmarkEnd w:id="32"/>
      <w:bookmarkEnd w:id="33"/>
    </w:p>
    <w:p w14:paraId="48C10C4E">
      <w:pPr>
        <w:rPr>
          <w:rFonts w:hint="eastAsia"/>
          <w:lang w:eastAsia="zh-CN"/>
        </w:rPr>
      </w:pPr>
      <w:r>
        <w:rPr>
          <w:rFonts w:hint="eastAsia"/>
          <w:lang w:val="en-US" w:eastAsia="zh-CN"/>
        </w:rPr>
        <w:t xml:space="preserve">             </w:t>
      </w:r>
      <w:r>
        <w:drawing>
          <wp:inline distT="0" distB="0" distL="114300" distR="114300">
            <wp:extent cx="3495040" cy="2212340"/>
            <wp:effectExtent l="6350" t="6350" r="22860" b="10160"/>
            <wp:docPr id="298" name="图表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36958363">
      <w:pPr>
        <w:spacing w:line="600" w:lineRule="exact"/>
        <w:ind w:firstLine="1600" w:firstLineChars="500"/>
        <w:rPr>
          <w:rFonts w:ascii="仿宋" w:eastAsia="仿宋"/>
          <w:color w:val="auto"/>
          <w:sz w:val="32"/>
          <w:szCs w:val="32"/>
          <w:highlight w:val="none"/>
        </w:rPr>
      </w:pPr>
      <w:r>
        <w:rPr>
          <w:rFonts w:hint="eastAsia" w:ascii="仿宋" w:eastAsia="仿宋"/>
          <w:color w:val="auto"/>
          <w:sz w:val="32"/>
          <w:szCs w:val="32"/>
          <w:highlight w:val="none"/>
        </w:rPr>
        <w:t>（图2：收入决算结构图）（饼状图）</w:t>
      </w:r>
    </w:p>
    <w:p w14:paraId="16808572">
      <w:pPr>
        <w:spacing w:line="600" w:lineRule="exact"/>
        <w:ind w:firstLine="640" w:firstLineChars="200"/>
        <w:rPr>
          <w:rFonts w:ascii="仿宋_GB2312" w:eastAsia="仿宋_GB2312"/>
          <w:color w:val="auto"/>
          <w:sz w:val="32"/>
          <w:szCs w:val="32"/>
          <w:highlight w:val="none"/>
        </w:rPr>
      </w:pPr>
    </w:p>
    <w:p w14:paraId="757EDA39">
      <w:pPr>
        <w:pStyle w:val="26"/>
        <w:numPr>
          <w:ilvl w:val="0"/>
          <w:numId w:val="3"/>
        </w:numPr>
        <w:spacing w:line="600" w:lineRule="exact"/>
        <w:ind w:firstLineChars="0"/>
        <w:outlineLvl w:val="1"/>
        <w:rPr>
          <w:rStyle w:val="21"/>
          <w:rFonts w:ascii="黑体" w:eastAsia="黑体"/>
          <w:b w:val="0"/>
          <w:color w:val="auto"/>
          <w:highlight w:val="none"/>
        </w:rPr>
      </w:pPr>
      <w:bookmarkStart w:id="34" w:name="_Toc1238"/>
      <w:bookmarkStart w:id="35" w:name="_Toc15377207"/>
      <w:bookmarkStart w:id="36" w:name="_Toc15396605"/>
      <w:r>
        <w:rPr>
          <w:rFonts w:hint="eastAsia" w:ascii="黑体" w:eastAsia="黑体"/>
          <w:color w:val="auto"/>
          <w:sz w:val="32"/>
          <w:szCs w:val="32"/>
          <w:highlight w:val="none"/>
        </w:rPr>
        <w:t>支</w:t>
      </w:r>
      <w:r>
        <w:rPr>
          <w:rStyle w:val="21"/>
          <w:rFonts w:hint="eastAsia" w:ascii="黑体" w:eastAsia="黑体"/>
          <w:b w:val="0"/>
          <w:color w:val="auto"/>
          <w:highlight w:val="none"/>
        </w:rPr>
        <w:t>出决算情况说明</w:t>
      </w:r>
      <w:bookmarkEnd w:id="34"/>
      <w:bookmarkEnd w:id="35"/>
      <w:bookmarkEnd w:id="36"/>
    </w:p>
    <w:p w14:paraId="0B97AA59">
      <w:pPr>
        <w:spacing w:line="600" w:lineRule="exact"/>
        <w:ind w:firstLine="640" w:firstLineChars="200"/>
        <w:outlineLvl w:val="1"/>
        <w:rPr>
          <w:rFonts w:ascii="仿宋" w:eastAsia="仿宋"/>
          <w:color w:val="auto"/>
          <w:sz w:val="32"/>
          <w:szCs w:val="32"/>
          <w:highlight w:val="none"/>
        </w:rPr>
      </w:pPr>
      <w:bookmarkStart w:id="37" w:name="_Toc4313"/>
      <w:bookmarkStart w:id="38" w:name="_Toc6281"/>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年本年支出合计</w:t>
      </w:r>
      <w:r>
        <w:rPr>
          <w:rFonts w:hint="eastAsia" w:ascii="仿宋" w:eastAsia="仿宋"/>
          <w:color w:val="auto"/>
          <w:sz w:val="32"/>
          <w:szCs w:val="32"/>
          <w:highlight w:val="none"/>
          <w:lang w:val="en-US" w:eastAsia="zh-CN"/>
        </w:rPr>
        <w:t>869.54</w:t>
      </w:r>
      <w:r>
        <w:rPr>
          <w:rFonts w:hint="eastAsia" w:ascii="仿宋" w:eastAsia="仿宋"/>
          <w:color w:val="auto"/>
          <w:sz w:val="32"/>
          <w:szCs w:val="32"/>
          <w:highlight w:val="none"/>
        </w:rPr>
        <w:t>万元，其中：基本支出</w:t>
      </w:r>
      <w:r>
        <w:rPr>
          <w:rFonts w:hint="eastAsia" w:ascii="仿宋" w:eastAsia="仿宋"/>
          <w:color w:val="auto"/>
          <w:sz w:val="32"/>
          <w:szCs w:val="32"/>
          <w:highlight w:val="none"/>
          <w:lang w:val="en-US" w:eastAsia="zh-CN"/>
        </w:rPr>
        <w:t>673.55</w:t>
      </w:r>
      <w:r>
        <w:rPr>
          <w:rFonts w:hint="eastAsia" w:ascii="仿宋" w:eastAsia="仿宋"/>
          <w:color w:val="auto"/>
          <w:sz w:val="32"/>
          <w:szCs w:val="32"/>
          <w:highlight w:val="none"/>
        </w:rPr>
        <w:t>万元，占</w:t>
      </w:r>
      <w:r>
        <w:rPr>
          <w:rFonts w:hint="eastAsia" w:ascii="仿宋" w:eastAsia="仿宋"/>
          <w:color w:val="auto"/>
          <w:sz w:val="32"/>
          <w:szCs w:val="32"/>
          <w:highlight w:val="none"/>
          <w:lang w:val="en-US" w:eastAsia="zh-CN"/>
        </w:rPr>
        <w:t>77.46</w:t>
      </w:r>
      <w:r>
        <w:rPr>
          <w:rFonts w:ascii="仿宋" w:eastAsia="仿宋"/>
          <w:color w:val="auto"/>
          <w:sz w:val="32"/>
          <w:szCs w:val="32"/>
          <w:highlight w:val="none"/>
        </w:rPr>
        <w:t>%</w:t>
      </w:r>
      <w:r>
        <w:rPr>
          <w:rFonts w:hint="eastAsia" w:ascii="仿宋" w:eastAsia="仿宋"/>
          <w:color w:val="auto"/>
          <w:sz w:val="32"/>
          <w:szCs w:val="32"/>
          <w:highlight w:val="none"/>
        </w:rPr>
        <w:t>；项目支出</w:t>
      </w:r>
      <w:r>
        <w:rPr>
          <w:rFonts w:hint="eastAsia" w:ascii="仿宋" w:eastAsia="仿宋"/>
          <w:color w:val="auto"/>
          <w:sz w:val="32"/>
          <w:szCs w:val="32"/>
          <w:highlight w:val="none"/>
          <w:lang w:val="en-US" w:eastAsia="zh-CN"/>
        </w:rPr>
        <w:t>195.99</w:t>
      </w:r>
      <w:r>
        <w:rPr>
          <w:rFonts w:hint="eastAsia" w:ascii="仿宋" w:eastAsia="仿宋"/>
          <w:color w:val="auto"/>
          <w:sz w:val="32"/>
          <w:szCs w:val="32"/>
          <w:highlight w:val="none"/>
        </w:rPr>
        <w:t>万元，占</w:t>
      </w:r>
      <w:r>
        <w:rPr>
          <w:rFonts w:hint="eastAsia" w:ascii="仿宋" w:eastAsia="仿宋"/>
          <w:color w:val="auto"/>
          <w:sz w:val="32"/>
          <w:szCs w:val="32"/>
          <w:highlight w:val="none"/>
          <w:lang w:val="en-US" w:eastAsia="zh-CN"/>
        </w:rPr>
        <w:t>22.54</w:t>
      </w:r>
      <w:r>
        <w:rPr>
          <w:rFonts w:ascii="仿宋" w:eastAsia="仿宋"/>
          <w:color w:val="auto"/>
          <w:sz w:val="32"/>
          <w:szCs w:val="32"/>
          <w:highlight w:val="none"/>
        </w:rPr>
        <w:t>%</w:t>
      </w:r>
      <w:r>
        <w:rPr>
          <w:rFonts w:hint="eastAsia" w:ascii="仿宋" w:eastAsia="仿宋"/>
          <w:color w:val="auto"/>
          <w:sz w:val="32"/>
          <w:szCs w:val="32"/>
          <w:highlight w:val="none"/>
        </w:rPr>
        <w:t>。</w:t>
      </w:r>
      <w:bookmarkEnd w:id="37"/>
      <w:bookmarkEnd w:id="38"/>
    </w:p>
    <w:p w14:paraId="46A3275E">
      <w:pPr>
        <w:pStyle w:val="7"/>
        <w:jc w:val="center"/>
      </w:pPr>
      <w:r>
        <w:drawing>
          <wp:inline distT="0" distB="0" distL="114300" distR="114300">
            <wp:extent cx="3379470" cy="2449195"/>
            <wp:effectExtent l="6350" t="6350" r="24130" b="20955"/>
            <wp:docPr id="299" name="图表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3957DB2E">
      <w:pPr>
        <w:spacing w:line="600" w:lineRule="exact"/>
        <w:ind w:firstLine="640" w:firstLineChars="200"/>
        <w:jc w:val="center"/>
        <w:rPr>
          <w:rFonts w:ascii="仿宋" w:eastAsia="仿宋"/>
          <w:color w:val="auto"/>
          <w:sz w:val="32"/>
          <w:szCs w:val="32"/>
          <w:highlight w:val="none"/>
        </w:rPr>
      </w:pPr>
      <w:r>
        <w:rPr>
          <w:rFonts w:hint="eastAsia" w:ascii="仿宋" w:eastAsia="仿宋"/>
          <w:color w:val="auto"/>
          <w:sz w:val="32"/>
          <w:szCs w:val="32"/>
          <w:highlight w:val="none"/>
        </w:rPr>
        <w:t>（图3：支出决算结构图）（饼状图）</w:t>
      </w:r>
    </w:p>
    <w:p w14:paraId="0335175A">
      <w:pPr>
        <w:spacing w:line="600" w:lineRule="exact"/>
        <w:ind w:firstLine="640" w:firstLineChars="200"/>
        <w:rPr>
          <w:rFonts w:ascii="仿宋_GB2312" w:eastAsia="仿宋_GB2312"/>
          <w:color w:val="auto"/>
          <w:sz w:val="32"/>
          <w:szCs w:val="32"/>
          <w:highlight w:val="none"/>
        </w:rPr>
      </w:pPr>
    </w:p>
    <w:p w14:paraId="0A0DCA31">
      <w:pPr>
        <w:spacing w:line="600" w:lineRule="exact"/>
        <w:ind w:firstLine="640" w:firstLineChars="200"/>
        <w:outlineLvl w:val="1"/>
        <w:rPr>
          <w:rStyle w:val="21"/>
          <w:rFonts w:ascii="黑体" w:eastAsia="黑体"/>
          <w:b w:val="0"/>
          <w:color w:val="auto"/>
          <w:highlight w:val="none"/>
        </w:rPr>
      </w:pPr>
      <w:bookmarkStart w:id="39" w:name="_Toc15396606"/>
      <w:bookmarkStart w:id="40" w:name="_Toc15377208"/>
      <w:bookmarkStart w:id="41" w:name="_Toc14162"/>
      <w:r>
        <w:rPr>
          <w:rFonts w:hint="eastAsia" w:ascii="黑体" w:eastAsia="黑体"/>
          <w:color w:val="auto"/>
          <w:sz w:val="32"/>
          <w:szCs w:val="32"/>
          <w:highlight w:val="none"/>
        </w:rPr>
        <w:t>四、财</w:t>
      </w:r>
      <w:r>
        <w:rPr>
          <w:rStyle w:val="21"/>
          <w:rFonts w:hint="eastAsia" w:ascii="黑体" w:eastAsia="黑体"/>
          <w:b w:val="0"/>
          <w:color w:val="auto"/>
          <w:highlight w:val="none"/>
        </w:rPr>
        <w:t>政拨款收入支出决算总体情况说明</w:t>
      </w:r>
      <w:bookmarkEnd w:id="39"/>
      <w:bookmarkEnd w:id="40"/>
      <w:bookmarkEnd w:id="41"/>
    </w:p>
    <w:p w14:paraId="4018D2DF">
      <w:pPr>
        <w:spacing w:line="600" w:lineRule="exact"/>
        <w:ind w:firstLine="640"/>
        <w:rPr>
          <w:rFonts w:hint="eastAsia" w:ascii="仿宋" w:eastAsia="仿宋"/>
          <w:color w:val="auto"/>
          <w:sz w:val="32"/>
          <w:szCs w:val="32"/>
          <w:highlight w:val="none"/>
          <w:lang w:val="en-US" w:eastAsia="zh-CN"/>
        </w:rPr>
      </w:pPr>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年财政拨款收、支总计</w:t>
      </w:r>
      <w:r>
        <w:rPr>
          <w:rFonts w:hint="eastAsia" w:ascii="仿宋" w:eastAsia="仿宋"/>
          <w:color w:val="auto"/>
          <w:sz w:val="32"/>
          <w:szCs w:val="32"/>
          <w:highlight w:val="none"/>
          <w:lang w:val="en-US" w:eastAsia="zh-CN"/>
        </w:rPr>
        <w:t>565.46</w:t>
      </w:r>
      <w:r>
        <w:rPr>
          <w:rFonts w:hint="eastAsia" w:ascii="仿宋" w:eastAsia="仿宋"/>
          <w:color w:val="auto"/>
          <w:sz w:val="32"/>
          <w:szCs w:val="32"/>
          <w:highlight w:val="none"/>
        </w:rPr>
        <w:t>万元。与</w:t>
      </w:r>
      <w:r>
        <w:rPr>
          <w:rFonts w:ascii="仿宋" w:eastAsia="仿宋"/>
          <w:color w:val="auto"/>
          <w:sz w:val="32"/>
          <w:szCs w:val="32"/>
          <w:highlight w:val="none"/>
        </w:rPr>
        <w:t>20</w:t>
      </w:r>
      <w:r>
        <w:rPr>
          <w:rFonts w:hint="eastAsia" w:ascii="仿宋" w:eastAsia="仿宋"/>
          <w:color w:val="auto"/>
          <w:sz w:val="32"/>
          <w:szCs w:val="32"/>
          <w:highlight w:val="none"/>
          <w:lang w:val="en-US" w:eastAsia="zh-CN"/>
        </w:rPr>
        <w:t>21</w:t>
      </w:r>
      <w:r>
        <w:rPr>
          <w:rFonts w:hint="eastAsia" w:ascii="仿宋" w:eastAsia="仿宋"/>
          <w:color w:val="auto"/>
          <w:sz w:val="32"/>
          <w:szCs w:val="32"/>
          <w:highlight w:val="none"/>
        </w:rPr>
        <w:t>年相比，财政拨款收、支总计各增加</w:t>
      </w:r>
      <w:r>
        <w:rPr>
          <w:rFonts w:hint="eastAsia" w:ascii="仿宋" w:eastAsia="仿宋"/>
          <w:color w:val="auto"/>
          <w:sz w:val="32"/>
          <w:szCs w:val="32"/>
          <w:highlight w:val="none"/>
          <w:lang w:val="en-US" w:eastAsia="zh-CN"/>
        </w:rPr>
        <w:t>150.22</w:t>
      </w:r>
      <w:r>
        <w:rPr>
          <w:rFonts w:hint="eastAsia" w:ascii="仿宋" w:eastAsia="仿宋"/>
          <w:color w:val="auto"/>
          <w:sz w:val="32"/>
          <w:szCs w:val="32"/>
          <w:highlight w:val="none"/>
        </w:rPr>
        <w:t>万元，增长</w:t>
      </w:r>
      <w:r>
        <w:rPr>
          <w:rFonts w:hint="eastAsia" w:ascii="仿宋" w:eastAsia="仿宋"/>
          <w:color w:val="auto"/>
          <w:sz w:val="32"/>
          <w:szCs w:val="32"/>
          <w:highlight w:val="none"/>
          <w:lang w:val="en-US" w:eastAsia="zh-CN"/>
        </w:rPr>
        <w:t>26.57</w:t>
      </w:r>
      <w:r>
        <w:rPr>
          <w:rFonts w:ascii="仿宋" w:eastAsia="仿宋"/>
          <w:color w:val="auto"/>
          <w:sz w:val="32"/>
          <w:szCs w:val="32"/>
          <w:highlight w:val="none"/>
        </w:rPr>
        <w:t>%</w:t>
      </w:r>
      <w:r>
        <w:rPr>
          <w:rFonts w:hint="eastAsia" w:ascii="仿宋" w:eastAsia="仿宋"/>
          <w:color w:val="auto"/>
          <w:sz w:val="32"/>
          <w:szCs w:val="32"/>
          <w:highlight w:val="none"/>
        </w:rPr>
        <w:t>。主要变动原因是</w:t>
      </w:r>
      <w:r>
        <w:rPr>
          <w:rFonts w:hint="eastAsia" w:ascii="仿宋" w:eastAsia="仿宋"/>
          <w:color w:val="auto"/>
          <w:sz w:val="32"/>
          <w:szCs w:val="32"/>
          <w:highlight w:val="none"/>
          <w:lang w:eastAsia="zh-CN"/>
        </w:rPr>
        <w:t>人员经费增加，疫情防控资金增加。</w:t>
      </w:r>
    </w:p>
    <w:p w14:paraId="0028678E">
      <w:pPr>
        <w:rPr>
          <w:rFonts w:hint="eastAsia" w:ascii="仿宋" w:eastAsia="仿宋"/>
          <w:color w:val="auto"/>
          <w:sz w:val="32"/>
          <w:szCs w:val="32"/>
          <w:highlight w:val="none"/>
          <w:lang w:val="en-US" w:eastAsia="zh-CN"/>
        </w:rPr>
      </w:pPr>
      <w:r>
        <w:rPr>
          <w:rFonts w:hint="eastAsia"/>
          <w:lang w:val="en-US" w:eastAsia="zh-CN"/>
        </w:rPr>
        <w:t xml:space="preserve">              </w:t>
      </w:r>
      <w:r>
        <w:drawing>
          <wp:inline distT="0" distB="0" distL="114300" distR="114300">
            <wp:extent cx="3486785" cy="2500630"/>
            <wp:effectExtent l="6350" t="6350" r="12065" b="7620"/>
            <wp:docPr id="300" name="图表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1DE6BE9D">
      <w:pPr>
        <w:spacing w:line="600" w:lineRule="exact"/>
        <w:ind w:firstLine="640" w:firstLineChars="200"/>
        <w:rPr>
          <w:rFonts w:ascii="仿宋" w:eastAsia="仿宋"/>
          <w:color w:val="auto"/>
          <w:sz w:val="32"/>
          <w:szCs w:val="32"/>
          <w:highlight w:val="none"/>
        </w:rPr>
      </w:pPr>
      <w:r>
        <w:rPr>
          <w:rFonts w:hint="eastAsia" w:ascii="仿宋" w:eastAsia="仿宋"/>
          <w:color w:val="auto"/>
          <w:sz w:val="32"/>
          <w:szCs w:val="32"/>
          <w:highlight w:val="none"/>
        </w:rPr>
        <w:t>（图4：财政拨款收、支决算总计变动情况）（柱状图）</w:t>
      </w:r>
    </w:p>
    <w:p w14:paraId="4F2FB22E">
      <w:pPr>
        <w:spacing w:line="600" w:lineRule="exact"/>
        <w:ind w:firstLine="640"/>
        <w:rPr>
          <w:rFonts w:ascii="仿宋" w:eastAsia="仿宋"/>
          <w:b/>
          <w:color w:val="auto"/>
          <w:sz w:val="32"/>
          <w:szCs w:val="32"/>
          <w:highlight w:val="none"/>
        </w:rPr>
      </w:pPr>
    </w:p>
    <w:p w14:paraId="10767273">
      <w:pPr>
        <w:spacing w:line="600" w:lineRule="exact"/>
        <w:ind w:firstLine="640" w:firstLineChars="200"/>
        <w:outlineLvl w:val="1"/>
        <w:rPr>
          <w:rStyle w:val="21"/>
          <w:rFonts w:ascii="黑体" w:eastAsia="黑体"/>
          <w:b w:val="0"/>
          <w:color w:val="auto"/>
          <w:highlight w:val="none"/>
        </w:rPr>
      </w:pPr>
      <w:bookmarkStart w:id="42" w:name="_Toc11025"/>
      <w:bookmarkStart w:id="43" w:name="_Toc15377209"/>
      <w:bookmarkStart w:id="44" w:name="_Toc15396607"/>
      <w:r>
        <w:rPr>
          <w:rFonts w:hint="eastAsia" w:ascii="黑体" w:eastAsia="黑体"/>
          <w:color w:val="auto"/>
          <w:sz w:val="32"/>
          <w:szCs w:val="32"/>
          <w:highlight w:val="none"/>
        </w:rPr>
        <w:t>五、</w:t>
      </w:r>
      <w:r>
        <w:rPr>
          <w:rFonts w:hint="eastAsia" w:ascii="黑体" w:eastAsia="黑体"/>
          <w:b/>
          <w:color w:val="auto"/>
          <w:sz w:val="32"/>
          <w:szCs w:val="32"/>
          <w:highlight w:val="none"/>
        </w:rPr>
        <w:t>一</w:t>
      </w:r>
      <w:r>
        <w:rPr>
          <w:rStyle w:val="21"/>
          <w:rFonts w:hint="eastAsia" w:ascii="黑体" w:eastAsia="黑体"/>
          <w:b w:val="0"/>
          <w:color w:val="auto"/>
          <w:highlight w:val="none"/>
        </w:rPr>
        <w:t>般公共预算财政拨款支出决算情况说明</w:t>
      </w:r>
      <w:bookmarkEnd w:id="42"/>
      <w:bookmarkEnd w:id="43"/>
      <w:bookmarkEnd w:id="44"/>
    </w:p>
    <w:p w14:paraId="08A3548A">
      <w:pPr>
        <w:spacing w:line="600" w:lineRule="exact"/>
        <w:ind w:firstLine="643" w:firstLineChars="200"/>
        <w:outlineLvl w:val="2"/>
        <w:rPr>
          <w:rFonts w:ascii="仿宋" w:eastAsia="仿宋"/>
          <w:b/>
          <w:color w:val="auto"/>
          <w:sz w:val="32"/>
          <w:szCs w:val="32"/>
          <w:highlight w:val="none"/>
        </w:rPr>
      </w:pPr>
      <w:bookmarkStart w:id="45" w:name="_Toc15377210"/>
      <w:bookmarkStart w:id="46" w:name="_Toc1604"/>
      <w:r>
        <w:rPr>
          <w:rFonts w:hint="eastAsia" w:ascii="仿宋" w:eastAsia="仿宋"/>
          <w:b/>
          <w:color w:val="auto"/>
          <w:sz w:val="32"/>
          <w:szCs w:val="32"/>
          <w:highlight w:val="none"/>
        </w:rPr>
        <w:t>（一）一般公共预算财政拨款支出决算总体情况</w:t>
      </w:r>
      <w:bookmarkEnd w:id="45"/>
      <w:bookmarkEnd w:id="46"/>
    </w:p>
    <w:p w14:paraId="5CB24F37">
      <w:pPr>
        <w:spacing w:line="600" w:lineRule="exact"/>
        <w:ind w:firstLine="640" w:firstLineChars="200"/>
        <w:rPr>
          <w:rFonts w:hint="eastAsia" w:ascii="仿宋" w:eastAsia="仿宋"/>
          <w:color w:val="auto"/>
          <w:sz w:val="32"/>
          <w:szCs w:val="32"/>
          <w:highlight w:val="none"/>
          <w:lang w:eastAsia="zh-CN"/>
        </w:rPr>
      </w:pPr>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年一般公共预算财政拨款支出</w:t>
      </w:r>
      <w:r>
        <w:rPr>
          <w:rFonts w:hint="eastAsia" w:ascii="仿宋" w:eastAsia="仿宋"/>
          <w:color w:val="auto"/>
          <w:sz w:val="32"/>
          <w:szCs w:val="32"/>
          <w:highlight w:val="none"/>
          <w:lang w:val="en-US" w:eastAsia="zh-CN"/>
        </w:rPr>
        <w:t>547.04</w:t>
      </w:r>
      <w:r>
        <w:rPr>
          <w:rFonts w:hint="eastAsia" w:ascii="仿宋" w:eastAsia="仿宋"/>
          <w:color w:val="auto"/>
          <w:sz w:val="32"/>
          <w:szCs w:val="32"/>
          <w:highlight w:val="none"/>
        </w:rPr>
        <w:t>万元，占本年支出合计的</w:t>
      </w:r>
      <w:r>
        <w:rPr>
          <w:rFonts w:hint="eastAsia" w:ascii="仿宋" w:eastAsia="仿宋"/>
          <w:color w:val="auto"/>
          <w:sz w:val="32"/>
          <w:szCs w:val="32"/>
          <w:highlight w:val="none"/>
          <w:lang w:val="en-US" w:eastAsia="zh-CN"/>
        </w:rPr>
        <w:t>62.91</w:t>
      </w:r>
      <w:r>
        <w:rPr>
          <w:rFonts w:ascii="仿宋" w:eastAsia="仿宋"/>
          <w:color w:val="auto"/>
          <w:sz w:val="32"/>
          <w:szCs w:val="32"/>
          <w:highlight w:val="none"/>
        </w:rPr>
        <w:t>%</w:t>
      </w:r>
      <w:r>
        <w:rPr>
          <w:rFonts w:hint="eastAsia" w:ascii="仿宋" w:eastAsia="仿宋"/>
          <w:color w:val="auto"/>
          <w:sz w:val="32"/>
          <w:szCs w:val="32"/>
          <w:highlight w:val="none"/>
        </w:rPr>
        <w:t>。与</w:t>
      </w:r>
      <w:r>
        <w:rPr>
          <w:rFonts w:ascii="仿宋" w:eastAsia="仿宋"/>
          <w:color w:val="auto"/>
          <w:sz w:val="32"/>
          <w:szCs w:val="32"/>
          <w:highlight w:val="none"/>
        </w:rPr>
        <w:t>20</w:t>
      </w:r>
      <w:r>
        <w:rPr>
          <w:rFonts w:hint="eastAsia" w:ascii="仿宋" w:eastAsia="仿宋"/>
          <w:color w:val="auto"/>
          <w:sz w:val="32"/>
          <w:szCs w:val="32"/>
          <w:highlight w:val="none"/>
          <w:lang w:val="en-US" w:eastAsia="zh-CN"/>
        </w:rPr>
        <w:t>21</w:t>
      </w:r>
      <w:r>
        <w:rPr>
          <w:rFonts w:hint="eastAsia" w:ascii="仿宋" w:eastAsia="仿宋"/>
          <w:color w:val="auto"/>
          <w:sz w:val="32"/>
          <w:szCs w:val="32"/>
          <w:highlight w:val="none"/>
        </w:rPr>
        <w:t>年相比，一般公共预算财政拨款</w:t>
      </w:r>
      <w:r>
        <w:rPr>
          <w:rFonts w:hint="eastAsia" w:ascii="仿宋" w:eastAsia="仿宋"/>
          <w:color w:val="auto"/>
          <w:sz w:val="32"/>
          <w:szCs w:val="32"/>
          <w:highlight w:val="none"/>
          <w:lang w:eastAsia="zh-CN"/>
        </w:rPr>
        <w:t>支出</w:t>
      </w:r>
      <w:r>
        <w:rPr>
          <w:rFonts w:hint="eastAsia" w:ascii="仿宋" w:eastAsia="仿宋"/>
          <w:color w:val="auto"/>
          <w:sz w:val="32"/>
          <w:szCs w:val="32"/>
          <w:highlight w:val="none"/>
        </w:rPr>
        <w:t>增加</w:t>
      </w:r>
      <w:r>
        <w:rPr>
          <w:rFonts w:hint="eastAsia" w:ascii="仿宋" w:eastAsia="仿宋"/>
          <w:color w:val="auto"/>
          <w:sz w:val="32"/>
          <w:szCs w:val="32"/>
          <w:highlight w:val="none"/>
          <w:lang w:val="en-US" w:eastAsia="zh-CN"/>
        </w:rPr>
        <w:t>131.8</w:t>
      </w:r>
      <w:r>
        <w:rPr>
          <w:rFonts w:hint="eastAsia" w:ascii="仿宋" w:eastAsia="仿宋"/>
          <w:color w:val="auto"/>
          <w:sz w:val="32"/>
          <w:szCs w:val="32"/>
          <w:highlight w:val="none"/>
        </w:rPr>
        <w:t>万元，增长</w:t>
      </w:r>
      <w:r>
        <w:rPr>
          <w:rFonts w:hint="eastAsia" w:ascii="仿宋" w:eastAsia="仿宋"/>
          <w:color w:val="auto"/>
          <w:sz w:val="32"/>
          <w:szCs w:val="32"/>
          <w:highlight w:val="none"/>
          <w:lang w:val="en-US" w:eastAsia="zh-CN"/>
        </w:rPr>
        <w:t>24.09</w:t>
      </w:r>
      <w:r>
        <w:rPr>
          <w:rFonts w:ascii="仿宋" w:eastAsia="仿宋"/>
          <w:color w:val="auto"/>
          <w:sz w:val="32"/>
          <w:szCs w:val="32"/>
          <w:highlight w:val="none"/>
        </w:rPr>
        <w:t>%</w:t>
      </w:r>
      <w:r>
        <w:rPr>
          <w:rFonts w:hint="eastAsia" w:ascii="仿宋" w:eastAsia="仿宋"/>
          <w:color w:val="auto"/>
          <w:sz w:val="32"/>
          <w:szCs w:val="32"/>
          <w:highlight w:val="none"/>
        </w:rPr>
        <w:t>。主要变动原因是</w:t>
      </w:r>
      <w:r>
        <w:rPr>
          <w:rFonts w:hint="eastAsia" w:ascii="仿宋" w:eastAsia="仿宋"/>
          <w:color w:val="auto"/>
          <w:sz w:val="32"/>
          <w:szCs w:val="32"/>
          <w:highlight w:val="none"/>
          <w:lang w:eastAsia="zh-CN"/>
        </w:rPr>
        <w:t>人员经费增加。</w:t>
      </w:r>
    </w:p>
    <w:p w14:paraId="156C49CD">
      <w:r>
        <w:rPr>
          <w:rFonts w:hint="eastAsia"/>
          <w:lang w:val="en-US" w:eastAsia="zh-CN"/>
        </w:rPr>
        <w:t xml:space="preserve">               </w:t>
      </w:r>
      <w:r>
        <w:drawing>
          <wp:inline distT="0" distB="0" distL="114300" distR="114300">
            <wp:extent cx="3321050" cy="2282825"/>
            <wp:effectExtent l="6350" t="6350" r="6350" b="15875"/>
            <wp:docPr id="301" name="图表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2078B72E">
      <w:pPr>
        <w:spacing w:line="600" w:lineRule="exact"/>
        <w:rPr>
          <w:rFonts w:ascii="仿宋" w:eastAsia="仿宋"/>
          <w:color w:val="auto"/>
          <w:sz w:val="32"/>
          <w:szCs w:val="32"/>
          <w:highlight w:val="none"/>
        </w:rPr>
      </w:pPr>
      <w:r>
        <w:rPr>
          <w:rFonts w:hint="eastAsia" w:ascii="仿宋" w:eastAsia="仿宋"/>
          <w:color w:val="auto"/>
          <w:sz w:val="32"/>
          <w:szCs w:val="32"/>
          <w:highlight w:val="none"/>
        </w:rPr>
        <w:t>（图5：一般公共预算财政拨款支出决算变动情况（柱状图）</w:t>
      </w:r>
    </w:p>
    <w:p w14:paraId="1CC76082">
      <w:pPr>
        <w:spacing w:line="600" w:lineRule="exact"/>
        <w:ind w:firstLine="643" w:firstLineChars="200"/>
        <w:outlineLvl w:val="2"/>
        <w:rPr>
          <w:rFonts w:ascii="仿宋" w:eastAsia="仿宋"/>
          <w:b/>
          <w:color w:val="auto"/>
          <w:sz w:val="32"/>
          <w:szCs w:val="32"/>
          <w:highlight w:val="none"/>
        </w:rPr>
      </w:pPr>
      <w:bookmarkStart w:id="47" w:name="_Toc15377211"/>
      <w:bookmarkStart w:id="48" w:name="_Toc19847"/>
      <w:r>
        <w:rPr>
          <w:rFonts w:hint="eastAsia" w:ascii="仿宋" w:eastAsia="仿宋"/>
          <w:b/>
          <w:color w:val="auto"/>
          <w:sz w:val="32"/>
          <w:szCs w:val="32"/>
          <w:highlight w:val="none"/>
        </w:rPr>
        <w:t>（二）一般公共预算财政拨款支出决算结构情况</w:t>
      </w:r>
      <w:bookmarkEnd w:id="47"/>
      <w:bookmarkEnd w:id="48"/>
    </w:p>
    <w:p w14:paraId="603FF6C0">
      <w:pPr>
        <w:spacing w:line="600" w:lineRule="exact"/>
        <w:ind w:firstLine="640"/>
        <w:rPr>
          <w:rFonts w:hint="eastAsia" w:ascii="仿宋" w:eastAsia="仿宋"/>
          <w:b/>
          <w:color w:val="auto"/>
          <w:sz w:val="32"/>
          <w:szCs w:val="32"/>
          <w:highlight w:val="none"/>
          <w:lang w:val="en-US" w:eastAsia="zh-CN"/>
        </w:rPr>
      </w:pPr>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年一般公共预算财政拨款支出</w:t>
      </w:r>
      <w:r>
        <w:rPr>
          <w:rFonts w:hint="eastAsia" w:ascii="仿宋" w:eastAsia="仿宋"/>
          <w:color w:val="auto"/>
          <w:sz w:val="32"/>
          <w:szCs w:val="32"/>
          <w:highlight w:val="none"/>
          <w:lang w:val="en-US" w:eastAsia="zh-CN"/>
        </w:rPr>
        <w:t>547.04</w:t>
      </w:r>
      <w:r>
        <w:rPr>
          <w:rFonts w:hint="eastAsia" w:ascii="仿宋" w:eastAsia="仿宋"/>
          <w:color w:val="auto"/>
          <w:sz w:val="32"/>
          <w:szCs w:val="32"/>
          <w:highlight w:val="none"/>
        </w:rPr>
        <w:t>万元，主要用于以下方面</w:t>
      </w:r>
      <w:r>
        <w:rPr>
          <w:rFonts w:ascii="仿宋" w:eastAsia="仿宋"/>
          <w:color w:val="auto"/>
          <w:sz w:val="32"/>
          <w:szCs w:val="32"/>
          <w:highlight w:val="none"/>
        </w:rPr>
        <w:t>:</w:t>
      </w:r>
      <w:r>
        <w:rPr>
          <w:rFonts w:hint="eastAsia" w:ascii="仿宋" w:eastAsia="仿宋"/>
          <w:b/>
          <w:color w:val="auto"/>
          <w:sz w:val="32"/>
          <w:szCs w:val="32"/>
          <w:highlight w:val="none"/>
        </w:rPr>
        <w:t>社会保障和就业</w:t>
      </w:r>
      <w:r>
        <w:rPr>
          <w:rFonts w:hint="eastAsia" w:ascii="仿宋" w:eastAsia="仿宋"/>
          <w:b/>
          <w:bCs/>
          <w:color w:val="auto"/>
          <w:sz w:val="32"/>
          <w:szCs w:val="32"/>
          <w:highlight w:val="none"/>
        </w:rPr>
        <w:t>支出</w:t>
      </w:r>
      <w:r>
        <w:rPr>
          <w:rFonts w:hint="eastAsia" w:ascii="仿宋" w:eastAsia="仿宋"/>
          <w:color w:val="auto"/>
          <w:sz w:val="32"/>
          <w:szCs w:val="32"/>
          <w:highlight w:val="none"/>
          <w:lang w:val="en-US" w:eastAsia="zh-CN"/>
        </w:rPr>
        <w:t>51.03</w:t>
      </w:r>
      <w:r>
        <w:rPr>
          <w:rFonts w:hint="eastAsia" w:ascii="仿宋" w:eastAsia="仿宋"/>
          <w:color w:val="auto"/>
          <w:sz w:val="32"/>
          <w:szCs w:val="32"/>
          <w:highlight w:val="none"/>
        </w:rPr>
        <w:t>万元，占</w:t>
      </w:r>
      <w:r>
        <w:rPr>
          <w:rFonts w:hint="eastAsia" w:ascii="仿宋" w:eastAsia="仿宋"/>
          <w:color w:val="auto"/>
          <w:sz w:val="32"/>
          <w:szCs w:val="32"/>
          <w:highlight w:val="none"/>
          <w:lang w:val="en-US" w:eastAsia="zh-CN"/>
        </w:rPr>
        <w:t>9.3</w:t>
      </w:r>
      <w:r>
        <w:rPr>
          <w:rFonts w:ascii="仿宋" w:eastAsia="仿宋"/>
          <w:color w:val="auto"/>
          <w:sz w:val="32"/>
          <w:szCs w:val="32"/>
          <w:highlight w:val="none"/>
        </w:rPr>
        <w:t>%</w:t>
      </w:r>
      <w:r>
        <w:rPr>
          <w:rFonts w:hint="eastAsia" w:ascii="仿宋" w:eastAsia="仿宋"/>
          <w:color w:val="auto"/>
          <w:sz w:val="32"/>
          <w:szCs w:val="32"/>
          <w:highlight w:val="none"/>
        </w:rPr>
        <w:t>；</w:t>
      </w:r>
      <w:r>
        <w:rPr>
          <w:rFonts w:hint="eastAsia" w:ascii="仿宋" w:eastAsia="仿宋"/>
          <w:b/>
          <w:bCs/>
          <w:color w:val="auto"/>
          <w:sz w:val="32"/>
          <w:szCs w:val="32"/>
          <w:highlight w:val="none"/>
        </w:rPr>
        <w:t>卫生健康支出</w:t>
      </w:r>
      <w:r>
        <w:rPr>
          <w:rFonts w:hint="eastAsia" w:ascii="仿宋" w:eastAsia="仿宋"/>
          <w:color w:val="auto"/>
          <w:sz w:val="32"/>
          <w:szCs w:val="32"/>
          <w:highlight w:val="none"/>
          <w:lang w:val="en-US" w:eastAsia="zh-CN"/>
        </w:rPr>
        <w:t>464.74</w:t>
      </w:r>
      <w:r>
        <w:rPr>
          <w:rFonts w:hint="eastAsia" w:ascii="仿宋" w:eastAsia="仿宋"/>
          <w:color w:val="auto"/>
          <w:sz w:val="32"/>
          <w:szCs w:val="32"/>
          <w:highlight w:val="none"/>
        </w:rPr>
        <w:t>万元，占</w:t>
      </w:r>
      <w:r>
        <w:rPr>
          <w:rFonts w:hint="eastAsia" w:ascii="仿宋" w:eastAsia="仿宋"/>
          <w:color w:val="auto"/>
          <w:sz w:val="32"/>
          <w:szCs w:val="32"/>
          <w:highlight w:val="none"/>
          <w:lang w:val="en-US" w:eastAsia="zh-CN"/>
        </w:rPr>
        <w:t>85</w:t>
      </w:r>
      <w:r>
        <w:rPr>
          <w:rFonts w:ascii="仿宋" w:eastAsia="仿宋"/>
          <w:color w:val="auto"/>
          <w:sz w:val="32"/>
          <w:szCs w:val="32"/>
          <w:highlight w:val="none"/>
        </w:rPr>
        <w:t>%</w:t>
      </w:r>
      <w:r>
        <w:rPr>
          <w:rFonts w:hint="eastAsia" w:ascii="仿宋" w:eastAsia="仿宋"/>
          <w:color w:val="auto"/>
          <w:sz w:val="32"/>
          <w:szCs w:val="32"/>
          <w:highlight w:val="none"/>
        </w:rPr>
        <w:t>；</w:t>
      </w:r>
      <w:r>
        <w:rPr>
          <w:rFonts w:hint="eastAsia" w:ascii="仿宋" w:eastAsia="仿宋"/>
          <w:b/>
          <w:bCs/>
          <w:color w:val="auto"/>
          <w:sz w:val="32"/>
          <w:szCs w:val="32"/>
          <w:highlight w:val="none"/>
        </w:rPr>
        <w:t>住房保障支出</w:t>
      </w:r>
      <w:r>
        <w:rPr>
          <w:rFonts w:hint="eastAsia" w:ascii="仿宋" w:eastAsia="仿宋"/>
          <w:color w:val="auto"/>
          <w:sz w:val="32"/>
          <w:szCs w:val="32"/>
          <w:highlight w:val="none"/>
          <w:lang w:val="en-US" w:eastAsia="zh-CN"/>
        </w:rPr>
        <w:t>31.29</w:t>
      </w:r>
      <w:r>
        <w:rPr>
          <w:rFonts w:hint="eastAsia" w:ascii="仿宋" w:eastAsia="仿宋"/>
          <w:color w:val="auto"/>
          <w:sz w:val="32"/>
          <w:szCs w:val="32"/>
          <w:highlight w:val="none"/>
        </w:rPr>
        <w:t>万元，占</w:t>
      </w:r>
      <w:r>
        <w:rPr>
          <w:rFonts w:hint="eastAsia" w:ascii="仿宋" w:eastAsia="仿宋"/>
          <w:color w:val="auto"/>
          <w:sz w:val="32"/>
          <w:szCs w:val="32"/>
          <w:highlight w:val="none"/>
          <w:lang w:val="en-US" w:eastAsia="zh-CN"/>
        </w:rPr>
        <w:t>5.7</w:t>
      </w:r>
      <w:r>
        <w:rPr>
          <w:rFonts w:ascii="仿宋" w:eastAsia="仿宋"/>
          <w:color w:val="auto"/>
          <w:sz w:val="32"/>
          <w:szCs w:val="32"/>
          <w:highlight w:val="none"/>
        </w:rPr>
        <w:t>%</w:t>
      </w:r>
      <w:r>
        <w:rPr>
          <w:rFonts w:hint="eastAsia" w:ascii="仿宋" w:eastAsia="仿宋"/>
          <w:color w:val="auto"/>
          <w:sz w:val="32"/>
          <w:szCs w:val="32"/>
          <w:highlight w:val="none"/>
          <w:lang w:eastAsia="zh-CN"/>
        </w:rPr>
        <w:t>。</w:t>
      </w:r>
    </w:p>
    <w:p w14:paraId="45A9F0EC">
      <w:pPr>
        <w:rPr>
          <w:rFonts w:ascii="仿宋" w:eastAsia="仿宋"/>
          <w:color w:val="auto"/>
          <w:sz w:val="32"/>
          <w:szCs w:val="32"/>
          <w:highlight w:val="none"/>
        </w:rPr>
      </w:pPr>
      <w:r>
        <w:rPr>
          <w:rFonts w:hint="eastAsia"/>
          <w:lang w:val="en-US" w:eastAsia="zh-CN"/>
        </w:rPr>
        <w:t xml:space="preserve">              </w:t>
      </w:r>
      <w:r>
        <w:drawing>
          <wp:inline distT="0" distB="0" distL="114300" distR="114300">
            <wp:extent cx="3479165" cy="2571750"/>
            <wp:effectExtent l="6350" t="6350" r="19685" b="12700"/>
            <wp:docPr id="302" name="图表 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6888A79E">
      <w:pPr>
        <w:spacing w:line="600" w:lineRule="exact"/>
        <w:rPr>
          <w:rFonts w:ascii="仿宋" w:eastAsia="仿宋"/>
          <w:color w:val="auto"/>
          <w:sz w:val="32"/>
          <w:szCs w:val="32"/>
          <w:highlight w:val="none"/>
        </w:rPr>
      </w:pPr>
      <w:r>
        <w:rPr>
          <w:rFonts w:hint="eastAsia" w:ascii="仿宋" w:eastAsia="仿宋"/>
          <w:color w:val="auto"/>
          <w:sz w:val="32"/>
          <w:szCs w:val="32"/>
          <w:highlight w:val="none"/>
        </w:rPr>
        <w:t>（图6：一般公共预算财政拨款支出决算结构）（饼状图）</w:t>
      </w:r>
    </w:p>
    <w:p w14:paraId="6F740ABC">
      <w:pPr>
        <w:spacing w:line="600" w:lineRule="exact"/>
        <w:ind w:firstLine="643" w:firstLineChars="200"/>
        <w:outlineLvl w:val="2"/>
        <w:rPr>
          <w:rFonts w:ascii="仿宋" w:eastAsia="仿宋"/>
          <w:b/>
          <w:color w:val="auto"/>
          <w:sz w:val="32"/>
          <w:szCs w:val="32"/>
          <w:highlight w:val="none"/>
        </w:rPr>
      </w:pPr>
      <w:bookmarkStart w:id="49" w:name="_Toc15377212"/>
      <w:bookmarkStart w:id="50" w:name="_Toc14489"/>
      <w:r>
        <w:rPr>
          <w:rFonts w:hint="eastAsia" w:ascii="仿宋" w:eastAsia="仿宋"/>
          <w:b/>
          <w:color w:val="auto"/>
          <w:sz w:val="32"/>
          <w:szCs w:val="32"/>
          <w:highlight w:val="none"/>
        </w:rPr>
        <w:t>（三）一般公共预算财政拨款支出决算具体情况</w:t>
      </w:r>
      <w:bookmarkEnd w:id="49"/>
      <w:bookmarkEnd w:id="50"/>
    </w:p>
    <w:p w14:paraId="72BEFF33">
      <w:pPr>
        <w:spacing w:line="600" w:lineRule="exact"/>
        <w:ind w:firstLine="643" w:firstLineChars="200"/>
        <w:outlineLvl w:val="2"/>
        <w:rPr>
          <w:rFonts w:ascii="仿宋" w:eastAsia="仿宋"/>
          <w:color w:val="auto"/>
          <w:sz w:val="32"/>
          <w:szCs w:val="32"/>
          <w:highlight w:val="none"/>
        </w:rPr>
      </w:pPr>
      <w:bookmarkStart w:id="51" w:name="_Toc15377444"/>
      <w:bookmarkStart w:id="52" w:name="_Toc15377213"/>
      <w:bookmarkStart w:id="53" w:name="_Toc15378460"/>
      <w:bookmarkStart w:id="54" w:name="_Toc4737"/>
      <w:bookmarkStart w:id="55" w:name="_Toc8235"/>
      <w:r>
        <w:rPr>
          <w:rFonts w:hint="eastAsia" w:ascii="仿宋" w:eastAsia="仿宋"/>
          <w:b/>
          <w:color w:val="auto"/>
          <w:sz w:val="32"/>
          <w:szCs w:val="32"/>
          <w:highlight w:val="none"/>
        </w:rPr>
        <w:t>20</w:t>
      </w:r>
      <w:r>
        <w:rPr>
          <w:rFonts w:hint="eastAsia" w:ascii="仿宋" w:eastAsia="仿宋"/>
          <w:b/>
          <w:color w:val="auto"/>
          <w:sz w:val="32"/>
          <w:szCs w:val="32"/>
          <w:highlight w:val="none"/>
          <w:lang w:val="en-US" w:eastAsia="zh-CN"/>
        </w:rPr>
        <w:t>22</w:t>
      </w:r>
      <w:r>
        <w:rPr>
          <w:rFonts w:hint="eastAsia" w:ascii="仿宋" w:eastAsia="仿宋"/>
          <w:b/>
          <w:color w:val="auto"/>
          <w:sz w:val="32"/>
          <w:szCs w:val="32"/>
          <w:highlight w:val="none"/>
        </w:rPr>
        <w:t>年</w:t>
      </w:r>
      <w:r>
        <w:rPr>
          <w:rFonts w:hint="eastAsia" w:ascii="仿宋" w:eastAsia="仿宋"/>
          <w:b/>
          <w:color w:val="auto"/>
          <w:sz w:val="32"/>
          <w:szCs w:val="32"/>
          <w:highlight w:val="none"/>
          <w:lang w:eastAsia="zh-CN"/>
        </w:rPr>
        <w:t>一</w:t>
      </w:r>
      <w:r>
        <w:rPr>
          <w:rFonts w:hint="eastAsia" w:ascii="仿宋" w:eastAsia="仿宋"/>
          <w:b/>
          <w:color w:val="auto"/>
          <w:sz w:val="32"/>
          <w:szCs w:val="32"/>
          <w:highlight w:val="none"/>
        </w:rPr>
        <w:t>般公共预算支出决算数为</w:t>
      </w:r>
      <w:r>
        <w:rPr>
          <w:rFonts w:hint="eastAsia" w:ascii="仿宋" w:eastAsia="仿宋"/>
          <w:b/>
          <w:color w:val="auto"/>
          <w:sz w:val="32"/>
          <w:szCs w:val="32"/>
          <w:highlight w:val="none"/>
          <w:lang w:val="en-US" w:eastAsia="zh-CN"/>
        </w:rPr>
        <w:t>547.04万元</w:t>
      </w:r>
      <w:r>
        <w:rPr>
          <w:rFonts w:hint="eastAsia" w:ascii="仿宋" w:eastAsia="仿宋"/>
          <w:color w:val="auto"/>
          <w:sz w:val="32"/>
          <w:szCs w:val="32"/>
          <w:highlight w:val="none"/>
        </w:rPr>
        <w:t>，</w:t>
      </w:r>
      <w:r>
        <w:rPr>
          <w:rStyle w:val="18"/>
          <w:rFonts w:hint="eastAsia" w:ascii="仿宋" w:eastAsia="仿宋"/>
          <w:bCs/>
          <w:color w:val="auto"/>
          <w:sz w:val="32"/>
          <w:szCs w:val="32"/>
          <w:highlight w:val="none"/>
        </w:rPr>
        <w:t>完成预算</w:t>
      </w:r>
      <w:r>
        <w:rPr>
          <w:rStyle w:val="18"/>
          <w:rFonts w:hint="eastAsia" w:ascii="仿宋" w:eastAsia="仿宋"/>
          <w:bCs/>
          <w:color w:val="auto"/>
          <w:sz w:val="32"/>
          <w:szCs w:val="32"/>
          <w:highlight w:val="none"/>
          <w:lang w:val="en-US" w:eastAsia="zh-CN"/>
        </w:rPr>
        <w:t>100</w:t>
      </w:r>
      <w:r>
        <w:rPr>
          <w:rStyle w:val="18"/>
          <w:rFonts w:ascii="仿宋" w:eastAsia="仿宋"/>
          <w:bCs/>
          <w:color w:val="auto"/>
          <w:sz w:val="32"/>
          <w:szCs w:val="32"/>
          <w:highlight w:val="none"/>
        </w:rPr>
        <w:t>%</w:t>
      </w:r>
      <w:r>
        <w:rPr>
          <w:rStyle w:val="18"/>
          <w:rFonts w:hint="eastAsia" w:ascii="仿宋" w:eastAsia="仿宋"/>
          <w:bCs/>
          <w:color w:val="auto"/>
          <w:sz w:val="32"/>
          <w:szCs w:val="32"/>
          <w:highlight w:val="none"/>
        </w:rPr>
        <w:t>。其中：</w:t>
      </w:r>
      <w:bookmarkEnd w:id="51"/>
      <w:bookmarkEnd w:id="52"/>
      <w:bookmarkEnd w:id="53"/>
      <w:bookmarkEnd w:id="54"/>
      <w:bookmarkEnd w:id="55"/>
    </w:p>
    <w:p w14:paraId="38851CDB">
      <w:pPr>
        <w:spacing w:line="600" w:lineRule="exact"/>
        <w:ind w:left="0" w:firstLine="643" w:firstLineChars="200"/>
        <w:rPr>
          <w:rStyle w:val="18"/>
          <w:rFonts w:hint="eastAsia" w:ascii="仿宋" w:eastAsia="仿宋"/>
          <w:b w:val="0"/>
          <w:bCs/>
          <w:color w:val="auto"/>
          <w:sz w:val="32"/>
          <w:szCs w:val="32"/>
          <w:highlight w:val="none"/>
          <w:lang w:eastAsia="zh-CN"/>
        </w:rPr>
      </w:pPr>
      <w:r>
        <w:rPr>
          <w:rStyle w:val="18"/>
          <w:rFonts w:hint="eastAsia" w:ascii="仿宋" w:eastAsia="仿宋"/>
          <w:bCs/>
          <w:color w:val="auto"/>
          <w:sz w:val="32"/>
          <w:szCs w:val="32"/>
          <w:highlight w:val="none"/>
          <w:lang w:val="en-US" w:eastAsia="zh-CN"/>
        </w:rPr>
        <w:t>1.</w:t>
      </w:r>
      <w:r>
        <w:rPr>
          <w:rStyle w:val="18"/>
          <w:rFonts w:hint="eastAsia" w:ascii="仿宋" w:eastAsia="仿宋"/>
          <w:bCs/>
          <w:color w:val="auto"/>
          <w:sz w:val="32"/>
          <w:szCs w:val="32"/>
          <w:highlight w:val="none"/>
        </w:rPr>
        <w:t>社会保障和就业（类）行政事业单位养老支出（款）机关事业单位基本养老保险缴费支出（项）</w:t>
      </w:r>
      <w:r>
        <w:rPr>
          <w:rStyle w:val="18"/>
          <w:rFonts w:ascii="仿宋" w:eastAsia="仿宋"/>
          <w:bCs/>
          <w:color w:val="auto"/>
          <w:sz w:val="32"/>
          <w:szCs w:val="32"/>
          <w:highlight w:val="none"/>
        </w:rPr>
        <w:t>:</w:t>
      </w:r>
      <w:r>
        <w:rPr>
          <w:rStyle w:val="18"/>
          <w:rFonts w:ascii="仿宋" w:eastAsia="仿宋"/>
          <w:b w:val="0"/>
          <w:bCs/>
          <w:color w:val="auto"/>
          <w:sz w:val="32"/>
          <w:szCs w:val="32"/>
          <w:highlight w:val="none"/>
        </w:rPr>
        <w:t xml:space="preserve"> </w:t>
      </w:r>
      <w:r>
        <w:rPr>
          <w:rStyle w:val="18"/>
          <w:rFonts w:hint="eastAsia" w:ascii="仿宋" w:eastAsia="仿宋"/>
          <w:b w:val="0"/>
          <w:bCs/>
          <w:color w:val="auto"/>
          <w:sz w:val="32"/>
          <w:szCs w:val="32"/>
          <w:highlight w:val="none"/>
        </w:rPr>
        <w:t>支出决算为</w:t>
      </w:r>
      <w:r>
        <w:rPr>
          <w:rStyle w:val="18"/>
          <w:rFonts w:hint="eastAsia" w:ascii="仿宋" w:eastAsia="仿宋"/>
          <w:b w:val="0"/>
          <w:bCs/>
          <w:color w:val="auto"/>
          <w:sz w:val="32"/>
          <w:szCs w:val="32"/>
          <w:highlight w:val="none"/>
          <w:lang w:val="en-US" w:eastAsia="zh-CN"/>
        </w:rPr>
        <w:t>30.73</w:t>
      </w:r>
      <w:r>
        <w:rPr>
          <w:rStyle w:val="18"/>
          <w:rFonts w:hint="eastAsia" w:ascii="仿宋" w:eastAsia="仿宋"/>
          <w:b w:val="0"/>
          <w:bCs/>
          <w:color w:val="auto"/>
          <w:sz w:val="32"/>
          <w:szCs w:val="32"/>
          <w:highlight w:val="none"/>
        </w:rPr>
        <w:t>万元，完成预算</w:t>
      </w:r>
      <w:r>
        <w:rPr>
          <w:rStyle w:val="18"/>
          <w:rFonts w:hint="eastAsia" w:ascii="仿宋" w:eastAsia="仿宋"/>
          <w:b w:val="0"/>
          <w:bCs/>
          <w:color w:val="auto"/>
          <w:sz w:val="32"/>
          <w:szCs w:val="32"/>
          <w:highlight w:val="none"/>
          <w:lang w:val="en-US" w:eastAsia="zh-CN"/>
        </w:rPr>
        <w:t>100</w:t>
      </w:r>
      <w:r>
        <w:rPr>
          <w:rStyle w:val="18"/>
          <w:rFonts w:ascii="仿宋" w:eastAsia="仿宋"/>
          <w:b w:val="0"/>
          <w:bCs/>
          <w:color w:val="auto"/>
          <w:sz w:val="32"/>
          <w:szCs w:val="32"/>
          <w:highlight w:val="none"/>
        </w:rPr>
        <w:t>%</w:t>
      </w:r>
      <w:r>
        <w:rPr>
          <w:rStyle w:val="18"/>
          <w:rFonts w:hint="eastAsia" w:ascii="仿宋" w:eastAsia="仿宋"/>
          <w:b w:val="0"/>
          <w:bCs/>
          <w:color w:val="auto"/>
          <w:sz w:val="32"/>
          <w:szCs w:val="32"/>
          <w:highlight w:val="none"/>
          <w:lang w:eastAsia="zh-CN"/>
        </w:rPr>
        <w:t>。</w:t>
      </w:r>
    </w:p>
    <w:p w14:paraId="715E7D91">
      <w:pPr>
        <w:spacing w:line="600" w:lineRule="exact"/>
        <w:ind w:left="0" w:firstLine="643" w:firstLineChars="200"/>
        <w:rPr>
          <w:rStyle w:val="18"/>
          <w:rFonts w:hint="eastAsia" w:ascii="仿宋" w:eastAsia="仿宋"/>
          <w:b w:val="0"/>
          <w:bCs/>
          <w:color w:val="auto"/>
          <w:sz w:val="32"/>
          <w:szCs w:val="32"/>
          <w:highlight w:val="none"/>
          <w:lang w:eastAsia="zh-CN"/>
        </w:rPr>
      </w:pPr>
      <w:r>
        <w:rPr>
          <w:rStyle w:val="18"/>
          <w:rFonts w:hint="eastAsia" w:ascii="仿宋" w:eastAsia="仿宋"/>
          <w:bCs/>
          <w:color w:val="auto"/>
          <w:sz w:val="32"/>
          <w:szCs w:val="32"/>
          <w:highlight w:val="none"/>
          <w:lang w:val="en-US" w:eastAsia="zh-CN"/>
        </w:rPr>
        <w:t>2.</w:t>
      </w:r>
      <w:r>
        <w:rPr>
          <w:rStyle w:val="18"/>
          <w:rFonts w:hint="eastAsia" w:ascii="仿宋" w:eastAsia="仿宋"/>
          <w:bCs/>
          <w:color w:val="auto"/>
          <w:sz w:val="32"/>
          <w:szCs w:val="32"/>
          <w:highlight w:val="none"/>
        </w:rPr>
        <w:t>社会保障和就业（类）行政事业单位养老支出（款）机关事业单位职业年金缴费支出（项）</w:t>
      </w:r>
      <w:r>
        <w:rPr>
          <w:rStyle w:val="18"/>
          <w:rFonts w:ascii="仿宋" w:eastAsia="仿宋"/>
          <w:bCs/>
          <w:color w:val="auto"/>
          <w:sz w:val="32"/>
          <w:szCs w:val="32"/>
          <w:highlight w:val="none"/>
        </w:rPr>
        <w:t>:</w:t>
      </w:r>
      <w:r>
        <w:rPr>
          <w:rStyle w:val="18"/>
          <w:rFonts w:ascii="仿宋" w:eastAsia="仿宋"/>
          <w:b w:val="0"/>
          <w:bCs/>
          <w:color w:val="auto"/>
          <w:sz w:val="32"/>
          <w:szCs w:val="32"/>
          <w:highlight w:val="none"/>
        </w:rPr>
        <w:t xml:space="preserve"> </w:t>
      </w:r>
      <w:r>
        <w:rPr>
          <w:rStyle w:val="18"/>
          <w:rFonts w:hint="eastAsia" w:ascii="仿宋" w:eastAsia="仿宋"/>
          <w:b w:val="0"/>
          <w:bCs/>
          <w:color w:val="auto"/>
          <w:sz w:val="32"/>
          <w:szCs w:val="32"/>
          <w:highlight w:val="none"/>
        </w:rPr>
        <w:t>支出决算为</w:t>
      </w:r>
      <w:r>
        <w:rPr>
          <w:rStyle w:val="18"/>
          <w:rFonts w:hint="eastAsia" w:ascii="仿宋" w:eastAsia="仿宋"/>
          <w:b w:val="0"/>
          <w:bCs/>
          <w:color w:val="auto"/>
          <w:sz w:val="32"/>
          <w:szCs w:val="32"/>
          <w:highlight w:val="none"/>
          <w:lang w:val="en-US" w:eastAsia="zh-CN"/>
        </w:rPr>
        <w:t>20.3</w:t>
      </w:r>
      <w:r>
        <w:rPr>
          <w:rStyle w:val="18"/>
          <w:rFonts w:hint="eastAsia" w:ascii="仿宋" w:eastAsia="仿宋"/>
          <w:b w:val="0"/>
          <w:bCs/>
          <w:color w:val="auto"/>
          <w:sz w:val="32"/>
          <w:szCs w:val="32"/>
          <w:highlight w:val="none"/>
        </w:rPr>
        <w:t>万元，完成预算</w:t>
      </w:r>
      <w:r>
        <w:rPr>
          <w:rStyle w:val="18"/>
          <w:rFonts w:hint="eastAsia" w:ascii="仿宋" w:eastAsia="仿宋"/>
          <w:b w:val="0"/>
          <w:bCs/>
          <w:color w:val="auto"/>
          <w:sz w:val="32"/>
          <w:szCs w:val="32"/>
          <w:highlight w:val="none"/>
          <w:lang w:val="en-US" w:eastAsia="zh-CN"/>
        </w:rPr>
        <w:t>100</w:t>
      </w:r>
      <w:r>
        <w:rPr>
          <w:rStyle w:val="18"/>
          <w:rFonts w:ascii="仿宋" w:eastAsia="仿宋"/>
          <w:b w:val="0"/>
          <w:bCs/>
          <w:color w:val="auto"/>
          <w:sz w:val="32"/>
          <w:szCs w:val="32"/>
          <w:highlight w:val="none"/>
        </w:rPr>
        <w:t>%</w:t>
      </w:r>
      <w:r>
        <w:rPr>
          <w:rStyle w:val="18"/>
          <w:rFonts w:hint="eastAsia" w:ascii="仿宋" w:eastAsia="仿宋"/>
          <w:b w:val="0"/>
          <w:bCs/>
          <w:color w:val="auto"/>
          <w:sz w:val="32"/>
          <w:szCs w:val="32"/>
          <w:highlight w:val="none"/>
          <w:lang w:eastAsia="zh-CN"/>
        </w:rPr>
        <w:t>。</w:t>
      </w:r>
    </w:p>
    <w:p w14:paraId="27C6E0B8">
      <w:pPr>
        <w:spacing w:line="600" w:lineRule="exact"/>
        <w:ind w:firstLine="643" w:firstLineChars="200"/>
        <w:rPr>
          <w:rFonts w:ascii="仿宋" w:eastAsia="仿宋"/>
          <w:b/>
          <w:color w:val="auto"/>
          <w:sz w:val="32"/>
          <w:szCs w:val="32"/>
          <w:highlight w:val="none"/>
        </w:rPr>
      </w:pPr>
      <w:r>
        <w:rPr>
          <w:rStyle w:val="18"/>
          <w:rFonts w:ascii="仿宋" w:eastAsia="仿宋"/>
          <w:bCs/>
          <w:color w:val="auto"/>
          <w:sz w:val="32"/>
          <w:szCs w:val="32"/>
          <w:highlight w:val="none"/>
        </w:rPr>
        <w:t>3.</w:t>
      </w:r>
      <w:r>
        <w:rPr>
          <w:rFonts w:hint="eastAsia" w:ascii="仿宋" w:eastAsia="仿宋"/>
          <w:b/>
          <w:bCs/>
          <w:color w:val="auto"/>
          <w:sz w:val="32"/>
          <w:szCs w:val="32"/>
          <w:highlight w:val="none"/>
        </w:rPr>
        <w:t>卫生健康</w:t>
      </w:r>
      <w:r>
        <w:rPr>
          <w:rStyle w:val="18"/>
          <w:rFonts w:hint="eastAsia" w:ascii="仿宋" w:eastAsia="仿宋"/>
          <w:bCs/>
          <w:color w:val="auto"/>
          <w:sz w:val="32"/>
          <w:szCs w:val="32"/>
          <w:highlight w:val="none"/>
        </w:rPr>
        <w:t>（类）基层医疗卫生机构（款）乡镇卫生院（项）</w:t>
      </w:r>
      <w:r>
        <w:rPr>
          <w:rStyle w:val="18"/>
          <w:rFonts w:ascii="仿宋" w:eastAsia="仿宋"/>
          <w:bCs/>
          <w:color w:val="auto"/>
          <w:sz w:val="32"/>
          <w:szCs w:val="32"/>
          <w:highlight w:val="none"/>
        </w:rPr>
        <w:t>:</w:t>
      </w:r>
      <w:r>
        <w:rPr>
          <w:rStyle w:val="18"/>
          <w:rFonts w:hint="eastAsia" w:ascii="仿宋" w:eastAsia="仿宋"/>
          <w:b w:val="0"/>
          <w:bCs/>
          <w:color w:val="auto"/>
          <w:sz w:val="32"/>
          <w:szCs w:val="32"/>
          <w:highlight w:val="none"/>
        </w:rPr>
        <w:t>支出决算为</w:t>
      </w:r>
      <w:r>
        <w:rPr>
          <w:rStyle w:val="18"/>
          <w:rFonts w:hint="eastAsia" w:ascii="仿宋" w:eastAsia="仿宋"/>
          <w:b w:val="0"/>
          <w:bCs/>
          <w:color w:val="auto"/>
          <w:sz w:val="32"/>
          <w:szCs w:val="32"/>
          <w:highlight w:val="none"/>
          <w:lang w:val="en-US" w:eastAsia="zh-CN"/>
        </w:rPr>
        <w:t>413.08</w:t>
      </w:r>
      <w:r>
        <w:rPr>
          <w:rStyle w:val="18"/>
          <w:rFonts w:hint="eastAsia" w:ascii="仿宋" w:eastAsia="仿宋"/>
          <w:b w:val="0"/>
          <w:bCs/>
          <w:color w:val="auto"/>
          <w:sz w:val="32"/>
          <w:szCs w:val="32"/>
          <w:highlight w:val="none"/>
        </w:rPr>
        <w:t>万元，完成预算</w:t>
      </w:r>
      <w:r>
        <w:rPr>
          <w:rStyle w:val="18"/>
          <w:rFonts w:hint="eastAsia" w:ascii="仿宋" w:eastAsia="仿宋"/>
          <w:b w:val="0"/>
          <w:bCs/>
          <w:color w:val="auto"/>
          <w:sz w:val="32"/>
          <w:szCs w:val="32"/>
          <w:highlight w:val="none"/>
          <w:lang w:val="en-US" w:eastAsia="zh-CN"/>
        </w:rPr>
        <w:t>100</w:t>
      </w:r>
      <w:r>
        <w:rPr>
          <w:rStyle w:val="18"/>
          <w:rFonts w:ascii="仿宋" w:eastAsia="仿宋"/>
          <w:b w:val="0"/>
          <w:bCs/>
          <w:color w:val="auto"/>
          <w:sz w:val="32"/>
          <w:szCs w:val="32"/>
          <w:highlight w:val="none"/>
        </w:rPr>
        <w:t>%</w:t>
      </w:r>
      <w:r>
        <w:rPr>
          <w:rStyle w:val="18"/>
          <w:rFonts w:hint="eastAsia" w:ascii="仿宋" w:eastAsia="仿宋"/>
          <w:b w:val="0"/>
          <w:bCs/>
          <w:color w:val="auto"/>
          <w:sz w:val="32"/>
          <w:szCs w:val="32"/>
          <w:highlight w:val="none"/>
        </w:rPr>
        <w:t>。</w:t>
      </w:r>
    </w:p>
    <w:p w14:paraId="7930C3F9">
      <w:pPr>
        <w:spacing w:line="600" w:lineRule="exact"/>
        <w:ind w:firstLine="643" w:firstLineChars="200"/>
        <w:rPr>
          <w:rStyle w:val="18"/>
          <w:rFonts w:hint="eastAsia" w:ascii="仿宋" w:eastAsia="仿宋"/>
          <w:b w:val="0"/>
          <w:bCs/>
          <w:color w:val="auto"/>
          <w:sz w:val="32"/>
          <w:szCs w:val="32"/>
          <w:highlight w:val="none"/>
        </w:rPr>
      </w:pPr>
      <w:r>
        <w:rPr>
          <w:rStyle w:val="18"/>
          <w:rFonts w:ascii="仿宋" w:eastAsia="仿宋"/>
          <w:bCs/>
          <w:color w:val="auto"/>
          <w:sz w:val="32"/>
          <w:szCs w:val="32"/>
          <w:highlight w:val="none"/>
        </w:rPr>
        <w:t>4.</w:t>
      </w:r>
      <w:r>
        <w:rPr>
          <w:rFonts w:hint="eastAsia" w:ascii="仿宋" w:eastAsia="仿宋"/>
          <w:b/>
          <w:bCs/>
          <w:color w:val="auto"/>
          <w:sz w:val="32"/>
          <w:szCs w:val="32"/>
          <w:highlight w:val="none"/>
        </w:rPr>
        <w:t>卫生健康</w:t>
      </w:r>
      <w:r>
        <w:rPr>
          <w:rStyle w:val="18"/>
          <w:rFonts w:hint="eastAsia" w:ascii="仿宋" w:eastAsia="仿宋"/>
          <w:bCs/>
          <w:color w:val="auto"/>
          <w:sz w:val="32"/>
          <w:szCs w:val="32"/>
          <w:highlight w:val="none"/>
        </w:rPr>
        <w:t>（类）基层医疗卫生机构（款）其他基层医疗卫生机构支出（项）</w:t>
      </w:r>
      <w:r>
        <w:rPr>
          <w:rStyle w:val="18"/>
          <w:rFonts w:ascii="仿宋" w:eastAsia="仿宋"/>
          <w:bCs/>
          <w:color w:val="auto"/>
          <w:sz w:val="32"/>
          <w:szCs w:val="32"/>
          <w:highlight w:val="none"/>
        </w:rPr>
        <w:t>:</w:t>
      </w:r>
      <w:r>
        <w:rPr>
          <w:rStyle w:val="18"/>
          <w:rFonts w:hint="eastAsia" w:ascii="仿宋" w:eastAsia="仿宋"/>
          <w:b w:val="0"/>
          <w:bCs/>
          <w:color w:val="auto"/>
          <w:sz w:val="32"/>
          <w:szCs w:val="32"/>
          <w:highlight w:val="none"/>
        </w:rPr>
        <w:t>支出决算为</w:t>
      </w:r>
      <w:r>
        <w:rPr>
          <w:rStyle w:val="18"/>
          <w:rFonts w:hint="eastAsia" w:ascii="仿宋" w:eastAsia="仿宋"/>
          <w:b w:val="0"/>
          <w:bCs/>
          <w:color w:val="auto"/>
          <w:sz w:val="32"/>
          <w:szCs w:val="32"/>
          <w:highlight w:val="none"/>
          <w:lang w:val="en-US" w:eastAsia="zh-CN"/>
        </w:rPr>
        <w:t>33.23</w:t>
      </w:r>
      <w:r>
        <w:rPr>
          <w:rStyle w:val="18"/>
          <w:rFonts w:hint="eastAsia" w:ascii="仿宋" w:eastAsia="仿宋"/>
          <w:b w:val="0"/>
          <w:bCs/>
          <w:color w:val="auto"/>
          <w:sz w:val="32"/>
          <w:szCs w:val="32"/>
          <w:highlight w:val="none"/>
        </w:rPr>
        <w:t>万元，完成预算</w:t>
      </w:r>
      <w:r>
        <w:rPr>
          <w:rStyle w:val="18"/>
          <w:rFonts w:hint="eastAsia" w:ascii="仿宋" w:eastAsia="仿宋"/>
          <w:b w:val="0"/>
          <w:bCs/>
          <w:color w:val="auto"/>
          <w:sz w:val="32"/>
          <w:szCs w:val="32"/>
          <w:highlight w:val="none"/>
          <w:lang w:val="en-US" w:eastAsia="zh-CN"/>
        </w:rPr>
        <w:t>100</w:t>
      </w:r>
      <w:r>
        <w:rPr>
          <w:rStyle w:val="18"/>
          <w:rFonts w:ascii="仿宋" w:eastAsia="仿宋"/>
          <w:b w:val="0"/>
          <w:bCs/>
          <w:color w:val="auto"/>
          <w:sz w:val="32"/>
          <w:szCs w:val="32"/>
          <w:highlight w:val="none"/>
        </w:rPr>
        <w:t>%</w:t>
      </w:r>
      <w:r>
        <w:rPr>
          <w:rStyle w:val="18"/>
          <w:rFonts w:hint="eastAsia" w:ascii="仿宋" w:eastAsia="仿宋"/>
          <w:b w:val="0"/>
          <w:bCs/>
          <w:color w:val="auto"/>
          <w:sz w:val="32"/>
          <w:szCs w:val="32"/>
          <w:highlight w:val="none"/>
        </w:rPr>
        <w:t>。</w:t>
      </w:r>
    </w:p>
    <w:p w14:paraId="2D837F71">
      <w:pPr>
        <w:ind w:firstLine="643" w:firstLineChars="200"/>
        <w:rPr>
          <w:lang w:val="en-US" w:eastAsia="zh-CN"/>
        </w:rPr>
      </w:pPr>
      <w:r>
        <w:rPr>
          <w:rStyle w:val="18"/>
          <w:rFonts w:hint="eastAsia" w:ascii="仿宋" w:eastAsia="仿宋"/>
          <w:bCs/>
          <w:color w:val="auto"/>
          <w:sz w:val="32"/>
          <w:szCs w:val="32"/>
          <w:highlight w:val="none"/>
          <w:lang w:val="en-US" w:eastAsia="zh-CN"/>
        </w:rPr>
        <w:t>5</w:t>
      </w:r>
      <w:r>
        <w:rPr>
          <w:rStyle w:val="18"/>
          <w:rFonts w:ascii="仿宋" w:eastAsia="仿宋"/>
          <w:bCs/>
          <w:color w:val="auto"/>
          <w:sz w:val="32"/>
          <w:szCs w:val="32"/>
          <w:highlight w:val="none"/>
        </w:rPr>
        <w:t>.</w:t>
      </w:r>
      <w:r>
        <w:rPr>
          <w:rFonts w:hint="eastAsia" w:ascii="仿宋" w:eastAsia="仿宋"/>
          <w:b/>
          <w:bCs/>
          <w:color w:val="auto"/>
          <w:sz w:val="32"/>
          <w:szCs w:val="32"/>
          <w:highlight w:val="none"/>
        </w:rPr>
        <w:t>卫生健康</w:t>
      </w:r>
      <w:r>
        <w:rPr>
          <w:rStyle w:val="18"/>
          <w:rFonts w:hint="eastAsia" w:ascii="仿宋" w:eastAsia="仿宋"/>
          <w:bCs/>
          <w:color w:val="auto"/>
          <w:sz w:val="32"/>
          <w:szCs w:val="32"/>
          <w:highlight w:val="none"/>
        </w:rPr>
        <w:t>（类）行政事业单位医疗（款）事业单位医疗（项）</w:t>
      </w:r>
      <w:r>
        <w:rPr>
          <w:rStyle w:val="18"/>
          <w:rFonts w:ascii="仿宋" w:eastAsia="仿宋"/>
          <w:bCs/>
          <w:color w:val="auto"/>
          <w:sz w:val="32"/>
          <w:szCs w:val="32"/>
          <w:highlight w:val="none"/>
        </w:rPr>
        <w:t>:</w:t>
      </w:r>
      <w:r>
        <w:rPr>
          <w:rStyle w:val="18"/>
          <w:rFonts w:hint="eastAsia" w:ascii="仿宋" w:eastAsia="仿宋"/>
          <w:b w:val="0"/>
          <w:bCs/>
          <w:color w:val="auto"/>
          <w:sz w:val="32"/>
          <w:szCs w:val="32"/>
          <w:highlight w:val="none"/>
        </w:rPr>
        <w:t>支出决算为</w:t>
      </w:r>
      <w:r>
        <w:rPr>
          <w:rStyle w:val="18"/>
          <w:rFonts w:hint="eastAsia" w:ascii="仿宋" w:eastAsia="仿宋"/>
          <w:b w:val="0"/>
          <w:bCs/>
          <w:color w:val="auto"/>
          <w:sz w:val="32"/>
          <w:szCs w:val="32"/>
          <w:highlight w:val="none"/>
          <w:lang w:val="en-US" w:eastAsia="zh-CN"/>
        </w:rPr>
        <w:t>18.43</w:t>
      </w:r>
      <w:r>
        <w:rPr>
          <w:rStyle w:val="18"/>
          <w:rFonts w:hint="eastAsia" w:ascii="仿宋" w:eastAsia="仿宋"/>
          <w:b w:val="0"/>
          <w:bCs/>
          <w:color w:val="auto"/>
          <w:sz w:val="32"/>
          <w:szCs w:val="32"/>
          <w:highlight w:val="none"/>
        </w:rPr>
        <w:t>万元，完成预算</w:t>
      </w:r>
      <w:r>
        <w:rPr>
          <w:rStyle w:val="18"/>
          <w:rFonts w:hint="eastAsia" w:ascii="仿宋" w:eastAsia="仿宋"/>
          <w:b w:val="0"/>
          <w:bCs/>
          <w:color w:val="auto"/>
          <w:sz w:val="32"/>
          <w:szCs w:val="32"/>
          <w:highlight w:val="none"/>
          <w:lang w:val="en-US" w:eastAsia="zh-CN"/>
        </w:rPr>
        <w:t>100</w:t>
      </w:r>
      <w:r>
        <w:rPr>
          <w:rStyle w:val="18"/>
          <w:rFonts w:ascii="仿宋" w:eastAsia="仿宋"/>
          <w:b w:val="0"/>
          <w:bCs/>
          <w:color w:val="auto"/>
          <w:sz w:val="32"/>
          <w:szCs w:val="32"/>
          <w:highlight w:val="none"/>
        </w:rPr>
        <w:t>%</w:t>
      </w:r>
      <w:r>
        <w:rPr>
          <w:rStyle w:val="18"/>
          <w:rFonts w:hint="eastAsia" w:ascii="仿宋" w:eastAsia="仿宋"/>
          <w:b w:val="0"/>
          <w:bCs/>
          <w:color w:val="auto"/>
          <w:sz w:val="32"/>
          <w:szCs w:val="32"/>
          <w:highlight w:val="none"/>
        </w:rPr>
        <w:t>。</w:t>
      </w:r>
    </w:p>
    <w:p w14:paraId="37AFA31D">
      <w:pPr>
        <w:spacing w:line="600" w:lineRule="exact"/>
        <w:ind w:firstLine="643" w:firstLineChars="200"/>
        <w:rPr>
          <w:rStyle w:val="18"/>
          <w:rFonts w:hint="eastAsia" w:ascii="仿宋" w:eastAsia="仿宋"/>
          <w:b w:val="0"/>
          <w:bCs/>
          <w:color w:val="auto"/>
          <w:sz w:val="32"/>
          <w:szCs w:val="32"/>
          <w:highlight w:val="none"/>
        </w:rPr>
      </w:pPr>
      <w:r>
        <w:rPr>
          <w:rStyle w:val="18"/>
          <w:rFonts w:hint="eastAsia" w:ascii="仿宋" w:eastAsia="仿宋"/>
          <w:bCs/>
          <w:color w:val="auto"/>
          <w:sz w:val="32"/>
          <w:szCs w:val="32"/>
          <w:highlight w:val="none"/>
          <w:lang w:val="en-US" w:eastAsia="zh-CN"/>
        </w:rPr>
        <w:t>6</w:t>
      </w:r>
      <w:r>
        <w:rPr>
          <w:rStyle w:val="18"/>
          <w:rFonts w:ascii="仿宋" w:eastAsia="仿宋"/>
          <w:bCs/>
          <w:color w:val="auto"/>
          <w:sz w:val="32"/>
          <w:szCs w:val="32"/>
          <w:highlight w:val="none"/>
        </w:rPr>
        <w:t>.</w:t>
      </w:r>
      <w:r>
        <w:rPr>
          <w:rStyle w:val="18"/>
          <w:rFonts w:hint="eastAsia" w:ascii="仿宋" w:eastAsia="仿宋"/>
          <w:bCs/>
          <w:color w:val="auto"/>
          <w:sz w:val="32"/>
          <w:szCs w:val="32"/>
          <w:highlight w:val="none"/>
        </w:rPr>
        <w:t>住房保障（类）住房改革支出（款）住房公积金（项）</w:t>
      </w:r>
      <w:r>
        <w:rPr>
          <w:rStyle w:val="18"/>
          <w:rFonts w:ascii="仿宋" w:eastAsia="仿宋"/>
          <w:bCs/>
          <w:color w:val="auto"/>
          <w:sz w:val="32"/>
          <w:szCs w:val="32"/>
          <w:highlight w:val="none"/>
        </w:rPr>
        <w:t>:</w:t>
      </w:r>
      <w:r>
        <w:rPr>
          <w:rStyle w:val="18"/>
          <w:rFonts w:ascii="仿宋" w:eastAsia="仿宋"/>
          <w:b w:val="0"/>
          <w:bCs/>
          <w:color w:val="auto"/>
          <w:sz w:val="32"/>
          <w:szCs w:val="32"/>
          <w:highlight w:val="none"/>
        </w:rPr>
        <w:t xml:space="preserve"> </w:t>
      </w:r>
      <w:r>
        <w:rPr>
          <w:rStyle w:val="18"/>
          <w:rFonts w:hint="eastAsia" w:ascii="仿宋" w:eastAsia="仿宋"/>
          <w:b w:val="0"/>
          <w:bCs/>
          <w:color w:val="auto"/>
          <w:sz w:val="32"/>
          <w:szCs w:val="32"/>
          <w:highlight w:val="none"/>
        </w:rPr>
        <w:t>支出决算为</w:t>
      </w:r>
      <w:r>
        <w:rPr>
          <w:rStyle w:val="18"/>
          <w:rFonts w:hint="eastAsia" w:ascii="仿宋" w:eastAsia="仿宋"/>
          <w:b w:val="0"/>
          <w:bCs/>
          <w:color w:val="auto"/>
          <w:sz w:val="32"/>
          <w:szCs w:val="32"/>
          <w:highlight w:val="none"/>
          <w:lang w:val="en-US" w:eastAsia="zh-CN"/>
        </w:rPr>
        <w:t>31.29</w:t>
      </w:r>
      <w:r>
        <w:rPr>
          <w:rStyle w:val="18"/>
          <w:rFonts w:hint="eastAsia" w:ascii="仿宋" w:eastAsia="仿宋"/>
          <w:b w:val="0"/>
          <w:bCs/>
          <w:color w:val="auto"/>
          <w:sz w:val="32"/>
          <w:szCs w:val="32"/>
          <w:highlight w:val="none"/>
        </w:rPr>
        <w:t>万元，完成预算</w:t>
      </w:r>
      <w:r>
        <w:rPr>
          <w:rStyle w:val="18"/>
          <w:rFonts w:hint="eastAsia" w:ascii="仿宋" w:eastAsia="仿宋"/>
          <w:b w:val="0"/>
          <w:bCs/>
          <w:color w:val="auto"/>
          <w:sz w:val="32"/>
          <w:szCs w:val="32"/>
          <w:highlight w:val="none"/>
          <w:lang w:val="en-US" w:eastAsia="zh-CN"/>
        </w:rPr>
        <w:t>100</w:t>
      </w:r>
      <w:r>
        <w:rPr>
          <w:rStyle w:val="18"/>
          <w:rFonts w:ascii="仿宋" w:eastAsia="仿宋"/>
          <w:b w:val="0"/>
          <w:bCs/>
          <w:color w:val="auto"/>
          <w:sz w:val="32"/>
          <w:szCs w:val="32"/>
          <w:highlight w:val="none"/>
        </w:rPr>
        <w:t>%</w:t>
      </w:r>
      <w:r>
        <w:rPr>
          <w:rStyle w:val="18"/>
          <w:rFonts w:hint="eastAsia" w:ascii="仿宋" w:eastAsia="仿宋"/>
          <w:b w:val="0"/>
          <w:bCs/>
          <w:color w:val="auto"/>
          <w:sz w:val="32"/>
          <w:szCs w:val="32"/>
          <w:highlight w:val="none"/>
        </w:rPr>
        <w:t>。</w:t>
      </w:r>
    </w:p>
    <w:p w14:paraId="270D6C30">
      <w:pPr>
        <w:pStyle w:val="7"/>
      </w:pPr>
    </w:p>
    <w:p w14:paraId="3EE0BB33">
      <w:pPr>
        <w:tabs>
          <w:tab w:val="right" w:pos="8306"/>
        </w:tabs>
        <w:spacing w:line="600" w:lineRule="exact"/>
        <w:ind w:firstLine="640"/>
        <w:outlineLvl w:val="1"/>
        <w:rPr>
          <w:rStyle w:val="21"/>
          <w:color w:val="auto"/>
          <w:highlight w:val="none"/>
        </w:rPr>
      </w:pPr>
      <w:bookmarkStart w:id="56" w:name="_Toc23139"/>
      <w:bookmarkStart w:id="57" w:name="_Toc15377214"/>
      <w:bookmarkStart w:id="58" w:name="_Toc15396608"/>
      <w:r>
        <w:rPr>
          <w:rFonts w:hint="eastAsia" w:ascii="黑体" w:eastAsia="黑体"/>
          <w:color w:val="auto"/>
          <w:sz w:val="32"/>
          <w:szCs w:val="32"/>
          <w:highlight w:val="none"/>
        </w:rPr>
        <w:t>六</w:t>
      </w:r>
      <w:r>
        <w:rPr>
          <w:rFonts w:hint="eastAsia" w:ascii="黑体" w:eastAsia="黑体"/>
          <w:b/>
          <w:color w:val="auto"/>
          <w:sz w:val="32"/>
          <w:szCs w:val="32"/>
          <w:highlight w:val="none"/>
        </w:rPr>
        <w:t>、一</w:t>
      </w:r>
      <w:r>
        <w:rPr>
          <w:rStyle w:val="21"/>
          <w:rFonts w:hint="eastAsia" w:ascii="黑体" w:eastAsia="黑体"/>
          <w:b w:val="0"/>
          <w:color w:val="auto"/>
          <w:highlight w:val="none"/>
        </w:rPr>
        <w:t>般公共预算财政拨款基本支出决算情况说明</w:t>
      </w:r>
      <w:bookmarkEnd w:id="56"/>
      <w:bookmarkEnd w:id="57"/>
      <w:bookmarkEnd w:id="58"/>
      <w:r>
        <w:rPr>
          <w:rStyle w:val="21"/>
          <w:rFonts w:ascii="黑体" w:eastAsia="黑体"/>
          <w:b w:val="0"/>
          <w:color w:val="auto"/>
          <w:highlight w:val="none"/>
        </w:rPr>
        <w:tab/>
      </w:r>
    </w:p>
    <w:p w14:paraId="19658F40">
      <w:pPr>
        <w:spacing w:line="600" w:lineRule="exact"/>
        <w:ind w:firstLine="645"/>
        <w:rPr>
          <w:rFonts w:ascii="仿宋" w:eastAsia="仿宋"/>
          <w:color w:val="auto"/>
          <w:sz w:val="32"/>
          <w:szCs w:val="32"/>
          <w:highlight w:val="none"/>
        </w:rPr>
      </w:pPr>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年一般公共预算财政拨款基本支出</w:t>
      </w:r>
      <w:r>
        <w:rPr>
          <w:rFonts w:hint="eastAsia" w:ascii="仿宋" w:eastAsia="仿宋"/>
          <w:color w:val="auto"/>
          <w:sz w:val="32"/>
          <w:szCs w:val="32"/>
          <w:highlight w:val="none"/>
          <w:lang w:val="en-US" w:eastAsia="zh-CN"/>
        </w:rPr>
        <w:t>547.04</w:t>
      </w:r>
      <w:r>
        <w:rPr>
          <w:rFonts w:hint="eastAsia" w:ascii="仿宋" w:eastAsia="仿宋"/>
          <w:color w:val="auto"/>
          <w:sz w:val="32"/>
          <w:szCs w:val="32"/>
          <w:highlight w:val="none"/>
        </w:rPr>
        <w:t>万元，其中：</w:t>
      </w:r>
    </w:p>
    <w:p w14:paraId="2A2923D2">
      <w:pPr>
        <w:spacing w:line="600" w:lineRule="exact"/>
        <w:ind w:firstLine="645"/>
        <w:rPr>
          <w:rFonts w:hint="eastAsia" w:ascii="仿宋" w:eastAsia="仿宋"/>
          <w:color w:val="auto"/>
          <w:sz w:val="32"/>
          <w:szCs w:val="32"/>
          <w:highlight w:val="none"/>
          <w:lang w:val="en-US" w:eastAsia="zh-CN"/>
        </w:rPr>
      </w:pPr>
      <w:r>
        <w:rPr>
          <w:rFonts w:hint="eastAsia" w:ascii="仿宋" w:eastAsia="仿宋"/>
          <w:color w:val="auto"/>
          <w:sz w:val="32"/>
          <w:szCs w:val="32"/>
          <w:highlight w:val="none"/>
        </w:rPr>
        <w:t>人员经费</w:t>
      </w:r>
      <w:r>
        <w:rPr>
          <w:rFonts w:hint="eastAsia" w:ascii="仿宋" w:eastAsia="仿宋"/>
          <w:color w:val="auto"/>
          <w:sz w:val="32"/>
          <w:szCs w:val="32"/>
          <w:highlight w:val="none"/>
          <w:lang w:val="en-US" w:eastAsia="zh-CN"/>
        </w:rPr>
        <w:t>368.69</w:t>
      </w:r>
      <w:r>
        <w:rPr>
          <w:rFonts w:hint="eastAsia" w:ascii="仿宋" w:eastAsia="仿宋"/>
          <w:color w:val="auto"/>
          <w:sz w:val="32"/>
          <w:szCs w:val="32"/>
          <w:highlight w:val="none"/>
        </w:rPr>
        <w:t>万元，主要包括：基本工资</w:t>
      </w:r>
      <w:r>
        <w:rPr>
          <w:rFonts w:hint="eastAsia" w:ascii="仿宋" w:eastAsia="仿宋"/>
          <w:color w:val="auto"/>
          <w:sz w:val="32"/>
          <w:szCs w:val="32"/>
          <w:highlight w:val="none"/>
          <w:lang w:val="en-US" w:eastAsia="zh-CN"/>
        </w:rPr>
        <w:t>103.24万元</w:t>
      </w:r>
      <w:r>
        <w:rPr>
          <w:rFonts w:hint="eastAsia" w:ascii="仿宋" w:eastAsia="仿宋"/>
          <w:color w:val="auto"/>
          <w:sz w:val="32"/>
          <w:szCs w:val="32"/>
          <w:highlight w:val="none"/>
        </w:rPr>
        <w:t>、津贴补贴</w:t>
      </w:r>
      <w:r>
        <w:rPr>
          <w:rFonts w:hint="eastAsia" w:ascii="仿宋" w:eastAsia="仿宋"/>
          <w:color w:val="auto"/>
          <w:sz w:val="32"/>
          <w:szCs w:val="32"/>
          <w:highlight w:val="none"/>
          <w:lang w:val="en-US" w:eastAsia="zh-CN"/>
        </w:rPr>
        <w:t>7.82万元</w:t>
      </w:r>
      <w:r>
        <w:rPr>
          <w:rFonts w:hint="eastAsia" w:ascii="仿宋" w:eastAsia="仿宋"/>
          <w:color w:val="auto"/>
          <w:sz w:val="32"/>
          <w:szCs w:val="32"/>
          <w:highlight w:val="none"/>
        </w:rPr>
        <w:t>、绩效工资</w:t>
      </w:r>
      <w:r>
        <w:rPr>
          <w:rFonts w:hint="eastAsia" w:ascii="仿宋" w:eastAsia="仿宋"/>
          <w:color w:val="auto"/>
          <w:sz w:val="32"/>
          <w:szCs w:val="32"/>
          <w:highlight w:val="none"/>
          <w:lang w:val="en-US" w:eastAsia="zh-CN"/>
        </w:rPr>
        <w:t>156.9万元</w:t>
      </w:r>
      <w:r>
        <w:rPr>
          <w:rFonts w:hint="eastAsia" w:ascii="仿宋" w:eastAsia="仿宋"/>
          <w:color w:val="auto"/>
          <w:sz w:val="32"/>
          <w:szCs w:val="32"/>
          <w:highlight w:val="none"/>
        </w:rPr>
        <w:t>、机关事业单位基本养老保险缴费</w:t>
      </w:r>
      <w:r>
        <w:rPr>
          <w:rFonts w:hint="eastAsia" w:ascii="仿宋" w:eastAsia="仿宋"/>
          <w:color w:val="auto"/>
          <w:sz w:val="32"/>
          <w:szCs w:val="32"/>
          <w:highlight w:val="none"/>
          <w:lang w:val="en-US" w:eastAsia="zh-CN"/>
        </w:rPr>
        <w:t>30.73万元</w:t>
      </w:r>
      <w:r>
        <w:rPr>
          <w:rFonts w:hint="eastAsia" w:ascii="仿宋" w:eastAsia="仿宋"/>
          <w:color w:val="auto"/>
          <w:sz w:val="32"/>
          <w:szCs w:val="32"/>
          <w:highlight w:val="none"/>
        </w:rPr>
        <w:t>、职业年金缴费</w:t>
      </w:r>
      <w:r>
        <w:rPr>
          <w:rFonts w:hint="eastAsia" w:ascii="仿宋" w:eastAsia="仿宋"/>
          <w:color w:val="auto"/>
          <w:sz w:val="32"/>
          <w:szCs w:val="32"/>
          <w:highlight w:val="none"/>
          <w:lang w:val="en-US" w:eastAsia="zh-CN"/>
        </w:rPr>
        <w:t>20.3万元</w:t>
      </w:r>
      <w:r>
        <w:rPr>
          <w:rFonts w:hint="eastAsia" w:ascii="仿宋" w:eastAsia="仿宋"/>
          <w:color w:val="auto"/>
          <w:sz w:val="32"/>
          <w:szCs w:val="32"/>
          <w:highlight w:val="none"/>
        </w:rPr>
        <w:t>、</w:t>
      </w:r>
      <w:r>
        <w:rPr>
          <w:rFonts w:hint="eastAsia" w:ascii="仿宋" w:eastAsia="仿宋"/>
          <w:color w:val="auto"/>
          <w:sz w:val="32"/>
          <w:szCs w:val="32"/>
          <w:highlight w:val="none"/>
          <w:lang w:eastAsia="zh-CN"/>
        </w:rPr>
        <w:t>基本医疗保险缴费</w:t>
      </w:r>
      <w:r>
        <w:rPr>
          <w:rFonts w:hint="eastAsia" w:ascii="仿宋" w:eastAsia="仿宋"/>
          <w:color w:val="auto"/>
          <w:sz w:val="32"/>
          <w:szCs w:val="32"/>
          <w:highlight w:val="none"/>
          <w:lang w:val="en-US" w:eastAsia="zh-CN"/>
        </w:rPr>
        <w:t>48.43万元</w:t>
      </w:r>
      <w:r>
        <w:rPr>
          <w:rFonts w:hint="eastAsia" w:ascii="仿宋" w:eastAsia="仿宋"/>
          <w:color w:val="auto"/>
          <w:sz w:val="32"/>
          <w:szCs w:val="32"/>
          <w:highlight w:val="none"/>
        </w:rPr>
        <w:t>、住房公积金</w:t>
      </w:r>
      <w:r>
        <w:rPr>
          <w:rFonts w:hint="eastAsia" w:ascii="仿宋" w:eastAsia="仿宋"/>
          <w:color w:val="auto"/>
          <w:sz w:val="32"/>
          <w:szCs w:val="32"/>
          <w:highlight w:val="none"/>
          <w:lang w:val="en-US" w:eastAsia="zh-CN"/>
        </w:rPr>
        <w:t>31.29万元。</w:t>
      </w:r>
    </w:p>
    <w:p w14:paraId="65B1242B">
      <w:pPr>
        <w:spacing w:line="600" w:lineRule="exact"/>
        <w:ind w:firstLine="645"/>
        <w:rPr>
          <w:rFonts w:hint="eastAsia" w:ascii="仿宋" w:eastAsia="仿宋"/>
          <w:color w:val="auto"/>
          <w:sz w:val="32"/>
          <w:szCs w:val="32"/>
          <w:highlight w:val="none"/>
        </w:rPr>
      </w:pPr>
      <w:r>
        <w:rPr>
          <w:rFonts w:hint="eastAsia" w:ascii="仿宋" w:eastAsia="仿宋"/>
          <w:color w:val="auto"/>
          <w:sz w:val="32"/>
          <w:szCs w:val="32"/>
          <w:highlight w:val="none"/>
          <w:lang w:eastAsia="zh-CN"/>
        </w:rPr>
        <w:t>公用经费</w:t>
      </w:r>
      <w:r>
        <w:rPr>
          <w:rFonts w:hint="eastAsia" w:ascii="仿宋" w:eastAsia="仿宋"/>
          <w:color w:val="auto"/>
          <w:sz w:val="32"/>
          <w:szCs w:val="32"/>
          <w:highlight w:val="none"/>
          <w:lang w:val="en-US" w:eastAsia="zh-CN"/>
        </w:rPr>
        <w:t>0.78</w:t>
      </w:r>
      <w:r>
        <w:rPr>
          <w:rFonts w:hint="eastAsia" w:ascii="仿宋" w:eastAsia="仿宋"/>
          <w:color w:val="auto"/>
          <w:sz w:val="32"/>
          <w:szCs w:val="32"/>
          <w:highlight w:val="none"/>
          <w:lang w:eastAsia="zh-CN"/>
        </w:rPr>
        <w:t>万元，主要包括：邮电费</w:t>
      </w:r>
      <w:r>
        <w:rPr>
          <w:rFonts w:hint="eastAsia" w:ascii="仿宋" w:eastAsia="仿宋"/>
          <w:color w:val="auto"/>
          <w:sz w:val="32"/>
          <w:szCs w:val="32"/>
          <w:highlight w:val="none"/>
          <w:lang w:val="en-US" w:eastAsia="zh-CN"/>
        </w:rPr>
        <w:t>0.78万元</w:t>
      </w:r>
      <w:r>
        <w:rPr>
          <w:rFonts w:hint="eastAsia" w:ascii="仿宋" w:eastAsia="仿宋"/>
          <w:color w:val="auto"/>
          <w:sz w:val="32"/>
          <w:szCs w:val="32"/>
          <w:highlight w:val="none"/>
          <w:lang w:eastAsia="zh-CN"/>
        </w:rPr>
        <w:t>。</w:t>
      </w:r>
    </w:p>
    <w:p w14:paraId="25D96D97">
      <w:pPr>
        <w:spacing w:line="600" w:lineRule="exact"/>
        <w:ind w:firstLine="640"/>
        <w:rPr>
          <w:rFonts w:ascii="仿宋" w:eastAsia="仿宋"/>
          <w:b/>
          <w:color w:val="auto"/>
          <w:sz w:val="32"/>
          <w:szCs w:val="32"/>
          <w:highlight w:val="none"/>
        </w:rPr>
      </w:pPr>
    </w:p>
    <w:p w14:paraId="0B37C42E">
      <w:pPr>
        <w:spacing w:line="600" w:lineRule="exact"/>
        <w:ind w:firstLine="640"/>
        <w:outlineLvl w:val="1"/>
        <w:rPr>
          <w:rStyle w:val="21"/>
          <w:rFonts w:ascii="黑体" w:eastAsia="黑体"/>
          <w:b w:val="0"/>
          <w:color w:val="auto"/>
          <w:highlight w:val="none"/>
        </w:rPr>
      </w:pPr>
      <w:bookmarkStart w:id="59" w:name="_Toc15396609"/>
      <w:bookmarkStart w:id="60" w:name="_Toc19745"/>
      <w:bookmarkStart w:id="61" w:name="_Toc15377215"/>
      <w:r>
        <w:rPr>
          <w:rFonts w:hint="eastAsia" w:ascii="黑体" w:eastAsia="黑体"/>
          <w:color w:val="auto"/>
          <w:sz w:val="32"/>
          <w:szCs w:val="32"/>
          <w:highlight w:val="none"/>
        </w:rPr>
        <w:t>七、</w:t>
      </w:r>
      <w:r>
        <w:rPr>
          <w:rStyle w:val="21"/>
          <w:rFonts w:hint="eastAsia" w:ascii="黑体" w:eastAsia="黑体"/>
          <w:b w:val="0"/>
          <w:color w:val="auto"/>
          <w:highlight w:val="none"/>
        </w:rPr>
        <w:t>财政拨款</w:t>
      </w:r>
      <w:r>
        <w:rPr>
          <w:rStyle w:val="21"/>
          <w:rFonts w:hint="eastAsia" w:ascii="黑体" w:eastAsia="黑体"/>
          <w:color w:val="auto"/>
          <w:highlight w:val="none"/>
        </w:rPr>
        <w:t>“</w:t>
      </w:r>
      <w:r>
        <w:rPr>
          <w:rStyle w:val="21"/>
          <w:rFonts w:hint="eastAsia" w:ascii="黑体" w:eastAsia="黑体"/>
          <w:b w:val="0"/>
          <w:color w:val="auto"/>
          <w:highlight w:val="none"/>
        </w:rPr>
        <w:t>三公”经费支出决算情况说明</w:t>
      </w:r>
      <w:bookmarkEnd w:id="59"/>
      <w:bookmarkEnd w:id="60"/>
      <w:bookmarkEnd w:id="61"/>
    </w:p>
    <w:p w14:paraId="7BA80476">
      <w:pPr>
        <w:spacing w:line="600" w:lineRule="exact"/>
        <w:ind w:firstLine="640"/>
        <w:outlineLvl w:val="2"/>
        <w:rPr>
          <w:rFonts w:ascii="仿宋" w:eastAsia="仿宋"/>
          <w:b/>
          <w:color w:val="auto"/>
          <w:sz w:val="32"/>
          <w:szCs w:val="32"/>
          <w:highlight w:val="none"/>
        </w:rPr>
      </w:pPr>
      <w:bookmarkStart w:id="62" w:name="_Toc29736"/>
      <w:bookmarkStart w:id="63" w:name="_Toc15377216"/>
      <w:r>
        <w:rPr>
          <w:rFonts w:hint="eastAsia" w:ascii="仿宋" w:eastAsia="仿宋"/>
          <w:b/>
          <w:color w:val="auto"/>
          <w:sz w:val="32"/>
          <w:szCs w:val="32"/>
          <w:highlight w:val="none"/>
        </w:rPr>
        <w:t>（一）“三公”经费财政拨款支出决算总体情况说明</w:t>
      </w:r>
      <w:bookmarkEnd w:id="62"/>
      <w:bookmarkEnd w:id="63"/>
    </w:p>
    <w:p w14:paraId="2B60842F">
      <w:pPr>
        <w:spacing w:line="600" w:lineRule="exact"/>
        <w:ind w:firstLine="640"/>
        <w:rPr>
          <w:rFonts w:ascii="仿宋" w:eastAsia="仿宋"/>
          <w:color w:val="auto"/>
          <w:sz w:val="32"/>
          <w:szCs w:val="32"/>
          <w:highlight w:val="none"/>
        </w:rPr>
      </w:pPr>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年“三公”经费财政拨款支出决算为</w:t>
      </w:r>
      <w:r>
        <w:rPr>
          <w:rFonts w:hint="eastAsia" w:ascii="仿宋" w:eastAsia="仿宋"/>
          <w:color w:val="auto"/>
          <w:sz w:val="32"/>
          <w:szCs w:val="32"/>
          <w:highlight w:val="none"/>
          <w:lang w:val="en-US" w:eastAsia="zh-CN"/>
        </w:rPr>
        <w:t>0</w:t>
      </w:r>
      <w:r>
        <w:rPr>
          <w:rFonts w:hint="eastAsia" w:ascii="仿宋" w:eastAsia="仿宋"/>
          <w:color w:val="auto"/>
          <w:sz w:val="32"/>
          <w:szCs w:val="32"/>
          <w:highlight w:val="none"/>
        </w:rPr>
        <w:t>万元，</w:t>
      </w:r>
      <w:r>
        <w:rPr>
          <w:rFonts w:hint="eastAsia" w:ascii="仿宋_GB2312" w:eastAsia="仿宋_GB2312"/>
          <w:color w:val="auto"/>
          <w:sz w:val="32"/>
          <w:szCs w:val="32"/>
          <w:highlight w:val="none"/>
          <w:lang w:val="en-US" w:eastAsia="zh-CN"/>
        </w:rPr>
        <w:t>年初未安排预算</w:t>
      </w:r>
      <w:r>
        <w:rPr>
          <w:rFonts w:hint="eastAsia" w:ascii="仿宋" w:eastAsia="仿宋"/>
          <w:color w:val="auto"/>
          <w:sz w:val="32"/>
          <w:szCs w:val="32"/>
          <w:highlight w:val="none"/>
        </w:rPr>
        <w:t>。</w:t>
      </w:r>
    </w:p>
    <w:p w14:paraId="0D0AC4CD">
      <w:pPr>
        <w:spacing w:line="600" w:lineRule="exact"/>
        <w:ind w:firstLine="640"/>
        <w:outlineLvl w:val="2"/>
        <w:rPr>
          <w:rFonts w:ascii="仿宋" w:eastAsia="仿宋"/>
          <w:b/>
          <w:color w:val="auto"/>
          <w:sz w:val="32"/>
          <w:szCs w:val="32"/>
          <w:highlight w:val="none"/>
        </w:rPr>
      </w:pPr>
      <w:bookmarkStart w:id="64" w:name="_Toc9727"/>
      <w:bookmarkStart w:id="65" w:name="_Toc15377217"/>
      <w:r>
        <w:rPr>
          <w:rFonts w:hint="eastAsia" w:ascii="仿宋" w:eastAsia="仿宋"/>
          <w:b/>
          <w:color w:val="auto"/>
          <w:sz w:val="32"/>
          <w:szCs w:val="32"/>
          <w:highlight w:val="none"/>
        </w:rPr>
        <w:t>（二）“三公”经费财政拨款支出决算具体情况说明</w:t>
      </w:r>
      <w:bookmarkEnd w:id="64"/>
      <w:bookmarkEnd w:id="65"/>
    </w:p>
    <w:p w14:paraId="1D428FD0">
      <w:pPr>
        <w:spacing w:line="600" w:lineRule="exact"/>
        <w:ind w:firstLine="640"/>
        <w:rPr>
          <w:rFonts w:hint="eastAsia" w:ascii="仿宋" w:eastAsia="仿宋"/>
          <w:color w:val="auto"/>
          <w:sz w:val="32"/>
          <w:szCs w:val="32"/>
          <w:highlight w:val="none"/>
          <w:lang w:eastAsia="zh-CN"/>
        </w:rPr>
      </w:pPr>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年“三公”经费财政拨款支出决算中</w:t>
      </w:r>
      <w:r>
        <w:rPr>
          <w:rFonts w:hint="eastAsia" w:ascii="仿宋" w:eastAsia="仿宋"/>
          <w:color w:val="auto"/>
          <w:sz w:val="32"/>
          <w:szCs w:val="32"/>
          <w:highlight w:val="none"/>
          <w:lang w:eastAsia="zh-CN"/>
        </w:rPr>
        <w:t>：</w:t>
      </w:r>
    </w:p>
    <w:p w14:paraId="7C77720E">
      <w:pPr>
        <w:spacing w:line="600" w:lineRule="exact"/>
        <w:ind w:firstLine="640"/>
        <w:rPr>
          <w:rFonts w:hint="eastAsia" w:ascii="仿宋" w:eastAsia="仿宋"/>
          <w:color w:val="auto"/>
          <w:sz w:val="32"/>
          <w:szCs w:val="32"/>
          <w:highlight w:val="none"/>
        </w:rPr>
      </w:pPr>
      <w:r>
        <w:rPr>
          <w:rFonts w:hint="eastAsia" w:ascii="仿宋" w:eastAsia="仿宋"/>
          <w:b/>
          <w:bCs/>
          <w:color w:val="auto"/>
          <w:sz w:val="32"/>
          <w:szCs w:val="32"/>
          <w:highlight w:val="none"/>
        </w:rPr>
        <w:t>1.因公出国（境）经费</w:t>
      </w:r>
      <w:r>
        <w:rPr>
          <w:rFonts w:hint="eastAsia" w:ascii="仿宋" w:eastAsia="仿宋"/>
          <w:color w:val="auto"/>
          <w:sz w:val="32"/>
          <w:szCs w:val="32"/>
          <w:highlight w:val="none"/>
        </w:rPr>
        <w:t>支出</w:t>
      </w:r>
      <w:r>
        <w:rPr>
          <w:rFonts w:hint="eastAsia" w:ascii="仿宋" w:eastAsia="仿宋"/>
          <w:color w:val="auto"/>
          <w:sz w:val="32"/>
          <w:szCs w:val="32"/>
          <w:highlight w:val="none"/>
          <w:lang w:val="en-US" w:eastAsia="zh-CN"/>
        </w:rPr>
        <w:t>0</w:t>
      </w:r>
      <w:r>
        <w:rPr>
          <w:rFonts w:hint="eastAsia" w:ascii="仿宋" w:eastAsia="仿宋"/>
          <w:color w:val="auto"/>
          <w:sz w:val="32"/>
          <w:szCs w:val="32"/>
          <w:highlight w:val="none"/>
        </w:rPr>
        <w:t>万元，</w:t>
      </w:r>
      <w:r>
        <w:rPr>
          <w:rFonts w:hint="eastAsia" w:ascii="仿宋" w:eastAsia="仿宋"/>
          <w:color w:val="auto"/>
          <w:sz w:val="32"/>
          <w:szCs w:val="32"/>
          <w:highlight w:val="none"/>
          <w:lang w:val="en-US" w:eastAsia="zh-CN"/>
        </w:rPr>
        <w:t>年初未安排预算</w:t>
      </w:r>
      <w:r>
        <w:rPr>
          <w:rFonts w:hint="eastAsia" w:ascii="仿宋" w:eastAsia="仿宋"/>
          <w:color w:val="auto"/>
          <w:sz w:val="32"/>
          <w:szCs w:val="32"/>
          <w:highlight w:val="none"/>
        </w:rPr>
        <w:t>。</w:t>
      </w:r>
    </w:p>
    <w:p w14:paraId="3663AFA7">
      <w:pPr>
        <w:spacing w:line="600" w:lineRule="exact"/>
        <w:ind w:firstLine="640"/>
        <w:rPr>
          <w:rFonts w:hint="eastAsia" w:ascii="仿宋" w:eastAsia="仿宋"/>
          <w:color w:val="auto"/>
          <w:sz w:val="32"/>
          <w:szCs w:val="32"/>
          <w:highlight w:val="none"/>
        </w:rPr>
      </w:pPr>
      <w:r>
        <w:rPr>
          <w:rFonts w:hint="eastAsia" w:ascii="仿宋" w:eastAsia="仿宋"/>
          <w:b/>
          <w:bCs/>
          <w:color w:val="auto"/>
          <w:sz w:val="32"/>
          <w:szCs w:val="32"/>
          <w:highlight w:val="none"/>
        </w:rPr>
        <w:t>2.公务用车购置及运行维护费</w:t>
      </w:r>
      <w:r>
        <w:rPr>
          <w:rFonts w:hint="eastAsia" w:ascii="仿宋" w:eastAsia="仿宋"/>
          <w:color w:val="auto"/>
          <w:sz w:val="32"/>
          <w:szCs w:val="32"/>
          <w:highlight w:val="none"/>
        </w:rPr>
        <w:t>支出</w:t>
      </w:r>
      <w:r>
        <w:rPr>
          <w:rFonts w:hint="eastAsia" w:ascii="仿宋" w:eastAsia="仿宋"/>
          <w:color w:val="auto"/>
          <w:sz w:val="32"/>
          <w:szCs w:val="32"/>
          <w:highlight w:val="none"/>
          <w:lang w:val="en-US" w:eastAsia="zh-CN"/>
        </w:rPr>
        <w:t>0万元，年初未安排预算。</w:t>
      </w:r>
    </w:p>
    <w:p w14:paraId="40B01922">
      <w:pPr>
        <w:spacing w:line="600" w:lineRule="exact"/>
        <w:ind w:firstLine="640"/>
        <w:rPr>
          <w:rFonts w:hint="eastAsia" w:ascii="仿宋" w:eastAsia="仿宋"/>
          <w:color w:val="auto"/>
          <w:sz w:val="32"/>
          <w:szCs w:val="32"/>
          <w:highlight w:val="none"/>
        </w:rPr>
      </w:pPr>
      <w:r>
        <w:rPr>
          <w:rFonts w:hint="eastAsia" w:ascii="仿宋" w:eastAsia="仿宋"/>
          <w:b/>
          <w:bCs/>
          <w:color w:val="auto"/>
          <w:sz w:val="32"/>
          <w:szCs w:val="32"/>
          <w:highlight w:val="none"/>
        </w:rPr>
        <w:t>3.公务接待费</w:t>
      </w:r>
      <w:r>
        <w:rPr>
          <w:rFonts w:hint="eastAsia" w:ascii="仿宋" w:eastAsia="仿宋"/>
          <w:color w:val="auto"/>
          <w:sz w:val="32"/>
          <w:szCs w:val="32"/>
          <w:highlight w:val="none"/>
        </w:rPr>
        <w:t>支出</w:t>
      </w:r>
      <w:r>
        <w:rPr>
          <w:rFonts w:hint="eastAsia" w:ascii="仿宋" w:eastAsia="仿宋"/>
          <w:color w:val="auto"/>
          <w:sz w:val="32"/>
          <w:szCs w:val="32"/>
          <w:highlight w:val="none"/>
          <w:lang w:val="en-US" w:eastAsia="zh-CN"/>
        </w:rPr>
        <w:t>0</w:t>
      </w:r>
      <w:r>
        <w:rPr>
          <w:rFonts w:hint="eastAsia" w:ascii="仿宋" w:eastAsia="仿宋"/>
          <w:color w:val="auto"/>
          <w:sz w:val="32"/>
          <w:szCs w:val="32"/>
          <w:highlight w:val="none"/>
        </w:rPr>
        <w:t>万元，</w:t>
      </w:r>
      <w:r>
        <w:rPr>
          <w:rFonts w:hint="eastAsia" w:ascii="仿宋" w:eastAsia="仿宋"/>
          <w:color w:val="auto"/>
          <w:sz w:val="32"/>
          <w:szCs w:val="32"/>
          <w:highlight w:val="none"/>
          <w:lang w:val="en-US" w:eastAsia="zh-CN"/>
        </w:rPr>
        <w:t>年初未安排预算</w:t>
      </w:r>
      <w:r>
        <w:rPr>
          <w:rFonts w:hint="eastAsia" w:ascii="仿宋" w:eastAsia="仿宋"/>
          <w:color w:val="auto"/>
          <w:sz w:val="32"/>
          <w:szCs w:val="32"/>
          <w:highlight w:val="none"/>
        </w:rPr>
        <w:t>。</w:t>
      </w:r>
    </w:p>
    <w:p w14:paraId="697D583E">
      <w:pPr>
        <w:spacing w:line="600" w:lineRule="exact"/>
        <w:ind w:firstLine="640"/>
        <w:rPr>
          <w:rFonts w:hint="eastAsia" w:ascii="仿宋" w:eastAsia="仿宋"/>
          <w:color w:val="auto"/>
          <w:sz w:val="32"/>
          <w:szCs w:val="32"/>
          <w:highlight w:val="none"/>
        </w:rPr>
      </w:pPr>
      <w:r>
        <w:rPr>
          <w:rFonts w:hint="eastAsia" w:ascii="仿宋" w:eastAsia="仿宋"/>
          <w:b/>
          <w:bCs/>
          <w:color w:val="auto"/>
          <w:sz w:val="32"/>
          <w:szCs w:val="32"/>
          <w:highlight w:val="none"/>
        </w:rPr>
        <w:t>国内公务接待</w:t>
      </w:r>
      <w:r>
        <w:rPr>
          <w:rFonts w:hint="eastAsia" w:ascii="仿宋" w:eastAsia="仿宋"/>
          <w:color w:val="auto"/>
          <w:sz w:val="32"/>
          <w:szCs w:val="32"/>
          <w:highlight w:val="none"/>
        </w:rPr>
        <w:t>支出</w:t>
      </w:r>
      <w:r>
        <w:rPr>
          <w:rFonts w:hint="eastAsia" w:ascii="仿宋" w:eastAsia="仿宋"/>
          <w:color w:val="auto"/>
          <w:sz w:val="32"/>
          <w:szCs w:val="32"/>
          <w:highlight w:val="none"/>
          <w:lang w:val="en-US" w:eastAsia="zh-CN"/>
        </w:rPr>
        <w:t>0</w:t>
      </w:r>
      <w:r>
        <w:rPr>
          <w:rFonts w:hint="eastAsia" w:ascii="仿宋" w:eastAsia="仿宋"/>
          <w:color w:val="auto"/>
          <w:sz w:val="32"/>
          <w:szCs w:val="32"/>
          <w:highlight w:val="none"/>
        </w:rPr>
        <w:t>万元，</w:t>
      </w:r>
      <w:r>
        <w:rPr>
          <w:rFonts w:hint="eastAsia" w:ascii="仿宋" w:eastAsia="仿宋"/>
          <w:color w:val="auto"/>
          <w:sz w:val="32"/>
          <w:szCs w:val="32"/>
          <w:highlight w:val="none"/>
          <w:lang w:val="en-US" w:eastAsia="zh-CN"/>
        </w:rPr>
        <w:t>年初未安排预算</w:t>
      </w:r>
      <w:r>
        <w:rPr>
          <w:rFonts w:hint="eastAsia" w:ascii="仿宋" w:eastAsia="仿宋"/>
          <w:color w:val="auto"/>
          <w:sz w:val="32"/>
          <w:szCs w:val="32"/>
          <w:highlight w:val="none"/>
        </w:rPr>
        <w:t>。</w:t>
      </w:r>
    </w:p>
    <w:p w14:paraId="2ECFB3F7">
      <w:pPr>
        <w:spacing w:line="600" w:lineRule="exact"/>
        <w:ind w:firstLine="640"/>
        <w:rPr>
          <w:rFonts w:ascii="黑体" w:eastAsia="黑体"/>
          <w:color w:val="auto"/>
          <w:sz w:val="32"/>
          <w:szCs w:val="32"/>
          <w:highlight w:val="none"/>
        </w:rPr>
      </w:pPr>
      <w:r>
        <w:rPr>
          <w:rFonts w:hint="eastAsia" w:ascii="仿宋" w:eastAsia="仿宋"/>
          <w:b/>
          <w:bCs/>
          <w:color w:val="auto"/>
          <w:sz w:val="32"/>
          <w:szCs w:val="32"/>
          <w:highlight w:val="none"/>
        </w:rPr>
        <w:t>外事接待</w:t>
      </w:r>
      <w:r>
        <w:rPr>
          <w:rFonts w:hint="eastAsia" w:ascii="仿宋" w:eastAsia="仿宋"/>
          <w:color w:val="auto"/>
          <w:sz w:val="32"/>
          <w:szCs w:val="32"/>
          <w:highlight w:val="none"/>
        </w:rPr>
        <w:t>支出</w:t>
      </w:r>
      <w:r>
        <w:rPr>
          <w:rFonts w:hint="eastAsia" w:ascii="仿宋" w:eastAsia="仿宋"/>
          <w:color w:val="auto"/>
          <w:sz w:val="32"/>
          <w:szCs w:val="32"/>
          <w:highlight w:val="none"/>
          <w:lang w:val="en-US" w:eastAsia="zh-CN"/>
        </w:rPr>
        <w:t>0</w:t>
      </w:r>
      <w:r>
        <w:rPr>
          <w:rFonts w:hint="eastAsia" w:ascii="仿宋" w:eastAsia="仿宋"/>
          <w:color w:val="auto"/>
          <w:sz w:val="32"/>
          <w:szCs w:val="32"/>
          <w:highlight w:val="none"/>
        </w:rPr>
        <w:t>万元，</w:t>
      </w:r>
      <w:r>
        <w:rPr>
          <w:rFonts w:hint="eastAsia" w:ascii="仿宋" w:eastAsia="仿宋"/>
          <w:color w:val="auto"/>
          <w:sz w:val="32"/>
          <w:szCs w:val="32"/>
          <w:highlight w:val="none"/>
          <w:lang w:val="en-US" w:eastAsia="zh-CN"/>
        </w:rPr>
        <w:t>年初未安排预算。</w:t>
      </w:r>
      <w:bookmarkStart w:id="66" w:name="_Toc15377218"/>
      <w:bookmarkStart w:id="67" w:name="_Toc15396610"/>
    </w:p>
    <w:p w14:paraId="1775015B">
      <w:pPr>
        <w:spacing w:line="600" w:lineRule="exact"/>
        <w:ind w:firstLine="640"/>
        <w:outlineLvl w:val="1"/>
        <w:rPr>
          <w:rStyle w:val="21"/>
          <w:rFonts w:ascii="黑体" w:eastAsia="黑体"/>
          <w:color w:val="auto"/>
          <w:highlight w:val="none"/>
        </w:rPr>
      </w:pPr>
      <w:bookmarkStart w:id="68" w:name="_Toc28071"/>
      <w:r>
        <w:rPr>
          <w:rFonts w:hint="eastAsia" w:ascii="黑体" w:eastAsia="黑体"/>
          <w:color w:val="auto"/>
          <w:sz w:val="32"/>
          <w:szCs w:val="32"/>
          <w:highlight w:val="none"/>
        </w:rPr>
        <w:t>八、</w:t>
      </w:r>
      <w:r>
        <w:rPr>
          <w:rStyle w:val="21"/>
          <w:rFonts w:hint="eastAsia" w:ascii="黑体" w:eastAsia="黑体"/>
          <w:b w:val="0"/>
          <w:color w:val="auto"/>
          <w:highlight w:val="none"/>
        </w:rPr>
        <w:t>政府性基金预算支出决算情况说明</w:t>
      </w:r>
      <w:bookmarkEnd w:id="66"/>
      <w:bookmarkEnd w:id="67"/>
      <w:bookmarkEnd w:id="68"/>
    </w:p>
    <w:p w14:paraId="09874111">
      <w:pPr>
        <w:spacing w:line="600" w:lineRule="exact"/>
        <w:ind w:firstLine="640"/>
        <w:rPr>
          <w:rFonts w:hint="eastAsia" w:ascii="仿宋" w:eastAsia="仿宋"/>
          <w:color w:val="auto"/>
          <w:sz w:val="32"/>
          <w:szCs w:val="32"/>
          <w:highlight w:val="none"/>
        </w:rPr>
      </w:pPr>
      <w:r>
        <w:rPr>
          <w:rFonts w:hint="eastAsia"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年政府性基金预算</w:t>
      </w:r>
      <w:r>
        <w:rPr>
          <w:rFonts w:hint="eastAsia" w:ascii="仿宋" w:eastAsia="仿宋"/>
          <w:color w:val="auto"/>
          <w:sz w:val="32"/>
          <w:szCs w:val="32"/>
          <w:highlight w:val="none"/>
          <w:lang w:eastAsia="zh-CN"/>
        </w:rPr>
        <w:t>财政</w:t>
      </w:r>
      <w:r>
        <w:rPr>
          <w:rFonts w:hint="eastAsia" w:ascii="仿宋" w:eastAsia="仿宋"/>
          <w:color w:val="auto"/>
          <w:sz w:val="32"/>
          <w:szCs w:val="32"/>
          <w:highlight w:val="none"/>
        </w:rPr>
        <w:t>拨款支出</w:t>
      </w:r>
      <w:r>
        <w:rPr>
          <w:rFonts w:hint="eastAsia" w:ascii="仿宋" w:eastAsia="仿宋"/>
          <w:color w:val="auto"/>
          <w:sz w:val="32"/>
          <w:szCs w:val="32"/>
          <w:highlight w:val="none"/>
          <w:lang w:val="en-US" w:eastAsia="zh-CN"/>
        </w:rPr>
        <w:t>18.42</w:t>
      </w:r>
      <w:r>
        <w:rPr>
          <w:rFonts w:hint="eastAsia" w:ascii="仿宋" w:eastAsia="仿宋"/>
          <w:color w:val="auto"/>
          <w:sz w:val="32"/>
          <w:szCs w:val="32"/>
          <w:highlight w:val="none"/>
        </w:rPr>
        <w:t>万元。</w:t>
      </w:r>
    </w:p>
    <w:p w14:paraId="00DF7688">
      <w:pPr>
        <w:numPr>
          <w:ilvl w:val="0"/>
          <w:numId w:val="4"/>
        </w:numPr>
        <w:spacing w:line="600" w:lineRule="exact"/>
        <w:ind w:left="0" w:firstLine="640"/>
        <w:outlineLvl w:val="1"/>
        <w:rPr>
          <w:rStyle w:val="21"/>
          <w:rFonts w:ascii="黑体" w:eastAsia="黑体"/>
          <w:b w:val="0"/>
          <w:color w:val="auto"/>
          <w:highlight w:val="none"/>
        </w:rPr>
      </w:pPr>
      <w:bookmarkStart w:id="69" w:name="_Toc15396611"/>
      <w:bookmarkStart w:id="70" w:name="_Toc15377219"/>
      <w:bookmarkStart w:id="71" w:name="_Toc18776"/>
      <w:r>
        <w:rPr>
          <w:rStyle w:val="21"/>
          <w:rFonts w:hint="eastAsia" w:ascii="黑体" w:eastAsia="黑体"/>
          <w:b w:val="0"/>
          <w:color w:val="auto"/>
          <w:highlight w:val="none"/>
        </w:rPr>
        <w:t>国有资本经营预算支出决算情况说明</w:t>
      </w:r>
      <w:bookmarkEnd w:id="69"/>
      <w:bookmarkEnd w:id="70"/>
      <w:bookmarkEnd w:id="71"/>
    </w:p>
    <w:p w14:paraId="1144D4E7">
      <w:pPr>
        <w:spacing w:line="600" w:lineRule="exact"/>
        <w:ind w:firstLine="640"/>
        <w:rPr>
          <w:rFonts w:hint="eastAsia" w:ascii="仿宋" w:eastAsia="仿宋"/>
          <w:color w:val="auto"/>
          <w:sz w:val="32"/>
          <w:szCs w:val="32"/>
          <w:highlight w:val="none"/>
        </w:rPr>
      </w:pPr>
      <w:r>
        <w:rPr>
          <w:rFonts w:hint="eastAsia"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年国有资本经营预算</w:t>
      </w:r>
      <w:r>
        <w:rPr>
          <w:rFonts w:hint="eastAsia" w:ascii="仿宋" w:eastAsia="仿宋"/>
          <w:color w:val="auto"/>
          <w:sz w:val="32"/>
          <w:szCs w:val="32"/>
          <w:highlight w:val="none"/>
          <w:lang w:eastAsia="zh-CN"/>
        </w:rPr>
        <w:t>财政</w:t>
      </w:r>
      <w:r>
        <w:rPr>
          <w:rFonts w:hint="eastAsia" w:ascii="仿宋" w:eastAsia="仿宋"/>
          <w:color w:val="auto"/>
          <w:sz w:val="32"/>
          <w:szCs w:val="32"/>
          <w:highlight w:val="none"/>
        </w:rPr>
        <w:t>拨款支出</w:t>
      </w:r>
      <w:r>
        <w:rPr>
          <w:rFonts w:hint="eastAsia" w:ascii="仿宋" w:eastAsia="仿宋"/>
          <w:color w:val="auto"/>
          <w:sz w:val="32"/>
          <w:szCs w:val="32"/>
          <w:highlight w:val="none"/>
          <w:lang w:val="en-US" w:eastAsia="zh-CN"/>
        </w:rPr>
        <w:t>0</w:t>
      </w:r>
      <w:r>
        <w:rPr>
          <w:rFonts w:hint="eastAsia" w:ascii="仿宋" w:eastAsia="仿宋"/>
          <w:color w:val="auto"/>
          <w:sz w:val="32"/>
          <w:szCs w:val="32"/>
          <w:highlight w:val="none"/>
        </w:rPr>
        <w:t>万元。</w:t>
      </w:r>
    </w:p>
    <w:p w14:paraId="19F1361B">
      <w:pPr>
        <w:numPr>
          <w:ilvl w:val="0"/>
          <w:numId w:val="4"/>
        </w:numPr>
        <w:spacing w:line="600" w:lineRule="exact"/>
        <w:ind w:left="0" w:firstLine="640"/>
        <w:outlineLvl w:val="1"/>
        <w:rPr>
          <w:rStyle w:val="21"/>
          <w:rFonts w:hint="eastAsia" w:ascii="黑体" w:eastAsia="黑体"/>
          <w:b w:val="0"/>
          <w:color w:val="auto"/>
          <w:highlight w:val="none"/>
        </w:rPr>
      </w:pPr>
      <w:bookmarkStart w:id="72" w:name="_Toc15396612"/>
      <w:bookmarkStart w:id="73" w:name="_Toc15377221"/>
      <w:bookmarkStart w:id="74" w:name="_Toc32695"/>
      <w:r>
        <w:rPr>
          <w:rStyle w:val="21"/>
          <w:rFonts w:hint="eastAsia" w:ascii="黑体" w:eastAsia="黑体"/>
          <w:b w:val="0"/>
          <w:color w:val="auto"/>
          <w:highlight w:val="none"/>
        </w:rPr>
        <w:t>其他重要事项的情况说明</w:t>
      </w:r>
      <w:bookmarkEnd w:id="72"/>
      <w:bookmarkEnd w:id="73"/>
      <w:bookmarkEnd w:id="74"/>
    </w:p>
    <w:p w14:paraId="14DB8476">
      <w:pPr>
        <w:spacing w:line="600" w:lineRule="exact"/>
        <w:ind w:firstLine="643" w:firstLineChars="200"/>
        <w:outlineLvl w:val="2"/>
        <w:rPr>
          <w:rFonts w:ascii="仿宋" w:eastAsia="仿宋"/>
          <w:color w:val="auto"/>
          <w:sz w:val="32"/>
          <w:szCs w:val="32"/>
          <w:highlight w:val="none"/>
        </w:rPr>
      </w:pPr>
      <w:bookmarkStart w:id="75" w:name="_Toc7154"/>
      <w:bookmarkStart w:id="76" w:name="_Toc15377222"/>
      <w:r>
        <w:rPr>
          <w:rFonts w:hint="eastAsia" w:ascii="仿宋" w:eastAsia="仿宋"/>
          <w:b/>
          <w:color w:val="auto"/>
          <w:sz w:val="32"/>
          <w:szCs w:val="32"/>
          <w:highlight w:val="none"/>
        </w:rPr>
        <w:t>（一）机关运行经费支出情况</w:t>
      </w:r>
      <w:bookmarkEnd w:id="75"/>
      <w:bookmarkEnd w:id="76"/>
    </w:p>
    <w:p w14:paraId="298EEC35">
      <w:pPr>
        <w:spacing w:line="600" w:lineRule="exact"/>
        <w:ind w:firstLine="640"/>
        <w:rPr>
          <w:rFonts w:hint="eastAsia" w:ascii="仿宋" w:eastAsia="仿宋"/>
          <w:color w:val="auto"/>
          <w:sz w:val="32"/>
          <w:szCs w:val="32"/>
          <w:highlight w:val="none"/>
        </w:rPr>
      </w:pPr>
      <w:r>
        <w:rPr>
          <w:rFonts w:hint="eastAsia"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w:t>
      </w:r>
      <w:r>
        <w:rPr>
          <w:rFonts w:hint="eastAsia" w:ascii="仿宋" w:eastAsia="仿宋"/>
          <w:color w:val="auto"/>
          <w:sz w:val="32"/>
          <w:szCs w:val="32"/>
          <w:highlight w:val="none"/>
          <w:lang w:val="en-US" w:eastAsia="zh-CN"/>
        </w:rPr>
        <w:t>本单位未发生机关运行经费支出。</w:t>
      </w:r>
    </w:p>
    <w:p w14:paraId="459F3F7B">
      <w:pPr>
        <w:autoSpaceDE w:val="0"/>
        <w:autoSpaceDN w:val="0"/>
        <w:adjustRightInd w:val="0"/>
        <w:spacing w:line="600" w:lineRule="exact"/>
        <w:ind w:firstLine="643" w:firstLineChars="200"/>
        <w:jc w:val="left"/>
        <w:outlineLvl w:val="2"/>
        <w:rPr>
          <w:rFonts w:ascii="仿宋" w:eastAsia="仿宋"/>
          <w:b/>
          <w:color w:val="auto"/>
          <w:sz w:val="32"/>
          <w:szCs w:val="32"/>
          <w:highlight w:val="none"/>
        </w:rPr>
      </w:pPr>
      <w:bookmarkStart w:id="77" w:name="_Toc30254"/>
      <w:bookmarkStart w:id="78" w:name="_Toc15377223"/>
      <w:r>
        <w:rPr>
          <w:rFonts w:hint="eastAsia" w:ascii="仿宋" w:eastAsia="仿宋"/>
          <w:b/>
          <w:color w:val="auto"/>
          <w:sz w:val="32"/>
          <w:szCs w:val="32"/>
          <w:highlight w:val="none"/>
        </w:rPr>
        <w:t>（二）政府采购支出情况</w:t>
      </w:r>
      <w:bookmarkEnd w:id="77"/>
      <w:bookmarkEnd w:id="78"/>
    </w:p>
    <w:p w14:paraId="63246E28">
      <w:pPr>
        <w:spacing w:line="600" w:lineRule="exact"/>
        <w:ind w:firstLine="640"/>
        <w:rPr>
          <w:rFonts w:hint="eastAsia" w:ascii="仿宋" w:eastAsia="仿宋"/>
          <w:color w:val="auto"/>
          <w:sz w:val="32"/>
          <w:szCs w:val="32"/>
          <w:highlight w:val="none"/>
          <w:lang w:val="en-US" w:eastAsia="zh-CN"/>
        </w:rPr>
      </w:pPr>
      <w:r>
        <w:rPr>
          <w:rFonts w:hint="eastAsia" w:ascii="仿宋" w:eastAsia="仿宋"/>
          <w:color w:val="auto"/>
          <w:sz w:val="32"/>
          <w:szCs w:val="32"/>
          <w:highlight w:val="none"/>
          <w:lang w:val="en-US" w:eastAsia="zh-CN"/>
        </w:rPr>
        <w:t>2022年，</w:t>
      </w:r>
      <w:r>
        <w:rPr>
          <w:rFonts w:hint="eastAsia" w:ascii="仿宋_GB2312" w:eastAsia="仿宋_GB2312"/>
          <w:color w:val="auto"/>
          <w:sz w:val="32"/>
          <w:szCs w:val="32"/>
          <w:highlight w:val="none"/>
          <w:lang w:eastAsia="zh-CN"/>
        </w:rPr>
        <w:t>本年未发生政府采购</w:t>
      </w:r>
      <w:r>
        <w:rPr>
          <w:rFonts w:hint="eastAsia" w:ascii="仿宋" w:eastAsia="仿宋"/>
          <w:color w:val="auto"/>
          <w:sz w:val="32"/>
          <w:szCs w:val="32"/>
          <w:highlight w:val="none"/>
          <w:lang w:val="en-US" w:eastAsia="zh-CN"/>
        </w:rPr>
        <w:t>。</w:t>
      </w:r>
    </w:p>
    <w:p w14:paraId="3DA2832B">
      <w:pPr>
        <w:autoSpaceDE w:val="0"/>
        <w:autoSpaceDN w:val="0"/>
        <w:adjustRightInd w:val="0"/>
        <w:spacing w:line="600" w:lineRule="exact"/>
        <w:ind w:firstLine="643" w:firstLineChars="200"/>
        <w:jc w:val="left"/>
        <w:outlineLvl w:val="2"/>
        <w:rPr>
          <w:rFonts w:ascii="仿宋" w:eastAsia="仿宋"/>
          <w:b/>
          <w:color w:val="auto"/>
          <w:sz w:val="32"/>
          <w:szCs w:val="32"/>
          <w:highlight w:val="none"/>
        </w:rPr>
      </w:pPr>
      <w:bookmarkStart w:id="79" w:name="_Toc15377224"/>
      <w:bookmarkStart w:id="80" w:name="_Toc21476"/>
      <w:r>
        <w:rPr>
          <w:rFonts w:hint="eastAsia" w:ascii="仿宋" w:eastAsia="仿宋"/>
          <w:b/>
          <w:color w:val="auto"/>
          <w:sz w:val="32"/>
          <w:szCs w:val="32"/>
          <w:highlight w:val="none"/>
        </w:rPr>
        <w:t>（三）国有资产占有使用情况</w:t>
      </w:r>
      <w:bookmarkEnd w:id="79"/>
      <w:bookmarkEnd w:id="80"/>
    </w:p>
    <w:p w14:paraId="4F88F48D">
      <w:pPr>
        <w:spacing w:line="600" w:lineRule="exact"/>
        <w:ind w:firstLine="640"/>
        <w:rPr>
          <w:rFonts w:hint="eastAsia" w:ascii="仿宋" w:eastAsia="仿宋"/>
          <w:color w:val="auto"/>
          <w:sz w:val="32"/>
          <w:szCs w:val="32"/>
          <w:highlight w:val="none"/>
          <w:lang w:val="en-US" w:eastAsia="zh-CN"/>
        </w:rPr>
      </w:pPr>
      <w:r>
        <w:rPr>
          <w:rFonts w:hint="eastAsia" w:ascii="仿宋" w:eastAsia="仿宋"/>
          <w:color w:val="auto"/>
          <w:sz w:val="32"/>
          <w:szCs w:val="32"/>
          <w:highlight w:val="none"/>
          <w:lang w:val="en-US" w:eastAsia="zh-CN"/>
        </w:rPr>
        <w:t>截至2022年12月31日，昭化镇中心卫生院共有车辆1辆，其中：主要领导干部用车0辆、机要通信用车0辆、应急保障用车0辆、其他用车1辆(救护车)。单价100万元以上专用设备0台（套）。</w:t>
      </w:r>
    </w:p>
    <w:p w14:paraId="7775A051">
      <w:pPr>
        <w:autoSpaceDE w:val="0"/>
        <w:autoSpaceDN w:val="0"/>
        <w:adjustRightInd w:val="0"/>
        <w:spacing w:line="600" w:lineRule="exact"/>
        <w:ind w:firstLine="643" w:firstLineChars="200"/>
        <w:jc w:val="left"/>
        <w:outlineLvl w:val="2"/>
        <w:rPr>
          <w:rFonts w:hint="eastAsia" w:ascii="仿宋" w:eastAsia="仿宋"/>
          <w:b/>
          <w:color w:val="auto"/>
          <w:sz w:val="32"/>
          <w:szCs w:val="32"/>
          <w:highlight w:val="none"/>
          <w:lang w:eastAsia="zh-CN"/>
        </w:rPr>
      </w:pPr>
      <w:bookmarkStart w:id="81" w:name="_Toc18930"/>
      <w:r>
        <w:rPr>
          <w:rFonts w:hint="eastAsia" w:ascii="仿宋" w:eastAsia="仿宋"/>
          <w:b/>
          <w:color w:val="auto"/>
          <w:sz w:val="32"/>
          <w:szCs w:val="32"/>
          <w:highlight w:val="none"/>
        </w:rPr>
        <w:t>（四）预算绩效管理情况</w:t>
      </w:r>
      <w:bookmarkEnd w:id="81"/>
    </w:p>
    <w:p w14:paraId="764817AA">
      <w:pPr>
        <w:spacing w:line="600" w:lineRule="exact"/>
        <w:ind w:firstLine="640"/>
        <w:rPr>
          <w:rFonts w:hint="eastAsia" w:ascii="仿宋" w:eastAsia="仿宋"/>
          <w:color w:val="auto"/>
          <w:sz w:val="32"/>
          <w:szCs w:val="32"/>
          <w:highlight w:val="none"/>
          <w:lang w:val="en-US" w:eastAsia="zh-CN"/>
        </w:rPr>
      </w:pPr>
      <w:r>
        <w:rPr>
          <w:rFonts w:hint="eastAsia" w:ascii="仿宋" w:eastAsia="仿宋"/>
          <w:color w:val="auto"/>
          <w:sz w:val="32"/>
          <w:szCs w:val="32"/>
          <w:highlight w:val="none"/>
          <w:lang w:val="en-US" w:eastAsia="zh-CN"/>
        </w:rPr>
        <w:t>1.绩效目标管理情况</w:t>
      </w:r>
    </w:p>
    <w:p w14:paraId="6B6FEBA7">
      <w:pPr>
        <w:spacing w:line="600" w:lineRule="exact"/>
        <w:ind w:firstLine="640"/>
        <w:rPr>
          <w:rFonts w:hint="eastAsia" w:ascii="仿宋" w:eastAsia="仿宋"/>
          <w:color w:val="auto"/>
          <w:sz w:val="32"/>
          <w:szCs w:val="32"/>
          <w:highlight w:val="none"/>
          <w:lang w:val="en-US" w:eastAsia="zh-CN"/>
        </w:rPr>
      </w:pPr>
      <w:bookmarkStart w:id="82" w:name="_Toc31974"/>
      <w:r>
        <w:rPr>
          <w:rFonts w:hint="eastAsia" w:ascii="仿宋" w:eastAsia="仿宋"/>
          <w:color w:val="auto"/>
          <w:sz w:val="32"/>
          <w:szCs w:val="32"/>
          <w:highlight w:val="none"/>
          <w:lang w:val="en-US" w:eastAsia="zh-CN"/>
        </w:rPr>
        <w:t>根据预算绩效管理要求，本单位在2022年度预算编制阶段，组织对基本药物制度项目、基本公共卫生服务、新冠疫情防控项目及二类疫苗服务费共4个项目开展了预算事前绩效评估，对3个项目编制了绩效目标，预算执行过程中，选取1个项目开展绩效监控，年终执行完毕后，对3个项目开展了绩效自评，2022年部门预算项目绩效目标自评表见附件（第四部分）。</w:t>
      </w:r>
      <w:bookmarkEnd w:id="82"/>
    </w:p>
    <w:p w14:paraId="5271DA7C">
      <w:pPr>
        <w:spacing w:line="600" w:lineRule="exact"/>
        <w:ind w:firstLine="640"/>
        <w:rPr>
          <w:rFonts w:hint="eastAsia" w:ascii="仿宋" w:eastAsia="仿宋"/>
          <w:color w:val="auto"/>
          <w:sz w:val="32"/>
          <w:szCs w:val="32"/>
          <w:highlight w:val="none"/>
          <w:lang w:val="en-US" w:eastAsia="zh-CN"/>
        </w:rPr>
      </w:pPr>
      <w:r>
        <w:rPr>
          <w:rFonts w:hint="eastAsia" w:ascii="仿宋" w:eastAsia="仿宋"/>
          <w:color w:val="auto"/>
          <w:sz w:val="32"/>
          <w:szCs w:val="32"/>
          <w:highlight w:val="none"/>
          <w:lang w:val="en-US" w:eastAsia="zh-CN"/>
        </w:rPr>
        <w:t>2.预算项目绩效评价</w:t>
      </w:r>
    </w:p>
    <w:p w14:paraId="3F9D5A40">
      <w:pPr>
        <w:spacing w:line="600" w:lineRule="exact"/>
        <w:ind w:firstLine="640"/>
        <w:rPr>
          <w:rFonts w:hint="eastAsia" w:ascii="仿宋" w:eastAsia="仿宋"/>
          <w:color w:val="auto"/>
          <w:sz w:val="32"/>
          <w:szCs w:val="32"/>
          <w:highlight w:val="none"/>
          <w:lang w:val="en-US" w:eastAsia="zh-CN"/>
        </w:rPr>
      </w:pPr>
      <w:r>
        <w:rPr>
          <w:rFonts w:hint="eastAsia" w:ascii="仿宋" w:eastAsia="仿宋"/>
          <w:color w:val="auto"/>
          <w:sz w:val="32"/>
          <w:szCs w:val="32"/>
          <w:highlight w:val="none"/>
          <w:lang w:val="en-US" w:eastAsia="zh-CN"/>
        </w:rPr>
        <w:t>基本公共卫生服务项目绩效目标完成情况综述。</w:t>
      </w:r>
    </w:p>
    <w:p w14:paraId="51B3E406">
      <w:pPr>
        <w:spacing w:line="600" w:lineRule="exact"/>
        <w:ind w:firstLine="640"/>
        <w:rPr>
          <w:rFonts w:hint="eastAsia" w:ascii="仿宋" w:eastAsia="仿宋"/>
          <w:color w:val="auto"/>
          <w:sz w:val="32"/>
          <w:szCs w:val="32"/>
          <w:highlight w:val="none"/>
          <w:lang w:val="en-US" w:eastAsia="zh-CN"/>
        </w:rPr>
      </w:pPr>
      <w:r>
        <w:rPr>
          <w:rFonts w:hint="eastAsia" w:ascii="仿宋" w:eastAsia="仿宋"/>
          <w:color w:val="auto"/>
          <w:sz w:val="32"/>
          <w:szCs w:val="32"/>
          <w:highlight w:val="none"/>
          <w:lang w:val="en-US" w:eastAsia="zh-CN"/>
        </w:rPr>
        <w:t>（1）居民健康档案管理</w:t>
      </w:r>
    </w:p>
    <w:p w14:paraId="5C186948">
      <w:pPr>
        <w:spacing w:line="600" w:lineRule="exact"/>
        <w:ind w:firstLine="640"/>
        <w:rPr>
          <w:rFonts w:hint="eastAsia" w:ascii="仿宋" w:eastAsia="仿宋"/>
          <w:color w:val="auto"/>
          <w:sz w:val="32"/>
          <w:szCs w:val="32"/>
          <w:highlight w:val="none"/>
          <w:lang w:val="en-US" w:eastAsia="zh-CN"/>
        </w:rPr>
      </w:pPr>
      <w:r>
        <w:rPr>
          <w:rFonts w:hint="eastAsia" w:ascii="仿宋" w:eastAsia="仿宋"/>
          <w:color w:val="auto"/>
          <w:sz w:val="32"/>
          <w:szCs w:val="32"/>
          <w:highlight w:val="none"/>
          <w:lang w:val="en-US" w:eastAsia="zh-CN"/>
        </w:rPr>
        <w:t>2022年，昭化镇户籍人口共8250户，20947人（其中常住人口18748人，外出2199人），全镇共建立居民健康档案20942份，规范化健康管理18748份，有动态记录档案14075份,其中高血压病管理档案1557份，规范化管理1418份；糖尿病管理档案318份，规范化管理293份；0-6岁儿童保健管理档1704份；孕产妇全年管理档案173份；严重精神障碍患者管理档案158份；老年人管理档案3798份。截至目前，健康档案建档率达到100%，规范管理率达67%。</w:t>
      </w:r>
    </w:p>
    <w:p w14:paraId="5A145FBD">
      <w:pPr>
        <w:spacing w:line="600" w:lineRule="exact"/>
        <w:ind w:firstLine="640"/>
        <w:rPr>
          <w:rFonts w:hint="eastAsia" w:ascii="仿宋" w:eastAsia="仿宋"/>
          <w:color w:val="auto"/>
          <w:sz w:val="32"/>
          <w:szCs w:val="32"/>
          <w:highlight w:val="none"/>
          <w:lang w:val="en-US" w:eastAsia="zh-CN"/>
        </w:rPr>
      </w:pPr>
      <w:r>
        <w:rPr>
          <w:rFonts w:hint="eastAsia" w:ascii="仿宋" w:eastAsia="仿宋"/>
          <w:color w:val="auto"/>
          <w:sz w:val="32"/>
          <w:szCs w:val="32"/>
          <w:highlight w:val="none"/>
          <w:lang w:val="en-US" w:eastAsia="zh-CN"/>
        </w:rPr>
        <w:t>（2）健康教育</w:t>
      </w:r>
    </w:p>
    <w:p w14:paraId="4D32C916">
      <w:pPr>
        <w:spacing w:line="600" w:lineRule="exact"/>
        <w:ind w:firstLine="640"/>
        <w:rPr>
          <w:rFonts w:hint="eastAsia" w:ascii="仿宋" w:eastAsia="仿宋"/>
          <w:color w:val="auto"/>
          <w:sz w:val="32"/>
          <w:szCs w:val="32"/>
          <w:highlight w:val="none"/>
          <w:lang w:val="en-US" w:eastAsia="zh-CN"/>
        </w:rPr>
      </w:pPr>
      <w:r>
        <w:rPr>
          <w:rFonts w:hint="eastAsia" w:ascii="仿宋" w:eastAsia="仿宋"/>
          <w:color w:val="auto"/>
          <w:sz w:val="32"/>
          <w:szCs w:val="32"/>
          <w:highlight w:val="none"/>
          <w:lang w:val="en-US" w:eastAsia="zh-CN"/>
        </w:rPr>
        <w:t>2022年，共印刷健康教育资料50种，音像播放资料12种，全镇设置健康宣传栏14个，更新69次；在各村社、社区、单位共举办各类健康教育知识讲座42场，全年参加人数累计1350人，在古城游客中心、街道、市场、学校、人口聚集地进行健康宣传教育咨询活动12余次，全年参加人数累计1100人，影像播放8次，全年累计播放24小时，共发放宣传资料10000余份，使辖区老百姓健康意识、科普知识持续提升。</w:t>
      </w:r>
    </w:p>
    <w:p w14:paraId="37BFAC10">
      <w:pPr>
        <w:spacing w:line="600" w:lineRule="exact"/>
        <w:ind w:firstLine="640"/>
        <w:rPr>
          <w:rFonts w:hint="eastAsia" w:ascii="仿宋" w:eastAsia="仿宋"/>
          <w:color w:val="auto"/>
          <w:sz w:val="32"/>
          <w:szCs w:val="32"/>
          <w:highlight w:val="none"/>
          <w:lang w:val="en-US" w:eastAsia="zh-CN"/>
        </w:rPr>
      </w:pPr>
      <w:r>
        <w:rPr>
          <w:rFonts w:hint="eastAsia" w:ascii="仿宋" w:eastAsia="仿宋"/>
          <w:color w:val="auto"/>
          <w:sz w:val="32"/>
          <w:szCs w:val="32"/>
          <w:highlight w:val="none"/>
          <w:lang w:val="en-US" w:eastAsia="zh-CN"/>
        </w:rPr>
        <w:t>（3）计划免疫</w:t>
      </w:r>
    </w:p>
    <w:p w14:paraId="3A4FC3BC">
      <w:pPr>
        <w:spacing w:line="600" w:lineRule="exact"/>
        <w:ind w:firstLine="640"/>
        <w:rPr>
          <w:rFonts w:hint="eastAsia" w:ascii="仿宋" w:eastAsia="仿宋"/>
          <w:color w:val="auto"/>
          <w:sz w:val="32"/>
          <w:szCs w:val="32"/>
          <w:highlight w:val="none"/>
          <w:lang w:val="en-US" w:eastAsia="zh-CN"/>
        </w:rPr>
      </w:pPr>
      <w:r>
        <w:rPr>
          <w:rFonts w:hint="eastAsia" w:ascii="仿宋" w:eastAsia="仿宋"/>
          <w:color w:val="auto"/>
          <w:sz w:val="32"/>
          <w:szCs w:val="32"/>
          <w:highlight w:val="none"/>
          <w:lang w:val="en-US" w:eastAsia="zh-CN"/>
        </w:rPr>
        <w:t>截止9月30日，为适龄儿童免费接种乙肝疫苗、卡介苗、脊灰疫苗、百白破疫苗、麻疹类疫苗（麻风、麻腮风）、甲肝疫苗、流脑疫苗、乙脑疫苗、百白破二联等国家免疫规划疫苗，目前辖区内已建立预防接种证1658人（其中新增173人），全年本地应接种一类疫苗3358针次，实接种3358针次；共接种二类疫苗1455针次；新冠疫苗接种6147人次；接种过程中，均无异常反应发生，对辖区内计划免疫疫苗预防疾病进行主动监测，本年度无相关传染病发生。</w:t>
      </w:r>
    </w:p>
    <w:p w14:paraId="4FAC23A3">
      <w:pPr>
        <w:spacing w:line="600" w:lineRule="exact"/>
        <w:ind w:firstLine="640"/>
        <w:rPr>
          <w:rFonts w:hint="eastAsia" w:ascii="仿宋" w:eastAsia="仿宋"/>
          <w:color w:val="auto"/>
          <w:sz w:val="32"/>
          <w:szCs w:val="32"/>
          <w:highlight w:val="none"/>
          <w:lang w:val="en-US" w:eastAsia="zh-CN"/>
        </w:rPr>
      </w:pPr>
      <w:r>
        <w:rPr>
          <w:rFonts w:hint="eastAsia" w:ascii="仿宋" w:eastAsia="仿宋"/>
          <w:color w:val="auto"/>
          <w:sz w:val="32"/>
          <w:szCs w:val="32"/>
          <w:highlight w:val="none"/>
          <w:lang w:val="en-US" w:eastAsia="zh-CN"/>
        </w:rPr>
        <w:t>（4）儿童保健管理</w:t>
      </w:r>
    </w:p>
    <w:p w14:paraId="49FF20C6">
      <w:pPr>
        <w:spacing w:line="600" w:lineRule="exact"/>
        <w:ind w:firstLine="640"/>
        <w:rPr>
          <w:rFonts w:hint="eastAsia" w:ascii="仿宋" w:eastAsia="仿宋"/>
          <w:color w:val="auto"/>
          <w:sz w:val="32"/>
          <w:szCs w:val="32"/>
          <w:highlight w:val="none"/>
          <w:lang w:val="en-US" w:eastAsia="zh-CN"/>
        </w:rPr>
      </w:pPr>
      <w:r>
        <w:rPr>
          <w:rFonts w:hint="eastAsia" w:ascii="仿宋" w:eastAsia="仿宋"/>
          <w:color w:val="auto"/>
          <w:sz w:val="32"/>
          <w:szCs w:val="32"/>
          <w:highlight w:val="none"/>
          <w:lang w:val="en-US" w:eastAsia="zh-CN"/>
        </w:rPr>
        <w:t>截止9月底，辖区内0-6岁儿童在管1704人，规范化管理1704人。其中3岁以上6岁以内1098人，3岁以内606人。3岁以内中医药健康管理606人。</w:t>
      </w:r>
    </w:p>
    <w:p w14:paraId="5C0E3652">
      <w:pPr>
        <w:spacing w:line="600" w:lineRule="exact"/>
        <w:ind w:firstLine="640"/>
        <w:rPr>
          <w:rFonts w:hint="eastAsia" w:ascii="仿宋" w:eastAsia="仿宋"/>
          <w:color w:val="auto"/>
          <w:sz w:val="32"/>
          <w:szCs w:val="32"/>
          <w:highlight w:val="none"/>
          <w:lang w:val="en-US" w:eastAsia="zh-CN"/>
        </w:rPr>
      </w:pPr>
      <w:r>
        <w:rPr>
          <w:rFonts w:hint="eastAsia" w:ascii="仿宋" w:eastAsia="仿宋"/>
          <w:color w:val="auto"/>
          <w:sz w:val="32"/>
          <w:szCs w:val="32"/>
          <w:highlight w:val="none"/>
          <w:lang w:val="en-US" w:eastAsia="zh-CN"/>
        </w:rPr>
        <w:t>（5）孕产妇管理</w:t>
      </w:r>
    </w:p>
    <w:p w14:paraId="3AADE27A">
      <w:pPr>
        <w:spacing w:line="600" w:lineRule="exact"/>
        <w:ind w:firstLine="640"/>
        <w:rPr>
          <w:rFonts w:hint="eastAsia" w:ascii="仿宋" w:eastAsia="仿宋"/>
          <w:color w:val="auto"/>
          <w:sz w:val="32"/>
          <w:szCs w:val="32"/>
          <w:highlight w:val="none"/>
          <w:lang w:val="en-US" w:eastAsia="zh-CN"/>
        </w:rPr>
      </w:pPr>
      <w:r>
        <w:rPr>
          <w:rFonts w:hint="eastAsia" w:ascii="仿宋" w:eastAsia="仿宋"/>
          <w:color w:val="auto"/>
          <w:sz w:val="32"/>
          <w:szCs w:val="32"/>
          <w:highlight w:val="none"/>
          <w:lang w:val="en-US" w:eastAsia="zh-CN"/>
        </w:rPr>
        <w:t>昭化镇全年孕产妇总数为173人，其中早孕建卡173人，建卡率为100%；孕产妇系统管理173人，住院分娩173人，住院分娩率100%，产后通过家庭、视频电话等方式访视173人次，访视率为100%；母乳喂养173人，喂养率为100%；免费发放叶酸239人份。</w:t>
      </w:r>
    </w:p>
    <w:p w14:paraId="78FD695A">
      <w:pPr>
        <w:spacing w:line="600" w:lineRule="exact"/>
        <w:ind w:firstLine="640"/>
        <w:rPr>
          <w:rFonts w:hint="eastAsia" w:ascii="仿宋" w:eastAsia="仿宋"/>
          <w:color w:val="auto"/>
          <w:sz w:val="32"/>
          <w:szCs w:val="32"/>
          <w:highlight w:val="none"/>
          <w:lang w:val="en-US" w:eastAsia="zh-CN"/>
        </w:rPr>
      </w:pPr>
      <w:r>
        <w:rPr>
          <w:rFonts w:hint="eastAsia" w:ascii="仿宋" w:eastAsia="仿宋"/>
          <w:color w:val="auto"/>
          <w:sz w:val="32"/>
          <w:szCs w:val="32"/>
          <w:highlight w:val="none"/>
          <w:lang w:val="en-US" w:eastAsia="zh-CN"/>
        </w:rPr>
        <w:t>筛查出高危产妇70例；均进行了全程跟踪管理，使高危孕妇管理率和住院分娩率均达100%。</w:t>
      </w:r>
    </w:p>
    <w:p w14:paraId="16A885E4">
      <w:pPr>
        <w:spacing w:line="600" w:lineRule="exact"/>
        <w:ind w:firstLine="640"/>
        <w:rPr>
          <w:rFonts w:hint="eastAsia" w:ascii="仿宋" w:eastAsia="仿宋"/>
          <w:color w:val="auto"/>
          <w:sz w:val="32"/>
          <w:szCs w:val="32"/>
          <w:highlight w:val="none"/>
          <w:lang w:val="en-US" w:eastAsia="zh-CN"/>
        </w:rPr>
      </w:pPr>
      <w:r>
        <w:rPr>
          <w:rFonts w:hint="eastAsia" w:ascii="仿宋" w:eastAsia="仿宋"/>
          <w:color w:val="auto"/>
          <w:sz w:val="32"/>
          <w:szCs w:val="32"/>
          <w:highlight w:val="none"/>
          <w:lang w:val="en-US" w:eastAsia="zh-CN"/>
        </w:rPr>
        <w:t>全镇孕产妇零死亡。</w:t>
      </w:r>
    </w:p>
    <w:p w14:paraId="55DAB230">
      <w:pPr>
        <w:spacing w:line="600" w:lineRule="exact"/>
        <w:ind w:firstLine="640"/>
        <w:rPr>
          <w:rFonts w:hint="eastAsia" w:ascii="仿宋" w:eastAsia="仿宋"/>
          <w:color w:val="auto"/>
          <w:sz w:val="32"/>
          <w:szCs w:val="32"/>
          <w:highlight w:val="none"/>
          <w:lang w:val="en-US" w:eastAsia="zh-CN"/>
        </w:rPr>
      </w:pPr>
      <w:r>
        <w:rPr>
          <w:rFonts w:hint="eastAsia" w:ascii="仿宋" w:eastAsia="仿宋"/>
          <w:color w:val="auto"/>
          <w:sz w:val="32"/>
          <w:szCs w:val="32"/>
          <w:highlight w:val="none"/>
          <w:lang w:val="en-US" w:eastAsia="zh-CN"/>
        </w:rPr>
        <w:t>（6）老年人保健</w:t>
      </w:r>
    </w:p>
    <w:p w14:paraId="5505BEBF">
      <w:pPr>
        <w:spacing w:line="600" w:lineRule="exact"/>
        <w:ind w:firstLine="640"/>
        <w:rPr>
          <w:rFonts w:hint="eastAsia" w:ascii="仿宋" w:eastAsia="仿宋"/>
          <w:color w:val="auto"/>
          <w:sz w:val="32"/>
          <w:szCs w:val="32"/>
          <w:highlight w:val="none"/>
          <w:lang w:val="en-US" w:eastAsia="zh-CN"/>
        </w:rPr>
      </w:pPr>
      <w:r>
        <w:rPr>
          <w:rFonts w:hint="eastAsia" w:ascii="仿宋" w:eastAsia="仿宋"/>
          <w:color w:val="auto"/>
          <w:sz w:val="32"/>
          <w:szCs w:val="32"/>
          <w:highlight w:val="none"/>
          <w:lang w:val="en-US" w:eastAsia="zh-CN"/>
        </w:rPr>
        <w:t>65岁以上老年人3798人，规范化管理2969人，中医药健康管理3071人，对2969名65周岁以上老年人进行了生活自理能力评估；免费为2969位老年人进行健康体检。体检除一般体格检查外，还积极开展血常规、尿常规、空腹血糖和B超等辅助检查。对查出的9名高血压、21名糖尿病纳入了慢性病规范管理，对查出的结石、占位性疾病等异常情况转诊到上级医疗单位进行确诊、治疗。</w:t>
      </w:r>
    </w:p>
    <w:p w14:paraId="1536FDC5">
      <w:pPr>
        <w:spacing w:line="600" w:lineRule="exact"/>
        <w:ind w:firstLine="640"/>
        <w:rPr>
          <w:rFonts w:hint="eastAsia" w:ascii="仿宋" w:eastAsia="仿宋"/>
          <w:color w:val="auto"/>
          <w:sz w:val="32"/>
          <w:szCs w:val="32"/>
          <w:highlight w:val="none"/>
          <w:lang w:val="en-US" w:eastAsia="zh-CN"/>
        </w:rPr>
      </w:pPr>
      <w:r>
        <w:rPr>
          <w:rFonts w:hint="eastAsia" w:ascii="仿宋" w:eastAsia="仿宋"/>
          <w:color w:val="auto"/>
          <w:sz w:val="32"/>
          <w:szCs w:val="32"/>
          <w:highlight w:val="none"/>
          <w:lang w:val="en-US" w:eastAsia="zh-CN"/>
        </w:rPr>
        <w:t>（7）慢性病管理</w:t>
      </w:r>
    </w:p>
    <w:p w14:paraId="30C6419D">
      <w:pPr>
        <w:spacing w:line="600" w:lineRule="exact"/>
        <w:ind w:firstLine="640"/>
        <w:rPr>
          <w:rFonts w:hint="eastAsia" w:ascii="仿宋" w:eastAsia="仿宋"/>
          <w:color w:val="auto"/>
          <w:sz w:val="32"/>
          <w:szCs w:val="32"/>
          <w:highlight w:val="none"/>
          <w:lang w:val="en-US" w:eastAsia="zh-CN"/>
        </w:rPr>
      </w:pPr>
      <w:r>
        <w:rPr>
          <w:rFonts w:hint="eastAsia" w:ascii="仿宋" w:eastAsia="仿宋"/>
          <w:color w:val="auto"/>
          <w:sz w:val="32"/>
          <w:szCs w:val="32"/>
          <w:highlight w:val="none"/>
          <w:lang w:val="en-US" w:eastAsia="zh-CN"/>
        </w:rPr>
        <w:t>慢性病管理，主要针对高血压、糖尿病等慢性病高危人群进行健康指导。对35岁以上人群实行门诊首诊测血压。对确诊高血压和糖尿病的患者提供随机血糖监测，并针对辖区慢性病人群开展连续科学的健康评估、干预措施等，并对他们进行体格检查及用药、饮食、运动、心理等健康指导，辖区共管理高血压患者1557人、规范化管理1418人，体检1657人次，签约1557人；糖尿病患者318人，规范管理293人，体检327人次，签约318人.并按照规范对高血压、糖尿病患者进行了随访。</w:t>
      </w:r>
    </w:p>
    <w:p w14:paraId="4674108D">
      <w:pPr>
        <w:spacing w:line="600" w:lineRule="exact"/>
        <w:ind w:firstLine="640"/>
        <w:rPr>
          <w:rFonts w:hint="eastAsia" w:ascii="仿宋" w:eastAsia="仿宋"/>
          <w:color w:val="auto"/>
          <w:sz w:val="32"/>
          <w:szCs w:val="32"/>
          <w:highlight w:val="none"/>
          <w:lang w:val="en-US" w:eastAsia="zh-CN"/>
        </w:rPr>
      </w:pPr>
      <w:r>
        <w:rPr>
          <w:rFonts w:hint="eastAsia" w:ascii="仿宋" w:eastAsia="仿宋"/>
          <w:color w:val="auto"/>
          <w:sz w:val="32"/>
          <w:szCs w:val="32"/>
          <w:highlight w:val="none"/>
          <w:lang w:val="en-US" w:eastAsia="zh-CN"/>
        </w:rPr>
        <w:t>（8）严重精神障碍患者管理</w:t>
      </w:r>
    </w:p>
    <w:p w14:paraId="0388B9ED">
      <w:pPr>
        <w:spacing w:line="600" w:lineRule="exact"/>
        <w:ind w:firstLine="640"/>
        <w:rPr>
          <w:rFonts w:hint="eastAsia" w:ascii="仿宋" w:eastAsia="仿宋"/>
          <w:color w:val="auto"/>
          <w:sz w:val="32"/>
          <w:szCs w:val="32"/>
          <w:highlight w:val="none"/>
          <w:lang w:val="en-US" w:eastAsia="zh-CN"/>
        </w:rPr>
      </w:pPr>
      <w:r>
        <w:rPr>
          <w:rFonts w:hint="eastAsia" w:ascii="仿宋" w:eastAsia="仿宋"/>
          <w:color w:val="auto"/>
          <w:sz w:val="32"/>
          <w:szCs w:val="32"/>
          <w:highlight w:val="none"/>
          <w:lang w:val="en-US" w:eastAsia="zh-CN"/>
        </w:rPr>
        <w:t>调整了严重精神障碍领导小组，对我镇严重精神障碍患者进一步排查、摸底，掌握严重精神障碍患者复发、住院、迁出、死亡、走失等情况。并对辖区内已确诊的157例严重精神障碍患者进行随访管理，并于今年8月份开始通过集中和入户方式免费对辖区患者进行了免费体检。</w:t>
      </w:r>
    </w:p>
    <w:p w14:paraId="77404334">
      <w:pPr>
        <w:spacing w:line="600" w:lineRule="exact"/>
        <w:ind w:firstLine="640"/>
        <w:rPr>
          <w:rFonts w:hint="eastAsia" w:ascii="仿宋" w:eastAsia="仿宋"/>
          <w:color w:val="auto"/>
          <w:sz w:val="32"/>
          <w:szCs w:val="32"/>
          <w:highlight w:val="none"/>
          <w:lang w:val="en-US" w:eastAsia="zh-CN"/>
        </w:rPr>
      </w:pPr>
      <w:r>
        <w:rPr>
          <w:rFonts w:hint="eastAsia" w:ascii="仿宋" w:eastAsia="仿宋"/>
          <w:color w:val="auto"/>
          <w:sz w:val="32"/>
          <w:szCs w:val="32"/>
          <w:highlight w:val="none"/>
          <w:lang w:val="en-US" w:eastAsia="zh-CN"/>
        </w:rPr>
        <w:t>（9）传染病及突发公共卫生事件报告和处理</w:t>
      </w:r>
    </w:p>
    <w:p w14:paraId="0E5A69B9">
      <w:pPr>
        <w:spacing w:line="600" w:lineRule="exact"/>
        <w:ind w:firstLine="640"/>
        <w:rPr>
          <w:rFonts w:hint="eastAsia" w:ascii="仿宋" w:eastAsia="仿宋"/>
          <w:color w:val="auto"/>
          <w:sz w:val="32"/>
          <w:szCs w:val="32"/>
          <w:highlight w:val="none"/>
          <w:lang w:val="en-US" w:eastAsia="zh-CN"/>
        </w:rPr>
      </w:pPr>
      <w:r>
        <w:rPr>
          <w:rFonts w:hint="eastAsia" w:ascii="仿宋" w:eastAsia="仿宋"/>
          <w:color w:val="auto"/>
          <w:sz w:val="32"/>
          <w:szCs w:val="32"/>
          <w:highlight w:val="none"/>
          <w:lang w:val="en-US" w:eastAsia="zh-CN"/>
        </w:rPr>
        <w:t>一是依据《中华人民共和国传染病防治法》、《传染病信息报告管理规范》以及《传染病报告与处理规范》要求，建立健全了传染病报告管理相关制度。二是分期对本单位医护人员进行传染病防治知识、技能的培训。三是采取多种形式对辖区居民进行传染病防治知识的宣传教育，提高了辖区居民传染病知识的知晓率。全年登记传染病1例，报告1例，传染病疫情报告率100%。无突发公共卫生事件发生。</w:t>
      </w:r>
    </w:p>
    <w:p w14:paraId="391A34D9">
      <w:pPr>
        <w:spacing w:line="600" w:lineRule="exact"/>
        <w:ind w:firstLine="640"/>
        <w:rPr>
          <w:rFonts w:hint="eastAsia" w:ascii="仿宋" w:eastAsia="仿宋"/>
          <w:color w:val="auto"/>
          <w:sz w:val="32"/>
          <w:szCs w:val="32"/>
          <w:highlight w:val="none"/>
          <w:lang w:val="en-US" w:eastAsia="zh-CN"/>
        </w:rPr>
      </w:pPr>
      <w:r>
        <w:rPr>
          <w:rFonts w:hint="eastAsia" w:ascii="仿宋" w:eastAsia="仿宋"/>
          <w:color w:val="auto"/>
          <w:sz w:val="32"/>
          <w:szCs w:val="32"/>
          <w:highlight w:val="none"/>
          <w:lang w:val="en-US" w:eastAsia="zh-CN"/>
        </w:rPr>
        <w:t>（10）发热门诊登记、死因管理</w:t>
      </w:r>
    </w:p>
    <w:p w14:paraId="1A8196F2">
      <w:pPr>
        <w:spacing w:line="600" w:lineRule="exact"/>
        <w:ind w:firstLine="640"/>
        <w:rPr>
          <w:rFonts w:hint="eastAsia" w:ascii="仿宋" w:eastAsia="仿宋"/>
          <w:color w:val="auto"/>
          <w:sz w:val="32"/>
          <w:szCs w:val="32"/>
          <w:highlight w:val="none"/>
          <w:lang w:val="en-US" w:eastAsia="zh-CN"/>
        </w:rPr>
      </w:pPr>
      <w:r>
        <w:rPr>
          <w:rFonts w:hint="eastAsia" w:ascii="仿宋" w:eastAsia="仿宋"/>
          <w:color w:val="auto"/>
          <w:sz w:val="32"/>
          <w:szCs w:val="32"/>
          <w:highlight w:val="none"/>
          <w:lang w:val="en-US" w:eastAsia="zh-CN"/>
        </w:rPr>
        <w:t>一年来，本辖区共报告发热门诊登记病例156例，报告死亡病例64例。</w:t>
      </w:r>
    </w:p>
    <w:p w14:paraId="6BF9D72D">
      <w:pPr>
        <w:spacing w:line="600" w:lineRule="exact"/>
        <w:ind w:firstLine="640"/>
        <w:rPr>
          <w:rFonts w:hint="eastAsia" w:ascii="仿宋" w:eastAsia="仿宋"/>
          <w:color w:val="auto"/>
          <w:sz w:val="32"/>
          <w:szCs w:val="32"/>
          <w:highlight w:val="none"/>
          <w:lang w:val="en-US" w:eastAsia="zh-CN"/>
        </w:rPr>
      </w:pPr>
      <w:r>
        <w:rPr>
          <w:rFonts w:hint="eastAsia" w:ascii="仿宋" w:eastAsia="仿宋"/>
          <w:color w:val="auto"/>
          <w:sz w:val="32"/>
          <w:szCs w:val="32"/>
          <w:highlight w:val="none"/>
          <w:lang w:val="en-US" w:eastAsia="zh-CN"/>
        </w:rPr>
        <w:t>（11）卫生监督协管工作</w:t>
      </w:r>
    </w:p>
    <w:p w14:paraId="779347B3">
      <w:pPr>
        <w:spacing w:line="600" w:lineRule="exact"/>
        <w:ind w:firstLine="640"/>
        <w:rPr>
          <w:rFonts w:hint="eastAsia" w:ascii="仿宋" w:eastAsia="仿宋"/>
          <w:color w:val="auto"/>
          <w:sz w:val="32"/>
          <w:szCs w:val="32"/>
          <w:highlight w:val="none"/>
          <w:lang w:val="en-US" w:eastAsia="zh-CN"/>
        </w:rPr>
      </w:pPr>
      <w:r>
        <w:rPr>
          <w:rFonts w:hint="eastAsia" w:ascii="仿宋" w:eastAsia="仿宋"/>
          <w:color w:val="auto"/>
          <w:sz w:val="32"/>
          <w:szCs w:val="32"/>
          <w:highlight w:val="none"/>
          <w:lang w:val="en-US" w:eastAsia="zh-CN"/>
        </w:rPr>
        <w:t>在院领导下认真贯彻落实上级有关文件精神，紧紧围绕以保证人民群众食品安全、学校卫生、公共场所卫生、非法行医等工作出发点，根据上级文件精神认真对中心学校开展传染病防治、健康教育、突发公共卫生事件应急预案处置，到各村巡查非法行医，排查公共场所单位和个人；全年开展巡查12次，各项工作取得了显著成绩，切实保障了人民群众身体健康和生命安全。</w:t>
      </w:r>
    </w:p>
    <w:p w14:paraId="7F18C455">
      <w:pPr>
        <w:spacing w:line="600" w:lineRule="exact"/>
        <w:ind w:firstLine="640"/>
        <w:rPr>
          <w:rFonts w:hint="eastAsia" w:ascii="仿宋" w:eastAsia="仿宋"/>
          <w:color w:val="auto"/>
          <w:sz w:val="32"/>
          <w:szCs w:val="32"/>
          <w:highlight w:val="none"/>
          <w:lang w:val="en-US" w:eastAsia="zh-CN"/>
        </w:rPr>
      </w:pPr>
      <w:r>
        <w:rPr>
          <w:rFonts w:hint="eastAsia" w:ascii="仿宋" w:eastAsia="仿宋"/>
          <w:color w:val="auto"/>
          <w:sz w:val="32"/>
          <w:szCs w:val="32"/>
          <w:highlight w:val="none"/>
          <w:lang w:val="en-US" w:eastAsia="zh-CN"/>
        </w:rPr>
        <w:t>（12）中医药健康管理</w:t>
      </w:r>
    </w:p>
    <w:p w14:paraId="34D85575">
      <w:pPr>
        <w:spacing w:line="600" w:lineRule="exact"/>
        <w:ind w:firstLine="640"/>
        <w:rPr>
          <w:rFonts w:hint="eastAsia" w:ascii="仿宋" w:eastAsia="仿宋"/>
          <w:color w:val="auto"/>
          <w:sz w:val="32"/>
          <w:szCs w:val="32"/>
          <w:highlight w:val="none"/>
          <w:lang w:val="en-US" w:eastAsia="zh-CN"/>
        </w:rPr>
      </w:pPr>
      <w:r>
        <w:rPr>
          <w:rFonts w:hint="eastAsia" w:ascii="仿宋" w:eastAsia="仿宋"/>
          <w:color w:val="auto"/>
          <w:sz w:val="32"/>
          <w:szCs w:val="32"/>
          <w:highlight w:val="none"/>
          <w:lang w:val="en-US" w:eastAsia="zh-CN"/>
        </w:rPr>
        <w:t>辖区65岁以上老年人3798人，接受中医药健康管理服3071人，中医药健康管理率80%，0-36个月儿童606人，接受中医药健康管理服务606 人，中医药健康管理率100%。</w:t>
      </w:r>
    </w:p>
    <w:p w14:paraId="2E419F14">
      <w:pPr>
        <w:spacing w:line="600" w:lineRule="exact"/>
        <w:ind w:firstLine="640"/>
        <w:rPr>
          <w:rFonts w:hint="eastAsia" w:ascii="仿宋" w:eastAsia="仿宋"/>
          <w:color w:val="auto"/>
          <w:sz w:val="32"/>
          <w:szCs w:val="32"/>
          <w:highlight w:val="none"/>
          <w:lang w:val="en-US" w:eastAsia="zh-CN"/>
        </w:rPr>
      </w:pPr>
      <w:r>
        <w:rPr>
          <w:rFonts w:hint="eastAsia" w:ascii="仿宋" w:eastAsia="仿宋"/>
          <w:color w:val="auto"/>
          <w:sz w:val="32"/>
          <w:szCs w:val="32"/>
          <w:highlight w:val="none"/>
          <w:lang w:val="en-US" w:eastAsia="zh-CN"/>
        </w:rPr>
        <w:t>（13）结核病健康管理</w:t>
      </w:r>
    </w:p>
    <w:p w14:paraId="7AF14E9F">
      <w:pPr>
        <w:spacing w:line="600" w:lineRule="exact"/>
        <w:ind w:firstLine="640"/>
        <w:rPr>
          <w:rFonts w:hint="eastAsia" w:ascii="仿宋" w:eastAsia="仿宋"/>
          <w:color w:val="auto"/>
          <w:sz w:val="32"/>
          <w:szCs w:val="32"/>
          <w:highlight w:val="none"/>
          <w:lang w:val="en-US" w:eastAsia="zh-CN"/>
        </w:rPr>
      </w:pPr>
      <w:r>
        <w:rPr>
          <w:rFonts w:hint="eastAsia" w:ascii="仿宋" w:eastAsia="仿宋"/>
          <w:color w:val="auto"/>
          <w:sz w:val="32"/>
          <w:szCs w:val="32"/>
          <w:highlight w:val="none"/>
          <w:lang w:val="en-US" w:eastAsia="zh-CN"/>
        </w:rPr>
        <w:t>全年发现结核病患者3例，管理3例，管理率100%（已结案2例，目前在管1例），发现疑似结核病0例，转诊0例。</w:t>
      </w:r>
    </w:p>
    <w:p w14:paraId="37B7DAA3">
      <w:pPr>
        <w:spacing w:line="600" w:lineRule="exact"/>
        <w:ind w:firstLine="640"/>
        <w:rPr>
          <w:rFonts w:hint="eastAsia" w:ascii="仿宋" w:eastAsia="仿宋"/>
          <w:color w:val="auto"/>
          <w:sz w:val="32"/>
          <w:szCs w:val="32"/>
          <w:highlight w:val="none"/>
          <w:lang w:val="en-US" w:eastAsia="zh-CN"/>
        </w:rPr>
      </w:pPr>
      <w:r>
        <w:rPr>
          <w:rFonts w:hint="eastAsia" w:ascii="仿宋" w:eastAsia="仿宋"/>
          <w:color w:val="auto"/>
          <w:sz w:val="32"/>
          <w:szCs w:val="32"/>
          <w:highlight w:val="none"/>
          <w:lang w:val="en-US" w:eastAsia="zh-CN"/>
        </w:rPr>
        <w:t>（14）责任医生签约服务</w:t>
      </w:r>
    </w:p>
    <w:p w14:paraId="2AA082D7">
      <w:pPr>
        <w:spacing w:line="600" w:lineRule="exact"/>
        <w:ind w:firstLine="640"/>
        <w:rPr>
          <w:rFonts w:hint="eastAsia" w:ascii="仿宋" w:eastAsia="仿宋"/>
          <w:color w:val="auto"/>
          <w:sz w:val="32"/>
          <w:szCs w:val="32"/>
          <w:highlight w:val="none"/>
          <w:lang w:val="en-US" w:eastAsia="zh-CN"/>
        </w:rPr>
      </w:pPr>
      <w:r>
        <w:rPr>
          <w:rFonts w:hint="eastAsia" w:ascii="仿宋" w:eastAsia="仿宋"/>
          <w:color w:val="auto"/>
          <w:sz w:val="32"/>
          <w:szCs w:val="32"/>
          <w:highlight w:val="none"/>
          <w:lang w:val="en-US" w:eastAsia="zh-CN"/>
        </w:rPr>
        <w:t>调整了全科医生签约服务工作领导小组，制定责任医生签约实施方案，成立签约服务团队12个，截至9月底，全镇共建居民健康档案20492，实际规范签约18748人，签约率达91%。</w:t>
      </w:r>
    </w:p>
    <w:p w14:paraId="38053724">
      <w:pPr>
        <w:spacing w:line="600" w:lineRule="exact"/>
        <w:ind w:firstLine="640"/>
        <w:rPr>
          <w:rFonts w:hint="eastAsia" w:ascii="仿宋" w:eastAsia="仿宋"/>
          <w:color w:val="auto"/>
          <w:sz w:val="32"/>
          <w:szCs w:val="32"/>
          <w:highlight w:val="none"/>
          <w:lang w:val="en-US" w:eastAsia="zh-CN"/>
        </w:rPr>
      </w:pPr>
      <w:r>
        <w:rPr>
          <w:rFonts w:hint="eastAsia" w:ascii="仿宋" w:eastAsia="仿宋"/>
          <w:color w:val="auto"/>
          <w:sz w:val="32"/>
          <w:szCs w:val="32"/>
          <w:highlight w:val="none"/>
          <w:lang w:val="en-US" w:eastAsia="zh-CN"/>
        </w:rPr>
        <w:t>两病健康管理。全镇共管理慢性阻患者85人，类风湿患者60人，并于今年8月至9月对他们进行了免费体检。</w:t>
      </w:r>
    </w:p>
    <w:p w14:paraId="2B77FB78">
      <w:pPr>
        <w:spacing w:line="600" w:lineRule="exact"/>
        <w:ind w:firstLine="640"/>
        <w:rPr>
          <w:rFonts w:hint="eastAsia" w:ascii="仿宋" w:eastAsia="仿宋"/>
          <w:color w:val="auto"/>
          <w:sz w:val="32"/>
          <w:szCs w:val="32"/>
          <w:highlight w:val="none"/>
          <w:lang w:val="en-US" w:eastAsia="zh-CN"/>
        </w:rPr>
      </w:pPr>
      <w:r>
        <w:rPr>
          <w:rFonts w:hint="eastAsia" w:ascii="仿宋" w:eastAsia="仿宋"/>
          <w:color w:val="auto"/>
          <w:sz w:val="32"/>
          <w:szCs w:val="32"/>
          <w:highlight w:val="none"/>
          <w:lang w:val="en-US" w:eastAsia="zh-CN"/>
        </w:rPr>
        <w:t>基本药物制度项目完成情况综述。村卫生室国家基本药物制度覆盖率100%，政府办基层医疗卫生机构</w:t>
      </w:r>
      <w:bookmarkStart w:id="116" w:name="_GoBack"/>
      <w:bookmarkEnd w:id="116"/>
      <w:r>
        <w:rPr>
          <w:rFonts w:hint="eastAsia" w:ascii="仿宋" w:eastAsia="仿宋"/>
          <w:color w:val="auto"/>
          <w:sz w:val="32"/>
          <w:szCs w:val="32"/>
          <w:highlight w:val="none"/>
          <w:lang w:val="en-US" w:eastAsia="zh-CN"/>
        </w:rPr>
        <w:t>基本药物制度覆盖率100%，2022年5个村卫生室全面实施国家基本药物制度，确保基本药物制度的实施，保障药品安全、有效、经济，解决了老百姓看病贵的问题，稳定了乡村医生的收入。</w:t>
      </w:r>
    </w:p>
    <w:p w14:paraId="5D3EF5D3">
      <w:pPr>
        <w:spacing w:line="600" w:lineRule="exact"/>
        <w:ind w:firstLine="640"/>
        <w:rPr>
          <w:rFonts w:hint="eastAsia" w:ascii="仿宋" w:eastAsia="仿宋"/>
          <w:color w:val="auto"/>
          <w:sz w:val="32"/>
          <w:szCs w:val="32"/>
          <w:highlight w:val="none"/>
          <w:lang w:val="en-US" w:eastAsia="zh-CN"/>
        </w:rPr>
      </w:pPr>
      <w:r>
        <w:rPr>
          <w:rFonts w:hint="eastAsia" w:ascii="仿宋" w:eastAsia="仿宋"/>
          <w:color w:val="auto"/>
          <w:sz w:val="32"/>
          <w:szCs w:val="32"/>
          <w:highlight w:val="none"/>
          <w:lang w:val="en-US" w:eastAsia="zh-CN"/>
        </w:rPr>
        <w:t>二类疫苗服务费项目完成情况综述。按照《四川省发展和改革委员会四川省财政厅关于疫苗预防接种服务收费标准及有关问题的通知》（川发改价格〔2020〕640号）文件精神，二类疫苗接种服务费收入全额上缴国库，纳入财政预算管理。我单位建立健全非免疫规划疫苗管理制度，明确行业系统内部管理职责和程序，完善期间成本资料，减少非必要成本支出，整合现有资源降低接种服务成本。同时，要加强对疫苗接种管理，确保非免疫规划疫苗接种工作的顺利开展，有效维护公共卫生安全。</w:t>
      </w:r>
    </w:p>
    <w:p w14:paraId="1289F5F2">
      <w:pPr>
        <w:spacing w:line="600" w:lineRule="exact"/>
        <w:ind w:firstLine="640"/>
        <w:rPr>
          <w:rFonts w:hint="eastAsia" w:ascii="仿宋" w:eastAsia="仿宋"/>
          <w:color w:val="auto"/>
          <w:sz w:val="32"/>
          <w:szCs w:val="32"/>
          <w:highlight w:val="none"/>
          <w:lang w:val="en-US" w:eastAsia="zh-CN"/>
        </w:rPr>
      </w:pPr>
      <w:r>
        <w:rPr>
          <w:rFonts w:hint="eastAsia" w:ascii="仿宋" w:eastAsia="仿宋"/>
          <w:color w:val="auto"/>
          <w:sz w:val="32"/>
          <w:szCs w:val="32"/>
          <w:highlight w:val="none"/>
          <w:lang w:val="en-US" w:eastAsia="zh-CN"/>
        </w:rPr>
        <w:t>3.单位整体支出绩效自评开展情况。</w:t>
      </w:r>
    </w:p>
    <w:p w14:paraId="42F8D7B4">
      <w:pPr>
        <w:spacing w:line="600" w:lineRule="exact"/>
        <w:ind w:firstLine="640"/>
        <w:rPr>
          <w:rFonts w:hint="eastAsia" w:ascii="仿宋_GB2312" w:eastAsia="仿宋_GB2312"/>
          <w:color w:val="auto"/>
          <w:sz w:val="32"/>
          <w:szCs w:val="32"/>
          <w:highlight w:val="none"/>
          <w:lang w:val="en-US" w:eastAsia="zh-CN"/>
        </w:rPr>
      </w:pPr>
      <w:r>
        <w:rPr>
          <w:rFonts w:hint="eastAsia" w:ascii="仿宋" w:eastAsia="仿宋"/>
          <w:color w:val="auto"/>
          <w:sz w:val="32"/>
          <w:szCs w:val="32"/>
          <w:highlight w:val="none"/>
          <w:lang w:val="en-US" w:eastAsia="zh-CN"/>
        </w:rPr>
        <w:t>本单位按要求对2022年单位整体支出开展绩效自评，从评价情况来看预算支出未发现无预算、超预算支出，未发现虚列支出和预算科目间相互挤占问题，所有财政资金支出均履行了严格审批手续，未发现挤占、挪用、转移财政资金行为。基本支出严格执行国家有关政策及规定，无擅自扩大开支范围和提高开支标准，单位津补贴、奖金和福利均按照国家或地方的规定发放，项目支出均按照批准的项目和用途以及项目实施方案执行，无自行改变项目内容，扩大支出范围现象。无自行调整项目支出预算问题，所有项目支出均合理合规。未发现利用财政或自有资金对外借、贷款问题。本单位还自行组织了项目绩效评价，从评价情况来看我单位对项目资金加强使用管理，明确了项目内容、目标任务及工作措施。在实施过程中，经常召开专项会议，及时调度项目进度，研究解决项目工作中的具体问题，并根据专项资金文件规定的申报、审核、支付、管理流程，基本按照相关文件的规定审核支付资金，资金的支付范围、支付标准基本合规合法，支付依据充分，做到了专款专用。</w:t>
      </w:r>
    </w:p>
    <w:p w14:paraId="1D84D8BB">
      <w:pPr>
        <w:pStyle w:val="14"/>
        <w:keepNext w:val="0"/>
        <w:keepLines w:val="0"/>
        <w:widowControl/>
        <w:suppressLineNumbers w:val="0"/>
        <w:spacing w:before="0" w:beforeAutospacing="0" w:after="0" w:afterAutospacing="0" w:line="578" w:lineRule="atLeast"/>
        <w:ind w:right="0"/>
        <w:jc w:val="left"/>
        <w:rPr>
          <w:rFonts w:hint="eastAsia" w:ascii="仿宋_GB2312" w:hAnsi="微软雅黑" w:eastAsia="仿宋_GB2312" w:cs="仿宋_GB2312"/>
          <w:b w:val="0"/>
          <w:bCs w:val="0"/>
          <w:i w:val="0"/>
          <w:iCs w:val="0"/>
          <w:caps w:val="0"/>
          <w:color w:val="000000"/>
          <w:spacing w:val="0"/>
          <w:sz w:val="32"/>
          <w:szCs w:val="32"/>
        </w:rPr>
      </w:pPr>
    </w:p>
    <w:p w14:paraId="4C9F4C48">
      <w:pPr>
        <w:pStyle w:val="14"/>
        <w:keepNext w:val="0"/>
        <w:keepLines w:val="0"/>
        <w:widowControl/>
        <w:suppressLineNumbers w:val="0"/>
        <w:spacing w:before="0" w:beforeAutospacing="0" w:after="0" w:afterAutospacing="0" w:line="578" w:lineRule="atLeast"/>
        <w:ind w:right="0"/>
        <w:jc w:val="left"/>
        <w:rPr>
          <w:rFonts w:hint="eastAsia" w:ascii="仿宋_GB2312" w:hAnsi="微软雅黑" w:eastAsia="仿宋_GB2312" w:cs="仿宋_GB2312"/>
          <w:b w:val="0"/>
          <w:bCs w:val="0"/>
          <w:i w:val="0"/>
          <w:iCs w:val="0"/>
          <w:caps w:val="0"/>
          <w:color w:val="000000"/>
          <w:spacing w:val="0"/>
          <w:sz w:val="32"/>
          <w:szCs w:val="32"/>
        </w:rPr>
      </w:pPr>
    </w:p>
    <w:p w14:paraId="7CA6A78E">
      <w:pPr>
        <w:numPr>
          <w:ilvl w:val="0"/>
          <w:numId w:val="5"/>
        </w:numPr>
        <w:spacing w:line="600" w:lineRule="exact"/>
        <w:ind w:left="0" w:firstLine="660" w:firstLineChars="150"/>
        <w:jc w:val="center"/>
        <w:outlineLvl w:val="0"/>
        <w:rPr>
          <w:rFonts w:ascii="宋体"/>
          <w:b/>
          <w:color w:val="auto"/>
          <w:sz w:val="44"/>
          <w:szCs w:val="44"/>
          <w:highlight w:val="none"/>
        </w:rPr>
      </w:pPr>
      <w:bookmarkStart w:id="83" w:name="_Toc7331"/>
      <w:bookmarkStart w:id="84" w:name="_Toc15377225"/>
      <w:bookmarkStart w:id="85" w:name="_Toc15396613"/>
      <w:r>
        <w:rPr>
          <w:rFonts w:hint="eastAsia" w:ascii="黑体" w:eastAsia="黑体"/>
          <w:color w:val="auto"/>
          <w:sz w:val="44"/>
          <w:szCs w:val="44"/>
          <w:highlight w:val="none"/>
        </w:rPr>
        <w:t>名</w:t>
      </w:r>
      <w:r>
        <w:rPr>
          <w:rStyle w:val="20"/>
          <w:rFonts w:hint="eastAsia" w:ascii="黑体" w:eastAsia="黑体"/>
          <w:b w:val="0"/>
          <w:color w:val="auto"/>
          <w:highlight w:val="none"/>
        </w:rPr>
        <w:t>词解释</w:t>
      </w:r>
      <w:bookmarkEnd w:id="83"/>
      <w:bookmarkEnd w:id="84"/>
      <w:bookmarkEnd w:id="85"/>
    </w:p>
    <w:p w14:paraId="70E52D22">
      <w:pPr>
        <w:pStyle w:val="25"/>
        <w:spacing w:line="580" w:lineRule="exact"/>
        <w:ind w:firstLine="640" w:firstLineChars="200"/>
        <w:rPr>
          <w:rFonts w:hint="eastAsia" w:ascii="仿宋" w:hAnsi="Times New Roman" w:eastAsia="仿宋" w:cs="Times New Roman"/>
          <w:color w:val="auto"/>
          <w:kern w:val="2"/>
          <w:sz w:val="32"/>
          <w:szCs w:val="32"/>
          <w:highlight w:val="none"/>
          <w:lang w:val="en-US" w:eastAsia="zh-CN" w:bidi="ar-SA"/>
        </w:rPr>
      </w:pPr>
      <w:bookmarkStart w:id="86" w:name="_Toc15377226"/>
      <w:r>
        <w:rPr>
          <w:rFonts w:hint="eastAsia" w:ascii="仿宋" w:hAnsi="Times New Roman" w:eastAsia="仿宋" w:cs="Times New Roman"/>
          <w:color w:val="auto"/>
          <w:kern w:val="2"/>
          <w:sz w:val="32"/>
          <w:szCs w:val="32"/>
          <w:highlight w:val="none"/>
          <w:lang w:val="en-US" w:eastAsia="zh-CN" w:bidi="ar-SA"/>
        </w:rPr>
        <w:t>1.财政拨款收入：指单位从同级财政单位取得的各类拨款。</w:t>
      </w:r>
    </w:p>
    <w:p w14:paraId="74102F03">
      <w:pPr>
        <w:pStyle w:val="25"/>
        <w:spacing w:line="580" w:lineRule="exact"/>
        <w:ind w:firstLine="640" w:firstLineChars="200"/>
        <w:rPr>
          <w:rFonts w:hint="eastAsia" w:ascii="仿宋" w:hAnsi="Times New Roman" w:eastAsia="仿宋" w:cs="Times New Roman"/>
          <w:color w:val="auto"/>
          <w:kern w:val="2"/>
          <w:sz w:val="32"/>
          <w:szCs w:val="32"/>
          <w:highlight w:val="none"/>
          <w:lang w:val="en-US" w:eastAsia="zh-CN" w:bidi="ar-SA"/>
        </w:rPr>
      </w:pPr>
      <w:r>
        <w:rPr>
          <w:rFonts w:hint="eastAsia" w:ascii="仿宋" w:hAnsi="Times New Roman" w:eastAsia="仿宋" w:cs="Times New Roman"/>
          <w:color w:val="auto"/>
          <w:kern w:val="2"/>
          <w:sz w:val="32"/>
          <w:szCs w:val="32"/>
          <w:highlight w:val="none"/>
          <w:lang w:val="en-US" w:eastAsia="zh-CN" w:bidi="ar-SA"/>
        </w:rPr>
        <w:t>2.事业收入：指事业单位开展专业业务活动及辅助活动取得的收入。如区人民医院、</w:t>
      </w:r>
      <w:r>
        <w:rPr>
          <w:rFonts w:hint="eastAsia" w:cs="Times New Roman"/>
          <w:color w:val="auto"/>
          <w:kern w:val="2"/>
          <w:sz w:val="32"/>
          <w:szCs w:val="32"/>
          <w:highlight w:val="none"/>
          <w:lang w:val="en-US" w:eastAsia="zh-CN" w:bidi="ar-SA"/>
        </w:rPr>
        <w:t>区</w:t>
      </w:r>
      <w:r>
        <w:rPr>
          <w:rFonts w:hint="eastAsia" w:ascii="仿宋" w:hAnsi="Times New Roman" w:eastAsia="仿宋" w:cs="Times New Roman"/>
          <w:color w:val="auto"/>
          <w:kern w:val="2"/>
          <w:sz w:val="32"/>
          <w:szCs w:val="32"/>
          <w:highlight w:val="none"/>
          <w:lang w:val="en-US" w:eastAsia="zh-CN" w:bidi="ar-SA"/>
        </w:rPr>
        <w:t>妇幼保健计划生育服务中心、区中医医院、乡镇卫生院医疗收入等。</w:t>
      </w:r>
    </w:p>
    <w:p w14:paraId="1DE9AE4F">
      <w:pPr>
        <w:pStyle w:val="25"/>
        <w:spacing w:line="580" w:lineRule="exact"/>
        <w:ind w:firstLine="640" w:firstLineChars="200"/>
        <w:rPr>
          <w:rFonts w:hint="eastAsia" w:ascii="仿宋" w:hAnsi="Times New Roman" w:eastAsia="仿宋" w:cs="Times New Roman"/>
          <w:color w:val="auto"/>
          <w:kern w:val="2"/>
          <w:sz w:val="32"/>
          <w:szCs w:val="32"/>
          <w:highlight w:val="none"/>
          <w:lang w:val="en-US" w:eastAsia="zh-CN" w:bidi="ar-SA"/>
        </w:rPr>
      </w:pPr>
      <w:r>
        <w:rPr>
          <w:rFonts w:hint="eastAsia" w:ascii="仿宋" w:hAnsi="Times New Roman" w:eastAsia="仿宋" w:cs="Times New Roman"/>
          <w:color w:val="auto"/>
          <w:kern w:val="2"/>
          <w:sz w:val="32"/>
          <w:szCs w:val="32"/>
          <w:highlight w:val="none"/>
          <w:lang w:val="en-US" w:eastAsia="zh-CN" w:bidi="ar-SA"/>
        </w:rPr>
        <w:t xml:space="preserve">3.其他收入：指单位取得的除上述收入以外的各项收入。主要是利息收入等。 </w:t>
      </w:r>
    </w:p>
    <w:p w14:paraId="6B67B5CE">
      <w:pPr>
        <w:pStyle w:val="25"/>
        <w:spacing w:line="580" w:lineRule="exact"/>
        <w:ind w:firstLine="640" w:firstLineChars="200"/>
        <w:rPr>
          <w:rFonts w:hint="eastAsia" w:ascii="仿宋" w:hAnsi="Times New Roman" w:eastAsia="仿宋" w:cs="Times New Roman"/>
          <w:color w:val="auto"/>
          <w:kern w:val="2"/>
          <w:sz w:val="32"/>
          <w:szCs w:val="32"/>
          <w:highlight w:val="none"/>
          <w:lang w:val="en-US" w:eastAsia="zh-CN" w:bidi="ar-SA"/>
        </w:rPr>
      </w:pPr>
      <w:r>
        <w:rPr>
          <w:rFonts w:hint="eastAsia" w:ascii="仿宋" w:hAnsi="Times New Roman" w:eastAsia="仿宋" w:cs="Times New Roman"/>
          <w:color w:val="auto"/>
          <w:kern w:val="2"/>
          <w:sz w:val="32"/>
          <w:szCs w:val="32"/>
          <w:highlight w:val="none"/>
          <w:lang w:val="en-US" w:eastAsia="zh-CN" w:bidi="ar-SA"/>
        </w:rPr>
        <w:t xml:space="preserve">4.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 </w:t>
      </w:r>
    </w:p>
    <w:p w14:paraId="1E2562A7">
      <w:pPr>
        <w:pStyle w:val="25"/>
        <w:spacing w:line="580" w:lineRule="exact"/>
        <w:ind w:firstLine="640" w:firstLineChars="200"/>
        <w:rPr>
          <w:rFonts w:hint="eastAsia" w:ascii="仿宋" w:hAnsi="Times New Roman" w:eastAsia="仿宋" w:cs="Times New Roman"/>
          <w:color w:val="auto"/>
          <w:kern w:val="2"/>
          <w:sz w:val="32"/>
          <w:szCs w:val="32"/>
          <w:highlight w:val="none"/>
          <w:lang w:val="en-US" w:eastAsia="zh-CN" w:bidi="ar-SA"/>
        </w:rPr>
      </w:pPr>
      <w:r>
        <w:rPr>
          <w:rFonts w:hint="eastAsia" w:ascii="仿宋" w:hAnsi="Times New Roman" w:eastAsia="仿宋" w:cs="Times New Roman"/>
          <w:color w:val="auto"/>
          <w:kern w:val="2"/>
          <w:sz w:val="32"/>
          <w:szCs w:val="32"/>
          <w:highlight w:val="none"/>
          <w:lang w:val="en-US" w:eastAsia="zh-CN" w:bidi="ar-SA"/>
        </w:rPr>
        <w:t xml:space="preserve">5.年初结转和结余：指以前年度尚未完成、结转到本年按有关规定继续使用的资金。 </w:t>
      </w:r>
    </w:p>
    <w:p w14:paraId="7D71872F">
      <w:pPr>
        <w:pStyle w:val="25"/>
        <w:spacing w:line="580" w:lineRule="exact"/>
        <w:ind w:firstLine="640" w:firstLineChars="200"/>
        <w:rPr>
          <w:rFonts w:hint="eastAsia" w:ascii="仿宋" w:hAnsi="Times New Roman" w:eastAsia="仿宋" w:cs="Times New Roman"/>
          <w:color w:val="auto"/>
          <w:kern w:val="2"/>
          <w:sz w:val="32"/>
          <w:szCs w:val="32"/>
          <w:highlight w:val="none"/>
          <w:lang w:val="en-US" w:eastAsia="zh-CN" w:bidi="ar-SA"/>
        </w:rPr>
      </w:pPr>
      <w:r>
        <w:rPr>
          <w:rFonts w:hint="eastAsia" w:ascii="仿宋" w:hAnsi="Times New Roman" w:eastAsia="仿宋" w:cs="Times New Roman"/>
          <w:color w:val="auto"/>
          <w:kern w:val="2"/>
          <w:sz w:val="32"/>
          <w:szCs w:val="32"/>
          <w:highlight w:val="none"/>
          <w:lang w:val="en-US" w:eastAsia="zh-CN" w:bidi="ar-SA"/>
        </w:rPr>
        <w:t>6.本年盈余分配：指事业单位按照政府会计制度的规定从非财政拨款结余或事业结余中提取的奖励基金和职工福利基金等。</w:t>
      </w:r>
    </w:p>
    <w:p w14:paraId="61F59AED">
      <w:pPr>
        <w:pStyle w:val="25"/>
        <w:spacing w:line="580" w:lineRule="exact"/>
        <w:ind w:firstLine="640" w:firstLineChars="200"/>
        <w:rPr>
          <w:rFonts w:hint="eastAsia" w:ascii="仿宋" w:hAnsi="Times New Roman" w:eastAsia="仿宋" w:cs="Times New Roman"/>
          <w:color w:val="auto"/>
          <w:kern w:val="2"/>
          <w:sz w:val="32"/>
          <w:szCs w:val="32"/>
          <w:highlight w:val="none"/>
          <w:lang w:val="en-US" w:eastAsia="zh-CN" w:bidi="ar-SA"/>
        </w:rPr>
      </w:pPr>
      <w:r>
        <w:rPr>
          <w:rFonts w:hint="eastAsia" w:ascii="仿宋" w:hAnsi="Times New Roman" w:eastAsia="仿宋" w:cs="Times New Roman"/>
          <w:color w:val="auto"/>
          <w:kern w:val="2"/>
          <w:sz w:val="32"/>
          <w:szCs w:val="32"/>
          <w:highlight w:val="none"/>
          <w:lang w:val="en-US" w:eastAsia="zh-CN" w:bidi="ar-SA"/>
        </w:rPr>
        <w:t>7.年末结转和结余：指单位按有关规定结转到下年或以后年度继续使用的资金。</w:t>
      </w:r>
    </w:p>
    <w:p w14:paraId="53FFA876">
      <w:pPr>
        <w:spacing w:line="580" w:lineRule="exact"/>
        <w:ind w:firstLine="640" w:firstLineChars="200"/>
        <w:rPr>
          <w:rFonts w:hint="eastAsia" w:ascii="仿宋" w:hAnsi="Times New Roman" w:eastAsia="仿宋" w:cs="Times New Roman"/>
          <w:color w:val="auto"/>
          <w:kern w:val="2"/>
          <w:sz w:val="32"/>
          <w:szCs w:val="32"/>
          <w:highlight w:val="none"/>
          <w:lang w:val="en-US" w:eastAsia="zh-CN" w:bidi="ar-SA"/>
        </w:rPr>
      </w:pPr>
      <w:r>
        <w:rPr>
          <w:rFonts w:hint="eastAsia" w:ascii="仿宋" w:hAnsi="Times New Roman" w:eastAsia="仿宋" w:cs="Times New Roman"/>
          <w:color w:val="auto"/>
          <w:kern w:val="2"/>
          <w:sz w:val="32"/>
          <w:szCs w:val="32"/>
          <w:highlight w:val="none"/>
          <w:lang w:val="en-US" w:eastAsia="zh-CN" w:bidi="ar-SA"/>
        </w:rPr>
        <w:t>8.卫生健康支出（类）基层医疗卫生机构（款）乡镇卫生院（项）：反映乡镇卫生院的支出；卫生健康支出（类）公共卫生（款）基本公共卫生服务（项）：反映乡镇卫生院、社区卫生机构开展基本公共卫生服务的支出；卫生健康支出（类）基层医疗卫生机构（款）其他基层医疗卫生机构支出（项）：反映除乡镇卫生院、城市社区卫生机构以外的其他用于基层医疗卫生机构的支出；卫生健康支出（类）行政事业单位医疗（款）事业单位医疗（项）:反映卫生健康支出中的在职人员医疗保险。</w:t>
      </w:r>
    </w:p>
    <w:p w14:paraId="71DFCB9F">
      <w:pPr>
        <w:spacing w:line="580" w:lineRule="exact"/>
        <w:ind w:firstLine="640" w:firstLineChars="200"/>
        <w:rPr>
          <w:rFonts w:hint="eastAsia" w:ascii="仿宋" w:hAnsi="Times New Roman" w:eastAsia="仿宋" w:cs="Times New Roman"/>
          <w:color w:val="auto"/>
          <w:kern w:val="2"/>
          <w:sz w:val="32"/>
          <w:szCs w:val="32"/>
          <w:highlight w:val="none"/>
          <w:lang w:val="en-US" w:eastAsia="zh-CN" w:bidi="ar-SA"/>
        </w:rPr>
      </w:pPr>
      <w:r>
        <w:rPr>
          <w:rFonts w:hint="eastAsia" w:ascii="仿宋" w:hAnsi="Times New Roman" w:eastAsia="仿宋" w:cs="Times New Roman"/>
          <w:color w:val="auto"/>
          <w:kern w:val="2"/>
          <w:sz w:val="32"/>
          <w:szCs w:val="32"/>
          <w:highlight w:val="none"/>
          <w:lang w:val="en-US" w:eastAsia="zh-CN" w:bidi="ar-SA"/>
        </w:rPr>
        <w:t>9.社会保障和就业支出：反映政府在社会保障和就业方面的支出。社会保障和就业支出-行政事业单位离退休-机关事业单位基本养老保险缴费支出：反映机关事业单位实施养老保险制度由单位缴纳的基本养老保险支出；</w:t>
      </w:r>
    </w:p>
    <w:p w14:paraId="0902CC77">
      <w:pPr>
        <w:spacing w:line="580" w:lineRule="exact"/>
        <w:ind w:firstLine="640" w:firstLineChars="200"/>
        <w:rPr>
          <w:rFonts w:hint="eastAsia" w:ascii="仿宋" w:hAnsi="Times New Roman" w:eastAsia="仿宋" w:cs="Times New Roman"/>
          <w:color w:val="auto"/>
          <w:kern w:val="2"/>
          <w:sz w:val="32"/>
          <w:szCs w:val="32"/>
          <w:highlight w:val="none"/>
          <w:lang w:val="en-US" w:eastAsia="zh-CN" w:bidi="ar-SA"/>
        </w:rPr>
      </w:pPr>
      <w:r>
        <w:rPr>
          <w:rFonts w:hint="eastAsia" w:ascii="仿宋" w:hAnsi="Times New Roman" w:eastAsia="仿宋" w:cs="Times New Roman"/>
          <w:color w:val="auto"/>
          <w:kern w:val="2"/>
          <w:sz w:val="32"/>
          <w:szCs w:val="32"/>
          <w:highlight w:val="none"/>
          <w:lang w:val="en-US" w:eastAsia="zh-CN" w:bidi="ar-SA"/>
        </w:rPr>
        <w:t xml:space="preserve">    10.住房保障支出：住房保障支出-住房改革支出-住房公积金：反映行政事业单位按人力资源和社会保障部、财政部规定的基本工资和津贴补贴以及规定比例为职工缴纳的住房公积金。</w:t>
      </w:r>
    </w:p>
    <w:p w14:paraId="763E3EC1">
      <w:pPr>
        <w:spacing w:line="580" w:lineRule="exact"/>
        <w:ind w:firstLine="640" w:firstLineChars="200"/>
        <w:rPr>
          <w:rFonts w:hint="eastAsia" w:ascii="仿宋" w:hAnsi="Times New Roman" w:eastAsia="仿宋" w:cs="Times New Roman"/>
          <w:color w:val="auto"/>
          <w:kern w:val="2"/>
          <w:sz w:val="32"/>
          <w:szCs w:val="32"/>
          <w:highlight w:val="none"/>
          <w:lang w:val="en-US" w:eastAsia="zh-CN" w:bidi="ar-SA"/>
        </w:rPr>
      </w:pPr>
      <w:r>
        <w:rPr>
          <w:rFonts w:hint="eastAsia" w:ascii="仿宋" w:hAnsi="Times New Roman" w:eastAsia="仿宋" w:cs="Times New Roman"/>
          <w:color w:val="auto"/>
          <w:kern w:val="2"/>
          <w:sz w:val="32"/>
          <w:szCs w:val="32"/>
          <w:highlight w:val="none"/>
          <w:lang w:val="en-US" w:eastAsia="zh-CN" w:bidi="ar-SA"/>
        </w:rPr>
        <w:t>11.基本支出：指为保障机构正常运转、完成日常工作任务而发生的人员支出和公用支出。</w:t>
      </w:r>
    </w:p>
    <w:p w14:paraId="009CA45D">
      <w:pPr>
        <w:spacing w:line="580" w:lineRule="exact"/>
        <w:ind w:firstLine="640" w:firstLineChars="200"/>
        <w:rPr>
          <w:rFonts w:hint="eastAsia" w:ascii="仿宋" w:hAnsi="Times New Roman" w:eastAsia="仿宋" w:cs="Times New Roman"/>
          <w:color w:val="auto"/>
          <w:kern w:val="2"/>
          <w:sz w:val="32"/>
          <w:szCs w:val="32"/>
          <w:highlight w:val="none"/>
          <w:lang w:val="en-US" w:eastAsia="zh-CN" w:bidi="ar-SA"/>
        </w:rPr>
      </w:pPr>
      <w:r>
        <w:rPr>
          <w:rFonts w:hint="eastAsia" w:ascii="仿宋" w:hAnsi="Times New Roman" w:eastAsia="仿宋" w:cs="Times New Roman"/>
          <w:color w:val="auto"/>
          <w:kern w:val="2"/>
          <w:sz w:val="32"/>
          <w:szCs w:val="32"/>
          <w:highlight w:val="none"/>
          <w:lang w:val="en-US" w:eastAsia="zh-CN" w:bidi="ar-SA"/>
        </w:rPr>
        <w:t xml:space="preserve">12.项目支出：指在基本支出之外为完成特定行政任务和事业发展目标所发生的支出。 </w:t>
      </w:r>
    </w:p>
    <w:p w14:paraId="25D97DBE">
      <w:pPr>
        <w:pStyle w:val="25"/>
        <w:spacing w:line="580" w:lineRule="exact"/>
        <w:ind w:firstLine="640" w:firstLineChars="200"/>
        <w:rPr>
          <w:rFonts w:hint="eastAsia" w:ascii="仿宋" w:hAnsi="Times New Roman" w:eastAsia="仿宋" w:cs="Times New Roman"/>
          <w:color w:val="auto"/>
          <w:kern w:val="2"/>
          <w:sz w:val="32"/>
          <w:szCs w:val="32"/>
          <w:highlight w:val="none"/>
          <w:lang w:val="en-US" w:eastAsia="zh-CN" w:bidi="ar-SA"/>
        </w:rPr>
      </w:pPr>
      <w:r>
        <w:rPr>
          <w:rFonts w:hint="eastAsia" w:ascii="仿宋" w:hAnsi="Times New Roman" w:eastAsia="仿宋" w:cs="Times New Roman"/>
          <w:color w:val="auto"/>
          <w:kern w:val="2"/>
          <w:sz w:val="32"/>
          <w:szCs w:val="32"/>
          <w:highlight w:val="none"/>
          <w:lang w:val="en-US" w:eastAsia="zh-CN" w:bidi="ar-SA"/>
        </w:rPr>
        <w:t>13.“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3A860318">
      <w:pPr>
        <w:pStyle w:val="25"/>
        <w:spacing w:line="580" w:lineRule="exact"/>
        <w:ind w:firstLine="640" w:firstLineChars="200"/>
        <w:rPr>
          <w:rFonts w:hint="eastAsia" w:ascii="仿宋" w:hAnsi="Times New Roman" w:eastAsia="仿宋" w:cs="Times New Roman"/>
          <w:color w:val="auto"/>
          <w:kern w:val="2"/>
          <w:sz w:val="32"/>
          <w:szCs w:val="32"/>
          <w:highlight w:val="none"/>
          <w:lang w:val="en-US" w:eastAsia="zh-CN" w:bidi="ar-SA"/>
        </w:rPr>
      </w:pPr>
      <w:r>
        <w:rPr>
          <w:rFonts w:hint="eastAsia" w:ascii="仿宋" w:hAnsi="Times New Roman" w:eastAsia="仿宋" w:cs="Times New Roman"/>
          <w:color w:val="auto"/>
          <w:kern w:val="2"/>
          <w:sz w:val="32"/>
          <w:szCs w:val="32"/>
          <w:highlight w:val="none"/>
          <w:lang w:val="en-US" w:eastAsia="zh-CN" w:bidi="ar-SA"/>
        </w:rPr>
        <w:t>14.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2ACF1006">
      <w:pPr>
        <w:pStyle w:val="25"/>
        <w:spacing w:line="560" w:lineRule="exact"/>
        <w:rPr>
          <w:rFonts w:hint="eastAsia" w:ascii="仿宋" w:hAnsi="Times New Roman" w:eastAsia="仿宋" w:cs="Times New Roman"/>
          <w:color w:val="auto"/>
          <w:kern w:val="2"/>
          <w:sz w:val="32"/>
          <w:szCs w:val="32"/>
          <w:highlight w:val="none"/>
          <w:lang w:val="en-US" w:eastAsia="zh-CN" w:bidi="ar-SA"/>
        </w:rPr>
      </w:pPr>
      <w:r>
        <w:br w:type="page"/>
      </w:r>
      <w:bookmarkStart w:id="87" w:name="_Toc15396614"/>
    </w:p>
    <w:p w14:paraId="7EB014E3">
      <w:pPr>
        <w:pStyle w:val="25"/>
        <w:numPr>
          <w:ilvl w:val="0"/>
          <w:numId w:val="5"/>
        </w:numPr>
        <w:spacing w:line="560" w:lineRule="exact"/>
        <w:ind w:left="0" w:leftChars="0" w:firstLine="660" w:firstLineChars="150"/>
        <w:jc w:val="center"/>
        <w:rPr>
          <w:rFonts w:hint="eastAsia" w:ascii="黑体" w:eastAsia="黑体" w:cs="Times New Roman"/>
          <w:color w:val="auto"/>
          <w:kern w:val="2"/>
          <w:sz w:val="44"/>
          <w:szCs w:val="44"/>
          <w:highlight w:val="none"/>
          <w:lang w:val="en-US" w:eastAsia="zh-CN" w:bidi="ar-SA"/>
        </w:rPr>
      </w:pPr>
      <w:r>
        <w:rPr>
          <w:rFonts w:hint="eastAsia" w:ascii="黑体" w:eastAsia="黑体" w:cs="Times New Roman"/>
          <w:color w:val="auto"/>
          <w:kern w:val="2"/>
          <w:sz w:val="44"/>
          <w:szCs w:val="44"/>
          <w:highlight w:val="none"/>
          <w:lang w:val="en-US" w:eastAsia="zh-CN" w:bidi="ar-SA"/>
        </w:rPr>
        <w:t>附件</w:t>
      </w:r>
      <w:bookmarkEnd w:id="87"/>
    </w:p>
    <w:tbl>
      <w:tblPr>
        <w:tblStyle w:val="15"/>
        <w:tblpPr w:leftFromText="180" w:rightFromText="180" w:vertAnchor="text" w:horzAnchor="page" w:tblpX="1940" w:tblpY="608"/>
        <w:tblOverlap w:val="never"/>
        <w:tblW w:w="8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510"/>
        <w:gridCol w:w="476"/>
        <w:gridCol w:w="549"/>
        <w:gridCol w:w="877"/>
        <w:gridCol w:w="750"/>
        <w:gridCol w:w="754"/>
        <w:gridCol w:w="848"/>
        <w:gridCol w:w="1"/>
        <w:gridCol w:w="2495"/>
      </w:tblGrid>
      <w:tr w14:paraId="60DD40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2" w:hRule="atLeast"/>
        </w:trPr>
        <w:tc>
          <w:tcPr>
            <w:tcW w:w="8260" w:type="dxa"/>
            <w:gridSpan w:val="9"/>
            <w:tcBorders>
              <w:top w:val="nil"/>
              <w:left w:val="nil"/>
              <w:bottom w:val="nil"/>
              <w:right w:val="nil"/>
            </w:tcBorders>
            <w:shd w:val="clear" w:color="auto" w:fill="auto"/>
            <w:vAlign w:val="center"/>
          </w:tcPr>
          <w:p w14:paraId="5091E2ED">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rPr>
              <w:t xml:space="preserve">基本公共卫生转移支付区域（项目）绩效目标自评表 </w:t>
            </w:r>
          </w:p>
        </w:tc>
      </w:tr>
      <w:tr w14:paraId="0E674A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1" w:hRule="atLeast"/>
        </w:trPr>
        <w:tc>
          <w:tcPr>
            <w:tcW w:w="8260" w:type="dxa"/>
            <w:gridSpan w:val="9"/>
            <w:tcBorders>
              <w:top w:val="nil"/>
              <w:left w:val="nil"/>
              <w:bottom w:val="single" w:color="000000" w:sz="4" w:space="0"/>
              <w:right w:val="nil"/>
            </w:tcBorders>
            <w:shd w:val="clear" w:color="auto" w:fill="auto"/>
            <w:vAlign w:val="top"/>
          </w:tcPr>
          <w:p w14:paraId="0548AED0">
            <w:pPr>
              <w:keepNext w:val="0"/>
              <w:keepLines w:val="0"/>
              <w:widowControl/>
              <w:suppressLineNumbers w:val="0"/>
              <w:jc w:val="center"/>
              <w:textAlignment w:val="top"/>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（202</w:t>
            </w:r>
            <w:r>
              <w:rPr>
                <w:rFonts w:hint="eastAsia" w:ascii="宋体" w:hAnsi="宋体" w:cs="宋体"/>
                <w:i w:val="0"/>
                <w:iCs w:val="0"/>
                <w:color w:val="000000"/>
                <w:kern w:val="0"/>
                <w:sz w:val="22"/>
                <w:szCs w:val="22"/>
                <w:u w:val="none"/>
                <w:lang w:val="en-US" w:eastAsia="zh-CN"/>
              </w:rPr>
              <w:t>2</w:t>
            </w:r>
            <w:r>
              <w:rPr>
                <w:rFonts w:hint="eastAsia" w:ascii="宋体" w:hAnsi="宋体" w:eastAsia="宋体" w:cs="宋体"/>
                <w:i w:val="0"/>
                <w:iCs w:val="0"/>
                <w:color w:val="000000"/>
                <w:kern w:val="0"/>
                <w:sz w:val="22"/>
                <w:szCs w:val="22"/>
                <w:u w:val="none"/>
                <w:lang w:val="en-US" w:eastAsia="zh-CN"/>
              </w:rPr>
              <w:t>年度）</w:t>
            </w:r>
          </w:p>
        </w:tc>
      </w:tr>
      <w:tr w14:paraId="7B9063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1" w:hRule="atLeast"/>
        </w:trPr>
        <w:tc>
          <w:tcPr>
            <w:tcW w:w="25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5CEC0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转移支付（项目）名称</w:t>
            </w:r>
          </w:p>
        </w:tc>
        <w:tc>
          <w:tcPr>
            <w:tcW w:w="572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594A8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基本公共卫生服务资金</w:t>
            </w:r>
          </w:p>
        </w:tc>
      </w:tr>
      <w:tr w14:paraId="32A372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1" w:hRule="atLeast"/>
        </w:trPr>
        <w:tc>
          <w:tcPr>
            <w:tcW w:w="25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957F6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中央主管部门</w:t>
            </w:r>
          </w:p>
        </w:tc>
        <w:tc>
          <w:tcPr>
            <w:tcW w:w="572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14F2C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国家卫健委</w:t>
            </w:r>
          </w:p>
        </w:tc>
      </w:tr>
      <w:tr w14:paraId="395328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9" w:hRule="atLeast"/>
        </w:trPr>
        <w:tc>
          <w:tcPr>
            <w:tcW w:w="25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128D2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地方主管部门</w:t>
            </w:r>
          </w:p>
        </w:tc>
        <w:tc>
          <w:tcPr>
            <w:tcW w:w="16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003B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广元市昭化区卫健局</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F3E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资金使用单位</w:t>
            </w:r>
          </w:p>
        </w:tc>
        <w:tc>
          <w:tcPr>
            <w:tcW w:w="334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1A61E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广元市昭化区昭化镇中心卫生院</w:t>
            </w:r>
          </w:p>
        </w:tc>
      </w:tr>
      <w:tr w14:paraId="14C9AF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2" w:hRule="atLeast"/>
        </w:trPr>
        <w:tc>
          <w:tcPr>
            <w:tcW w:w="253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F1CB6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资金情况</w:t>
            </w:r>
          </w:p>
          <w:p w14:paraId="647AF3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（万元）</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5488B">
            <w:pPr>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219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全年预算数（A）</w:t>
            </w:r>
          </w:p>
        </w:tc>
        <w:tc>
          <w:tcPr>
            <w:tcW w:w="160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D26D8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全年执行数（B）</w:t>
            </w:r>
          </w:p>
        </w:tc>
        <w:tc>
          <w:tcPr>
            <w:tcW w:w="2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8DA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预算执行率（B/A)</w:t>
            </w:r>
          </w:p>
        </w:tc>
      </w:tr>
      <w:tr w14:paraId="133396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9" w:hRule="atLeast"/>
        </w:trPr>
        <w:tc>
          <w:tcPr>
            <w:tcW w:w="253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B3D83E">
            <w:pPr>
              <w:jc w:val="center"/>
              <w:rPr>
                <w:rFonts w:hint="eastAsia" w:ascii="宋体" w:hAnsi="宋体" w:eastAsia="宋体" w:cs="宋体"/>
                <w:i w:val="0"/>
                <w:iCs w:val="0"/>
                <w:color w:val="000000"/>
                <w:sz w:val="20"/>
                <w:szCs w:val="20"/>
                <w:u w:val="none"/>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4F4C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年度资金总额：</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08860">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cs="宋体"/>
                <w:i w:val="0"/>
                <w:iCs w:val="0"/>
                <w:color w:val="000000"/>
                <w:kern w:val="0"/>
                <w:sz w:val="20"/>
                <w:szCs w:val="20"/>
                <w:u w:val="none"/>
                <w:lang w:val="en-US" w:eastAsia="zh-CN"/>
              </w:rPr>
              <w:t>144.34</w:t>
            </w:r>
          </w:p>
        </w:tc>
        <w:tc>
          <w:tcPr>
            <w:tcW w:w="160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AB8C903">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cs="宋体"/>
                <w:i w:val="0"/>
                <w:iCs w:val="0"/>
                <w:color w:val="000000"/>
                <w:kern w:val="0"/>
                <w:sz w:val="20"/>
                <w:szCs w:val="20"/>
                <w:u w:val="none"/>
                <w:lang w:val="en-US" w:eastAsia="zh-CN"/>
              </w:rPr>
              <w:t>144.34</w:t>
            </w:r>
          </w:p>
        </w:tc>
        <w:tc>
          <w:tcPr>
            <w:tcW w:w="2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976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r>
      <w:tr w14:paraId="203D2A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75" w:hRule="atLeast"/>
        </w:trPr>
        <w:tc>
          <w:tcPr>
            <w:tcW w:w="253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95133B">
            <w:pPr>
              <w:jc w:val="center"/>
              <w:rPr>
                <w:rFonts w:hint="eastAsia" w:ascii="宋体" w:hAnsi="宋体" w:eastAsia="宋体" w:cs="宋体"/>
                <w:i w:val="0"/>
                <w:iCs w:val="0"/>
                <w:color w:val="000000"/>
                <w:sz w:val="20"/>
                <w:szCs w:val="20"/>
                <w:u w:val="none"/>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6E8C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 xml:space="preserve"> </w:t>
            </w:r>
            <w:r>
              <w:rPr>
                <w:rStyle w:val="29"/>
                <w:rFonts w:ascii="宋体" w:hAnsi="宋体" w:eastAsia="宋体" w:cs="宋体"/>
                <w:sz w:val="24"/>
                <w:szCs w:val="24"/>
                <w:lang w:val="en-US" w:eastAsia="zh-CN"/>
              </w:rPr>
              <w:t>其中：中央财政资金</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E7C25">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cs="宋体"/>
                <w:i w:val="0"/>
                <w:iCs w:val="0"/>
                <w:color w:val="000000"/>
                <w:kern w:val="0"/>
                <w:sz w:val="20"/>
                <w:szCs w:val="20"/>
                <w:u w:val="none"/>
                <w:lang w:val="en-US" w:eastAsia="zh-CN"/>
              </w:rPr>
              <w:t>114.59</w:t>
            </w:r>
          </w:p>
        </w:tc>
        <w:tc>
          <w:tcPr>
            <w:tcW w:w="160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1CEE26B">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cs="宋体"/>
                <w:i w:val="0"/>
                <w:iCs w:val="0"/>
                <w:color w:val="000000"/>
                <w:kern w:val="0"/>
                <w:sz w:val="20"/>
                <w:szCs w:val="20"/>
                <w:u w:val="none"/>
                <w:lang w:val="en-US" w:eastAsia="zh-CN"/>
              </w:rPr>
              <w:t>114.59</w:t>
            </w:r>
          </w:p>
        </w:tc>
        <w:tc>
          <w:tcPr>
            <w:tcW w:w="2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ECE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r>
      <w:tr w14:paraId="3AB9EB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253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00E804">
            <w:pPr>
              <w:jc w:val="center"/>
              <w:rPr>
                <w:rFonts w:hint="eastAsia" w:ascii="宋体" w:hAnsi="宋体" w:eastAsia="宋体" w:cs="宋体"/>
                <w:i w:val="0"/>
                <w:iCs w:val="0"/>
                <w:color w:val="000000"/>
                <w:sz w:val="20"/>
                <w:szCs w:val="20"/>
                <w:u w:val="none"/>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BD8E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 xml:space="preserve"> </w:t>
            </w:r>
            <w:r>
              <w:rPr>
                <w:rStyle w:val="29"/>
                <w:rFonts w:ascii="宋体" w:hAnsi="宋体" w:eastAsia="宋体" w:cs="宋体"/>
                <w:sz w:val="24"/>
                <w:szCs w:val="24"/>
                <w:lang w:val="en-US" w:eastAsia="zh-CN"/>
              </w:rPr>
              <w:t xml:space="preserve">      地方资金</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17ADE">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cs="宋体"/>
                <w:i w:val="0"/>
                <w:iCs w:val="0"/>
                <w:color w:val="000000"/>
                <w:kern w:val="0"/>
                <w:sz w:val="20"/>
                <w:szCs w:val="20"/>
                <w:u w:val="none"/>
                <w:lang w:val="en-US" w:eastAsia="zh-CN"/>
              </w:rPr>
              <w:t>29.06</w:t>
            </w:r>
          </w:p>
        </w:tc>
        <w:tc>
          <w:tcPr>
            <w:tcW w:w="160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40A11FF">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cs="宋体"/>
                <w:i w:val="0"/>
                <w:iCs w:val="0"/>
                <w:color w:val="000000"/>
                <w:kern w:val="0"/>
                <w:sz w:val="20"/>
                <w:szCs w:val="20"/>
                <w:u w:val="none"/>
                <w:lang w:val="en-US" w:eastAsia="zh-CN"/>
              </w:rPr>
              <w:t>29.06</w:t>
            </w:r>
          </w:p>
        </w:tc>
        <w:tc>
          <w:tcPr>
            <w:tcW w:w="2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9C4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r>
      <w:tr w14:paraId="2D1512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253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6DDDAA">
            <w:pPr>
              <w:jc w:val="center"/>
              <w:rPr>
                <w:rFonts w:hint="eastAsia" w:ascii="宋体" w:hAnsi="宋体" w:eastAsia="宋体" w:cs="宋体"/>
                <w:i w:val="0"/>
                <w:iCs w:val="0"/>
                <w:color w:val="000000"/>
                <w:sz w:val="20"/>
                <w:szCs w:val="20"/>
                <w:u w:val="none"/>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BC1C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w:t>
            </w:r>
            <w:r>
              <w:rPr>
                <w:rStyle w:val="29"/>
                <w:rFonts w:ascii="宋体" w:hAnsi="宋体" w:eastAsia="宋体" w:cs="宋体"/>
                <w:sz w:val="24"/>
                <w:szCs w:val="24"/>
                <w:lang w:val="en-US" w:eastAsia="zh-CN"/>
              </w:rPr>
              <w:t xml:space="preserve">  其他资金</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89982">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0.69</w:t>
            </w:r>
          </w:p>
        </w:tc>
        <w:tc>
          <w:tcPr>
            <w:tcW w:w="160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8F5C631">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0.69</w:t>
            </w:r>
          </w:p>
        </w:tc>
        <w:tc>
          <w:tcPr>
            <w:tcW w:w="2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53B13">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r>
      <w:tr w14:paraId="22CEC0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1" w:hRule="atLeast"/>
        </w:trPr>
        <w:tc>
          <w:tcPr>
            <w:tcW w:w="15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A8AE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总体目标完成情况</w:t>
            </w:r>
          </w:p>
        </w:tc>
        <w:tc>
          <w:tcPr>
            <w:tcW w:w="26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D8BAB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总体目标</w:t>
            </w:r>
          </w:p>
        </w:tc>
        <w:tc>
          <w:tcPr>
            <w:tcW w:w="409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C7CC4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全年实际完成情况</w:t>
            </w:r>
          </w:p>
        </w:tc>
      </w:tr>
      <w:tr w14:paraId="0E40EF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5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B53EF1">
            <w:pPr>
              <w:jc w:val="center"/>
              <w:rPr>
                <w:rFonts w:hint="eastAsia" w:ascii="宋体" w:hAnsi="宋体" w:eastAsia="宋体" w:cs="宋体"/>
                <w:i w:val="0"/>
                <w:iCs w:val="0"/>
                <w:color w:val="000000"/>
                <w:sz w:val="20"/>
                <w:szCs w:val="20"/>
                <w:u w:val="none"/>
              </w:rPr>
            </w:pPr>
          </w:p>
        </w:tc>
        <w:tc>
          <w:tcPr>
            <w:tcW w:w="26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82CC223">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w:t>
            </w:r>
            <w:r>
              <w:rPr>
                <w:rFonts w:hint="eastAsia" w:ascii="宋体" w:hAnsi="宋体" w:cs="宋体"/>
                <w:i w:val="0"/>
                <w:iCs w:val="0"/>
                <w:color w:val="000000"/>
                <w:kern w:val="0"/>
                <w:sz w:val="20"/>
                <w:szCs w:val="20"/>
                <w:u w:val="none"/>
                <w:lang w:val="en-US" w:eastAsia="zh-CN"/>
              </w:rPr>
              <w:t>、</w:t>
            </w:r>
            <w:r>
              <w:rPr>
                <w:rFonts w:hint="eastAsia" w:ascii="宋体" w:hAnsi="宋体" w:eastAsia="宋体" w:cs="宋体"/>
                <w:i w:val="0"/>
                <w:iCs w:val="0"/>
                <w:color w:val="000000"/>
                <w:kern w:val="0"/>
                <w:sz w:val="20"/>
                <w:szCs w:val="20"/>
                <w:u w:val="none"/>
                <w:lang w:val="en-US" w:eastAsia="zh-CN"/>
              </w:rPr>
              <w:t>免费向常住城乡居民提供12类国家基本公共卫生服务；</w:t>
            </w:r>
          </w:p>
          <w:p w14:paraId="13E6C98F">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2、开展对重点疾病及危害因素检测，有效控制疾病流行，为制定相关政策提供科学依据；</w:t>
            </w:r>
          </w:p>
          <w:p w14:paraId="1DF6B21C">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3、助力国家脱贫攻坚，保持重点地方病防治措施全面落实。</w:t>
            </w:r>
          </w:p>
          <w:p w14:paraId="3CB02353">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4、开展职业病检测，最大限度地保护放射工作人员，患者和公众的健康权益。</w:t>
            </w:r>
          </w:p>
          <w:p w14:paraId="05AE8D4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5、同时推进妇幼健康、健康素养促进、医养结合和老年健康服务、卫生应急、计划生育等方面工作。</w:t>
            </w:r>
          </w:p>
        </w:tc>
        <w:tc>
          <w:tcPr>
            <w:tcW w:w="409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44278C4">
            <w:pPr>
              <w:keepNext w:val="0"/>
              <w:keepLines w:val="0"/>
              <w:widowControl/>
              <w:suppressLineNumbers w:val="0"/>
              <w:spacing w:after="200" w:afterAutospacing="0"/>
              <w:jc w:val="left"/>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1.免费为辖区居民提供12类基本公共卫生服务。</w:t>
            </w:r>
          </w:p>
          <w:p w14:paraId="7786694D">
            <w:pPr>
              <w:keepNext w:val="0"/>
              <w:keepLines w:val="0"/>
              <w:widowControl/>
              <w:suppressLineNumbers w:val="0"/>
              <w:spacing w:after="200" w:afterAutospacing="0"/>
              <w:jc w:val="left"/>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2.开展对重点疾病及危害因素监测，有效控制疾病流行，为制定相关政策提供科学依据。重点疾病监测项目完成相应指标。</w:t>
            </w:r>
          </w:p>
          <w:p w14:paraId="456E0BB3">
            <w:pPr>
              <w:keepNext w:val="0"/>
              <w:keepLines w:val="0"/>
              <w:widowControl/>
              <w:suppressLineNumbers w:val="0"/>
              <w:spacing w:after="200" w:afterAutospacing="0"/>
              <w:jc w:val="left"/>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3.助力国家脱贫攻坚，保持重点地方病防治措施全面落实。完成地方病监测任务。</w:t>
            </w:r>
          </w:p>
          <w:p w14:paraId="3DFC43F5">
            <w:pPr>
              <w:keepNext w:val="0"/>
              <w:keepLines w:val="0"/>
              <w:widowControl/>
              <w:suppressLineNumbers w:val="0"/>
              <w:spacing w:after="200" w:afterAutospacing="0"/>
              <w:jc w:val="left"/>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4.全面完成职业病监测各项任务。最大限度地保护放射工作人员、患者和公众的健康权益。</w:t>
            </w:r>
          </w:p>
          <w:p w14:paraId="17116B3C">
            <w:pPr>
              <w:keepNext w:val="0"/>
              <w:keepLines w:val="0"/>
              <w:widowControl/>
              <w:suppressLineNumbers w:val="0"/>
              <w:spacing w:after="200" w:afterAutospacing="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5.推进妇幼健康、健康素养促进、医养结合和老年健康服务、卫生应急、计划生育等方面工作，确保各项指标达标及工作落实。</w:t>
            </w:r>
          </w:p>
        </w:tc>
      </w:tr>
      <w:tr w14:paraId="56F7CD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7" w:hRule="atLeast"/>
        </w:trPr>
        <w:tc>
          <w:tcPr>
            <w:tcW w:w="1510"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516F0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绩效指标</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EC30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一级</w:t>
            </w:r>
          </w:p>
          <w:p w14:paraId="0D2E08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指标</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401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二级指标</w:t>
            </w:r>
          </w:p>
        </w:tc>
        <w:tc>
          <w:tcPr>
            <w:tcW w:w="16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04B7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三级指标</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11D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指标值</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B47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全年实际完成值</w:t>
            </w:r>
          </w:p>
        </w:tc>
        <w:tc>
          <w:tcPr>
            <w:tcW w:w="24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B06C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未完成原因和改进措施</w:t>
            </w:r>
          </w:p>
        </w:tc>
      </w:tr>
      <w:tr w14:paraId="0D7EDD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9" w:hRule="atLeast"/>
        </w:trPr>
        <w:tc>
          <w:tcPr>
            <w:tcW w:w="151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599A760">
            <w:pPr>
              <w:jc w:val="center"/>
              <w:rPr>
                <w:rFonts w:hint="eastAsia" w:ascii="宋体" w:hAnsi="宋体" w:eastAsia="宋体" w:cs="宋体"/>
                <w:i w:val="0"/>
                <w:iCs w:val="0"/>
                <w:color w:val="000000"/>
                <w:sz w:val="20"/>
                <w:szCs w:val="20"/>
                <w:u w:val="none"/>
              </w:rPr>
            </w:pPr>
          </w:p>
        </w:tc>
        <w:tc>
          <w:tcPr>
            <w:tcW w:w="4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5EBC2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产</w:t>
            </w:r>
          </w:p>
          <w:p w14:paraId="5F1F9D6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出</w:t>
            </w:r>
          </w:p>
          <w:p w14:paraId="17D3EE4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指</w:t>
            </w:r>
          </w:p>
          <w:p w14:paraId="23B726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标</w:t>
            </w:r>
          </w:p>
        </w:tc>
        <w:tc>
          <w:tcPr>
            <w:tcW w:w="5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DB0E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数量指标</w:t>
            </w:r>
          </w:p>
        </w:tc>
        <w:tc>
          <w:tcPr>
            <w:tcW w:w="16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247D5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适龄儿童国家免疫规划疫苗接种率</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CB9F6">
            <w:pPr>
              <w:keepNext w:val="0"/>
              <w:keepLines w:val="0"/>
              <w:widowControl/>
              <w:suppressLineNumbers w:val="0"/>
              <w:jc w:val="center"/>
              <w:textAlignment w:val="center"/>
              <w:rPr>
                <w:rFonts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rPr>
              <w:t>≥</w:t>
            </w:r>
            <w:r>
              <w:rPr>
                <w:rFonts w:hint="eastAsia" w:ascii="宋体" w:hAnsi="宋体" w:eastAsia="宋体" w:cs="宋体"/>
                <w:i w:val="0"/>
                <w:iCs w:val="0"/>
                <w:color w:val="000000"/>
                <w:kern w:val="0"/>
                <w:sz w:val="20"/>
                <w:szCs w:val="20"/>
                <w:u w:val="none"/>
                <w:lang w:val="en-US" w:eastAsia="zh-CN"/>
              </w:rPr>
              <w:t>90%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88F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rPr>
              <w:t>100</w:t>
            </w:r>
            <w:r>
              <w:rPr>
                <w:rFonts w:hint="eastAsia" w:ascii="宋体" w:hAnsi="宋体" w:eastAsia="宋体" w:cs="宋体"/>
                <w:i w:val="0"/>
                <w:iCs w:val="0"/>
                <w:color w:val="000000"/>
                <w:kern w:val="0"/>
                <w:sz w:val="20"/>
                <w:szCs w:val="20"/>
                <w:u w:val="none"/>
                <w:lang w:val="en-US" w:eastAsia="zh-CN"/>
              </w:rPr>
              <w:t>%</w:t>
            </w:r>
          </w:p>
        </w:tc>
        <w:tc>
          <w:tcPr>
            <w:tcW w:w="24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C72FC2">
            <w:pPr>
              <w:jc w:val="left"/>
              <w:rPr>
                <w:rFonts w:hint="eastAsia" w:ascii="宋体" w:hAnsi="宋体" w:eastAsia="宋体" w:cs="宋体"/>
                <w:i w:val="0"/>
                <w:iCs w:val="0"/>
                <w:color w:val="000000"/>
                <w:sz w:val="20"/>
                <w:szCs w:val="20"/>
                <w:u w:val="none"/>
              </w:rPr>
            </w:pPr>
          </w:p>
        </w:tc>
      </w:tr>
      <w:tr w14:paraId="0F9837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7" w:hRule="atLeast"/>
        </w:trPr>
        <w:tc>
          <w:tcPr>
            <w:tcW w:w="151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E1131A3">
            <w:pPr>
              <w:jc w:val="center"/>
              <w:rPr>
                <w:rFonts w:hint="eastAsia" w:ascii="宋体" w:hAnsi="宋体" w:eastAsia="宋体" w:cs="宋体"/>
                <w:i w:val="0"/>
                <w:iCs w:val="0"/>
                <w:color w:val="000000"/>
                <w:sz w:val="20"/>
                <w:szCs w:val="20"/>
                <w:u w:val="none"/>
              </w:rPr>
            </w:pPr>
          </w:p>
        </w:tc>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AEC07F">
            <w:pPr>
              <w:jc w:val="center"/>
              <w:rPr>
                <w:rFonts w:hint="eastAsia" w:ascii="宋体" w:hAnsi="宋体" w:eastAsia="宋体" w:cs="宋体"/>
                <w:i w:val="0"/>
                <w:iCs w:val="0"/>
                <w:color w:val="000000"/>
                <w:sz w:val="20"/>
                <w:szCs w:val="20"/>
                <w:u w:val="none"/>
              </w:rPr>
            </w:pPr>
          </w:p>
        </w:tc>
        <w:tc>
          <w:tcPr>
            <w:tcW w:w="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3264BD">
            <w:pPr>
              <w:jc w:val="center"/>
              <w:rPr>
                <w:rFonts w:hint="eastAsia" w:ascii="宋体" w:hAnsi="宋体" w:eastAsia="宋体" w:cs="宋体"/>
                <w:i w:val="0"/>
                <w:iCs w:val="0"/>
                <w:color w:val="000000"/>
                <w:sz w:val="20"/>
                <w:szCs w:val="20"/>
                <w:u w:val="none"/>
              </w:rPr>
            </w:pPr>
          </w:p>
        </w:tc>
        <w:tc>
          <w:tcPr>
            <w:tcW w:w="16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4697A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7岁以下儿童健康管理率</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B02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≥85%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514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auto"/>
                <w:kern w:val="0"/>
                <w:sz w:val="20"/>
                <w:szCs w:val="20"/>
                <w:u w:val="none"/>
                <w:lang w:val="en-US" w:eastAsia="zh-CN"/>
              </w:rPr>
              <w:t>94%</w:t>
            </w:r>
          </w:p>
        </w:tc>
        <w:tc>
          <w:tcPr>
            <w:tcW w:w="24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03C72F">
            <w:pPr>
              <w:jc w:val="left"/>
              <w:rPr>
                <w:rFonts w:hint="eastAsia" w:ascii="宋体" w:hAnsi="宋体" w:eastAsia="宋体" w:cs="宋体"/>
                <w:i w:val="0"/>
                <w:iCs w:val="0"/>
                <w:color w:val="000000"/>
                <w:sz w:val="20"/>
                <w:szCs w:val="20"/>
                <w:u w:val="none"/>
              </w:rPr>
            </w:pPr>
          </w:p>
        </w:tc>
      </w:tr>
      <w:tr w14:paraId="7DDE53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151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F5CE82E">
            <w:pPr>
              <w:jc w:val="center"/>
              <w:rPr>
                <w:rFonts w:hint="eastAsia" w:ascii="宋体" w:hAnsi="宋体" w:eastAsia="宋体" w:cs="宋体"/>
                <w:i w:val="0"/>
                <w:iCs w:val="0"/>
                <w:color w:val="000000"/>
                <w:sz w:val="20"/>
                <w:szCs w:val="20"/>
                <w:u w:val="none"/>
              </w:rPr>
            </w:pPr>
          </w:p>
        </w:tc>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8BF63F">
            <w:pPr>
              <w:jc w:val="center"/>
              <w:rPr>
                <w:rFonts w:hint="eastAsia" w:ascii="宋体" w:hAnsi="宋体" w:eastAsia="宋体" w:cs="宋体"/>
                <w:i w:val="0"/>
                <w:iCs w:val="0"/>
                <w:color w:val="000000"/>
                <w:sz w:val="20"/>
                <w:szCs w:val="20"/>
                <w:u w:val="none"/>
              </w:rPr>
            </w:pPr>
          </w:p>
        </w:tc>
        <w:tc>
          <w:tcPr>
            <w:tcW w:w="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DA059A">
            <w:pPr>
              <w:jc w:val="center"/>
              <w:rPr>
                <w:rFonts w:hint="eastAsia" w:ascii="宋体" w:hAnsi="宋体" w:eastAsia="宋体" w:cs="宋体"/>
                <w:i w:val="0"/>
                <w:iCs w:val="0"/>
                <w:color w:val="000000"/>
                <w:sz w:val="20"/>
                <w:szCs w:val="20"/>
                <w:u w:val="none"/>
              </w:rPr>
            </w:pPr>
          </w:p>
        </w:tc>
        <w:tc>
          <w:tcPr>
            <w:tcW w:w="16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499B4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孕产妇系统管理率</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044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≥85%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CB3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98%</w:t>
            </w:r>
          </w:p>
        </w:tc>
        <w:tc>
          <w:tcPr>
            <w:tcW w:w="24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87FA11">
            <w:pPr>
              <w:jc w:val="left"/>
              <w:rPr>
                <w:rFonts w:hint="eastAsia" w:ascii="宋体" w:hAnsi="宋体" w:eastAsia="宋体" w:cs="宋体"/>
                <w:i w:val="0"/>
                <w:iCs w:val="0"/>
                <w:color w:val="000000"/>
                <w:sz w:val="20"/>
                <w:szCs w:val="20"/>
                <w:u w:val="none"/>
              </w:rPr>
            </w:pPr>
          </w:p>
        </w:tc>
      </w:tr>
      <w:tr w14:paraId="3A5315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151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8B1F7A2">
            <w:pPr>
              <w:jc w:val="center"/>
              <w:rPr>
                <w:rFonts w:hint="eastAsia" w:ascii="宋体" w:hAnsi="宋体" w:eastAsia="宋体" w:cs="宋体"/>
                <w:i w:val="0"/>
                <w:iCs w:val="0"/>
                <w:color w:val="000000"/>
                <w:sz w:val="20"/>
                <w:szCs w:val="20"/>
                <w:u w:val="none"/>
              </w:rPr>
            </w:pPr>
          </w:p>
        </w:tc>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9A3B6A">
            <w:pPr>
              <w:jc w:val="center"/>
              <w:rPr>
                <w:rFonts w:hint="eastAsia" w:ascii="宋体" w:hAnsi="宋体" w:eastAsia="宋体" w:cs="宋体"/>
                <w:i w:val="0"/>
                <w:iCs w:val="0"/>
                <w:color w:val="000000"/>
                <w:sz w:val="20"/>
                <w:szCs w:val="20"/>
                <w:u w:val="none"/>
              </w:rPr>
            </w:pPr>
          </w:p>
        </w:tc>
        <w:tc>
          <w:tcPr>
            <w:tcW w:w="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D4EF5E">
            <w:pPr>
              <w:jc w:val="center"/>
              <w:rPr>
                <w:rFonts w:hint="eastAsia" w:ascii="宋体" w:hAnsi="宋体" w:eastAsia="宋体" w:cs="宋体"/>
                <w:i w:val="0"/>
                <w:iCs w:val="0"/>
                <w:color w:val="000000"/>
                <w:sz w:val="20"/>
                <w:szCs w:val="20"/>
                <w:u w:val="none"/>
              </w:rPr>
            </w:pPr>
          </w:p>
        </w:tc>
        <w:tc>
          <w:tcPr>
            <w:tcW w:w="16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EC8A2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老年人健康管理率</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B72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≥69%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29E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81%</w:t>
            </w:r>
          </w:p>
        </w:tc>
        <w:tc>
          <w:tcPr>
            <w:tcW w:w="24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750999">
            <w:pPr>
              <w:jc w:val="left"/>
              <w:rPr>
                <w:rFonts w:hint="eastAsia" w:ascii="宋体" w:hAnsi="宋体" w:eastAsia="宋体" w:cs="宋体"/>
                <w:i w:val="0"/>
                <w:iCs w:val="0"/>
                <w:color w:val="000000"/>
                <w:sz w:val="20"/>
                <w:szCs w:val="20"/>
                <w:u w:val="none"/>
              </w:rPr>
            </w:pPr>
          </w:p>
        </w:tc>
      </w:tr>
      <w:tr w14:paraId="717C3A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151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881B83A">
            <w:pPr>
              <w:jc w:val="center"/>
              <w:rPr>
                <w:rFonts w:hint="eastAsia" w:ascii="宋体" w:hAnsi="宋体" w:eastAsia="宋体" w:cs="宋体"/>
                <w:i w:val="0"/>
                <w:iCs w:val="0"/>
                <w:color w:val="000000"/>
                <w:sz w:val="20"/>
                <w:szCs w:val="20"/>
                <w:u w:val="none"/>
              </w:rPr>
            </w:pPr>
          </w:p>
        </w:tc>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B49DC5">
            <w:pPr>
              <w:jc w:val="center"/>
              <w:rPr>
                <w:rFonts w:hint="eastAsia" w:ascii="宋体" w:hAnsi="宋体" w:eastAsia="宋体" w:cs="宋体"/>
                <w:i w:val="0"/>
                <w:iCs w:val="0"/>
                <w:color w:val="000000"/>
                <w:sz w:val="20"/>
                <w:szCs w:val="20"/>
                <w:u w:val="none"/>
              </w:rPr>
            </w:pPr>
          </w:p>
        </w:tc>
        <w:tc>
          <w:tcPr>
            <w:tcW w:w="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36A6C3">
            <w:pPr>
              <w:jc w:val="center"/>
              <w:rPr>
                <w:rFonts w:hint="eastAsia" w:ascii="宋体" w:hAnsi="宋体" w:eastAsia="宋体" w:cs="宋体"/>
                <w:i w:val="0"/>
                <w:iCs w:val="0"/>
                <w:color w:val="000000"/>
                <w:sz w:val="20"/>
                <w:szCs w:val="20"/>
                <w:u w:val="none"/>
              </w:rPr>
            </w:pPr>
          </w:p>
        </w:tc>
        <w:tc>
          <w:tcPr>
            <w:tcW w:w="16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63E40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高血压患者管理人数</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BA0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0.</w:t>
            </w:r>
            <w:r>
              <w:rPr>
                <w:rFonts w:hint="eastAsia" w:ascii="宋体" w:hAnsi="宋体" w:cs="宋体"/>
                <w:i w:val="0"/>
                <w:iCs w:val="0"/>
                <w:color w:val="000000"/>
                <w:kern w:val="0"/>
                <w:sz w:val="20"/>
                <w:szCs w:val="20"/>
                <w:u w:val="none"/>
                <w:lang w:val="en-US" w:eastAsia="zh-CN"/>
              </w:rPr>
              <w:t>1557</w:t>
            </w:r>
            <w:r>
              <w:rPr>
                <w:rFonts w:hint="eastAsia" w:ascii="宋体" w:hAnsi="宋体" w:eastAsia="宋体" w:cs="宋体"/>
                <w:i w:val="0"/>
                <w:iCs w:val="0"/>
                <w:color w:val="000000"/>
                <w:kern w:val="0"/>
                <w:sz w:val="20"/>
                <w:szCs w:val="20"/>
                <w:u w:val="none"/>
                <w:lang w:val="en-US" w:eastAsia="zh-CN"/>
              </w:rPr>
              <w:t>万人</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CA6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0.</w:t>
            </w:r>
            <w:r>
              <w:rPr>
                <w:rFonts w:hint="eastAsia" w:ascii="宋体" w:hAnsi="宋体" w:cs="宋体"/>
                <w:i w:val="0"/>
                <w:iCs w:val="0"/>
                <w:color w:val="000000"/>
                <w:kern w:val="0"/>
                <w:sz w:val="20"/>
                <w:szCs w:val="20"/>
                <w:u w:val="none"/>
                <w:lang w:val="en-US" w:eastAsia="zh-CN"/>
              </w:rPr>
              <w:t>1557</w:t>
            </w:r>
            <w:r>
              <w:rPr>
                <w:rFonts w:hint="eastAsia" w:ascii="宋体" w:hAnsi="宋体" w:eastAsia="宋体" w:cs="宋体"/>
                <w:i w:val="0"/>
                <w:iCs w:val="0"/>
                <w:color w:val="000000"/>
                <w:kern w:val="0"/>
                <w:sz w:val="20"/>
                <w:szCs w:val="20"/>
                <w:u w:val="none"/>
                <w:lang w:val="en-US" w:eastAsia="zh-CN"/>
              </w:rPr>
              <w:t>万人</w:t>
            </w:r>
          </w:p>
        </w:tc>
        <w:tc>
          <w:tcPr>
            <w:tcW w:w="24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41D531">
            <w:pPr>
              <w:jc w:val="left"/>
              <w:rPr>
                <w:rFonts w:hint="eastAsia" w:ascii="宋体" w:hAnsi="宋体" w:eastAsia="宋体" w:cs="宋体"/>
                <w:i w:val="0"/>
                <w:iCs w:val="0"/>
                <w:color w:val="000000"/>
                <w:sz w:val="20"/>
                <w:szCs w:val="20"/>
                <w:u w:val="none"/>
              </w:rPr>
            </w:pPr>
          </w:p>
        </w:tc>
      </w:tr>
      <w:tr w14:paraId="7575C7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1" w:hRule="atLeast"/>
        </w:trPr>
        <w:tc>
          <w:tcPr>
            <w:tcW w:w="151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173148D">
            <w:pPr>
              <w:jc w:val="center"/>
              <w:rPr>
                <w:rFonts w:hint="eastAsia" w:ascii="宋体" w:hAnsi="宋体" w:eastAsia="宋体" w:cs="宋体"/>
                <w:i w:val="0"/>
                <w:iCs w:val="0"/>
                <w:color w:val="000000"/>
                <w:sz w:val="20"/>
                <w:szCs w:val="20"/>
                <w:u w:val="none"/>
              </w:rPr>
            </w:pPr>
          </w:p>
        </w:tc>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C09F6E">
            <w:pPr>
              <w:jc w:val="center"/>
              <w:rPr>
                <w:rFonts w:hint="eastAsia" w:ascii="宋体" w:hAnsi="宋体" w:eastAsia="宋体" w:cs="宋体"/>
                <w:i w:val="0"/>
                <w:iCs w:val="0"/>
                <w:color w:val="000000"/>
                <w:sz w:val="20"/>
                <w:szCs w:val="20"/>
                <w:u w:val="none"/>
              </w:rPr>
            </w:pPr>
          </w:p>
        </w:tc>
        <w:tc>
          <w:tcPr>
            <w:tcW w:w="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CA6F96">
            <w:pPr>
              <w:jc w:val="center"/>
              <w:rPr>
                <w:rFonts w:hint="eastAsia" w:ascii="宋体" w:hAnsi="宋体" w:eastAsia="宋体" w:cs="宋体"/>
                <w:i w:val="0"/>
                <w:iCs w:val="0"/>
                <w:color w:val="000000"/>
                <w:sz w:val="20"/>
                <w:szCs w:val="20"/>
                <w:u w:val="none"/>
              </w:rPr>
            </w:pPr>
          </w:p>
        </w:tc>
        <w:tc>
          <w:tcPr>
            <w:tcW w:w="16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DC692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2型糖尿病患者管理人数</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0ED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0.0</w:t>
            </w:r>
            <w:r>
              <w:rPr>
                <w:rFonts w:hint="eastAsia" w:ascii="宋体" w:hAnsi="宋体" w:cs="宋体"/>
                <w:i w:val="0"/>
                <w:iCs w:val="0"/>
                <w:color w:val="000000"/>
                <w:kern w:val="0"/>
                <w:sz w:val="20"/>
                <w:szCs w:val="20"/>
                <w:u w:val="none"/>
                <w:lang w:val="en-US" w:eastAsia="zh-CN"/>
              </w:rPr>
              <w:t>318</w:t>
            </w:r>
            <w:r>
              <w:rPr>
                <w:rFonts w:hint="eastAsia" w:ascii="宋体" w:hAnsi="宋体" w:eastAsia="宋体" w:cs="宋体"/>
                <w:i w:val="0"/>
                <w:iCs w:val="0"/>
                <w:color w:val="000000"/>
                <w:kern w:val="0"/>
                <w:sz w:val="20"/>
                <w:szCs w:val="20"/>
                <w:u w:val="none"/>
                <w:lang w:val="en-US" w:eastAsia="zh-CN"/>
              </w:rPr>
              <w:t>万人</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D62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0.0</w:t>
            </w:r>
            <w:r>
              <w:rPr>
                <w:rFonts w:hint="eastAsia" w:ascii="宋体" w:hAnsi="宋体" w:cs="宋体"/>
                <w:i w:val="0"/>
                <w:iCs w:val="0"/>
                <w:color w:val="000000"/>
                <w:kern w:val="0"/>
                <w:sz w:val="20"/>
                <w:szCs w:val="20"/>
                <w:u w:val="none"/>
                <w:lang w:val="en-US" w:eastAsia="zh-CN"/>
              </w:rPr>
              <w:t>318</w:t>
            </w:r>
            <w:r>
              <w:rPr>
                <w:rFonts w:hint="eastAsia" w:ascii="宋体" w:hAnsi="宋体" w:eastAsia="宋体" w:cs="宋体"/>
                <w:i w:val="0"/>
                <w:iCs w:val="0"/>
                <w:color w:val="000000"/>
                <w:kern w:val="0"/>
                <w:sz w:val="20"/>
                <w:szCs w:val="20"/>
                <w:u w:val="none"/>
                <w:lang w:val="en-US" w:eastAsia="zh-CN"/>
              </w:rPr>
              <w:t>万人</w:t>
            </w:r>
          </w:p>
        </w:tc>
        <w:tc>
          <w:tcPr>
            <w:tcW w:w="24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14429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r>
      <w:tr w14:paraId="74C9F7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151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FC73625">
            <w:pPr>
              <w:jc w:val="center"/>
              <w:rPr>
                <w:rFonts w:hint="eastAsia" w:ascii="宋体" w:hAnsi="宋体" w:eastAsia="宋体" w:cs="宋体"/>
                <w:i w:val="0"/>
                <w:iCs w:val="0"/>
                <w:color w:val="000000"/>
                <w:sz w:val="20"/>
                <w:szCs w:val="20"/>
                <w:u w:val="none"/>
              </w:rPr>
            </w:pPr>
          </w:p>
        </w:tc>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07BD61">
            <w:pPr>
              <w:jc w:val="center"/>
              <w:rPr>
                <w:rFonts w:hint="eastAsia" w:ascii="宋体" w:hAnsi="宋体" w:eastAsia="宋体" w:cs="宋体"/>
                <w:i w:val="0"/>
                <w:iCs w:val="0"/>
                <w:color w:val="000000"/>
                <w:sz w:val="20"/>
                <w:szCs w:val="20"/>
                <w:u w:val="none"/>
              </w:rPr>
            </w:pPr>
          </w:p>
        </w:tc>
        <w:tc>
          <w:tcPr>
            <w:tcW w:w="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0C2C21">
            <w:pPr>
              <w:jc w:val="center"/>
              <w:rPr>
                <w:rFonts w:hint="eastAsia" w:ascii="宋体" w:hAnsi="宋体" w:eastAsia="宋体" w:cs="宋体"/>
                <w:i w:val="0"/>
                <w:iCs w:val="0"/>
                <w:color w:val="000000"/>
                <w:sz w:val="20"/>
                <w:szCs w:val="20"/>
                <w:u w:val="none"/>
              </w:rPr>
            </w:pPr>
          </w:p>
        </w:tc>
        <w:tc>
          <w:tcPr>
            <w:tcW w:w="16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FAA0D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老年人中医药健康管理率</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E34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≥55%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833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rPr>
              <w:t>80</w:t>
            </w:r>
            <w:r>
              <w:rPr>
                <w:rFonts w:hint="eastAsia" w:ascii="宋体" w:hAnsi="宋体" w:eastAsia="宋体" w:cs="宋体"/>
                <w:i w:val="0"/>
                <w:iCs w:val="0"/>
                <w:color w:val="000000"/>
                <w:kern w:val="0"/>
                <w:sz w:val="20"/>
                <w:szCs w:val="20"/>
                <w:u w:val="none"/>
                <w:lang w:val="en-US" w:eastAsia="zh-CN"/>
              </w:rPr>
              <w:t>%</w:t>
            </w:r>
          </w:p>
        </w:tc>
        <w:tc>
          <w:tcPr>
            <w:tcW w:w="24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DFD091">
            <w:pPr>
              <w:jc w:val="center"/>
              <w:rPr>
                <w:rFonts w:hint="eastAsia" w:ascii="宋体" w:hAnsi="宋体" w:eastAsia="宋体" w:cs="宋体"/>
                <w:i w:val="0"/>
                <w:iCs w:val="0"/>
                <w:color w:val="000000"/>
                <w:sz w:val="20"/>
                <w:szCs w:val="20"/>
                <w:u w:val="none"/>
              </w:rPr>
            </w:pPr>
          </w:p>
        </w:tc>
      </w:tr>
      <w:tr w14:paraId="253726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151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0BD83DA">
            <w:pPr>
              <w:jc w:val="center"/>
              <w:rPr>
                <w:rFonts w:hint="eastAsia" w:ascii="宋体" w:hAnsi="宋体" w:eastAsia="宋体" w:cs="宋体"/>
                <w:i w:val="0"/>
                <w:iCs w:val="0"/>
                <w:color w:val="000000"/>
                <w:sz w:val="20"/>
                <w:szCs w:val="20"/>
                <w:u w:val="none"/>
              </w:rPr>
            </w:pPr>
          </w:p>
        </w:tc>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ABEF9B">
            <w:pPr>
              <w:jc w:val="center"/>
              <w:rPr>
                <w:rFonts w:hint="eastAsia" w:ascii="宋体" w:hAnsi="宋体" w:eastAsia="宋体" w:cs="宋体"/>
                <w:i w:val="0"/>
                <w:iCs w:val="0"/>
                <w:color w:val="000000"/>
                <w:sz w:val="20"/>
                <w:szCs w:val="20"/>
                <w:u w:val="none"/>
              </w:rPr>
            </w:pPr>
          </w:p>
        </w:tc>
        <w:tc>
          <w:tcPr>
            <w:tcW w:w="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0D4191">
            <w:pPr>
              <w:jc w:val="center"/>
              <w:rPr>
                <w:rFonts w:hint="eastAsia" w:ascii="宋体" w:hAnsi="宋体" w:eastAsia="宋体" w:cs="宋体"/>
                <w:i w:val="0"/>
                <w:iCs w:val="0"/>
                <w:color w:val="000000"/>
                <w:sz w:val="20"/>
                <w:szCs w:val="20"/>
                <w:u w:val="none"/>
              </w:rPr>
            </w:pPr>
          </w:p>
        </w:tc>
        <w:tc>
          <w:tcPr>
            <w:tcW w:w="16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95D0E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儿童中医药健康管理率</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A45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≥55%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D10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rPr>
              <w:t>100</w:t>
            </w:r>
            <w:r>
              <w:rPr>
                <w:rFonts w:hint="eastAsia" w:ascii="宋体" w:hAnsi="宋体" w:eastAsia="宋体" w:cs="宋体"/>
                <w:i w:val="0"/>
                <w:iCs w:val="0"/>
                <w:color w:val="000000"/>
                <w:kern w:val="0"/>
                <w:sz w:val="20"/>
                <w:szCs w:val="20"/>
                <w:u w:val="none"/>
                <w:lang w:val="en-US" w:eastAsia="zh-CN"/>
              </w:rPr>
              <w:t>%</w:t>
            </w:r>
          </w:p>
        </w:tc>
        <w:tc>
          <w:tcPr>
            <w:tcW w:w="24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048D1F">
            <w:pPr>
              <w:jc w:val="center"/>
              <w:rPr>
                <w:rFonts w:hint="eastAsia" w:ascii="宋体" w:hAnsi="宋体" w:eastAsia="宋体" w:cs="宋体"/>
                <w:i w:val="0"/>
                <w:iCs w:val="0"/>
                <w:color w:val="000000"/>
                <w:sz w:val="20"/>
                <w:szCs w:val="20"/>
                <w:u w:val="none"/>
              </w:rPr>
            </w:pPr>
          </w:p>
        </w:tc>
      </w:tr>
      <w:tr w14:paraId="002577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151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52437D4">
            <w:pPr>
              <w:jc w:val="center"/>
              <w:rPr>
                <w:rFonts w:hint="eastAsia" w:ascii="宋体" w:hAnsi="宋体" w:eastAsia="宋体" w:cs="宋体"/>
                <w:i w:val="0"/>
                <w:iCs w:val="0"/>
                <w:color w:val="000000"/>
                <w:sz w:val="20"/>
                <w:szCs w:val="20"/>
                <w:u w:val="none"/>
              </w:rPr>
            </w:pPr>
          </w:p>
        </w:tc>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4EF4AE">
            <w:pPr>
              <w:jc w:val="center"/>
              <w:rPr>
                <w:rFonts w:hint="eastAsia" w:ascii="宋体" w:hAnsi="宋体" w:eastAsia="宋体" w:cs="宋体"/>
                <w:i w:val="0"/>
                <w:iCs w:val="0"/>
                <w:color w:val="000000"/>
                <w:sz w:val="20"/>
                <w:szCs w:val="20"/>
                <w:u w:val="none"/>
              </w:rPr>
            </w:pPr>
          </w:p>
        </w:tc>
        <w:tc>
          <w:tcPr>
            <w:tcW w:w="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C54ABC">
            <w:pPr>
              <w:jc w:val="center"/>
              <w:rPr>
                <w:rFonts w:hint="eastAsia" w:ascii="宋体" w:hAnsi="宋体" w:eastAsia="宋体" w:cs="宋体"/>
                <w:i w:val="0"/>
                <w:iCs w:val="0"/>
                <w:color w:val="000000"/>
                <w:sz w:val="20"/>
                <w:szCs w:val="20"/>
                <w:u w:val="none"/>
              </w:rPr>
            </w:pPr>
          </w:p>
        </w:tc>
        <w:tc>
          <w:tcPr>
            <w:tcW w:w="16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F30AB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地方病监测完成率</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E18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A93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24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274367">
            <w:pPr>
              <w:jc w:val="center"/>
              <w:rPr>
                <w:rFonts w:hint="eastAsia" w:ascii="宋体" w:hAnsi="宋体" w:eastAsia="宋体" w:cs="宋体"/>
                <w:i w:val="0"/>
                <w:iCs w:val="0"/>
                <w:color w:val="000000"/>
                <w:sz w:val="20"/>
                <w:szCs w:val="20"/>
                <w:u w:val="none"/>
              </w:rPr>
            </w:pPr>
          </w:p>
        </w:tc>
      </w:tr>
      <w:tr w14:paraId="4D479A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2" w:hRule="atLeast"/>
        </w:trPr>
        <w:tc>
          <w:tcPr>
            <w:tcW w:w="151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9078654">
            <w:pPr>
              <w:jc w:val="center"/>
              <w:rPr>
                <w:rFonts w:hint="eastAsia" w:ascii="宋体" w:hAnsi="宋体" w:eastAsia="宋体" w:cs="宋体"/>
                <w:i w:val="0"/>
                <w:iCs w:val="0"/>
                <w:color w:val="000000"/>
                <w:sz w:val="20"/>
                <w:szCs w:val="20"/>
                <w:u w:val="none"/>
              </w:rPr>
            </w:pPr>
          </w:p>
        </w:tc>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7E2F5F">
            <w:pPr>
              <w:jc w:val="center"/>
              <w:rPr>
                <w:rFonts w:hint="eastAsia" w:ascii="宋体" w:hAnsi="宋体" w:eastAsia="宋体" w:cs="宋体"/>
                <w:i w:val="0"/>
                <w:iCs w:val="0"/>
                <w:color w:val="000000"/>
                <w:sz w:val="20"/>
                <w:szCs w:val="20"/>
                <w:u w:val="none"/>
              </w:rPr>
            </w:pPr>
          </w:p>
        </w:tc>
        <w:tc>
          <w:tcPr>
            <w:tcW w:w="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CF42EE">
            <w:pPr>
              <w:jc w:val="center"/>
              <w:rPr>
                <w:rFonts w:hint="eastAsia" w:ascii="宋体" w:hAnsi="宋体" w:eastAsia="宋体" w:cs="宋体"/>
                <w:i w:val="0"/>
                <w:iCs w:val="0"/>
                <w:color w:val="000000"/>
                <w:sz w:val="20"/>
                <w:szCs w:val="20"/>
                <w:u w:val="none"/>
              </w:rPr>
            </w:pPr>
          </w:p>
        </w:tc>
        <w:tc>
          <w:tcPr>
            <w:tcW w:w="16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8DC82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贫困地区儿童营养改善国家级贫困县覆盖率</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3E4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D80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24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C41A49">
            <w:pPr>
              <w:jc w:val="center"/>
              <w:rPr>
                <w:rFonts w:hint="eastAsia" w:ascii="宋体" w:hAnsi="宋体" w:eastAsia="宋体" w:cs="宋体"/>
                <w:i w:val="0"/>
                <w:iCs w:val="0"/>
                <w:color w:val="000000"/>
                <w:sz w:val="20"/>
                <w:szCs w:val="20"/>
                <w:u w:val="none"/>
              </w:rPr>
            </w:pPr>
          </w:p>
        </w:tc>
      </w:tr>
      <w:tr w14:paraId="762E62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151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2B8EB83">
            <w:pPr>
              <w:jc w:val="center"/>
              <w:rPr>
                <w:rFonts w:hint="eastAsia" w:ascii="宋体" w:hAnsi="宋体" w:eastAsia="宋体" w:cs="宋体"/>
                <w:i w:val="0"/>
                <w:iCs w:val="0"/>
                <w:color w:val="000000"/>
                <w:sz w:val="20"/>
                <w:szCs w:val="20"/>
                <w:u w:val="none"/>
              </w:rPr>
            </w:pPr>
          </w:p>
        </w:tc>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483F2B">
            <w:pPr>
              <w:jc w:val="center"/>
              <w:rPr>
                <w:rFonts w:hint="eastAsia" w:ascii="宋体" w:hAnsi="宋体" w:eastAsia="宋体" w:cs="宋体"/>
                <w:i w:val="0"/>
                <w:iCs w:val="0"/>
                <w:color w:val="000000"/>
                <w:sz w:val="20"/>
                <w:szCs w:val="20"/>
                <w:u w:val="none"/>
              </w:rPr>
            </w:pPr>
          </w:p>
        </w:tc>
        <w:tc>
          <w:tcPr>
            <w:tcW w:w="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045686">
            <w:pPr>
              <w:jc w:val="center"/>
              <w:rPr>
                <w:rFonts w:hint="eastAsia" w:ascii="宋体" w:hAnsi="宋体" w:eastAsia="宋体" w:cs="宋体"/>
                <w:i w:val="0"/>
                <w:iCs w:val="0"/>
                <w:color w:val="000000"/>
                <w:sz w:val="20"/>
                <w:szCs w:val="20"/>
                <w:u w:val="none"/>
              </w:rPr>
            </w:pPr>
          </w:p>
        </w:tc>
        <w:tc>
          <w:tcPr>
            <w:tcW w:w="16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6C820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麻风病按规定随访到位率</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AB2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CCF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24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0E1E10">
            <w:pPr>
              <w:jc w:val="center"/>
              <w:rPr>
                <w:rFonts w:hint="eastAsia" w:ascii="宋体" w:hAnsi="宋体" w:eastAsia="宋体" w:cs="宋体"/>
                <w:i w:val="0"/>
                <w:iCs w:val="0"/>
                <w:color w:val="000000"/>
                <w:sz w:val="20"/>
                <w:szCs w:val="20"/>
                <w:u w:val="none"/>
              </w:rPr>
            </w:pPr>
          </w:p>
        </w:tc>
      </w:tr>
      <w:tr w14:paraId="0E143B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7" w:hRule="atLeast"/>
        </w:trPr>
        <w:tc>
          <w:tcPr>
            <w:tcW w:w="151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8865B42">
            <w:pPr>
              <w:jc w:val="center"/>
              <w:rPr>
                <w:rFonts w:hint="eastAsia" w:ascii="宋体" w:hAnsi="宋体" w:eastAsia="宋体" w:cs="宋体"/>
                <w:i w:val="0"/>
                <w:iCs w:val="0"/>
                <w:color w:val="000000"/>
                <w:sz w:val="20"/>
                <w:szCs w:val="20"/>
                <w:u w:val="none"/>
              </w:rPr>
            </w:pPr>
          </w:p>
        </w:tc>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55FBCE">
            <w:pPr>
              <w:jc w:val="center"/>
              <w:rPr>
                <w:rFonts w:hint="eastAsia" w:ascii="宋体" w:hAnsi="宋体" w:eastAsia="宋体" w:cs="宋体"/>
                <w:i w:val="0"/>
                <w:iCs w:val="0"/>
                <w:color w:val="000000"/>
                <w:sz w:val="20"/>
                <w:szCs w:val="20"/>
                <w:u w:val="none"/>
              </w:rPr>
            </w:pPr>
          </w:p>
        </w:tc>
        <w:tc>
          <w:tcPr>
            <w:tcW w:w="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768781">
            <w:pPr>
              <w:jc w:val="center"/>
              <w:rPr>
                <w:rFonts w:hint="eastAsia" w:ascii="宋体" w:hAnsi="宋体" w:eastAsia="宋体" w:cs="宋体"/>
                <w:i w:val="0"/>
                <w:iCs w:val="0"/>
                <w:color w:val="000000"/>
                <w:sz w:val="20"/>
                <w:szCs w:val="20"/>
                <w:u w:val="none"/>
              </w:rPr>
            </w:pPr>
          </w:p>
        </w:tc>
        <w:tc>
          <w:tcPr>
            <w:tcW w:w="16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D2026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目标人群叶酸服用率</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14B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329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94.5%</w:t>
            </w:r>
          </w:p>
        </w:tc>
        <w:tc>
          <w:tcPr>
            <w:tcW w:w="24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18664E">
            <w:pPr>
              <w:jc w:val="center"/>
              <w:rPr>
                <w:rFonts w:hint="eastAsia" w:ascii="宋体" w:hAnsi="宋体" w:eastAsia="宋体" w:cs="宋体"/>
                <w:i w:val="0"/>
                <w:iCs w:val="0"/>
                <w:color w:val="000000"/>
                <w:sz w:val="20"/>
                <w:szCs w:val="20"/>
                <w:u w:val="none"/>
              </w:rPr>
            </w:pPr>
          </w:p>
        </w:tc>
      </w:tr>
      <w:tr w14:paraId="436D79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9" w:hRule="atLeast"/>
        </w:trPr>
        <w:tc>
          <w:tcPr>
            <w:tcW w:w="151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425033A">
            <w:pPr>
              <w:jc w:val="center"/>
              <w:rPr>
                <w:rFonts w:hint="eastAsia" w:ascii="宋体" w:hAnsi="宋体" w:eastAsia="宋体" w:cs="宋体"/>
                <w:i w:val="0"/>
                <w:iCs w:val="0"/>
                <w:color w:val="000000"/>
                <w:sz w:val="20"/>
                <w:szCs w:val="20"/>
                <w:u w:val="none"/>
              </w:rPr>
            </w:pPr>
          </w:p>
        </w:tc>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BD35A6">
            <w:pPr>
              <w:jc w:val="center"/>
              <w:rPr>
                <w:rFonts w:hint="eastAsia" w:ascii="宋体" w:hAnsi="宋体" w:eastAsia="宋体" w:cs="宋体"/>
                <w:i w:val="0"/>
                <w:iCs w:val="0"/>
                <w:color w:val="000000"/>
                <w:sz w:val="20"/>
                <w:szCs w:val="20"/>
                <w:u w:val="none"/>
              </w:rPr>
            </w:pPr>
          </w:p>
        </w:tc>
        <w:tc>
          <w:tcPr>
            <w:tcW w:w="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FA5A84">
            <w:pPr>
              <w:jc w:val="center"/>
              <w:rPr>
                <w:rFonts w:hint="eastAsia" w:ascii="宋体" w:hAnsi="宋体" w:eastAsia="宋体" w:cs="宋体"/>
                <w:i w:val="0"/>
                <w:iCs w:val="0"/>
                <w:color w:val="000000"/>
                <w:sz w:val="20"/>
                <w:szCs w:val="20"/>
                <w:u w:val="none"/>
              </w:rPr>
            </w:pPr>
          </w:p>
        </w:tc>
        <w:tc>
          <w:tcPr>
            <w:tcW w:w="16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8913D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孕前优生健康检查目标人群覆盖率</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581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≥80%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1C6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w:t>
            </w:r>
            <w:r>
              <w:rPr>
                <w:rFonts w:hint="eastAsia" w:ascii="宋体" w:hAnsi="宋体" w:cs="宋体"/>
                <w:i w:val="0"/>
                <w:iCs w:val="0"/>
                <w:color w:val="000000"/>
                <w:kern w:val="0"/>
                <w:sz w:val="20"/>
                <w:szCs w:val="20"/>
                <w:u w:val="none"/>
                <w:lang w:val="en-US" w:eastAsia="zh-CN"/>
              </w:rPr>
              <w:t>0</w:t>
            </w:r>
            <w:r>
              <w:rPr>
                <w:rFonts w:hint="eastAsia" w:ascii="宋体" w:hAnsi="宋体" w:eastAsia="宋体" w:cs="宋体"/>
                <w:i w:val="0"/>
                <w:iCs w:val="0"/>
                <w:color w:val="000000"/>
                <w:kern w:val="0"/>
                <w:sz w:val="20"/>
                <w:szCs w:val="20"/>
                <w:u w:val="none"/>
                <w:lang w:val="en-US" w:eastAsia="zh-CN"/>
              </w:rPr>
              <w:t>%</w:t>
            </w:r>
          </w:p>
        </w:tc>
        <w:tc>
          <w:tcPr>
            <w:tcW w:w="24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36A480">
            <w:pPr>
              <w:jc w:val="center"/>
              <w:rPr>
                <w:rFonts w:hint="eastAsia" w:ascii="宋体" w:hAnsi="宋体" w:eastAsia="宋体" w:cs="宋体"/>
                <w:i w:val="0"/>
                <w:iCs w:val="0"/>
                <w:color w:val="000000"/>
                <w:sz w:val="20"/>
                <w:szCs w:val="20"/>
                <w:u w:val="none"/>
              </w:rPr>
            </w:pPr>
          </w:p>
        </w:tc>
      </w:tr>
      <w:tr w14:paraId="2A3B86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2" w:hRule="atLeast"/>
        </w:trPr>
        <w:tc>
          <w:tcPr>
            <w:tcW w:w="151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DB2FF6D">
            <w:pPr>
              <w:jc w:val="center"/>
              <w:rPr>
                <w:rFonts w:hint="eastAsia" w:ascii="宋体" w:hAnsi="宋体" w:eastAsia="宋体" w:cs="宋体"/>
                <w:i w:val="0"/>
                <w:iCs w:val="0"/>
                <w:color w:val="000000"/>
                <w:sz w:val="20"/>
                <w:szCs w:val="20"/>
                <w:u w:val="none"/>
              </w:rPr>
            </w:pPr>
          </w:p>
        </w:tc>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CFDD11">
            <w:pPr>
              <w:jc w:val="center"/>
              <w:rPr>
                <w:rFonts w:hint="eastAsia" w:ascii="宋体" w:hAnsi="宋体" w:eastAsia="宋体" w:cs="宋体"/>
                <w:i w:val="0"/>
                <w:iCs w:val="0"/>
                <w:color w:val="000000"/>
                <w:sz w:val="20"/>
                <w:szCs w:val="20"/>
                <w:u w:val="none"/>
              </w:rPr>
            </w:pPr>
          </w:p>
        </w:tc>
        <w:tc>
          <w:tcPr>
            <w:tcW w:w="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C87DF7">
            <w:pPr>
              <w:jc w:val="center"/>
              <w:rPr>
                <w:rFonts w:hint="eastAsia" w:ascii="宋体" w:hAnsi="宋体" w:eastAsia="宋体" w:cs="宋体"/>
                <w:i w:val="0"/>
                <w:iCs w:val="0"/>
                <w:color w:val="000000"/>
                <w:sz w:val="20"/>
                <w:szCs w:val="20"/>
                <w:u w:val="none"/>
              </w:rPr>
            </w:pPr>
          </w:p>
        </w:tc>
        <w:tc>
          <w:tcPr>
            <w:tcW w:w="16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8DCCB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农村妇女“两癌”检查目标任务完成率</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F8A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AE5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102%</w:t>
            </w:r>
          </w:p>
        </w:tc>
        <w:tc>
          <w:tcPr>
            <w:tcW w:w="24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C4B3D7">
            <w:pPr>
              <w:jc w:val="center"/>
              <w:rPr>
                <w:rFonts w:hint="eastAsia" w:ascii="宋体" w:hAnsi="宋体" w:eastAsia="宋体" w:cs="宋体"/>
                <w:i w:val="0"/>
                <w:iCs w:val="0"/>
                <w:color w:val="000000"/>
                <w:sz w:val="20"/>
                <w:szCs w:val="20"/>
                <w:u w:val="none"/>
              </w:rPr>
            </w:pPr>
          </w:p>
        </w:tc>
      </w:tr>
      <w:tr w14:paraId="7F0733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9" w:hRule="atLeast"/>
        </w:trPr>
        <w:tc>
          <w:tcPr>
            <w:tcW w:w="151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362880B">
            <w:pPr>
              <w:jc w:val="center"/>
              <w:rPr>
                <w:rFonts w:hint="eastAsia" w:ascii="宋体" w:hAnsi="宋体" w:eastAsia="宋体" w:cs="宋体"/>
                <w:i w:val="0"/>
                <w:iCs w:val="0"/>
                <w:color w:val="000000"/>
                <w:sz w:val="20"/>
                <w:szCs w:val="20"/>
                <w:u w:val="none"/>
              </w:rPr>
            </w:pPr>
          </w:p>
        </w:tc>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182FC9">
            <w:pPr>
              <w:jc w:val="center"/>
              <w:rPr>
                <w:rFonts w:hint="eastAsia" w:ascii="宋体" w:hAnsi="宋体" w:eastAsia="宋体" w:cs="宋体"/>
                <w:i w:val="0"/>
                <w:iCs w:val="0"/>
                <w:color w:val="000000"/>
                <w:sz w:val="20"/>
                <w:szCs w:val="20"/>
                <w:u w:val="none"/>
              </w:rPr>
            </w:pPr>
          </w:p>
        </w:tc>
        <w:tc>
          <w:tcPr>
            <w:tcW w:w="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C64C10">
            <w:pPr>
              <w:jc w:val="center"/>
              <w:rPr>
                <w:rFonts w:hint="eastAsia" w:ascii="宋体" w:hAnsi="宋体" w:eastAsia="宋体" w:cs="宋体"/>
                <w:i w:val="0"/>
                <w:iCs w:val="0"/>
                <w:color w:val="000000"/>
                <w:sz w:val="20"/>
                <w:szCs w:val="20"/>
                <w:u w:val="none"/>
              </w:rPr>
            </w:pPr>
          </w:p>
        </w:tc>
        <w:tc>
          <w:tcPr>
            <w:tcW w:w="16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0DDDA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完成国家和省级双随机抽检任务</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34C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4D0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24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D86E31">
            <w:pPr>
              <w:jc w:val="center"/>
              <w:rPr>
                <w:rFonts w:hint="eastAsia" w:ascii="宋体" w:hAnsi="宋体" w:eastAsia="宋体" w:cs="宋体"/>
                <w:i w:val="0"/>
                <w:iCs w:val="0"/>
                <w:color w:val="000000"/>
                <w:sz w:val="20"/>
                <w:szCs w:val="20"/>
                <w:u w:val="none"/>
              </w:rPr>
            </w:pPr>
          </w:p>
        </w:tc>
      </w:tr>
      <w:tr w14:paraId="364661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9" w:hRule="atLeast"/>
        </w:trPr>
        <w:tc>
          <w:tcPr>
            <w:tcW w:w="151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E5ED987">
            <w:pPr>
              <w:jc w:val="center"/>
              <w:rPr>
                <w:rFonts w:hint="eastAsia" w:ascii="宋体" w:hAnsi="宋体" w:eastAsia="宋体" w:cs="宋体"/>
                <w:i w:val="0"/>
                <w:iCs w:val="0"/>
                <w:color w:val="000000"/>
                <w:sz w:val="20"/>
                <w:szCs w:val="20"/>
                <w:u w:val="none"/>
              </w:rPr>
            </w:pPr>
          </w:p>
        </w:tc>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A8BA0B">
            <w:pPr>
              <w:jc w:val="center"/>
              <w:rPr>
                <w:rFonts w:hint="eastAsia" w:ascii="宋体" w:hAnsi="宋体" w:eastAsia="宋体" w:cs="宋体"/>
                <w:i w:val="0"/>
                <w:iCs w:val="0"/>
                <w:color w:val="000000"/>
                <w:sz w:val="20"/>
                <w:szCs w:val="20"/>
                <w:u w:val="none"/>
              </w:rPr>
            </w:pPr>
          </w:p>
        </w:tc>
        <w:tc>
          <w:tcPr>
            <w:tcW w:w="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859C83">
            <w:pPr>
              <w:jc w:val="center"/>
              <w:rPr>
                <w:rFonts w:hint="eastAsia" w:ascii="宋体" w:hAnsi="宋体" w:eastAsia="宋体" w:cs="宋体"/>
                <w:i w:val="0"/>
                <w:iCs w:val="0"/>
                <w:color w:val="000000"/>
                <w:sz w:val="20"/>
                <w:szCs w:val="20"/>
                <w:u w:val="none"/>
              </w:rPr>
            </w:pPr>
          </w:p>
        </w:tc>
        <w:tc>
          <w:tcPr>
            <w:tcW w:w="16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331F8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65岁及以上老年人医养结合服务率</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4FE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70B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50%</w:t>
            </w:r>
          </w:p>
        </w:tc>
        <w:tc>
          <w:tcPr>
            <w:tcW w:w="24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E642DA">
            <w:pPr>
              <w:jc w:val="center"/>
              <w:rPr>
                <w:rFonts w:hint="eastAsia" w:ascii="宋体" w:hAnsi="宋体" w:eastAsia="宋体" w:cs="宋体"/>
                <w:i w:val="0"/>
                <w:iCs w:val="0"/>
                <w:color w:val="000000"/>
                <w:sz w:val="20"/>
                <w:szCs w:val="20"/>
                <w:u w:val="none"/>
              </w:rPr>
            </w:pPr>
          </w:p>
        </w:tc>
      </w:tr>
      <w:tr w14:paraId="2C9EFF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9" w:hRule="atLeast"/>
        </w:trPr>
        <w:tc>
          <w:tcPr>
            <w:tcW w:w="151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C695975">
            <w:pPr>
              <w:jc w:val="center"/>
              <w:rPr>
                <w:rFonts w:hint="eastAsia" w:ascii="宋体" w:hAnsi="宋体" w:eastAsia="宋体" w:cs="宋体"/>
                <w:i w:val="0"/>
                <w:iCs w:val="0"/>
                <w:color w:val="000000"/>
                <w:sz w:val="20"/>
                <w:szCs w:val="20"/>
                <w:u w:val="none"/>
              </w:rPr>
            </w:pPr>
          </w:p>
        </w:tc>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6A32E8">
            <w:pPr>
              <w:jc w:val="center"/>
              <w:rPr>
                <w:rFonts w:hint="eastAsia" w:ascii="宋体" w:hAnsi="宋体" w:eastAsia="宋体" w:cs="宋体"/>
                <w:i w:val="0"/>
                <w:iCs w:val="0"/>
                <w:color w:val="000000"/>
                <w:sz w:val="20"/>
                <w:szCs w:val="20"/>
                <w:u w:val="none"/>
              </w:rPr>
            </w:pPr>
          </w:p>
        </w:tc>
        <w:tc>
          <w:tcPr>
            <w:tcW w:w="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431713">
            <w:pPr>
              <w:jc w:val="center"/>
              <w:rPr>
                <w:rFonts w:hint="eastAsia" w:ascii="宋体" w:hAnsi="宋体" w:eastAsia="宋体" w:cs="宋体"/>
                <w:i w:val="0"/>
                <w:iCs w:val="0"/>
                <w:color w:val="000000"/>
                <w:sz w:val="20"/>
                <w:szCs w:val="20"/>
                <w:u w:val="none"/>
              </w:rPr>
            </w:pPr>
          </w:p>
        </w:tc>
        <w:tc>
          <w:tcPr>
            <w:tcW w:w="16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B56F5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65岁以上失能老年人健康服务率</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9DC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0DB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45%</w:t>
            </w:r>
          </w:p>
        </w:tc>
        <w:tc>
          <w:tcPr>
            <w:tcW w:w="24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ABBA7E">
            <w:pPr>
              <w:jc w:val="center"/>
              <w:rPr>
                <w:rFonts w:hint="eastAsia" w:ascii="宋体" w:hAnsi="宋体" w:eastAsia="宋体" w:cs="宋体"/>
                <w:i w:val="0"/>
                <w:iCs w:val="0"/>
                <w:color w:val="000000"/>
                <w:sz w:val="20"/>
                <w:szCs w:val="20"/>
                <w:u w:val="none"/>
              </w:rPr>
            </w:pPr>
          </w:p>
        </w:tc>
      </w:tr>
      <w:tr w14:paraId="36AF25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151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65268D1">
            <w:pPr>
              <w:jc w:val="center"/>
              <w:rPr>
                <w:rFonts w:hint="eastAsia" w:ascii="宋体" w:hAnsi="宋体" w:eastAsia="宋体" w:cs="宋体"/>
                <w:i w:val="0"/>
                <w:iCs w:val="0"/>
                <w:color w:val="000000"/>
                <w:sz w:val="20"/>
                <w:szCs w:val="20"/>
                <w:u w:val="none"/>
              </w:rPr>
            </w:pPr>
          </w:p>
        </w:tc>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8DC2AF">
            <w:pPr>
              <w:jc w:val="center"/>
              <w:rPr>
                <w:rFonts w:hint="eastAsia" w:ascii="宋体" w:hAnsi="宋体" w:eastAsia="宋体" w:cs="宋体"/>
                <w:i w:val="0"/>
                <w:iCs w:val="0"/>
                <w:color w:val="000000"/>
                <w:sz w:val="20"/>
                <w:szCs w:val="20"/>
                <w:u w:val="none"/>
              </w:rPr>
            </w:pPr>
          </w:p>
        </w:tc>
        <w:tc>
          <w:tcPr>
            <w:tcW w:w="5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98E9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质量指标</w:t>
            </w:r>
          </w:p>
        </w:tc>
        <w:tc>
          <w:tcPr>
            <w:tcW w:w="16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B671E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高血压患者规范管理率</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99C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≥60%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319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rPr>
              <w:t>91</w:t>
            </w:r>
            <w:r>
              <w:rPr>
                <w:rFonts w:hint="eastAsia" w:ascii="宋体" w:hAnsi="宋体" w:eastAsia="宋体" w:cs="宋体"/>
                <w:i w:val="0"/>
                <w:iCs w:val="0"/>
                <w:color w:val="000000"/>
                <w:kern w:val="0"/>
                <w:sz w:val="20"/>
                <w:szCs w:val="20"/>
                <w:u w:val="none"/>
                <w:lang w:val="en-US" w:eastAsia="zh-CN"/>
              </w:rPr>
              <w:t>%</w:t>
            </w:r>
          </w:p>
        </w:tc>
        <w:tc>
          <w:tcPr>
            <w:tcW w:w="24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BE64FA">
            <w:pPr>
              <w:jc w:val="center"/>
              <w:rPr>
                <w:rFonts w:hint="eastAsia" w:ascii="宋体" w:hAnsi="宋体" w:eastAsia="宋体" w:cs="宋体"/>
                <w:i w:val="0"/>
                <w:iCs w:val="0"/>
                <w:color w:val="000000"/>
                <w:sz w:val="20"/>
                <w:szCs w:val="20"/>
                <w:u w:val="none"/>
              </w:rPr>
            </w:pPr>
          </w:p>
        </w:tc>
      </w:tr>
      <w:tr w14:paraId="48FAA1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151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307D1DA">
            <w:pPr>
              <w:jc w:val="center"/>
              <w:rPr>
                <w:rFonts w:hint="eastAsia" w:ascii="宋体" w:hAnsi="宋体" w:eastAsia="宋体" w:cs="宋体"/>
                <w:i w:val="0"/>
                <w:iCs w:val="0"/>
                <w:color w:val="000000"/>
                <w:sz w:val="20"/>
                <w:szCs w:val="20"/>
                <w:u w:val="none"/>
              </w:rPr>
            </w:pPr>
          </w:p>
        </w:tc>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45630D">
            <w:pPr>
              <w:jc w:val="center"/>
              <w:rPr>
                <w:rFonts w:hint="eastAsia" w:ascii="宋体" w:hAnsi="宋体" w:eastAsia="宋体" w:cs="宋体"/>
                <w:i w:val="0"/>
                <w:iCs w:val="0"/>
                <w:color w:val="000000"/>
                <w:sz w:val="20"/>
                <w:szCs w:val="20"/>
                <w:u w:val="none"/>
              </w:rPr>
            </w:pPr>
          </w:p>
        </w:tc>
        <w:tc>
          <w:tcPr>
            <w:tcW w:w="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50BBF9">
            <w:pPr>
              <w:jc w:val="center"/>
              <w:rPr>
                <w:rFonts w:hint="eastAsia" w:ascii="宋体" w:hAnsi="宋体" w:eastAsia="宋体" w:cs="宋体"/>
                <w:i w:val="0"/>
                <w:iCs w:val="0"/>
                <w:color w:val="000000"/>
                <w:sz w:val="20"/>
                <w:szCs w:val="20"/>
                <w:u w:val="none"/>
              </w:rPr>
            </w:pPr>
          </w:p>
        </w:tc>
        <w:tc>
          <w:tcPr>
            <w:tcW w:w="16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8141F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2型糖尿病患者规范管理率</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02A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≥60%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8E7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rPr>
              <w:t>92</w:t>
            </w:r>
            <w:r>
              <w:rPr>
                <w:rFonts w:hint="eastAsia" w:ascii="宋体" w:hAnsi="宋体" w:eastAsia="宋体" w:cs="宋体"/>
                <w:i w:val="0"/>
                <w:iCs w:val="0"/>
                <w:color w:val="000000"/>
                <w:kern w:val="0"/>
                <w:sz w:val="20"/>
                <w:szCs w:val="20"/>
                <w:u w:val="none"/>
                <w:lang w:val="en-US" w:eastAsia="zh-CN"/>
              </w:rPr>
              <w:t>%</w:t>
            </w:r>
          </w:p>
        </w:tc>
        <w:tc>
          <w:tcPr>
            <w:tcW w:w="24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69A816">
            <w:pPr>
              <w:jc w:val="center"/>
              <w:rPr>
                <w:rFonts w:hint="eastAsia" w:ascii="宋体" w:hAnsi="宋体" w:eastAsia="宋体" w:cs="宋体"/>
                <w:i w:val="0"/>
                <w:iCs w:val="0"/>
                <w:color w:val="000000"/>
                <w:sz w:val="20"/>
                <w:szCs w:val="20"/>
                <w:u w:val="none"/>
              </w:rPr>
            </w:pPr>
          </w:p>
        </w:tc>
      </w:tr>
      <w:tr w14:paraId="744820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9" w:hRule="atLeast"/>
        </w:trPr>
        <w:tc>
          <w:tcPr>
            <w:tcW w:w="151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6E88C09">
            <w:pPr>
              <w:jc w:val="center"/>
              <w:rPr>
                <w:rFonts w:hint="eastAsia" w:ascii="宋体" w:hAnsi="宋体" w:eastAsia="宋体" w:cs="宋体"/>
                <w:i w:val="0"/>
                <w:iCs w:val="0"/>
                <w:color w:val="000000"/>
                <w:sz w:val="20"/>
                <w:szCs w:val="20"/>
                <w:u w:val="none"/>
              </w:rPr>
            </w:pPr>
          </w:p>
        </w:tc>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03C328">
            <w:pPr>
              <w:jc w:val="center"/>
              <w:rPr>
                <w:rFonts w:hint="eastAsia" w:ascii="宋体" w:hAnsi="宋体" w:eastAsia="宋体" w:cs="宋体"/>
                <w:i w:val="0"/>
                <w:iCs w:val="0"/>
                <w:color w:val="000000"/>
                <w:sz w:val="20"/>
                <w:szCs w:val="20"/>
                <w:u w:val="none"/>
              </w:rPr>
            </w:pPr>
          </w:p>
        </w:tc>
        <w:tc>
          <w:tcPr>
            <w:tcW w:w="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94E81D">
            <w:pPr>
              <w:jc w:val="center"/>
              <w:rPr>
                <w:rFonts w:hint="eastAsia" w:ascii="宋体" w:hAnsi="宋体" w:eastAsia="宋体" w:cs="宋体"/>
                <w:i w:val="0"/>
                <w:iCs w:val="0"/>
                <w:color w:val="000000"/>
                <w:sz w:val="20"/>
                <w:szCs w:val="20"/>
                <w:u w:val="none"/>
              </w:rPr>
            </w:pPr>
          </w:p>
        </w:tc>
        <w:tc>
          <w:tcPr>
            <w:tcW w:w="16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BE229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严重精神障碍患者规范管理率</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17F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≥80%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627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93.5%</w:t>
            </w:r>
          </w:p>
        </w:tc>
        <w:tc>
          <w:tcPr>
            <w:tcW w:w="24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AFB4EF">
            <w:pPr>
              <w:jc w:val="center"/>
              <w:rPr>
                <w:rFonts w:hint="eastAsia" w:ascii="宋体" w:hAnsi="宋体" w:eastAsia="宋体" w:cs="宋体"/>
                <w:i w:val="0"/>
                <w:iCs w:val="0"/>
                <w:color w:val="000000"/>
                <w:sz w:val="20"/>
                <w:szCs w:val="20"/>
                <w:u w:val="none"/>
              </w:rPr>
            </w:pPr>
          </w:p>
        </w:tc>
      </w:tr>
      <w:tr w14:paraId="7B968B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151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9B77A15">
            <w:pPr>
              <w:jc w:val="center"/>
              <w:rPr>
                <w:rFonts w:hint="eastAsia" w:ascii="宋体" w:hAnsi="宋体" w:eastAsia="宋体" w:cs="宋体"/>
                <w:i w:val="0"/>
                <w:iCs w:val="0"/>
                <w:color w:val="000000"/>
                <w:sz w:val="20"/>
                <w:szCs w:val="20"/>
                <w:u w:val="none"/>
              </w:rPr>
            </w:pPr>
          </w:p>
        </w:tc>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0925E2">
            <w:pPr>
              <w:jc w:val="center"/>
              <w:rPr>
                <w:rFonts w:hint="eastAsia" w:ascii="宋体" w:hAnsi="宋体" w:eastAsia="宋体" w:cs="宋体"/>
                <w:i w:val="0"/>
                <w:iCs w:val="0"/>
                <w:color w:val="000000"/>
                <w:sz w:val="20"/>
                <w:szCs w:val="20"/>
                <w:u w:val="none"/>
              </w:rPr>
            </w:pPr>
          </w:p>
        </w:tc>
        <w:tc>
          <w:tcPr>
            <w:tcW w:w="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C51344">
            <w:pPr>
              <w:jc w:val="center"/>
              <w:rPr>
                <w:rFonts w:hint="eastAsia" w:ascii="宋体" w:hAnsi="宋体" w:eastAsia="宋体" w:cs="宋体"/>
                <w:i w:val="0"/>
                <w:iCs w:val="0"/>
                <w:color w:val="000000"/>
                <w:sz w:val="20"/>
                <w:szCs w:val="20"/>
                <w:u w:val="none"/>
              </w:rPr>
            </w:pPr>
          </w:p>
        </w:tc>
        <w:tc>
          <w:tcPr>
            <w:tcW w:w="16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21311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肺结核患者管理率</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EEF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76E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95%</w:t>
            </w:r>
          </w:p>
        </w:tc>
        <w:tc>
          <w:tcPr>
            <w:tcW w:w="24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A035B8">
            <w:pPr>
              <w:jc w:val="center"/>
              <w:rPr>
                <w:rFonts w:hint="eastAsia" w:ascii="宋体" w:hAnsi="宋体" w:eastAsia="宋体" w:cs="宋体"/>
                <w:i w:val="0"/>
                <w:iCs w:val="0"/>
                <w:color w:val="000000"/>
                <w:sz w:val="20"/>
                <w:szCs w:val="20"/>
                <w:u w:val="none"/>
              </w:rPr>
            </w:pPr>
          </w:p>
        </w:tc>
      </w:tr>
      <w:tr w14:paraId="4B7AAB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9" w:hRule="atLeast"/>
        </w:trPr>
        <w:tc>
          <w:tcPr>
            <w:tcW w:w="151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BD14AC7">
            <w:pPr>
              <w:jc w:val="center"/>
              <w:rPr>
                <w:rFonts w:hint="eastAsia" w:ascii="宋体" w:hAnsi="宋体" w:eastAsia="宋体" w:cs="宋体"/>
                <w:i w:val="0"/>
                <w:iCs w:val="0"/>
                <w:color w:val="000000"/>
                <w:sz w:val="20"/>
                <w:szCs w:val="20"/>
                <w:u w:val="none"/>
              </w:rPr>
            </w:pPr>
          </w:p>
        </w:tc>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CBF0FD">
            <w:pPr>
              <w:jc w:val="center"/>
              <w:rPr>
                <w:rFonts w:hint="eastAsia" w:ascii="宋体" w:hAnsi="宋体" w:eastAsia="宋体" w:cs="宋体"/>
                <w:i w:val="0"/>
                <w:iCs w:val="0"/>
                <w:color w:val="000000"/>
                <w:sz w:val="20"/>
                <w:szCs w:val="20"/>
                <w:u w:val="none"/>
              </w:rPr>
            </w:pPr>
          </w:p>
        </w:tc>
        <w:tc>
          <w:tcPr>
            <w:tcW w:w="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DBB803">
            <w:pPr>
              <w:jc w:val="center"/>
              <w:rPr>
                <w:rFonts w:hint="eastAsia" w:ascii="宋体" w:hAnsi="宋体" w:eastAsia="宋体" w:cs="宋体"/>
                <w:i w:val="0"/>
                <w:iCs w:val="0"/>
                <w:color w:val="000000"/>
                <w:sz w:val="20"/>
                <w:szCs w:val="20"/>
                <w:u w:val="none"/>
              </w:rPr>
            </w:pPr>
          </w:p>
        </w:tc>
        <w:tc>
          <w:tcPr>
            <w:tcW w:w="16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E80B5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传染病和突发公共卫生事件报告率</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1F1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4A3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24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C52282">
            <w:pPr>
              <w:jc w:val="center"/>
              <w:rPr>
                <w:rFonts w:hint="eastAsia" w:ascii="宋体" w:hAnsi="宋体" w:eastAsia="宋体" w:cs="宋体"/>
                <w:i w:val="0"/>
                <w:iCs w:val="0"/>
                <w:color w:val="000000"/>
                <w:sz w:val="20"/>
                <w:szCs w:val="20"/>
                <w:u w:val="none"/>
              </w:rPr>
            </w:pPr>
          </w:p>
        </w:tc>
      </w:tr>
      <w:tr w14:paraId="3B713D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151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DDF0DC4">
            <w:pPr>
              <w:jc w:val="center"/>
              <w:rPr>
                <w:rFonts w:hint="eastAsia" w:ascii="宋体" w:hAnsi="宋体" w:eastAsia="宋体" w:cs="宋体"/>
                <w:i w:val="0"/>
                <w:iCs w:val="0"/>
                <w:color w:val="000000"/>
                <w:sz w:val="20"/>
                <w:szCs w:val="20"/>
                <w:u w:val="none"/>
              </w:rPr>
            </w:pPr>
          </w:p>
        </w:tc>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476E45">
            <w:pPr>
              <w:jc w:val="center"/>
              <w:rPr>
                <w:rFonts w:hint="eastAsia" w:ascii="宋体" w:hAnsi="宋体" w:eastAsia="宋体" w:cs="宋体"/>
                <w:i w:val="0"/>
                <w:iCs w:val="0"/>
                <w:color w:val="000000"/>
                <w:sz w:val="20"/>
                <w:szCs w:val="20"/>
                <w:u w:val="none"/>
              </w:rPr>
            </w:pPr>
          </w:p>
        </w:tc>
        <w:tc>
          <w:tcPr>
            <w:tcW w:w="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4019CA">
            <w:pPr>
              <w:jc w:val="center"/>
              <w:rPr>
                <w:rFonts w:hint="eastAsia" w:ascii="宋体" w:hAnsi="宋体" w:eastAsia="宋体" w:cs="宋体"/>
                <w:i w:val="0"/>
                <w:iCs w:val="0"/>
                <w:color w:val="000000"/>
                <w:sz w:val="20"/>
                <w:szCs w:val="20"/>
                <w:u w:val="none"/>
              </w:rPr>
            </w:pPr>
          </w:p>
        </w:tc>
        <w:tc>
          <w:tcPr>
            <w:tcW w:w="16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98A33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地方病核心指标监测率</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E4B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03A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24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4882BB">
            <w:pPr>
              <w:jc w:val="center"/>
              <w:rPr>
                <w:rFonts w:hint="eastAsia" w:ascii="宋体" w:hAnsi="宋体" w:eastAsia="宋体" w:cs="宋体"/>
                <w:i w:val="0"/>
                <w:iCs w:val="0"/>
                <w:color w:val="000000"/>
                <w:sz w:val="20"/>
                <w:szCs w:val="20"/>
                <w:u w:val="none"/>
              </w:rPr>
            </w:pPr>
          </w:p>
        </w:tc>
      </w:tr>
      <w:tr w14:paraId="4C2CDD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151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5652650">
            <w:pPr>
              <w:jc w:val="center"/>
              <w:rPr>
                <w:rFonts w:hint="eastAsia" w:ascii="宋体" w:hAnsi="宋体" w:eastAsia="宋体" w:cs="宋体"/>
                <w:i w:val="0"/>
                <w:iCs w:val="0"/>
                <w:color w:val="000000"/>
                <w:sz w:val="20"/>
                <w:szCs w:val="20"/>
                <w:u w:val="none"/>
              </w:rPr>
            </w:pPr>
          </w:p>
        </w:tc>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9DC024">
            <w:pPr>
              <w:jc w:val="center"/>
              <w:rPr>
                <w:rFonts w:hint="eastAsia" w:ascii="宋体" w:hAnsi="宋体" w:eastAsia="宋体" w:cs="宋体"/>
                <w:i w:val="0"/>
                <w:iCs w:val="0"/>
                <w:color w:val="000000"/>
                <w:sz w:val="20"/>
                <w:szCs w:val="20"/>
                <w:u w:val="none"/>
              </w:rPr>
            </w:pPr>
          </w:p>
        </w:tc>
        <w:tc>
          <w:tcPr>
            <w:tcW w:w="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60C3DE">
            <w:pPr>
              <w:jc w:val="center"/>
              <w:rPr>
                <w:rFonts w:hint="eastAsia" w:ascii="宋体" w:hAnsi="宋体" w:eastAsia="宋体" w:cs="宋体"/>
                <w:i w:val="0"/>
                <w:iCs w:val="0"/>
                <w:color w:val="000000"/>
                <w:sz w:val="20"/>
                <w:szCs w:val="20"/>
                <w:u w:val="none"/>
              </w:rPr>
            </w:pPr>
          </w:p>
        </w:tc>
        <w:tc>
          <w:tcPr>
            <w:tcW w:w="16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CAB13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麻风病可疑线索报告率</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4E2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ABB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24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58056C">
            <w:pPr>
              <w:jc w:val="center"/>
              <w:rPr>
                <w:rFonts w:hint="eastAsia" w:ascii="宋体" w:hAnsi="宋体" w:eastAsia="宋体" w:cs="宋体"/>
                <w:i w:val="0"/>
                <w:iCs w:val="0"/>
                <w:color w:val="000000"/>
                <w:sz w:val="20"/>
                <w:szCs w:val="20"/>
                <w:u w:val="none"/>
              </w:rPr>
            </w:pPr>
          </w:p>
        </w:tc>
      </w:tr>
      <w:tr w14:paraId="33BB2D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2" w:hRule="atLeast"/>
        </w:trPr>
        <w:tc>
          <w:tcPr>
            <w:tcW w:w="151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14C12F1">
            <w:pPr>
              <w:jc w:val="center"/>
              <w:rPr>
                <w:rFonts w:hint="eastAsia" w:ascii="宋体" w:hAnsi="宋体" w:eastAsia="宋体" w:cs="宋体"/>
                <w:i w:val="0"/>
                <w:iCs w:val="0"/>
                <w:color w:val="000000"/>
                <w:sz w:val="20"/>
                <w:szCs w:val="20"/>
                <w:u w:val="none"/>
              </w:rPr>
            </w:pPr>
          </w:p>
        </w:tc>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1CB7CE">
            <w:pPr>
              <w:jc w:val="center"/>
              <w:rPr>
                <w:rFonts w:hint="eastAsia" w:ascii="宋体" w:hAnsi="宋体" w:eastAsia="宋体" w:cs="宋体"/>
                <w:i w:val="0"/>
                <w:iCs w:val="0"/>
                <w:color w:val="000000"/>
                <w:sz w:val="20"/>
                <w:szCs w:val="20"/>
                <w:u w:val="none"/>
              </w:rPr>
            </w:pPr>
          </w:p>
        </w:tc>
        <w:tc>
          <w:tcPr>
            <w:tcW w:w="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CD21B8">
            <w:pPr>
              <w:jc w:val="center"/>
              <w:rPr>
                <w:rFonts w:hint="eastAsia" w:ascii="宋体" w:hAnsi="宋体" w:eastAsia="宋体" w:cs="宋体"/>
                <w:i w:val="0"/>
                <w:iCs w:val="0"/>
                <w:color w:val="000000"/>
                <w:sz w:val="20"/>
                <w:szCs w:val="20"/>
                <w:u w:val="none"/>
              </w:rPr>
            </w:pPr>
          </w:p>
        </w:tc>
        <w:tc>
          <w:tcPr>
            <w:tcW w:w="16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47C2F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开展疾控业务专业指导评价</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01A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乡镇覆盖100%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DE7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100%乡镇全覆盖</w:t>
            </w:r>
          </w:p>
        </w:tc>
        <w:tc>
          <w:tcPr>
            <w:tcW w:w="24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B0C40E">
            <w:pPr>
              <w:jc w:val="center"/>
              <w:rPr>
                <w:rFonts w:hint="eastAsia" w:ascii="宋体" w:hAnsi="宋体" w:eastAsia="宋体" w:cs="宋体"/>
                <w:i w:val="0"/>
                <w:iCs w:val="0"/>
                <w:color w:val="000000"/>
                <w:sz w:val="20"/>
                <w:szCs w:val="20"/>
                <w:u w:val="none"/>
              </w:rPr>
            </w:pPr>
          </w:p>
        </w:tc>
      </w:tr>
      <w:tr w14:paraId="21CCF6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50" w:hRule="atLeast"/>
        </w:trPr>
        <w:tc>
          <w:tcPr>
            <w:tcW w:w="151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A3218F3">
            <w:pPr>
              <w:jc w:val="center"/>
              <w:rPr>
                <w:rFonts w:hint="eastAsia" w:ascii="宋体" w:hAnsi="宋体" w:eastAsia="宋体" w:cs="宋体"/>
                <w:i w:val="0"/>
                <w:iCs w:val="0"/>
                <w:color w:val="000000"/>
                <w:sz w:val="20"/>
                <w:szCs w:val="20"/>
                <w:u w:val="none"/>
              </w:rPr>
            </w:pPr>
          </w:p>
        </w:tc>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9A830C">
            <w:pPr>
              <w:jc w:val="center"/>
              <w:rPr>
                <w:rFonts w:hint="eastAsia" w:ascii="宋体" w:hAnsi="宋体" w:eastAsia="宋体" w:cs="宋体"/>
                <w:i w:val="0"/>
                <w:iCs w:val="0"/>
                <w:color w:val="000000"/>
                <w:sz w:val="20"/>
                <w:szCs w:val="20"/>
                <w:u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F72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时效指标</w:t>
            </w:r>
          </w:p>
        </w:tc>
        <w:tc>
          <w:tcPr>
            <w:tcW w:w="16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870D9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项目完成时间</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6E2A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202</w:t>
            </w:r>
            <w:r>
              <w:rPr>
                <w:rFonts w:hint="eastAsia" w:ascii="宋体" w:hAnsi="宋体" w:cs="宋体"/>
                <w:i w:val="0"/>
                <w:iCs w:val="0"/>
                <w:color w:val="000000"/>
                <w:kern w:val="0"/>
                <w:sz w:val="20"/>
                <w:szCs w:val="20"/>
                <w:u w:val="none"/>
                <w:lang w:val="en-US" w:eastAsia="zh-CN"/>
              </w:rPr>
              <w:t>2</w:t>
            </w:r>
            <w:r>
              <w:rPr>
                <w:rFonts w:hint="eastAsia" w:ascii="宋体" w:hAnsi="宋体" w:eastAsia="宋体" w:cs="宋体"/>
                <w:i w:val="0"/>
                <w:iCs w:val="0"/>
                <w:color w:val="000000"/>
                <w:kern w:val="0"/>
                <w:sz w:val="20"/>
                <w:szCs w:val="20"/>
                <w:u w:val="none"/>
                <w:lang w:val="en-US" w:eastAsia="zh-CN"/>
              </w:rPr>
              <w:t>年12月底前</w:t>
            </w:r>
          </w:p>
          <w:p w14:paraId="403D32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完成项目所有内容</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73C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202</w:t>
            </w:r>
            <w:r>
              <w:rPr>
                <w:rFonts w:hint="eastAsia" w:ascii="宋体" w:hAnsi="宋体" w:cs="宋体"/>
                <w:i w:val="0"/>
                <w:iCs w:val="0"/>
                <w:color w:val="000000"/>
                <w:kern w:val="0"/>
                <w:sz w:val="20"/>
                <w:szCs w:val="20"/>
                <w:u w:val="none"/>
                <w:lang w:val="en-US" w:eastAsia="zh-CN"/>
              </w:rPr>
              <w:t>2</w:t>
            </w:r>
            <w:r>
              <w:rPr>
                <w:rFonts w:hint="eastAsia" w:ascii="宋体" w:hAnsi="宋体" w:eastAsia="宋体" w:cs="宋体"/>
                <w:i w:val="0"/>
                <w:iCs w:val="0"/>
                <w:color w:val="000000"/>
                <w:kern w:val="0"/>
                <w:sz w:val="20"/>
                <w:szCs w:val="20"/>
                <w:u w:val="none"/>
                <w:lang w:val="en-US" w:eastAsia="zh-CN"/>
              </w:rPr>
              <w:t>年12月31日前</w:t>
            </w:r>
          </w:p>
        </w:tc>
        <w:tc>
          <w:tcPr>
            <w:tcW w:w="24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91D6AF">
            <w:pPr>
              <w:jc w:val="center"/>
              <w:rPr>
                <w:rFonts w:hint="eastAsia" w:ascii="宋体" w:hAnsi="宋体" w:eastAsia="宋体" w:cs="宋体"/>
                <w:i w:val="0"/>
                <w:iCs w:val="0"/>
                <w:color w:val="000000"/>
                <w:sz w:val="20"/>
                <w:szCs w:val="20"/>
                <w:u w:val="none"/>
              </w:rPr>
            </w:pPr>
          </w:p>
        </w:tc>
      </w:tr>
      <w:tr w14:paraId="05848E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2" w:hRule="atLeast"/>
        </w:trPr>
        <w:tc>
          <w:tcPr>
            <w:tcW w:w="151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F22D877">
            <w:pPr>
              <w:jc w:val="center"/>
              <w:rPr>
                <w:rFonts w:hint="eastAsia" w:ascii="宋体" w:hAnsi="宋体" w:eastAsia="宋体" w:cs="宋体"/>
                <w:i w:val="0"/>
                <w:iCs w:val="0"/>
                <w:color w:val="000000"/>
                <w:sz w:val="20"/>
                <w:szCs w:val="20"/>
                <w:u w:val="none"/>
              </w:rPr>
            </w:pP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BB2DD">
            <w:pPr>
              <w:jc w:val="center"/>
              <w:rPr>
                <w:rFonts w:hint="eastAsia" w:ascii="宋体" w:hAnsi="宋体" w:eastAsia="宋体" w:cs="宋体"/>
                <w:i w:val="0"/>
                <w:iCs w:val="0"/>
                <w:color w:val="000000"/>
                <w:sz w:val="20"/>
                <w:szCs w:val="20"/>
                <w:u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1B8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成本指标</w:t>
            </w:r>
          </w:p>
        </w:tc>
        <w:tc>
          <w:tcPr>
            <w:tcW w:w="16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82FB2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人均79元</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0B4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79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2D5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79</w:t>
            </w:r>
          </w:p>
        </w:tc>
        <w:tc>
          <w:tcPr>
            <w:tcW w:w="24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297C59">
            <w:pPr>
              <w:jc w:val="center"/>
              <w:rPr>
                <w:rFonts w:hint="eastAsia" w:ascii="宋体" w:hAnsi="宋体" w:eastAsia="宋体" w:cs="宋体"/>
                <w:i w:val="0"/>
                <w:iCs w:val="0"/>
                <w:color w:val="000000"/>
                <w:sz w:val="20"/>
                <w:szCs w:val="20"/>
                <w:u w:val="none"/>
              </w:rPr>
            </w:pPr>
          </w:p>
        </w:tc>
      </w:tr>
      <w:tr w14:paraId="6DCDA9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48" w:hRule="atLeast"/>
        </w:trPr>
        <w:tc>
          <w:tcPr>
            <w:tcW w:w="151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C915646">
            <w:pPr>
              <w:jc w:val="center"/>
              <w:rPr>
                <w:rFonts w:hint="eastAsia" w:ascii="宋体" w:hAnsi="宋体" w:eastAsia="宋体" w:cs="宋体"/>
                <w:i w:val="0"/>
                <w:iCs w:val="0"/>
                <w:color w:val="000000"/>
                <w:sz w:val="20"/>
                <w:szCs w:val="20"/>
                <w:u w:val="none"/>
              </w:rPr>
            </w:pPr>
          </w:p>
        </w:tc>
        <w:tc>
          <w:tcPr>
            <w:tcW w:w="4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C17F8B">
            <w:pPr>
              <w:jc w:val="center"/>
              <w:rPr>
                <w:rFonts w:hint="eastAsia" w:ascii="宋体" w:hAnsi="宋体" w:eastAsia="宋体" w:cs="宋体"/>
                <w:i w:val="0"/>
                <w:iCs w:val="0"/>
                <w:color w:val="000000"/>
                <w:sz w:val="20"/>
                <w:szCs w:val="20"/>
                <w:u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66CB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社会效益</w:t>
            </w:r>
          </w:p>
          <w:p w14:paraId="076E85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指标</w:t>
            </w:r>
          </w:p>
        </w:tc>
        <w:tc>
          <w:tcPr>
            <w:tcW w:w="16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60761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城乡居民公共卫生服务差距</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52B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不断缩小</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7DB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完成</w:t>
            </w:r>
          </w:p>
        </w:tc>
        <w:tc>
          <w:tcPr>
            <w:tcW w:w="24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F513E2">
            <w:pPr>
              <w:jc w:val="center"/>
              <w:rPr>
                <w:rFonts w:hint="eastAsia" w:ascii="宋体" w:hAnsi="宋体" w:eastAsia="宋体" w:cs="宋体"/>
                <w:i w:val="0"/>
                <w:iCs w:val="0"/>
                <w:color w:val="000000"/>
                <w:sz w:val="20"/>
                <w:szCs w:val="20"/>
                <w:u w:val="none"/>
              </w:rPr>
            </w:pPr>
          </w:p>
        </w:tc>
      </w:tr>
      <w:tr w14:paraId="5AC75B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1" w:hRule="atLeast"/>
        </w:trPr>
        <w:tc>
          <w:tcPr>
            <w:tcW w:w="151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7F0ABC9">
            <w:pPr>
              <w:jc w:val="center"/>
              <w:rPr>
                <w:rFonts w:hint="eastAsia" w:ascii="宋体" w:hAnsi="宋体" w:eastAsia="宋体" w:cs="宋体"/>
                <w:i w:val="0"/>
                <w:iCs w:val="0"/>
                <w:color w:val="000000"/>
                <w:sz w:val="20"/>
                <w:szCs w:val="20"/>
                <w:u w:val="none"/>
              </w:rPr>
            </w:pPr>
          </w:p>
        </w:tc>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B39150">
            <w:pPr>
              <w:jc w:val="center"/>
              <w:rPr>
                <w:rFonts w:hint="eastAsia" w:ascii="宋体" w:hAnsi="宋体" w:eastAsia="宋体" w:cs="宋体"/>
                <w:i w:val="0"/>
                <w:iCs w:val="0"/>
                <w:color w:val="000000"/>
                <w:sz w:val="20"/>
                <w:szCs w:val="20"/>
                <w:u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F77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可持续影响指标</w:t>
            </w:r>
          </w:p>
        </w:tc>
        <w:tc>
          <w:tcPr>
            <w:tcW w:w="16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1A744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基本公共卫生服务水平</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A9C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不断提高</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8C1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完成</w:t>
            </w:r>
          </w:p>
        </w:tc>
        <w:tc>
          <w:tcPr>
            <w:tcW w:w="24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8C6A63">
            <w:pPr>
              <w:jc w:val="center"/>
              <w:rPr>
                <w:rFonts w:hint="eastAsia" w:ascii="宋体" w:hAnsi="宋体" w:eastAsia="宋体" w:cs="宋体"/>
                <w:i w:val="0"/>
                <w:iCs w:val="0"/>
                <w:color w:val="000000"/>
                <w:sz w:val="20"/>
                <w:szCs w:val="20"/>
                <w:u w:val="none"/>
              </w:rPr>
            </w:pPr>
          </w:p>
        </w:tc>
      </w:tr>
      <w:tr w14:paraId="29ABA2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151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140A5FD">
            <w:pPr>
              <w:jc w:val="center"/>
              <w:rPr>
                <w:rFonts w:hint="eastAsia" w:ascii="宋体" w:hAnsi="宋体" w:eastAsia="宋体" w:cs="宋体"/>
                <w:i w:val="0"/>
                <w:iCs w:val="0"/>
                <w:color w:val="000000"/>
                <w:sz w:val="20"/>
                <w:szCs w:val="20"/>
                <w:u w:val="none"/>
              </w:rPr>
            </w:pPr>
          </w:p>
        </w:tc>
        <w:tc>
          <w:tcPr>
            <w:tcW w:w="4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C383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满意度指标</w:t>
            </w:r>
          </w:p>
        </w:tc>
        <w:tc>
          <w:tcPr>
            <w:tcW w:w="5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6D181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服务对象</w:t>
            </w:r>
          </w:p>
          <w:p w14:paraId="167BE0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满意度指标</w:t>
            </w:r>
          </w:p>
        </w:tc>
        <w:tc>
          <w:tcPr>
            <w:tcW w:w="16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9BCB9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服务对象满意度</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9A6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不断提高</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0C7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完成</w:t>
            </w:r>
          </w:p>
        </w:tc>
        <w:tc>
          <w:tcPr>
            <w:tcW w:w="24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3239D1">
            <w:pPr>
              <w:jc w:val="center"/>
              <w:rPr>
                <w:rFonts w:hint="eastAsia" w:ascii="宋体" w:hAnsi="宋体" w:eastAsia="宋体" w:cs="宋体"/>
                <w:i w:val="0"/>
                <w:iCs w:val="0"/>
                <w:color w:val="000000"/>
                <w:sz w:val="20"/>
                <w:szCs w:val="20"/>
                <w:u w:val="none"/>
              </w:rPr>
            </w:pPr>
          </w:p>
        </w:tc>
      </w:tr>
      <w:tr w14:paraId="4A1CB3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82" w:hRule="atLeast"/>
        </w:trPr>
        <w:tc>
          <w:tcPr>
            <w:tcW w:w="151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1F194EF">
            <w:pPr>
              <w:jc w:val="center"/>
              <w:rPr>
                <w:rFonts w:hint="eastAsia" w:ascii="宋体" w:hAnsi="宋体" w:eastAsia="宋体" w:cs="宋体"/>
                <w:i w:val="0"/>
                <w:iCs w:val="0"/>
                <w:color w:val="000000"/>
                <w:sz w:val="20"/>
                <w:szCs w:val="20"/>
                <w:u w:val="none"/>
              </w:rPr>
            </w:pPr>
          </w:p>
        </w:tc>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61E1C5">
            <w:pPr>
              <w:jc w:val="center"/>
              <w:rPr>
                <w:rFonts w:hint="eastAsia" w:ascii="宋体" w:hAnsi="宋体" w:eastAsia="宋体" w:cs="宋体"/>
                <w:i w:val="0"/>
                <w:iCs w:val="0"/>
                <w:color w:val="000000"/>
                <w:sz w:val="20"/>
                <w:szCs w:val="20"/>
                <w:u w:val="none"/>
              </w:rPr>
            </w:pPr>
          </w:p>
        </w:tc>
        <w:tc>
          <w:tcPr>
            <w:tcW w:w="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93AE3F">
            <w:pPr>
              <w:jc w:val="center"/>
              <w:rPr>
                <w:rFonts w:hint="eastAsia" w:ascii="宋体" w:hAnsi="宋体" w:eastAsia="宋体" w:cs="宋体"/>
                <w:i w:val="0"/>
                <w:iCs w:val="0"/>
                <w:color w:val="000000"/>
                <w:sz w:val="20"/>
                <w:szCs w:val="20"/>
                <w:u w:val="none"/>
              </w:rPr>
            </w:pPr>
          </w:p>
        </w:tc>
        <w:tc>
          <w:tcPr>
            <w:tcW w:w="16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02D11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避孕药具发放满意度</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A70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≥80%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375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85%</w:t>
            </w:r>
          </w:p>
        </w:tc>
        <w:tc>
          <w:tcPr>
            <w:tcW w:w="24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B030F9">
            <w:pPr>
              <w:jc w:val="center"/>
              <w:rPr>
                <w:rFonts w:hint="eastAsia" w:ascii="宋体" w:hAnsi="宋体" w:eastAsia="宋体" w:cs="宋体"/>
                <w:i w:val="0"/>
                <w:iCs w:val="0"/>
                <w:color w:val="000000"/>
                <w:sz w:val="20"/>
                <w:szCs w:val="20"/>
                <w:u w:val="none"/>
              </w:rPr>
            </w:pPr>
          </w:p>
        </w:tc>
      </w:tr>
      <w:tr w14:paraId="5CB285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6" w:hRule="atLeast"/>
        </w:trPr>
        <w:tc>
          <w:tcPr>
            <w:tcW w:w="1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07A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说明</w:t>
            </w:r>
          </w:p>
        </w:tc>
        <w:tc>
          <w:tcPr>
            <w:tcW w:w="675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D8E13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bl>
    <w:p w14:paraId="1AE8CB8C">
      <w:pPr>
        <w:keepNext w:val="0"/>
        <w:keepLines w:val="0"/>
        <w:pageBreakBefore w:val="0"/>
        <w:widowControl w:val="0"/>
        <w:kinsoku/>
        <w:wordWrap/>
        <w:overflowPunct/>
        <w:topLinePunct w:val="0"/>
        <w:autoSpaceDE/>
        <w:autoSpaceDN/>
        <w:bidi w:val="0"/>
        <w:spacing w:line="572" w:lineRule="exact"/>
        <w:jc w:val="left"/>
        <w:textAlignment w:val="auto"/>
        <w:outlineLvl w:val="0"/>
        <w:rPr>
          <w:rFonts w:ascii="仿宋_GB2312" w:eastAsia="仿宋_GB2312" w:cs="仿宋_GB2312"/>
          <w:color w:val="auto"/>
          <w:sz w:val="32"/>
          <w:szCs w:val="32"/>
          <w:highlight w:val="none"/>
        </w:rPr>
      </w:pPr>
    </w:p>
    <w:p w14:paraId="171F6F9F">
      <w:pPr>
        <w:pStyle w:val="7"/>
        <w:rPr>
          <w:rFonts w:hint="eastAsia" w:ascii="仿宋_GB2312" w:eastAsia="仿宋_GB2312" w:cs="仿宋"/>
          <w:color w:val="auto"/>
          <w:kern w:val="0"/>
          <w:sz w:val="32"/>
          <w:szCs w:val="32"/>
          <w:highlight w:val="none"/>
          <w:lang w:val="en-US" w:eastAsia="zh-CN" w:bidi="ar-SA"/>
        </w:rPr>
      </w:pPr>
      <w:bookmarkStart w:id="88" w:name="_Toc15396618"/>
    </w:p>
    <w:p w14:paraId="1170E437">
      <w:pPr>
        <w:rPr>
          <w:rFonts w:hint="eastAsia" w:ascii="仿宋_GB2312" w:eastAsia="仿宋_GB2312" w:cs="仿宋"/>
          <w:color w:val="auto"/>
          <w:kern w:val="0"/>
          <w:sz w:val="32"/>
          <w:szCs w:val="32"/>
          <w:highlight w:val="none"/>
          <w:lang w:val="en-US" w:eastAsia="zh-CN" w:bidi="ar-SA"/>
        </w:rPr>
      </w:pPr>
    </w:p>
    <w:p w14:paraId="7769160D">
      <w:pPr>
        <w:pStyle w:val="2"/>
        <w:rPr>
          <w:rFonts w:hint="eastAsia" w:ascii="仿宋_GB2312" w:eastAsia="仿宋_GB2312" w:cs="仿宋"/>
          <w:color w:val="auto"/>
          <w:kern w:val="0"/>
          <w:sz w:val="32"/>
          <w:szCs w:val="32"/>
          <w:highlight w:val="none"/>
          <w:lang w:val="en-US" w:eastAsia="zh-CN" w:bidi="ar-SA"/>
        </w:rPr>
      </w:pPr>
    </w:p>
    <w:p w14:paraId="5931250B">
      <w:pPr>
        <w:rPr>
          <w:rFonts w:hint="eastAsia" w:ascii="仿宋_GB2312" w:eastAsia="仿宋_GB2312" w:cs="仿宋"/>
          <w:color w:val="auto"/>
          <w:kern w:val="0"/>
          <w:sz w:val="32"/>
          <w:szCs w:val="32"/>
          <w:highlight w:val="none"/>
          <w:lang w:val="en-US" w:eastAsia="zh-CN" w:bidi="ar-SA"/>
        </w:rPr>
      </w:pPr>
    </w:p>
    <w:p w14:paraId="70C2B479">
      <w:pPr>
        <w:pStyle w:val="2"/>
        <w:rPr>
          <w:rFonts w:hint="eastAsia" w:ascii="仿宋_GB2312" w:eastAsia="仿宋_GB2312" w:cs="仿宋"/>
          <w:color w:val="auto"/>
          <w:kern w:val="0"/>
          <w:sz w:val="32"/>
          <w:szCs w:val="32"/>
          <w:highlight w:val="none"/>
          <w:lang w:val="en-US" w:eastAsia="zh-CN" w:bidi="ar-SA"/>
        </w:rPr>
      </w:pPr>
    </w:p>
    <w:p w14:paraId="583366B7">
      <w:pPr>
        <w:rPr>
          <w:rFonts w:hint="eastAsia" w:ascii="仿宋_GB2312" w:eastAsia="仿宋_GB2312" w:cs="仿宋"/>
          <w:color w:val="auto"/>
          <w:kern w:val="0"/>
          <w:sz w:val="32"/>
          <w:szCs w:val="32"/>
          <w:highlight w:val="none"/>
          <w:lang w:val="en-US" w:eastAsia="zh-CN" w:bidi="ar-SA"/>
        </w:rPr>
      </w:pPr>
    </w:p>
    <w:p w14:paraId="541317F7">
      <w:pPr>
        <w:pStyle w:val="2"/>
        <w:rPr>
          <w:rFonts w:hint="eastAsia" w:ascii="仿宋_GB2312" w:eastAsia="仿宋_GB2312" w:cs="仿宋"/>
          <w:color w:val="auto"/>
          <w:kern w:val="0"/>
          <w:sz w:val="32"/>
          <w:szCs w:val="32"/>
          <w:highlight w:val="none"/>
          <w:lang w:val="en-US" w:eastAsia="zh-CN" w:bidi="ar-SA"/>
        </w:rPr>
      </w:pPr>
    </w:p>
    <w:p w14:paraId="769F4BE0">
      <w:pPr>
        <w:rPr>
          <w:rFonts w:hint="eastAsia" w:ascii="仿宋_GB2312" w:eastAsia="仿宋_GB2312" w:cs="仿宋"/>
          <w:color w:val="auto"/>
          <w:kern w:val="0"/>
          <w:sz w:val="32"/>
          <w:szCs w:val="32"/>
          <w:highlight w:val="none"/>
          <w:lang w:val="en-US" w:eastAsia="zh-CN" w:bidi="ar-SA"/>
        </w:rPr>
      </w:pPr>
    </w:p>
    <w:p w14:paraId="1820D901">
      <w:pPr>
        <w:pStyle w:val="7"/>
        <w:rPr>
          <w:rFonts w:hint="eastAsia" w:ascii="仿宋_GB2312" w:eastAsia="仿宋_GB2312" w:cs="仿宋"/>
          <w:color w:val="auto"/>
          <w:kern w:val="0"/>
          <w:sz w:val="32"/>
          <w:szCs w:val="32"/>
          <w:highlight w:val="none"/>
          <w:lang w:val="en-US" w:eastAsia="zh-CN" w:bidi="ar-SA"/>
        </w:rPr>
      </w:pPr>
    </w:p>
    <w:p w14:paraId="286650AF">
      <w:pPr>
        <w:rPr>
          <w:rFonts w:hint="eastAsia" w:ascii="仿宋_GB2312" w:eastAsia="仿宋_GB2312" w:cs="仿宋"/>
          <w:color w:val="auto"/>
          <w:kern w:val="0"/>
          <w:sz w:val="32"/>
          <w:szCs w:val="32"/>
          <w:highlight w:val="none"/>
          <w:lang w:val="en-US" w:eastAsia="zh-CN" w:bidi="ar-SA"/>
        </w:rPr>
      </w:pPr>
    </w:p>
    <w:p w14:paraId="6A0970DB">
      <w:pPr>
        <w:pStyle w:val="2"/>
        <w:rPr>
          <w:rFonts w:hint="eastAsia"/>
          <w:lang w:val="en-US" w:eastAsia="zh-CN"/>
        </w:rPr>
      </w:pPr>
    </w:p>
    <w:p w14:paraId="3A15DEC5">
      <w:pPr>
        <w:rPr>
          <w:rFonts w:hint="eastAsia"/>
          <w:lang w:val="en-US" w:eastAsia="zh-CN"/>
        </w:rPr>
      </w:pPr>
    </w:p>
    <w:tbl>
      <w:tblPr>
        <w:tblStyle w:val="15"/>
        <w:tblpPr w:leftFromText="180" w:rightFromText="180" w:vertAnchor="text" w:horzAnchor="page" w:tblpX="2024" w:tblpY="1242"/>
        <w:tblOverlap w:val="never"/>
        <w:tblW w:w="78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58"/>
        <w:gridCol w:w="297"/>
        <w:gridCol w:w="662"/>
        <w:gridCol w:w="1"/>
        <w:gridCol w:w="1250"/>
        <w:gridCol w:w="942"/>
        <w:gridCol w:w="787"/>
        <w:gridCol w:w="1"/>
        <w:gridCol w:w="568"/>
        <w:gridCol w:w="1"/>
        <w:gridCol w:w="2033"/>
      </w:tblGrid>
      <w:tr w14:paraId="6489F9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6" w:hRule="atLeast"/>
        </w:trPr>
        <w:tc>
          <w:tcPr>
            <w:tcW w:w="7800" w:type="dxa"/>
            <w:gridSpan w:val="11"/>
            <w:tcBorders>
              <w:top w:val="nil"/>
              <w:left w:val="nil"/>
              <w:bottom w:val="nil"/>
              <w:right w:val="nil"/>
            </w:tcBorders>
            <w:shd w:val="clear" w:color="auto" w:fill="auto"/>
            <w:vAlign w:val="center"/>
          </w:tcPr>
          <w:p w14:paraId="1C73EE8D">
            <w:pPr>
              <w:keepNext w:val="0"/>
              <w:keepLines w:val="0"/>
              <w:widowControl/>
              <w:suppressLineNumbers w:val="0"/>
              <w:jc w:val="both"/>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rPr>
              <w:t xml:space="preserve">基本药物制度转移支付区域（项目）绩效目标自评表 </w:t>
            </w:r>
          </w:p>
        </w:tc>
      </w:tr>
      <w:tr w14:paraId="680AB4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5" w:hRule="atLeast"/>
        </w:trPr>
        <w:tc>
          <w:tcPr>
            <w:tcW w:w="7800" w:type="dxa"/>
            <w:gridSpan w:val="11"/>
            <w:tcBorders>
              <w:top w:val="nil"/>
              <w:left w:val="nil"/>
              <w:bottom w:val="single" w:color="000000" w:sz="4" w:space="0"/>
              <w:right w:val="nil"/>
            </w:tcBorders>
            <w:shd w:val="clear" w:color="auto" w:fill="auto"/>
            <w:vAlign w:val="top"/>
          </w:tcPr>
          <w:p w14:paraId="40BAE5B3">
            <w:pPr>
              <w:keepNext w:val="0"/>
              <w:keepLines w:val="0"/>
              <w:widowControl/>
              <w:suppressLineNumbers w:val="0"/>
              <w:jc w:val="both"/>
              <w:textAlignment w:val="top"/>
              <w:rPr>
                <w:rFonts w:hint="eastAsia" w:ascii="宋体" w:hAnsi="宋体" w:eastAsia="宋体" w:cs="宋体"/>
                <w:i w:val="0"/>
                <w:iCs w:val="0"/>
                <w:color w:val="000000"/>
                <w:kern w:val="0"/>
                <w:sz w:val="22"/>
                <w:szCs w:val="22"/>
                <w:u w:val="none"/>
                <w:lang w:val="en-US" w:eastAsia="zh-CN"/>
              </w:rPr>
            </w:pPr>
          </w:p>
          <w:p w14:paraId="7D0075DD">
            <w:pPr>
              <w:keepNext w:val="0"/>
              <w:keepLines w:val="0"/>
              <w:widowControl/>
              <w:suppressLineNumbers w:val="0"/>
              <w:jc w:val="center"/>
              <w:textAlignment w:val="top"/>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（202</w:t>
            </w:r>
            <w:r>
              <w:rPr>
                <w:rFonts w:hint="eastAsia" w:ascii="宋体" w:hAnsi="宋体" w:cs="宋体"/>
                <w:i w:val="0"/>
                <w:iCs w:val="0"/>
                <w:color w:val="000000"/>
                <w:kern w:val="0"/>
                <w:sz w:val="22"/>
                <w:szCs w:val="22"/>
                <w:u w:val="none"/>
                <w:lang w:val="en-US" w:eastAsia="zh-CN"/>
              </w:rPr>
              <w:t>2</w:t>
            </w:r>
            <w:r>
              <w:rPr>
                <w:rFonts w:hint="eastAsia" w:ascii="宋体" w:hAnsi="宋体" w:eastAsia="宋体" w:cs="宋体"/>
                <w:i w:val="0"/>
                <w:iCs w:val="0"/>
                <w:color w:val="000000"/>
                <w:kern w:val="0"/>
                <w:sz w:val="22"/>
                <w:szCs w:val="22"/>
                <w:u w:val="none"/>
                <w:lang w:val="en-US" w:eastAsia="zh-CN"/>
              </w:rPr>
              <w:t>年度）</w:t>
            </w:r>
          </w:p>
        </w:tc>
      </w:tr>
      <w:tr w14:paraId="520BFF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4" w:hRule="atLeast"/>
        </w:trPr>
        <w:tc>
          <w:tcPr>
            <w:tcW w:w="22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9C05F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转移支付（项目）名称</w:t>
            </w:r>
          </w:p>
        </w:tc>
        <w:tc>
          <w:tcPr>
            <w:tcW w:w="558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065CFD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基本药物制度资金</w:t>
            </w:r>
          </w:p>
        </w:tc>
      </w:tr>
      <w:tr w14:paraId="3AD152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7" w:hRule="atLeast"/>
        </w:trPr>
        <w:tc>
          <w:tcPr>
            <w:tcW w:w="22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28BD0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中央主管部门</w:t>
            </w:r>
          </w:p>
        </w:tc>
        <w:tc>
          <w:tcPr>
            <w:tcW w:w="558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7E0E80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国家卫健委</w:t>
            </w:r>
          </w:p>
        </w:tc>
      </w:tr>
      <w:tr w14:paraId="03E4C3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4" w:hRule="atLeast"/>
        </w:trPr>
        <w:tc>
          <w:tcPr>
            <w:tcW w:w="22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32421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地方主管部门</w:t>
            </w:r>
          </w:p>
        </w:tc>
        <w:tc>
          <w:tcPr>
            <w:tcW w:w="21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0C3FB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广元市昭化区卫健局</w:t>
            </w:r>
          </w:p>
        </w:tc>
        <w:tc>
          <w:tcPr>
            <w:tcW w:w="7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2AAE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资金使用单位</w:t>
            </w:r>
          </w:p>
        </w:tc>
        <w:tc>
          <w:tcPr>
            <w:tcW w:w="26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D2BD2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广元市昭化区昭化镇中心卫生院</w:t>
            </w:r>
          </w:p>
        </w:tc>
      </w:tr>
      <w:tr w14:paraId="23DA3C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2" w:hRule="atLeast"/>
        </w:trPr>
        <w:tc>
          <w:tcPr>
            <w:tcW w:w="2217"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DFA1D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资金情况</w:t>
            </w:r>
          </w:p>
          <w:p w14:paraId="55AEFC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（万元）</w:t>
            </w:r>
          </w:p>
        </w:tc>
        <w:tc>
          <w:tcPr>
            <w:tcW w:w="12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0E36CE">
            <w:pPr>
              <w:rPr>
                <w:rFonts w:hint="eastAsia" w:ascii="宋体" w:hAnsi="宋体" w:eastAsia="宋体" w:cs="宋体"/>
                <w:i w:val="0"/>
                <w:iCs w:val="0"/>
                <w:color w:val="000000"/>
                <w:sz w:val="20"/>
                <w:szCs w:val="20"/>
                <w:u w:val="none"/>
              </w:rPr>
            </w:pPr>
          </w:p>
        </w:tc>
        <w:tc>
          <w:tcPr>
            <w:tcW w:w="9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C15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全年预算数（A）</w:t>
            </w:r>
          </w:p>
        </w:tc>
        <w:tc>
          <w:tcPr>
            <w:tcW w:w="13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F2260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全年执行数（B）</w:t>
            </w:r>
          </w:p>
        </w:tc>
        <w:tc>
          <w:tcPr>
            <w:tcW w:w="20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A500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预算执行率（B/A)</w:t>
            </w:r>
          </w:p>
        </w:tc>
      </w:tr>
      <w:tr w14:paraId="64C48F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4" w:hRule="atLeast"/>
        </w:trPr>
        <w:tc>
          <w:tcPr>
            <w:tcW w:w="221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35D483">
            <w:pPr>
              <w:jc w:val="center"/>
              <w:rPr>
                <w:rFonts w:hint="eastAsia" w:ascii="宋体" w:hAnsi="宋体" w:eastAsia="宋体" w:cs="宋体"/>
                <w:i w:val="0"/>
                <w:iCs w:val="0"/>
                <w:color w:val="000000"/>
                <w:sz w:val="20"/>
                <w:szCs w:val="20"/>
                <w:u w:val="none"/>
              </w:rPr>
            </w:pPr>
          </w:p>
        </w:tc>
        <w:tc>
          <w:tcPr>
            <w:tcW w:w="12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02C77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年度资金总额：</w:t>
            </w:r>
          </w:p>
        </w:tc>
        <w:tc>
          <w:tcPr>
            <w:tcW w:w="9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1FC47">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cs="宋体"/>
                <w:i w:val="0"/>
                <w:iCs w:val="0"/>
                <w:color w:val="000000"/>
                <w:kern w:val="0"/>
                <w:sz w:val="20"/>
                <w:szCs w:val="20"/>
                <w:u w:val="none"/>
                <w:lang w:val="en-US" w:eastAsia="zh-CN"/>
              </w:rPr>
              <w:t>33.23</w:t>
            </w:r>
          </w:p>
        </w:tc>
        <w:tc>
          <w:tcPr>
            <w:tcW w:w="13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DBDE98A">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cs="宋体"/>
                <w:i w:val="0"/>
                <w:iCs w:val="0"/>
                <w:color w:val="000000"/>
                <w:kern w:val="0"/>
                <w:sz w:val="20"/>
                <w:szCs w:val="20"/>
                <w:u w:val="none"/>
                <w:lang w:val="en-US" w:eastAsia="zh-CN"/>
              </w:rPr>
              <w:t>33.23</w:t>
            </w:r>
          </w:p>
        </w:tc>
        <w:tc>
          <w:tcPr>
            <w:tcW w:w="20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29A7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r>
      <w:tr w14:paraId="3479E2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4" w:hRule="atLeast"/>
        </w:trPr>
        <w:tc>
          <w:tcPr>
            <w:tcW w:w="221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AD99A1">
            <w:pPr>
              <w:jc w:val="center"/>
              <w:rPr>
                <w:rFonts w:hint="eastAsia" w:ascii="宋体" w:hAnsi="宋体" w:eastAsia="宋体" w:cs="宋体"/>
                <w:i w:val="0"/>
                <w:iCs w:val="0"/>
                <w:color w:val="000000"/>
                <w:sz w:val="20"/>
                <w:szCs w:val="20"/>
                <w:u w:val="none"/>
              </w:rPr>
            </w:pPr>
          </w:p>
        </w:tc>
        <w:tc>
          <w:tcPr>
            <w:tcW w:w="12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E7FEA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 xml:space="preserve"> </w:t>
            </w:r>
            <w:r>
              <w:rPr>
                <w:rStyle w:val="30"/>
                <w:rFonts w:ascii="宋体" w:hAnsi="宋体" w:eastAsia="宋体" w:cs="宋体"/>
                <w:sz w:val="24"/>
                <w:szCs w:val="24"/>
                <w:lang w:val="en-US" w:eastAsia="zh-CN"/>
              </w:rPr>
              <w:t>其中：中央财政资金</w:t>
            </w:r>
          </w:p>
        </w:tc>
        <w:tc>
          <w:tcPr>
            <w:tcW w:w="9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058CB">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cs="宋体"/>
                <w:i w:val="0"/>
                <w:iCs w:val="0"/>
                <w:color w:val="000000"/>
                <w:kern w:val="0"/>
                <w:sz w:val="20"/>
                <w:szCs w:val="20"/>
                <w:u w:val="none"/>
                <w:lang w:val="en-US" w:eastAsia="zh-CN"/>
              </w:rPr>
              <w:t>19.91</w:t>
            </w:r>
          </w:p>
        </w:tc>
        <w:tc>
          <w:tcPr>
            <w:tcW w:w="13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A9D37DC">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cs="宋体"/>
                <w:i w:val="0"/>
                <w:iCs w:val="0"/>
                <w:color w:val="000000"/>
                <w:kern w:val="0"/>
                <w:sz w:val="20"/>
                <w:szCs w:val="20"/>
                <w:u w:val="none"/>
                <w:lang w:val="en-US" w:eastAsia="zh-CN"/>
              </w:rPr>
              <w:t>19.91</w:t>
            </w:r>
          </w:p>
        </w:tc>
        <w:tc>
          <w:tcPr>
            <w:tcW w:w="20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BDD5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r>
      <w:tr w14:paraId="478E7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2" w:hRule="atLeast"/>
        </w:trPr>
        <w:tc>
          <w:tcPr>
            <w:tcW w:w="221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E532AF">
            <w:pPr>
              <w:jc w:val="center"/>
              <w:rPr>
                <w:rFonts w:hint="eastAsia" w:ascii="宋体" w:hAnsi="宋体" w:eastAsia="宋体" w:cs="宋体"/>
                <w:i w:val="0"/>
                <w:iCs w:val="0"/>
                <w:color w:val="000000"/>
                <w:sz w:val="20"/>
                <w:szCs w:val="20"/>
                <w:u w:val="none"/>
              </w:rPr>
            </w:pPr>
          </w:p>
        </w:tc>
        <w:tc>
          <w:tcPr>
            <w:tcW w:w="12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749D3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 xml:space="preserve"> </w:t>
            </w:r>
            <w:r>
              <w:rPr>
                <w:rStyle w:val="30"/>
                <w:rFonts w:ascii="宋体" w:hAnsi="宋体" w:eastAsia="宋体" w:cs="宋体"/>
                <w:sz w:val="24"/>
                <w:szCs w:val="24"/>
                <w:lang w:val="en-US" w:eastAsia="zh-CN"/>
              </w:rPr>
              <w:t xml:space="preserve">      地方资金</w:t>
            </w:r>
          </w:p>
        </w:tc>
        <w:tc>
          <w:tcPr>
            <w:tcW w:w="9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F744D">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cs="宋体"/>
                <w:i w:val="0"/>
                <w:iCs w:val="0"/>
                <w:color w:val="000000"/>
                <w:kern w:val="0"/>
                <w:sz w:val="20"/>
                <w:szCs w:val="20"/>
                <w:u w:val="none"/>
                <w:lang w:val="en-US" w:eastAsia="zh-CN"/>
              </w:rPr>
              <w:t>13.32</w:t>
            </w:r>
          </w:p>
        </w:tc>
        <w:tc>
          <w:tcPr>
            <w:tcW w:w="13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77C537D">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cs="宋体"/>
                <w:i w:val="0"/>
                <w:iCs w:val="0"/>
                <w:color w:val="000000"/>
                <w:kern w:val="0"/>
                <w:sz w:val="20"/>
                <w:szCs w:val="20"/>
                <w:u w:val="none"/>
                <w:lang w:val="en-US" w:eastAsia="zh-CN"/>
              </w:rPr>
              <w:t>13.32</w:t>
            </w:r>
          </w:p>
        </w:tc>
        <w:tc>
          <w:tcPr>
            <w:tcW w:w="20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62B0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r>
      <w:tr w14:paraId="0B5219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2" w:hRule="atLeast"/>
        </w:trPr>
        <w:tc>
          <w:tcPr>
            <w:tcW w:w="221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2B172A">
            <w:pPr>
              <w:jc w:val="center"/>
              <w:rPr>
                <w:rFonts w:hint="eastAsia" w:ascii="宋体" w:hAnsi="宋体" w:eastAsia="宋体" w:cs="宋体"/>
                <w:i w:val="0"/>
                <w:iCs w:val="0"/>
                <w:color w:val="000000"/>
                <w:sz w:val="20"/>
                <w:szCs w:val="20"/>
                <w:u w:val="none"/>
              </w:rPr>
            </w:pPr>
          </w:p>
        </w:tc>
        <w:tc>
          <w:tcPr>
            <w:tcW w:w="12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AB361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w:t>
            </w:r>
            <w:r>
              <w:rPr>
                <w:rStyle w:val="30"/>
                <w:rFonts w:ascii="宋体" w:hAnsi="宋体" w:eastAsia="宋体" w:cs="宋体"/>
                <w:sz w:val="24"/>
                <w:szCs w:val="24"/>
                <w:lang w:val="en-US" w:eastAsia="zh-CN"/>
              </w:rPr>
              <w:t xml:space="preserve">  其他资金</w:t>
            </w:r>
          </w:p>
        </w:tc>
        <w:tc>
          <w:tcPr>
            <w:tcW w:w="9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B5F87">
            <w:pPr>
              <w:jc w:val="center"/>
              <w:rPr>
                <w:rFonts w:hint="eastAsia" w:ascii="宋体" w:hAnsi="宋体" w:eastAsia="宋体" w:cs="宋体"/>
                <w:i w:val="0"/>
                <w:iCs w:val="0"/>
                <w:color w:val="000000"/>
                <w:sz w:val="20"/>
                <w:szCs w:val="20"/>
                <w:u w:val="none"/>
              </w:rPr>
            </w:pPr>
          </w:p>
        </w:tc>
        <w:tc>
          <w:tcPr>
            <w:tcW w:w="13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91E5773">
            <w:pPr>
              <w:jc w:val="center"/>
              <w:rPr>
                <w:rFonts w:hint="eastAsia" w:ascii="宋体" w:hAnsi="宋体" w:eastAsia="宋体" w:cs="宋体"/>
                <w:i w:val="0"/>
                <w:iCs w:val="0"/>
                <w:color w:val="000000"/>
                <w:sz w:val="20"/>
                <w:szCs w:val="20"/>
                <w:u w:val="none"/>
              </w:rPr>
            </w:pPr>
          </w:p>
        </w:tc>
        <w:tc>
          <w:tcPr>
            <w:tcW w:w="20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F3225C">
            <w:pPr>
              <w:jc w:val="left"/>
              <w:rPr>
                <w:rFonts w:hint="eastAsia" w:ascii="宋体" w:hAnsi="宋体" w:eastAsia="宋体" w:cs="宋体"/>
                <w:i w:val="0"/>
                <w:iCs w:val="0"/>
                <w:color w:val="000000"/>
                <w:sz w:val="20"/>
                <w:szCs w:val="20"/>
                <w:u w:val="none"/>
              </w:rPr>
            </w:pPr>
          </w:p>
        </w:tc>
      </w:tr>
      <w:tr w14:paraId="053FB6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7" w:hRule="atLeast"/>
        </w:trPr>
        <w:tc>
          <w:tcPr>
            <w:tcW w:w="12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2066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总体目标完成情况</w:t>
            </w:r>
          </w:p>
        </w:tc>
        <w:tc>
          <w:tcPr>
            <w:tcW w:w="315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DC5A8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总体目标</w:t>
            </w:r>
          </w:p>
        </w:tc>
        <w:tc>
          <w:tcPr>
            <w:tcW w:w="33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1D4BD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全年实际完成情况</w:t>
            </w:r>
          </w:p>
        </w:tc>
      </w:tr>
      <w:tr w14:paraId="386B4D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18" w:hRule="atLeast"/>
        </w:trPr>
        <w:tc>
          <w:tcPr>
            <w:tcW w:w="12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53FD59">
            <w:pPr>
              <w:jc w:val="center"/>
              <w:rPr>
                <w:rFonts w:hint="eastAsia" w:ascii="宋体" w:hAnsi="宋体" w:eastAsia="宋体" w:cs="宋体"/>
                <w:i w:val="0"/>
                <w:iCs w:val="0"/>
                <w:color w:val="000000"/>
                <w:sz w:val="20"/>
                <w:szCs w:val="20"/>
                <w:u w:val="none"/>
              </w:rPr>
            </w:pPr>
          </w:p>
        </w:tc>
        <w:tc>
          <w:tcPr>
            <w:tcW w:w="315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809312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目标1：保证所有政府办村卫生站实施国家基本药物制度，推进综合改革顺利进行；  目标2：对实施国家基本药物制度的村卫生室给予补助，支持国家基本药物制度在村卫生室顺利实施；</w:t>
            </w:r>
          </w:p>
        </w:tc>
        <w:tc>
          <w:tcPr>
            <w:tcW w:w="33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86A0AD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5个村卫生室全面实施国家基本药物制度，确保基本药物制度的实施，解决了老百姓看病贵的问题，稳定了乡村医生的收入。</w:t>
            </w:r>
          </w:p>
        </w:tc>
      </w:tr>
      <w:tr w14:paraId="427176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36" w:hRule="atLeast"/>
        </w:trPr>
        <w:tc>
          <w:tcPr>
            <w:tcW w:w="1258"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F819E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绩效指标</w:t>
            </w:r>
          </w:p>
        </w:tc>
        <w:tc>
          <w:tcPr>
            <w:tcW w:w="2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CD8E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一级</w:t>
            </w:r>
          </w:p>
          <w:p w14:paraId="317512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指标</w:t>
            </w:r>
          </w:p>
        </w:tc>
        <w:tc>
          <w:tcPr>
            <w:tcW w:w="6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8E0A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二级指标</w:t>
            </w:r>
          </w:p>
        </w:tc>
        <w:tc>
          <w:tcPr>
            <w:tcW w:w="21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F0AA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三级指标</w:t>
            </w: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FAA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指标值</w:t>
            </w:r>
          </w:p>
        </w:tc>
        <w:tc>
          <w:tcPr>
            <w:tcW w:w="5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82EE0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全年实际完成值</w:t>
            </w:r>
          </w:p>
        </w:tc>
        <w:tc>
          <w:tcPr>
            <w:tcW w:w="2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D20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未完成原因和改进措施</w:t>
            </w:r>
          </w:p>
        </w:tc>
      </w:tr>
      <w:tr w14:paraId="261FCC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4" w:hRule="atLeast"/>
        </w:trPr>
        <w:tc>
          <w:tcPr>
            <w:tcW w:w="125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1401520">
            <w:pPr>
              <w:jc w:val="center"/>
              <w:rPr>
                <w:rFonts w:hint="eastAsia" w:ascii="宋体" w:hAnsi="宋体" w:eastAsia="宋体" w:cs="宋体"/>
                <w:i w:val="0"/>
                <w:iCs w:val="0"/>
                <w:color w:val="000000"/>
                <w:sz w:val="20"/>
                <w:szCs w:val="20"/>
                <w:u w:val="none"/>
              </w:rPr>
            </w:pPr>
          </w:p>
        </w:tc>
        <w:tc>
          <w:tcPr>
            <w:tcW w:w="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DFB72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产</w:t>
            </w:r>
          </w:p>
          <w:p w14:paraId="2FB36F3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出</w:t>
            </w:r>
          </w:p>
          <w:p w14:paraId="1078E7D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指</w:t>
            </w:r>
          </w:p>
          <w:p w14:paraId="76DD87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标</w:t>
            </w:r>
          </w:p>
        </w:tc>
        <w:tc>
          <w:tcPr>
            <w:tcW w:w="66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4468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数量指标</w:t>
            </w:r>
          </w:p>
        </w:tc>
        <w:tc>
          <w:tcPr>
            <w:tcW w:w="21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C08E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政府办基层医疗卫生机构基本药物制度覆盖率</w:t>
            </w:r>
          </w:p>
        </w:tc>
        <w:tc>
          <w:tcPr>
            <w:tcW w:w="787" w:type="dxa"/>
            <w:tcBorders>
              <w:top w:val="single" w:color="000000" w:sz="4" w:space="0"/>
              <w:left w:val="nil"/>
              <w:bottom w:val="single" w:color="000000" w:sz="4" w:space="0"/>
              <w:right w:val="nil"/>
            </w:tcBorders>
            <w:shd w:val="clear" w:color="auto" w:fill="auto"/>
            <w:vAlign w:val="center"/>
          </w:tcPr>
          <w:p w14:paraId="668D6F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5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EF16B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2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3A5AA">
            <w:pPr>
              <w:jc w:val="center"/>
              <w:rPr>
                <w:rFonts w:hint="eastAsia" w:ascii="宋体" w:hAnsi="宋体" w:eastAsia="宋体" w:cs="宋体"/>
                <w:i w:val="0"/>
                <w:iCs w:val="0"/>
                <w:color w:val="000000"/>
                <w:sz w:val="20"/>
                <w:szCs w:val="20"/>
                <w:u w:val="none"/>
              </w:rPr>
            </w:pPr>
          </w:p>
        </w:tc>
      </w:tr>
      <w:tr w14:paraId="25C1B1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2" w:hRule="atLeast"/>
        </w:trPr>
        <w:tc>
          <w:tcPr>
            <w:tcW w:w="125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2F00F03">
            <w:pPr>
              <w:jc w:val="center"/>
              <w:rPr>
                <w:rFonts w:hint="eastAsia" w:ascii="宋体" w:hAnsi="宋体" w:eastAsia="宋体" w:cs="宋体"/>
                <w:i w:val="0"/>
                <w:iCs w:val="0"/>
                <w:color w:val="000000"/>
                <w:sz w:val="20"/>
                <w:szCs w:val="20"/>
                <w:u w:val="none"/>
              </w:rPr>
            </w:pPr>
          </w:p>
        </w:tc>
        <w:tc>
          <w:tcPr>
            <w:tcW w:w="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F560ED">
            <w:pPr>
              <w:jc w:val="center"/>
              <w:rPr>
                <w:rFonts w:hint="eastAsia" w:ascii="宋体" w:hAnsi="宋体" w:eastAsia="宋体" w:cs="宋体"/>
                <w:i w:val="0"/>
                <w:iCs w:val="0"/>
                <w:color w:val="000000"/>
                <w:sz w:val="20"/>
                <w:szCs w:val="20"/>
                <w:u w:val="none"/>
              </w:rPr>
            </w:pPr>
          </w:p>
        </w:tc>
        <w:tc>
          <w:tcPr>
            <w:tcW w:w="66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56E298">
            <w:pPr>
              <w:jc w:val="center"/>
              <w:rPr>
                <w:rFonts w:hint="eastAsia" w:ascii="宋体" w:hAnsi="宋体" w:eastAsia="宋体" w:cs="宋体"/>
                <w:i w:val="0"/>
                <w:iCs w:val="0"/>
                <w:color w:val="000000"/>
                <w:sz w:val="20"/>
                <w:szCs w:val="20"/>
                <w:u w:val="none"/>
              </w:rPr>
            </w:pPr>
          </w:p>
        </w:tc>
        <w:tc>
          <w:tcPr>
            <w:tcW w:w="21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4EBE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村卫生室国家基本药物制度覆盖率</w:t>
            </w:r>
          </w:p>
        </w:tc>
        <w:tc>
          <w:tcPr>
            <w:tcW w:w="787" w:type="dxa"/>
            <w:tcBorders>
              <w:top w:val="single" w:color="000000" w:sz="4" w:space="0"/>
              <w:left w:val="nil"/>
              <w:bottom w:val="single" w:color="000000" w:sz="4" w:space="0"/>
              <w:right w:val="nil"/>
            </w:tcBorders>
            <w:shd w:val="clear" w:color="auto" w:fill="auto"/>
            <w:vAlign w:val="center"/>
          </w:tcPr>
          <w:p w14:paraId="1DB4F5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5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F38FC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2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E690A">
            <w:pPr>
              <w:jc w:val="center"/>
              <w:rPr>
                <w:rFonts w:hint="eastAsia" w:ascii="宋体" w:hAnsi="宋体" w:eastAsia="宋体" w:cs="宋体"/>
                <w:i w:val="0"/>
                <w:iCs w:val="0"/>
                <w:color w:val="000000"/>
                <w:sz w:val="20"/>
                <w:szCs w:val="20"/>
                <w:u w:val="none"/>
              </w:rPr>
            </w:pPr>
          </w:p>
        </w:tc>
      </w:tr>
      <w:tr w14:paraId="27A6E3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2" w:hRule="atLeast"/>
        </w:trPr>
        <w:tc>
          <w:tcPr>
            <w:tcW w:w="125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E487101">
            <w:pPr>
              <w:jc w:val="center"/>
              <w:rPr>
                <w:rFonts w:hint="eastAsia" w:ascii="宋体" w:hAnsi="宋体" w:eastAsia="宋体" w:cs="宋体"/>
                <w:i w:val="0"/>
                <w:iCs w:val="0"/>
                <w:color w:val="000000"/>
                <w:sz w:val="20"/>
                <w:szCs w:val="20"/>
                <w:u w:val="none"/>
              </w:rPr>
            </w:pPr>
          </w:p>
        </w:tc>
        <w:tc>
          <w:tcPr>
            <w:tcW w:w="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639FE9">
            <w:pPr>
              <w:jc w:val="center"/>
              <w:rPr>
                <w:rFonts w:hint="eastAsia" w:ascii="宋体" w:hAnsi="宋体" w:eastAsia="宋体" w:cs="宋体"/>
                <w:i w:val="0"/>
                <w:iCs w:val="0"/>
                <w:color w:val="000000"/>
                <w:sz w:val="20"/>
                <w:szCs w:val="20"/>
                <w:u w:val="none"/>
              </w:rPr>
            </w:pPr>
          </w:p>
        </w:tc>
        <w:tc>
          <w:tcPr>
            <w:tcW w:w="6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BADF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质量指标</w:t>
            </w:r>
          </w:p>
        </w:tc>
        <w:tc>
          <w:tcPr>
            <w:tcW w:w="21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3EFF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目录药品质量合格率</w:t>
            </w: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C6D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5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9EEC6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2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931B2">
            <w:pPr>
              <w:jc w:val="center"/>
              <w:rPr>
                <w:rFonts w:hint="eastAsia" w:ascii="宋体" w:hAnsi="宋体" w:eastAsia="宋体" w:cs="宋体"/>
                <w:i w:val="0"/>
                <w:iCs w:val="0"/>
                <w:color w:val="000000"/>
                <w:sz w:val="20"/>
                <w:szCs w:val="20"/>
                <w:u w:val="none"/>
              </w:rPr>
            </w:pPr>
          </w:p>
        </w:tc>
      </w:tr>
      <w:tr w14:paraId="2839D2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2" w:hRule="atLeast"/>
        </w:trPr>
        <w:tc>
          <w:tcPr>
            <w:tcW w:w="125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5750162">
            <w:pPr>
              <w:jc w:val="center"/>
              <w:rPr>
                <w:rFonts w:hint="eastAsia" w:ascii="宋体" w:hAnsi="宋体" w:eastAsia="宋体" w:cs="宋体"/>
                <w:i w:val="0"/>
                <w:iCs w:val="0"/>
                <w:color w:val="000000"/>
                <w:sz w:val="20"/>
                <w:szCs w:val="20"/>
                <w:u w:val="none"/>
              </w:rPr>
            </w:pPr>
          </w:p>
        </w:tc>
        <w:tc>
          <w:tcPr>
            <w:tcW w:w="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B53CE9">
            <w:pPr>
              <w:jc w:val="center"/>
              <w:rPr>
                <w:rFonts w:hint="eastAsia" w:ascii="宋体" w:hAnsi="宋体" w:eastAsia="宋体" w:cs="宋体"/>
                <w:i w:val="0"/>
                <w:iCs w:val="0"/>
                <w:color w:val="000000"/>
                <w:sz w:val="20"/>
                <w:szCs w:val="20"/>
                <w:u w:val="none"/>
              </w:rPr>
            </w:pPr>
          </w:p>
        </w:tc>
        <w:tc>
          <w:tcPr>
            <w:tcW w:w="6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592C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时效指标</w:t>
            </w:r>
          </w:p>
        </w:tc>
        <w:tc>
          <w:tcPr>
            <w:tcW w:w="21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FF63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补助资金下达率</w:t>
            </w: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FA5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5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38BC9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2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FC0FB">
            <w:pPr>
              <w:jc w:val="center"/>
              <w:rPr>
                <w:rFonts w:hint="eastAsia" w:ascii="宋体" w:hAnsi="宋体" w:eastAsia="宋体" w:cs="宋体"/>
                <w:i w:val="0"/>
                <w:iCs w:val="0"/>
                <w:color w:val="000000"/>
                <w:sz w:val="20"/>
                <w:szCs w:val="20"/>
                <w:u w:val="none"/>
              </w:rPr>
            </w:pPr>
          </w:p>
        </w:tc>
      </w:tr>
      <w:tr w14:paraId="03AFB0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2" w:hRule="atLeast"/>
        </w:trPr>
        <w:tc>
          <w:tcPr>
            <w:tcW w:w="125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078A4C0">
            <w:pPr>
              <w:jc w:val="center"/>
              <w:rPr>
                <w:rFonts w:hint="eastAsia" w:ascii="宋体" w:hAnsi="宋体" w:eastAsia="宋体" w:cs="宋体"/>
                <w:i w:val="0"/>
                <w:iCs w:val="0"/>
                <w:color w:val="000000"/>
                <w:sz w:val="20"/>
                <w:szCs w:val="20"/>
                <w:u w:val="none"/>
              </w:rPr>
            </w:pPr>
          </w:p>
        </w:tc>
        <w:tc>
          <w:tcPr>
            <w:tcW w:w="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75651D">
            <w:pPr>
              <w:jc w:val="center"/>
              <w:rPr>
                <w:rFonts w:hint="eastAsia" w:ascii="宋体" w:hAnsi="宋体" w:eastAsia="宋体" w:cs="宋体"/>
                <w:i w:val="0"/>
                <w:iCs w:val="0"/>
                <w:color w:val="000000"/>
                <w:sz w:val="20"/>
                <w:szCs w:val="20"/>
                <w:u w:val="none"/>
              </w:rPr>
            </w:pPr>
          </w:p>
        </w:tc>
        <w:tc>
          <w:tcPr>
            <w:tcW w:w="6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4A5E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成本指标</w:t>
            </w:r>
          </w:p>
        </w:tc>
        <w:tc>
          <w:tcPr>
            <w:tcW w:w="21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CFAD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严格按照上级补助全额兑现</w:t>
            </w: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6F3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5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CF75C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2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DE6EA">
            <w:pPr>
              <w:jc w:val="center"/>
              <w:rPr>
                <w:rFonts w:hint="eastAsia" w:ascii="宋体" w:hAnsi="宋体" w:eastAsia="宋体" w:cs="宋体"/>
                <w:i w:val="0"/>
                <w:iCs w:val="0"/>
                <w:color w:val="000000"/>
                <w:sz w:val="20"/>
                <w:szCs w:val="20"/>
                <w:u w:val="none"/>
              </w:rPr>
            </w:pPr>
          </w:p>
        </w:tc>
      </w:tr>
      <w:tr w14:paraId="6C591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7" w:hRule="atLeast"/>
        </w:trPr>
        <w:tc>
          <w:tcPr>
            <w:tcW w:w="125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00AC518">
            <w:pPr>
              <w:jc w:val="center"/>
              <w:rPr>
                <w:rFonts w:hint="eastAsia" w:ascii="宋体" w:hAnsi="宋体" w:eastAsia="宋体" w:cs="宋体"/>
                <w:i w:val="0"/>
                <w:iCs w:val="0"/>
                <w:color w:val="000000"/>
                <w:sz w:val="20"/>
                <w:szCs w:val="20"/>
                <w:u w:val="none"/>
              </w:rPr>
            </w:pPr>
          </w:p>
        </w:tc>
        <w:tc>
          <w:tcPr>
            <w:tcW w:w="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5CD09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效</w:t>
            </w:r>
          </w:p>
          <w:p w14:paraId="3D22F7B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益</w:t>
            </w:r>
          </w:p>
          <w:p w14:paraId="1125021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指</w:t>
            </w:r>
          </w:p>
          <w:p w14:paraId="569158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标</w:t>
            </w:r>
          </w:p>
        </w:tc>
        <w:tc>
          <w:tcPr>
            <w:tcW w:w="6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EC36F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社会效益</w:t>
            </w:r>
          </w:p>
          <w:p w14:paraId="4453EC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指标</w:t>
            </w:r>
          </w:p>
        </w:tc>
        <w:tc>
          <w:tcPr>
            <w:tcW w:w="21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727B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乡村医生收入</w:t>
            </w: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379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保持稳定</w:t>
            </w:r>
          </w:p>
        </w:tc>
        <w:tc>
          <w:tcPr>
            <w:tcW w:w="5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EB876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完成</w:t>
            </w:r>
          </w:p>
        </w:tc>
        <w:tc>
          <w:tcPr>
            <w:tcW w:w="2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CE678">
            <w:pPr>
              <w:jc w:val="center"/>
              <w:rPr>
                <w:rFonts w:hint="eastAsia" w:ascii="宋体" w:hAnsi="宋体" w:eastAsia="宋体" w:cs="宋体"/>
                <w:i w:val="0"/>
                <w:iCs w:val="0"/>
                <w:color w:val="000000"/>
                <w:sz w:val="20"/>
                <w:szCs w:val="20"/>
                <w:u w:val="none"/>
              </w:rPr>
            </w:pPr>
          </w:p>
        </w:tc>
      </w:tr>
      <w:tr w14:paraId="084A16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2" w:hRule="atLeast"/>
        </w:trPr>
        <w:tc>
          <w:tcPr>
            <w:tcW w:w="125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9C35769">
            <w:pPr>
              <w:jc w:val="center"/>
              <w:rPr>
                <w:rFonts w:hint="eastAsia" w:ascii="宋体" w:hAnsi="宋体" w:eastAsia="宋体" w:cs="宋体"/>
                <w:i w:val="0"/>
                <w:iCs w:val="0"/>
                <w:color w:val="000000"/>
                <w:sz w:val="20"/>
                <w:szCs w:val="20"/>
                <w:u w:val="none"/>
              </w:rPr>
            </w:pPr>
          </w:p>
        </w:tc>
        <w:tc>
          <w:tcPr>
            <w:tcW w:w="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5411DC">
            <w:pPr>
              <w:jc w:val="center"/>
              <w:rPr>
                <w:rFonts w:hint="eastAsia" w:ascii="宋体" w:hAnsi="宋体" w:eastAsia="宋体" w:cs="宋体"/>
                <w:i w:val="0"/>
                <w:iCs w:val="0"/>
                <w:color w:val="000000"/>
                <w:sz w:val="20"/>
                <w:szCs w:val="20"/>
                <w:u w:val="none"/>
              </w:rPr>
            </w:pPr>
          </w:p>
        </w:tc>
        <w:tc>
          <w:tcPr>
            <w:tcW w:w="66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2E07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可持续影响指标</w:t>
            </w:r>
          </w:p>
        </w:tc>
        <w:tc>
          <w:tcPr>
            <w:tcW w:w="21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D506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国家基本药物制度在基层持续实施</w:t>
            </w: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924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中长期</w:t>
            </w:r>
          </w:p>
        </w:tc>
        <w:tc>
          <w:tcPr>
            <w:tcW w:w="5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D9FB2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完成</w:t>
            </w:r>
          </w:p>
        </w:tc>
        <w:tc>
          <w:tcPr>
            <w:tcW w:w="2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E0E5A">
            <w:pPr>
              <w:jc w:val="center"/>
              <w:rPr>
                <w:rFonts w:hint="eastAsia" w:ascii="宋体" w:hAnsi="宋体" w:eastAsia="宋体" w:cs="宋体"/>
                <w:i w:val="0"/>
                <w:iCs w:val="0"/>
                <w:color w:val="000000"/>
                <w:sz w:val="20"/>
                <w:szCs w:val="20"/>
                <w:u w:val="none"/>
              </w:rPr>
            </w:pPr>
          </w:p>
        </w:tc>
      </w:tr>
      <w:tr w14:paraId="427885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trPr>
        <w:tc>
          <w:tcPr>
            <w:tcW w:w="125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B801AF4">
            <w:pPr>
              <w:jc w:val="center"/>
              <w:rPr>
                <w:rFonts w:hint="eastAsia" w:ascii="宋体" w:hAnsi="宋体" w:eastAsia="宋体" w:cs="宋体"/>
                <w:i w:val="0"/>
                <w:iCs w:val="0"/>
                <w:color w:val="000000"/>
                <w:sz w:val="20"/>
                <w:szCs w:val="20"/>
                <w:u w:val="none"/>
              </w:rPr>
            </w:pPr>
          </w:p>
        </w:tc>
        <w:tc>
          <w:tcPr>
            <w:tcW w:w="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F4C67E">
            <w:pPr>
              <w:jc w:val="center"/>
              <w:rPr>
                <w:rFonts w:hint="eastAsia" w:ascii="宋体" w:hAnsi="宋体" w:eastAsia="宋体" w:cs="宋体"/>
                <w:i w:val="0"/>
                <w:iCs w:val="0"/>
                <w:color w:val="000000"/>
                <w:sz w:val="20"/>
                <w:szCs w:val="20"/>
                <w:u w:val="none"/>
              </w:rPr>
            </w:pPr>
          </w:p>
        </w:tc>
        <w:tc>
          <w:tcPr>
            <w:tcW w:w="66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716228">
            <w:pPr>
              <w:jc w:val="center"/>
              <w:rPr>
                <w:rFonts w:hint="eastAsia" w:ascii="宋体" w:hAnsi="宋体" w:eastAsia="宋体" w:cs="宋体"/>
                <w:i w:val="0"/>
                <w:iCs w:val="0"/>
                <w:color w:val="000000"/>
                <w:sz w:val="20"/>
                <w:szCs w:val="20"/>
                <w:u w:val="none"/>
              </w:rPr>
            </w:pPr>
          </w:p>
        </w:tc>
        <w:tc>
          <w:tcPr>
            <w:tcW w:w="21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2DF7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降低患者的医疗费用</w:t>
            </w: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050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有效</w:t>
            </w:r>
          </w:p>
        </w:tc>
        <w:tc>
          <w:tcPr>
            <w:tcW w:w="5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DF4A9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完成</w:t>
            </w:r>
          </w:p>
        </w:tc>
        <w:tc>
          <w:tcPr>
            <w:tcW w:w="2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813C5">
            <w:pPr>
              <w:jc w:val="center"/>
              <w:rPr>
                <w:rFonts w:hint="eastAsia" w:ascii="宋体" w:hAnsi="宋体" w:eastAsia="宋体" w:cs="宋体"/>
                <w:i w:val="0"/>
                <w:iCs w:val="0"/>
                <w:color w:val="000000"/>
                <w:sz w:val="20"/>
                <w:szCs w:val="20"/>
                <w:u w:val="none"/>
              </w:rPr>
            </w:pPr>
          </w:p>
        </w:tc>
      </w:tr>
      <w:tr w14:paraId="03AA47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trPr>
        <w:tc>
          <w:tcPr>
            <w:tcW w:w="125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EBAB152">
            <w:pPr>
              <w:jc w:val="center"/>
              <w:rPr>
                <w:rFonts w:hint="eastAsia" w:ascii="宋体" w:hAnsi="宋体" w:eastAsia="宋体" w:cs="宋体"/>
                <w:i w:val="0"/>
                <w:iCs w:val="0"/>
                <w:color w:val="000000"/>
                <w:sz w:val="20"/>
                <w:szCs w:val="20"/>
                <w:u w:val="none"/>
              </w:rPr>
            </w:pPr>
          </w:p>
        </w:tc>
        <w:tc>
          <w:tcPr>
            <w:tcW w:w="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3349F0">
            <w:pPr>
              <w:jc w:val="center"/>
              <w:rPr>
                <w:rFonts w:hint="eastAsia" w:ascii="宋体" w:hAnsi="宋体" w:eastAsia="宋体" w:cs="宋体"/>
                <w:i w:val="0"/>
                <w:iCs w:val="0"/>
                <w:color w:val="000000"/>
                <w:sz w:val="20"/>
                <w:szCs w:val="20"/>
                <w:u w:val="none"/>
              </w:rPr>
            </w:pPr>
          </w:p>
        </w:tc>
        <w:tc>
          <w:tcPr>
            <w:tcW w:w="66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5C5CC1">
            <w:pPr>
              <w:jc w:val="center"/>
              <w:rPr>
                <w:rFonts w:hint="eastAsia" w:ascii="宋体" w:hAnsi="宋体" w:eastAsia="宋体" w:cs="宋体"/>
                <w:i w:val="0"/>
                <w:iCs w:val="0"/>
                <w:color w:val="000000"/>
                <w:sz w:val="20"/>
                <w:szCs w:val="20"/>
                <w:u w:val="none"/>
              </w:rPr>
            </w:pPr>
          </w:p>
        </w:tc>
        <w:tc>
          <w:tcPr>
            <w:tcW w:w="21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01CC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保证药品安全、有效、经济</w:t>
            </w: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8C4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长期</w:t>
            </w:r>
          </w:p>
        </w:tc>
        <w:tc>
          <w:tcPr>
            <w:tcW w:w="5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A3876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完成</w:t>
            </w:r>
          </w:p>
        </w:tc>
        <w:tc>
          <w:tcPr>
            <w:tcW w:w="2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CAC8E">
            <w:pPr>
              <w:jc w:val="center"/>
              <w:rPr>
                <w:rFonts w:hint="eastAsia" w:ascii="宋体" w:hAnsi="宋体" w:eastAsia="宋体" w:cs="宋体"/>
                <w:i w:val="0"/>
                <w:iCs w:val="0"/>
                <w:color w:val="000000"/>
                <w:sz w:val="20"/>
                <w:szCs w:val="20"/>
                <w:u w:val="none"/>
              </w:rPr>
            </w:pPr>
          </w:p>
        </w:tc>
      </w:tr>
      <w:tr w14:paraId="363939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08" w:hRule="atLeast"/>
        </w:trPr>
        <w:tc>
          <w:tcPr>
            <w:tcW w:w="125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EB2E6B7">
            <w:pPr>
              <w:jc w:val="center"/>
              <w:rPr>
                <w:rFonts w:hint="eastAsia" w:ascii="宋体" w:hAnsi="宋体" w:eastAsia="宋体" w:cs="宋体"/>
                <w:i w:val="0"/>
                <w:iCs w:val="0"/>
                <w:color w:val="000000"/>
                <w:sz w:val="20"/>
                <w:szCs w:val="20"/>
                <w:u w:val="none"/>
              </w:rPr>
            </w:pPr>
          </w:p>
        </w:tc>
        <w:tc>
          <w:tcPr>
            <w:tcW w:w="2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954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满意度指标</w:t>
            </w:r>
          </w:p>
        </w:tc>
        <w:tc>
          <w:tcPr>
            <w:tcW w:w="6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22B25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服务对象</w:t>
            </w:r>
          </w:p>
          <w:p w14:paraId="33A1FA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满意度指标</w:t>
            </w:r>
          </w:p>
        </w:tc>
        <w:tc>
          <w:tcPr>
            <w:tcW w:w="21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EAF5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受益群众满意度</w:t>
            </w: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9E5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≥90%</w:t>
            </w:r>
          </w:p>
        </w:tc>
        <w:tc>
          <w:tcPr>
            <w:tcW w:w="5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C4776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95%</w:t>
            </w:r>
          </w:p>
        </w:tc>
        <w:tc>
          <w:tcPr>
            <w:tcW w:w="2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1C234">
            <w:pPr>
              <w:jc w:val="center"/>
              <w:rPr>
                <w:rFonts w:hint="eastAsia" w:ascii="宋体" w:hAnsi="宋体" w:eastAsia="宋体" w:cs="宋体"/>
                <w:i w:val="0"/>
                <w:iCs w:val="0"/>
                <w:color w:val="000000"/>
                <w:sz w:val="20"/>
                <w:szCs w:val="20"/>
                <w:u w:val="none"/>
              </w:rPr>
            </w:pPr>
          </w:p>
        </w:tc>
      </w:tr>
      <w:tr w14:paraId="15B07F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8" w:hRule="atLeast"/>
        </w:trPr>
        <w:tc>
          <w:tcPr>
            <w:tcW w:w="1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75A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说明</w:t>
            </w:r>
          </w:p>
        </w:tc>
        <w:tc>
          <w:tcPr>
            <w:tcW w:w="654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6AD53D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bl>
    <w:p w14:paraId="045964BD">
      <w:pPr>
        <w:pStyle w:val="7"/>
        <w:rPr>
          <w:rFonts w:hint="eastAsia" w:ascii="仿宋_GB2312" w:eastAsia="仿宋_GB2312" w:cs="仿宋"/>
          <w:color w:val="auto"/>
          <w:kern w:val="0"/>
          <w:sz w:val="32"/>
          <w:szCs w:val="32"/>
          <w:highlight w:val="none"/>
          <w:lang w:val="en-US" w:eastAsia="zh-CN" w:bidi="ar-SA"/>
        </w:rPr>
      </w:pPr>
    </w:p>
    <w:p w14:paraId="6E06B420">
      <w:pPr>
        <w:pStyle w:val="7"/>
        <w:rPr>
          <w:rFonts w:hint="eastAsia" w:ascii="仿宋_GB2312" w:eastAsia="仿宋_GB2312" w:cs="仿宋"/>
          <w:color w:val="auto"/>
          <w:kern w:val="0"/>
          <w:sz w:val="32"/>
          <w:szCs w:val="32"/>
          <w:highlight w:val="none"/>
          <w:lang w:val="en-US" w:eastAsia="zh-CN" w:bidi="ar-SA"/>
        </w:rPr>
      </w:pPr>
    </w:p>
    <w:p w14:paraId="0415BBC7">
      <w:pPr>
        <w:pStyle w:val="2"/>
        <w:rPr>
          <w:rFonts w:hint="eastAsia"/>
        </w:rPr>
      </w:pPr>
    </w:p>
    <w:p w14:paraId="6E8110A3">
      <w:pPr>
        <w:rPr>
          <w:rFonts w:hint="eastAsia" w:ascii="仿宋_GB2312" w:eastAsia="仿宋_GB2312" w:cs="仿宋"/>
          <w:color w:val="auto"/>
          <w:kern w:val="0"/>
          <w:sz w:val="32"/>
          <w:szCs w:val="32"/>
          <w:highlight w:val="none"/>
          <w:lang w:val="en-US" w:eastAsia="zh-CN" w:bidi="ar-SA"/>
        </w:rPr>
      </w:pPr>
    </w:p>
    <w:p w14:paraId="1AA865A2">
      <w:pPr>
        <w:pStyle w:val="7"/>
        <w:rPr>
          <w:rFonts w:hint="eastAsia" w:ascii="仿宋_GB2312" w:eastAsia="仿宋_GB2312" w:cs="仿宋"/>
          <w:color w:val="auto"/>
          <w:kern w:val="0"/>
          <w:sz w:val="32"/>
          <w:szCs w:val="32"/>
          <w:highlight w:val="none"/>
          <w:lang w:val="en-US" w:eastAsia="zh-CN" w:bidi="ar-SA"/>
        </w:rPr>
      </w:pPr>
    </w:p>
    <w:p w14:paraId="54B4544B">
      <w:pPr>
        <w:rPr>
          <w:rFonts w:hint="eastAsia" w:ascii="仿宋_GB2312" w:eastAsia="仿宋_GB2312" w:cs="仿宋"/>
          <w:color w:val="auto"/>
          <w:kern w:val="0"/>
          <w:sz w:val="32"/>
          <w:szCs w:val="32"/>
          <w:highlight w:val="none"/>
          <w:lang w:val="en-US" w:eastAsia="zh-CN" w:bidi="ar-SA"/>
        </w:rPr>
      </w:pPr>
    </w:p>
    <w:p w14:paraId="579E410F">
      <w:pPr>
        <w:pStyle w:val="7"/>
        <w:rPr>
          <w:rFonts w:hint="eastAsia" w:ascii="仿宋_GB2312" w:eastAsia="仿宋_GB2312" w:cs="仿宋"/>
          <w:color w:val="auto"/>
          <w:kern w:val="0"/>
          <w:sz w:val="32"/>
          <w:szCs w:val="32"/>
          <w:highlight w:val="none"/>
          <w:lang w:val="en-US" w:eastAsia="zh-CN" w:bidi="ar-SA"/>
        </w:rPr>
      </w:pPr>
    </w:p>
    <w:p w14:paraId="4D634FC2">
      <w:pPr>
        <w:rPr>
          <w:rFonts w:hint="eastAsia" w:ascii="仿宋_GB2312" w:eastAsia="仿宋_GB2312" w:cs="仿宋"/>
          <w:color w:val="auto"/>
          <w:kern w:val="0"/>
          <w:sz w:val="32"/>
          <w:szCs w:val="32"/>
          <w:highlight w:val="none"/>
          <w:lang w:val="en-US" w:eastAsia="zh-CN" w:bidi="ar-SA"/>
        </w:rPr>
      </w:pPr>
    </w:p>
    <w:p w14:paraId="6A084174">
      <w:pPr>
        <w:pStyle w:val="7"/>
        <w:rPr>
          <w:rFonts w:hint="eastAsia" w:ascii="仿宋_GB2312" w:eastAsia="仿宋_GB2312" w:cs="仿宋"/>
          <w:color w:val="auto"/>
          <w:kern w:val="0"/>
          <w:sz w:val="32"/>
          <w:szCs w:val="32"/>
          <w:highlight w:val="none"/>
          <w:lang w:val="en-US" w:eastAsia="zh-CN" w:bidi="ar-SA"/>
        </w:rPr>
      </w:pPr>
    </w:p>
    <w:p w14:paraId="46BB78AD">
      <w:pPr>
        <w:pStyle w:val="2"/>
        <w:ind w:left="0" w:leftChars="0" w:firstLine="0" w:firstLineChars="0"/>
        <w:rPr>
          <w:rFonts w:ascii="仿宋_GB2312" w:hAnsi="仿宋_GB2312" w:eastAsia="仿宋_GB2312" w:cs="仿宋_GB2312"/>
          <w:color w:val="auto"/>
          <w:sz w:val="32"/>
          <w:szCs w:val="32"/>
          <w:highlight w:val="none"/>
        </w:rPr>
      </w:pPr>
    </w:p>
    <w:p w14:paraId="21830FAE"/>
    <w:tbl>
      <w:tblPr>
        <w:tblStyle w:val="15"/>
        <w:tblW w:w="8260" w:type="dxa"/>
        <w:tblInd w:w="0" w:type="dxa"/>
        <w:shd w:val="clear" w:color="auto" w:fill="auto"/>
        <w:tblLayout w:type="fixed"/>
        <w:tblCellMar>
          <w:top w:w="0" w:type="dxa"/>
          <w:left w:w="0" w:type="dxa"/>
          <w:bottom w:w="0" w:type="dxa"/>
          <w:right w:w="0" w:type="dxa"/>
        </w:tblCellMar>
      </w:tblPr>
      <w:tblGrid>
        <w:gridCol w:w="626"/>
        <w:gridCol w:w="859"/>
        <w:gridCol w:w="860"/>
        <w:gridCol w:w="860"/>
        <w:gridCol w:w="704"/>
        <w:gridCol w:w="530"/>
        <w:gridCol w:w="382"/>
        <w:gridCol w:w="859"/>
        <w:gridCol w:w="860"/>
        <w:gridCol w:w="860"/>
        <w:gridCol w:w="860"/>
      </w:tblGrid>
      <w:tr w14:paraId="1969B828">
        <w:tblPrEx>
          <w:shd w:val="clear" w:color="auto" w:fill="auto"/>
          <w:tblCellMar>
            <w:top w:w="0" w:type="dxa"/>
            <w:left w:w="0" w:type="dxa"/>
            <w:bottom w:w="0" w:type="dxa"/>
            <w:right w:w="0" w:type="dxa"/>
          </w:tblCellMar>
        </w:tblPrEx>
        <w:trPr>
          <w:trHeight w:val="687" w:hRule="atLeast"/>
        </w:trPr>
        <w:tc>
          <w:tcPr>
            <w:tcW w:w="8260" w:type="dxa"/>
            <w:gridSpan w:val="11"/>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77D6B727">
            <w:pPr>
              <w:keepNext w:val="0"/>
              <w:keepLines w:val="0"/>
              <w:widowControl/>
              <w:suppressLineNumbers w:val="0"/>
              <w:jc w:val="center"/>
              <w:textAlignment w:val="center"/>
              <w:rPr>
                <w:rFonts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rPr>
              <w:t>部门预算项目支出绩效自评表（2022年度）</w:t>
            </w:r>
          </w:p>
        </w:tc>
      </w:tr>
      <w:tr w14:paraId="58BCA439">
        <w:tblPrEx>
          <w:shd w:val="clear" w:color="auto" w:fill="auto"/>
          <w:tblCellMar>
            <w:top w:w="0" w:type="dxa"/>
            <w:left w:w="0" w:type="dxa"/>
            <w:bottom w:w="0" w:type="dxa"/>
            <w:right w:w="0" w:type="dxa"/>
          </w:tblCellMar>
        </w:tblPrEx>
        <w:trPr>
          <w:trHeight w:val="563" w:hRule="atLeast"/>
        </w:trPr>
        <w:tc>
          <w:tcPr>
            <w:tcW w:w="1485"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60F3F34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项目名称</w:t>
            </w:r>
          </w:p>
        </w:tc>
        <w:tc>
          <w:tcPr>
            <w:tcW w:w="6775" w:type="dxa"/>
            <w:gridSpan w:val="9"/>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0247351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二类疫苗服务费</w:t>
            </w:r>
          </w:p>
        </w:tc>
      </w:tr>
      <w:tr w14:paraId="3A8DF0D7">
        <w:tblPrEx>
          <w:shd w:val="clear" w:color="auto" w:fill="auto"/>
          <w:tblCellMar>
            <w:top w:w="0" w:type="dxa"/>
            <w:left w:w="0" w:type="dxa"/>
            <w:bottom w:w="0" w:type="dxa"/>
            <w:right w:w="0" w:type="dxa"/>
          </w:tblCellMar>
        </w:tblPrEx>
        <w:trPr>
          <w:trHeight w:val="687" w:hRule="atLeast"/>
        </w:trPr>
        <w:tc>
          <w:tcPr>
            <w:tcW w:w="1485"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4754BA9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主管部门</w:t>
            </w:r>
          </w:p>
        </w:tc>
        <w:tc>
          <w:tcPr>
            <w:tcW w:w="3336"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4CC461C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广元市昭化区卫生健康局部门</w:t>
            </w:r>
          </w:p>
        </w:tc>
        <w:tc>
          <w:tcPr>
            <w:tcW w:w="859" w:type="dxa"/>
            <w:tcBorders>
              <w:top w:val="nil"/>
              <w:left w:val="nil"/>
              <w:bottom w:val="nil"/>
              <w:right w:val="nil"/>
            </w:tcBorders>
            <w:shd w:val="clear" w:color="auto" w:fill="auto"/>
            <w:tcMar>
              <w:top w:w="10" w:type="dxa"/>
              <w:left w:w="10" w:type="dxa"/>
              <w:bottom w:w="0" w:type="dxa"/>
              <w:right w:w="10" w:type="dxa"/>
            </w:tcMar>
            <w:vAlign w:val="center"/>
          </w:tcPr>
          <w:p w14:paraId="688CD3F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实施单位 （盖章）</w:t>
            </w:r>
          </w:p>
        </w:tc>
        <w:tc>
          <w:tcPr>
            <w:tcW w:w="2580"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122DBA0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广元市昭化</w:t>
            </w:r>
            <w:r>
              <w:rPr>
                <w:rFonts w:hint="eastAsia" w:ascii="宋体" w:hAnsi="宋体" w:cs="宋体"/>
                <w:i w:val="0"/>
                <w:iCs w:val="0"/>
                <w:color w:val="000000"/>
                <w:kern w:val="0"/>
                <w:sz w:val="20"/>
                <w:szCs w:val="20"/>
                <w:u w:val="none"/>
                <w:lang w:val="en-US" w:eastAsia="zh-CN"/>
              </w:rPr>
              <w:t>区</w:t>
            </w:r>
            <w:r>
              <w:rPr>
                <w:rFonts w:hint="eastAsia" w:ascii="宋体" w:hAnsi="宋体" w:eastAsia="宋体" w:cs="宋体"/>
                <w:i w:val="0"/>
                <w:iCs w:val="0"/>
                <w:color w:val="000000"/>
                <w:kern w:val="0"/>
                <w:sz w:val="20"/>
                <w:szCs w:val="20"/>
                <w:u w:val="none"/>
                <w:lang w:val="en-US" w:eastAsia="zh-CN"/>
              </w:rPr>
              <w:t>昭化镇中心卫生院</w:t>
            </w:r>
          </w:p>
        </w:tc>
      </w:tr>
      <w:tr w14:paraId="583C1D94">
        <w:tblPrEx>
          <w:shd w:val="clear" w:color="auto" w:fill="auto"/>
          <w:tblCellMar>
            <w:top w:w="0" w:type="dxa"/>
            <w:left w:w="0" w:type="dxa"/>
            <w:bottom w:w="0" w:type="dxa"/>
            <w:right w:w="0" w:type="dxa"/>
          </w:tblCellMar>
        </w:tblPrEx>
        <w:trPr>
          <w:trHeight w:val="462" w:hRule="atLeast"/>
        </w:trPr>
        <w:tc>
          <w:tcPr>
            <w:tcW w:w="62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7FA824B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项目基本情况</w:t>
            </w:r>
          </w:p>
        </w:tc>
        <w:tc>
          <w:tcPr>
            <w:tcW w:w="85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7BAEE18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1.项目年度目标完成情况</w:t>
            </w:r>
          </w:p>
        </w:tc>
        <w:tc>
          <w:tcPr>
            <w:tcW w:w="3336"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7A19A17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项目年度目标</w:t>
            </w:r>
          </w:p>
        </w:tc>
        <w:tc>
          <w:tcPr>
            <w:tcW w:w="3439"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0CC09CC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年度目标完成情况</w:t>
            </w:r>
          </w:p>
        </w:tc>
      </w:tr>
      <w:tr w14:paraId="64B1431C">
        <w:tblPrEx>
          <w:shd w:val="clear" w:color="auto" w:fill="auto"/>
          <w:tblCellMar>
            <w:top w:w="0" w:type="dxa"/>
            <w:left w:w="0" w:type="dxa"/>
            <w:bottom w:w="0" w:type="dxa"/>
            <w:right w:w="0" w:type="dxa"/>
          </w:tblCellMar>
        </w:tblPrEx>
        <w:trPr>
          <w:trHeight w:val="555" w:hRule="atLeast"/>
        </w:trPr>
        <w:tc>
          <w:tcPr>
            <w:tcW w:w="6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0AD1EE1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529A52B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3336"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1E9E9EA6">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 xml:space="preserve">        4.0325万元</w:t>
            </w:r>
          </w:p>
        </w:tc>
        <w:tc>
          <w:tcPr>
            <w:tcW w:w="3439"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6C569DD4">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100%</w:t>
            </w:r>
          </w:p>
        </w:tc>
      </w:tr>
      <w:tr w14:paraId="6FCE68B0">
        <w:tblPrEx>
          <w:shd w:val="clear" w:color="auto" w:fill="auto"/>
          <w:tblCellMar>
            <w:top w:w="0" w:type="dxa"/>
            <w:left w:w="0" w:type="dxa"/>
            <w:bottom w:w="0" w:type="dxa"/>
            <w:right w:w="0" w:type="dxa"/>
          </w:tblCellMar>
        </w:tblPrEx>
        <w:trPr>
          <w:trHeight w:val="999" w:hRule="atLeast"/>
        </w:trPr>
        <w:tc>
          <w:tcPr>
            <w:tcW w:w="6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282CF0D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23CE3A8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2.项目实施内容及过程概述</w:t>
            </w:r>
          </w:p>
        </w:tc>
        <w:tc>
          <w:tcPr>
            <w:tcW w:w="6775" w:type="dxa"/>
            <w:gridSpan w:val="9"/>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4879257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按照《四川省发展和改革委员会四川省财政厅关于疫苗预防接种服务收费标准及有关问题的通知》（川发改价格〔2020〕640号）文件精神，二类疫苗接种服务费收入全额上缴国库，纳入财政预算管理。</w:t>
            </w:r>
          </w:p>
        </w:tc>
      </w:tr>
      <w:tr w14:paraId="0D382FD0">
        <w:tblPrEx>
          <w:shd w:val="clear" w:color="auto" w:fill="auto"/>
          <w:tblCellMar>
            <w:top w:w="0" w:type="dxa"/>
            <w:left w:w="0" w:type="dxa"/>
            <w:bottom w:w="0" w:type="dxa"/>
            <w:right w:w="0" w:type="dxa"/>
          </w:tblCellMar>
        </w:tblPrEx>
        <w:trPr>
          <w:trHeight w:val="687" w:hRule="atLeast"/>
        </w:trPr>
        <w:tc>
          <w:tcPr>
            <w:tcW w:w="62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20A6FD8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预算执行情况（10分）</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4BAC137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年度预算数（万元）</w:t>
            </w: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25A9381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年初预算</w:t>
            </w: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738777B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调整后预算数</w:t>
            </w:r>
          </w:p>
        </w:tc>
        <w:tc>
          <w:tcPr>
            <w:tcW w:w="161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512A040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预算执行数</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2DB4FD1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预算执行率</w:t>
            </w: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7975B52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权重</w:t>
            </w: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345025F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得分</w:t>
            </w:r>
          </w:p>
        </w:tc>
        <w:tc>
          <w:tcPr>
            <w:tcW w:w="860" w:type="dxa"/>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14:paraId="719CF90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未完成原因分析</w:t>
            </w:r>
          </w:p>
        </w:tc>
      </w:tr>
      <w:tr w14:paraId="1C494119">
        <w:tblPrEx>
          <w:shd w:val="clear" w:color="auto" w:fill="auto"/>
          <w:tblCellMar>
            <w:top w:w="0" w:type="dxa"/>
            <w:left w:w="0" w:type="dxa"/>
            <w:bottom w:w="0" w:type="dxa"/>
            <w:right w:w="0" w:type="dxa"/>
          </w:tblCellMar>
        </w:tblPrEx>
        <w:trPr>
          <w:trHeight w:val="374" w:hRule="atLeast"/>
        </w:trPr>
        <w:tc>
          <w:tcPr>
            <w:tcW w:w="6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3A7C9E4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51071B9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总额</w:t>
            </w: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6EA68B2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2232AEE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4.0325</w:t>
            </w:r>
          </w:p>
        </w:tc>
        <w:tc>
          <w:tcPr>
            <w:tcW w:w="161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29D73EF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4.0325</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594C88E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100.00%</w:t>
            </w: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56C32DA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10</w:t>
            </w:r>
          </w:p>
        </w:tc>
        <w:tc>
          <w:tcPr>
            <w:tcW w:w="860" w:type="dxa"/>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14:paraId="339743A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100</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14:paraId="125D8B3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r>
      <w:tr w14:paraId="570E45F0">
        <w:tblPrEx>
          <w:shd w:val="clear" w:color="auto" w:fill="auto"/>
          <w:tblCellMar>
            <w:top w:w="0" w:type="dxa"/>
            <w:left w:w="0" w:type="dxa"/>
            <w:bottom w:w="0" w:type="dxa"/>
            <w:right w:w="0" w:type="dxa"/>
          </w:tblCellMar>
        </w:tblPrEx>
        <w:trPr>
          <w:trHeight w:val="687" w:hRule="atLeast"/>
        </w:trPr>
        <w:tc>
          <w:tcPr>
            <w:tcW w:w="6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384A262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4B279DE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其中：财政资金</w:t>
            </w: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00A7F4E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405919F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4.0325</w:t>
            </w:r>
          </w:p>
        </w:tc>
        <w:tc>
          <w:tcPr>
            <w:tcW w:w="161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426CEC2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4.0325</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5915410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100.00%</w:t>
            </w: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57E7F90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c>
          <w:tcPr>
            <w:tcW w:w="860" w:type="dxa"/>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14:paraId="157EBAA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100</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14:paraId="267B8C1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r>
      <w:tr w14:paraId="30D42B9F">
        <w:tblPrEx>
          <w:shd w:val="clear" w:color="auto" w:fill="auto"/>
          <w:tblCellMar>
            <w:top w:w="0" w:type="dxa"/>
            <w:left w:w="0" w:type="dxa"/>
            <w:bottom w:w="0" w:type="dxa"/>
            <w:right w:w="0" w:type="dxa"/>
          </w:tblCellMar>
        </w:tblPrEx>
        <w:trPr>
          <w:trHeight w:val="687" w:hRule="atLeast"/>
        </w:trPr>
        <w:tc>
          <w:tcPr>
            <w:tcW w:w="6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40AD48E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0545F60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财政专户管理资金</w:t>
            </w: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1B9B548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1E84EA9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161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254C2BB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0787F38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67C46E6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c>
          <w:tcPr>
            <w:tcW w:w="860" w:type="dxa"/>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14:paraId="1E0A222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14:paraId="0F89F19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r>
      <w:tr w14:paraId="61D4A151">
        <w:tblPrEx>
          <w:tblCellMar>
            <w:top w:w="0" w:type="dxa"/>
            <w:left w:w="0" w:type="dxa"/>
            <w:bottom w:w="0" w:type="dxa"/>
            <w:right w:w="0" w:type="dxa"/>
          </w:tblCellMar>
        </w:tblPrEx>
        <w:trPr>
          <w:trHeight w:val="374" w:hRule="atLeast"/>
        </w:trPr>
        <w:tc>
          <w:tcPr>
            <w:tcW w:w="6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54C6667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6B5CA3E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单位资金</w:t>
            </w: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44C9829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0C11EA4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161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43366B5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2334197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67145E2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c>
          <w:tcPr>
            <w:tcW w:w="860" w:type="dxa"/>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14:paraId="5773EF1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14:paraId="299C707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r>
      <w:tr w14:paraId="1F0DC015">
        <w:tblPrEx>
          <w:tblCellMar>
            <w:top w:w="0" w:type="dxa"/>
            <w:left w:w="0" w:type="dxa"/>
            <w:bottom w:w="0" w:type="dxa"/>
            <w:right w:w="0" w:type="dxa"/>
          </w:tblCellMar>
        </w:tblPrEx>
        <w:trPr>
          <w:trHeight w:val="502" w:hRule="atLeast"/>
        </w:trPr>
        <w:tc>
          <w:tcPr>
            <w:tcW w:w="6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3406FE6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63EE15B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其他资金</w:t>
            </w: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0ACF308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23E0DF3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161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2099571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45BF89E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2E55478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c>
          <w:tcPr>
            <w:tcW w:w="860" w:type="dxa"/>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14:paraId="08EF89A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14:paraId="46960EC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r>
      <w:tr w14:paraId="3BBCE95B">
        <w:tblPrEx>
          <w:shd w:val="clear" w:color="auto" w:fill="auto"/>
          <w:tblCellMar>
            <w:top w:w="0" w:type="dxa"/>
            <w:left w:w="0" w:type="dxa"/>
            <w:bottom w:w="0" w:type="dxa"/>
            <w:right w:w="0" w:type="dxa"/>
          </w:tblCellMar>
        </w:tblPrEx>
        <w:trPr>
          <w:trHeight w:val="1284" w:hRule="atLeast"/>
        </w:trPr>
        <w:tc>
          <w:tcPr>
            <w:tcW w:w="62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02C5E20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绩效指标（90分）</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44E16AF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一级指标</w:t>
            </w: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2140CAB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二级指标</w:t>
            </w: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42E834B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三级指标</w:t>
            </w: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5DEA5BA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指标性质</w:t>
            </w:r>
          </w:p>
        </w:tc>
        <w:tc>
          <w:tcPr>
            <w:tcW w:w="5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77FF73F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指标值</w:t>
            </w:r>
          </w:p>
        </w:tc>
        <w:tc>
          <w:tcPr>
            <w:tcW w:w="38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6C206B8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度量单位</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51BF82E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完成值</w:t>
            </w: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3A5AEF4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权重</w:t>
            </w:r>
          </w:p>
        </w:tc>
        <w:tc>
          <w:tcPr>
            <w:tcW w:w="860" w:type="dxa"/>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14:paraId="439F3B4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得分</w:t>
            </w: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5D3D4A4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r>
      <w:tr w14:paraId="55172C5A">
        <w:tblPrEx>
          <w:shd w:val="clear" w:color="auto" w:fill="auto"/>
          <w:tblCellMar>
            <w:top w:w="0" w:type="dxa"/>
            <w:left w:w="0" w:type="dxa"/>
            <w:bottom w:w="0" w:type="dxa"/>
            <w:right w:w="0" w:type="dxa"/>
          </w:tblCellMar>
        </w:tblPrEx>
        <w:trPr>
          <w:trHeight w:val="670" w:hRule="atLeast"/>
        </w:trPr>
        <w:tc>
          <w:tcPr>
            <w:tcW w:w="6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6E6FE95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202781C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产出指标</w:t>
            </w: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61F1EF1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时效指标</w:t>
            </w: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008C311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项目完成及时率</w:t>
            </w: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3932478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w:t>
            </w:r>
          </w:p>
        </w:tc>
        <w:tc>
          <w:tcPr>
            <w:tcW w:w="5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36648DF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100</w:t>
            </w:r>
          </w:p>
        </w:tc>
        <w:tc>
          <w:tcPr>
            <w:tcW w:w="38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7851371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66951D5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100%</w:t>
            </w: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6EA8FF8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100</w:t>
            </w: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1B48979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90</w:t>
            </w:r>
          </w:p>
        </w:tc>
        <w:tc>
          <w:tcPr>
            <w:tcW w:w="860" w:type="dxa"/>
            <w:tcBorders>
              <w:top w:val="nil"/>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3EF1FF5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r>
      <w:tr w14:paraId="35AD4B0C">
        <w:tblPrEx>
          <w:shd w:val="clear" w:color="auto" w:fill="auto"/>
          <w:tblCellMar>
            <w:top w:w="0" w:type="dxa"/>
            <w:left w:w="0" w:type="dxa"/>
            <w:bottom w:w="0" w:type="dxa"/>
            <w:right w:w="0" w:type="dxa"/>
          </w:tblCellMar>
        </w:tblPrEx>
        <w:trPr>
          <w:trHeight w:val="374" w:hRule="atLeast"/>
        </w:trPr>
        <w:tc>
          <w:tcPr>
            <w:tcW w:w="5680" w:type="dxa"/>
            <w:gridSpan w:val="8"/>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7332DD7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合计</w:t>
            </w: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2DCAF7D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100</w:t>
            </w: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323B213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4DBBCB7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r>
      <w:tr w14:paraId="6E92302B">
        <w:tblPrEx>
          <w:shd w:val="clear" w:color="auto" w:fill="auto"/>
          <w:tblCellMar>
            <w:top w:w="0" w:type="dxa"/>
            <w:left w:w="0" w:type="dxa"/>
            <w:bottom w:w="0" w:type="dxa"/>
            <w:right w:w="0" w:type="dxa"/>
          </w:tblCellMar>
        </w:tblPrEx>
        <w:trPr>
          <w:trHeight w:val="687" w:hRule="atLeast"/>
        </w:trPr>
        <w:tc>
          <w:tcPr>
            <w:tcW w:w="62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24F7E5D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评价结论</w:t>
            </w:r>
          </w:p>
        </w:tc>
        <w:tc>
          <w:tcPr>
            <w:tcW w:w="7634" w:type="dxa"/>
            <w:gridSpan w:val="10"/>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169A5F3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二类疫苗接种服务费收入全额上缴国库，纳入财政预算管理，实施效果较好</w:t>
            </w:r>
          </w:p>
        </w:tc>
      </w:tr>
      <w:tr w14:paraId="7E5F16D1">
        <w:tblPrEx>
          <w:shd w:val="clear" w:color="auto" w:fill="auto"/>
          <w:tblCellMar>
            <w:top w:w="0" w:type="dxa"/>
            <w:left w:w="0" w:type="dxa"/>
            <w:bottom w:w="0" w:type="dxa"/>
            <w:right w:w="0" w:type="dxa"/>
          </w:tblCellMar>
        </w:tblPrEx>
        <w:trPr>
          <w:trHeight w:val="687" w:hRule="atLeast"/>
        </w:trPr>
        <w:tc>
          <w:tcPr>
            <w:tcW w:w="62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0EFF307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存在问题</w:t>
            </w:r>
          </w:p>
        </w:tc>
        <w:tc>
          <w:tcPr>
            <w:tcW w:w="7634" w:type="dxa"/>
            <w:gridSpan w:val="10"/>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6CBC9B7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无</w:t>
            </w:r>
          </w:p>
        </w:tc>
      </w:tr>
      <w:tr w14:paraId="0F9E54D3">
        <w:tblPrEx>
          <w:shd w:val="clear" w:color="auto" w:fill="auto"/>
          <w:tblCellMar>
            <w:top w:w="0" w:type="dxa"/>
            <w:left w:w="0" w:type="dxa"/>
            <w:bottom w:w="0" w:type="dxa"/>
            <w:right w:w="0" w:type="dxa"/>
          </w:tblCellMar>
        </w:tblPrEx>
        <w:trPr>
          <w:trHeight w:val="687" w:hRule="atLeast"/>
        </w:trPr>
        <w:tc>
          <w:tcPr>
            <w:tcW w:w="62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6EFF7AB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改进措施</w:t>
            </w:r>
          </w:p>
        </w:tc>
        <w:tc>
          <w:tcPr>
            <w:tcW w:w="7634" w:type="dxa"/>
            <w:gridSpan w:val="10"/>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34A3410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无</w:t>
            </w:r>
          </w:p>
        </w:tc>
      </w:tr>
      <w:tr w14:paraId="5BE9FD76">
        <w:tblPrEx>
          <w:shd w:val="clear" w:color="auto" w:fill="auto"/>
          <w:tblCellMar>
            <w:top w:w="0" w:type="dxa"/>
            <w:left w:w="0" w:type="dxa"/>
            <w:bottom w:w="0" w:type="dxa"/>
            <w:right w:w="0" w:type="dxa"/>
          </w:tblCellMar>
        </w:tblPrEx>
        <w:trPr>
          <w:trHeight w:val="405" w:hRule="atLeast"/>
        </w:trPr>
        <w:tc>
          <w:tcPr>
            <w:tcW w:w="3909"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1A67045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项目负责人：</w:t>
            </w:r>
          </w:p>
        </w:tc>
        <w:tc>
          <w:tcPr>
            <w:tcW w:w="4351" w:type="dxa"/>
            <w:gridSpan w:val="6"/>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14:paraId="7AA3577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财务负责人：</w:t>
            </w:r>
          </w:p>
        </w:tc>
      </w:tr>
    </w:tbl>
    <w:p w14:paraId="5237F7A8">
      <w:pPr>
        <w:rPr>
          <w:rFonts w:hint="eastAsia"/>
          <w:lang w:val="en-US" w:eastAsia="zh-CN"/>
        </w:rPr>
      </w:pPr>
    </w:p>
    <w:p w14:paraId="7513241D">
      <w:pPr>
        <w:spacing w:line="600" w:lineRule="exact"/>
        <w:jc w:val="both"/>
        <w:outlineLvl w:val="0"/>
        <w:rPr>
          <w:rFonts w:hint="eastAsia" w:ascii="黑体" w:eastAsia="黑体"/>
          <w:color w:val="auto"/>
          <w:sz w:val="44"/>
          <w:szCs w:val="44"/>
          <w:highlight w:val="none"/>
        </w:rPr>
      </w:pPr>
    </w:p>
    <w:p w14:paraId="2365F4F8">
      <w:pPr>
        <w:spacing w:line="600" w:lineRule="exact"/>
        <w:jc w:val="center"/>
        <w:outlineLvl w:val="0"/>
        <w:rPr>
          <w:rFonts w:hint="eastAsia" w:ascii="仿宋" w:eastAsia="仿宋"/>
          <w:b w:val="0"/>
          <w:color w:val="auto"/>
          <w:highlight w:val="none"/>
        </w:rPr>
      </w:pPr>
      <w:bookmarkStart w:id="89" w:name="_Toc10876"/>
      <w:r>
        <w:rPr>
          <w:rFonts w:hint="eastAsia" w:ascii="黑体" w:eastAsia="黑体"/>
          <w:color w:val="auto"/>
          <w:sz w:val="44"/>
          <w:szCs w:val="44"/>
          <w:highlight w:val="none"/>
        </w:rPr>
        <w:t>第</w:t>
      </w:r>
      <w:r>
        <w:rPr>
          <w:rStyle w:val="20"/>
          <w:rFonts w:hint="eastAsia" w:ascii="黑体" w:eastAsia="黑体"/>
          <w:b w:val="0"/>
          <w:color w:val="auto"/>
          <w:highlight w:val="none"/>
        </w:rPr>
        <w:t>五部分 附表</w:t>
      </w:r>
      <w:bookmarkEnd w:id="86"/>
      <w:bookmarkEnd w:id="88"/>
      <w:bookmarkEnd w:id="89"/>
      <w:bookmarkStart w:id="90" w:name="_Toc15396619"/>
    </w:p>
    <w:p w14:paraId="04677020">
      <w:pPr>
        <w:pStyle w:val="5"/>
        <w:rPr>
          <w:rFonts w:ascii="仿宋" w:eastAsia="仿宋"/>
          <w:color w:val="auto"/>
          <w:highlight w:val="none"/>
        </w:rPr>
      </w:pPr>
      <w:bookmarkStart w:id="91" w:name="_Toc897"/>
      <w:r>
        <w:rPr>
          <w:rFonts w:hint="eastAsia" w:ascii="仿宋" w:eastAsia="仿宋"/>
          <w:b w:val="0"/>
          <w:color w:val="auto"/>
          <w:highlight w:val="none"/>
        </w:rPr>
        <w:t>一、收</w:t>
      </w:r>
      <w:r>
        <w:rPr>
          <w:rStyle w:val="21"/>
          <w:rFonts w:hint="eastAsia" w:ascii="仿宋" w:eastAsia="仿宋"/>
          <w:b w:val="0"/>
          <w:bCs w:val="0"/>
          <w:color w:val="auto"/>
          <w:highlight w:val="none"/>
        </w:rPr>
        <w:t>入支出决算总表</w:t>
      </w:r>
      <w:bookmarkEnd w:id="90"/>
      <w:bookmarkEnd w:id="91"/>
    </w:p>
    <w:p w14:paraId="571A9049">
      <w:pPr>
        <w:pStyle w:val="5"/>
        <w:rPr>
          <w:rFonts w:ascii="仿宋" w:eastAsia="仿宋"/>
          <w:color w:val="auto"/>
          <w:highlight w:val="none"/>
        </w:rPr>
      </w:pPr>
      <w:bookmarkStart w:id="92" w:name="_Toc11362"/>
      <w:bookmarkStart w:id="93" w:name="_Toc15396620"/>
      <w:r>
        <w:rPr>
          <w:rFonts w:hint="eastAsia" w:ascii="仿宋" w:eastAsia="仿宋"/>
          <w:b w:val="0"/>
          <w:color w:val="auto"/>
          <w:highlight w:val="none"/>
        </w:rPr>
        <w:t>二、收</w:t>
      </w:r>
      <w:r>
        <w:rPr>
          <w:rStyle w:val="21"/>
          <w:rFonts w:hint="eastAsia" w:ascii="仿宋" w:eastAsia="仿宋"/>
          <w:b w:val="0"/>
          <w:bCs w:val="0"/>
          <w:color w:val="auto"/>
          <w:highlight w:val="none"/>
        </w:rPr>
        <w:t>入决算表</w:t>
      </w:r>
      <w:bookmarkEnd w:id="92"/>
      <w:bookmarkEnd w:id="93"/>
    </w:p>
    <w:p w14:paraId="17349D75">
      <w:pPr>
        <w:pStyle w:val="5"/>
        <w:rPr>
          <w:rFonts w:ascii="仿宋" w:eastAsia="仿宋"/>
          <w:color w:val="auto"/>
          <w:highlight w:val="none"/>
        </w:rPr>
      </w:pPr>
      <w:bookmarkStart w:id="94" w:name="_Toc15396621"/>
      <w:bookmarkStart w:id="95" w:name="_Toc32033"/>
      <w:r>
        <w:rPr>
          <w:rStyle w:val="21"/>
          <w:rFonts w:hint="eastAsia" w:ascii="仿宋" w:eastAsia="仿宋"/>
          <w:b w:val="0"/>
          <w:bCs w:val="0"/>
          <w:color w:val="auto"/>
          <w:highlight w:val="none"/>
        </w:rPr>
        <w:t>三、</w:t>
      </w:r>
      <w:r>
        <w:rPr>
          <w:rFonts w:hint="eastAsia" w:ascii="仿宋" w:eastAsia="仿宋"/>
          <w:b w:val="0"/>
          <w:color w:val="auto"/>
          <w:highlight w:val="none"/>
        </w:rPr>
        <w:t>支</w:t>
      </w:r>
      <w:r>
        <w:rPr>
          <w:rStyle w:val="21"/>
          <w:rFonts w:hint="eastAsia" w:ascii="仿宋" w:eastAsia="仿宋"/>
          <w:b w:val="0"/>
          <w:bCs w:val="0"/>
          <w:color w:val="auto"/>
          <w:highlight w:val="none"/>
        </w:rPr>
        <w:t>出决算表</w:t>
      </w:r>
      <w:bookmarkEnd w:id="94"/>
      <w:bookmarkEnd w:id="95"/>
    </w:p>
    <w:p w14:paraId="0349D7D2">
      <w:pPr>
        <w:pStyle w:val="5"/>
        <w:rPr>
          <w:rFonts w:ascii="仿宋" w:eastAsia="仿宋"/>
          <w:b w:val="0"/>
          <w:color w:val="auto"/>
          <w:highlight w:val="none"/>
        </w:rPr>
      </w:pPr>
      <w:bookmarkStart w:id="96" w:name="_Toc13108"/>
      <w:bookmarkStart w:id="97" w:name="_Toc15396622"/>
      <w:r>
        <w:rPr>
          <w:rStyle w:val="21"/>
          <w:rFonts w:hint="eastAsia" w:ascii="仿宋" w:eastAsia="仿宋"/>
          <w:b w:val="0"/>
          <w:bCs w:val="0"/>
          <w:color w:val="auto"/>
          <w:highlight w:val="none"/>
        </w:rPr>
        <w:t>四、</w:t>
      </w:r>
      <w:r>
        <w:rPr>
          <w:rFonts w:hint="eastAsia" w:ascii="仿宋" w:eastAsia="仿宋"/>
          <w:b w:val="0"/>
          <w:color w:val="auto"/>
          <w:highlight w:val="none"/>
        </w:rPr>
        <w:t>财</w:t>
      </w:r>
      <w:r>
        <w:rPr>
          <w:rStyle w:val="21"/>
          <w:rFonts w:hint="eastAsia" w:ascii="仿宋" w:eastAsia="仿宋"/>
          <w:b w:val="0"/>
          <w:bCs w:val="0"/>
          <w:color w:val="auto"/>
          <w:highlight w:val="none"/>
        </w:rPr>
        <w:t>政拨款收入支出决算总表</w:t>
      </w:r>
      <w:bookmarkEnd w:id="96"/>
      <w:bookmarkEnd w:id="97"/>
    </w:p>
    <w:p w14:paraId="59A07A98">
      <w:pPr>
        <w:pStyle w:val="5"/>
        <w:rPr>
          <w:rStyle w:val="21"/>
          <w:rFonts w:ascii="仿宋" w:eastAsia="仿宋"/>
          <w:b w:val="0"/>
          <w:bCs w:val="0"/>
          <w:color w:val="auto"/>
          <w:highlight w:val="none"/>
        </w:rPr>
      </w:pPr>
      <w:bookmarkStart w:id="98" w:name="_Toc14521"/>
      <w:bookmarkStart w:id="99" w:name="_Toc15396623"/>
      <w:r>
        <w:rPr>
          <w:rStyle w:val="21"/>
          <w:rFonts w:hint="eastAsia" w:ascii="仿宋" w:eastAsia="仿宋"/>
          <w:b w:val="0"/>
          <w:bCs w:val="0"/>
          <w:color w:val="auto"/>
          <w:highlight w:val="none"/>
        </w:rPr>
        <w:t>五、</w:t>
      </w:r>
      <w:r>
        <w:rPr>
          <w:rFonts w:hint="eastAsia" w:ascii="仿宋" w:eastAsia="仿宋"/>
          <w:b w:val="0"/>
          <w:color w:val="auto"/>
          <w:highlight w:val="none"/>
        </w:rPr>
        <w:t>财</w:t>
      </w:r>
      <w:r>
        <w:rPr>
          <w:rStyle w:val="21"/>
          <w:rFonts w:hint="eastAsia" w:ascii="仿宋" w:eastAsia="仿宋"/>
          <w:b w:val="0"/>
          <w:bCs w:val="0"/>
          <w:color w:val="auto"/>
          <w:highlight w:val="none"/>
        </w:rPr>
        <w:t>政拨款支出决算明细表</w:t>
      </w:r>
      <w:bookmarkEnd w:id="98"/>
      <w:bookmarkEnd w:id="99"/>
      <w:bookmarkStart w:id="100" w:name="_Toc15396624"/>
    </w:p>
    <w:p w14:paraId="6710FCB6">
      <w:pPr>
        <w:pStyle w:val="5"/>
        <w:rPr>
          <w:rFonts w:ascii="仿宋" w:eastAsia="仿宋"/>
          <w:color w:val="auto"/>
          <w:highlight w:val="none"/>
        </w:rPr>
      </w:pPr>
      <w:bookmarkStart w:id="101" w:name="_Toc3804"/>
      <w:r>
        <w:rPr>
          <w:rStyle w:val="21"/>
          <w:rFonts w:hint="eastAsia" w:ascii="仿宋" w:eastAsia="仿宋"/>
          <w:b w:val="0"/>
          <w:bCs w:val="0"/>
          <w:color w:val="auto"/>
          <w:highlight w:val="none"/>
        </w:rPr>
        <w:t>六、</w:t>
      </w:r>
      <w:r>
        <w:rPr>
          <w:rFonts w:hint="eastAsia" w:ascii="仿宋" w:eastAsia="仿宋"/>
          <w:b w:val="0"/>
          <w:color w:val="auto"/>
          <w:highlight w:val="none"/>
        </w:rPr>
        <w:t>一</w:t>
      </w:r>
      <w:r>
        <w:rPr>
          <w:rStyle w:val="21"/>
          <w:rFonts w:hint="eastAsia" w:ascii="仿宋" w:eastAsia="仿宋"/>
          <w:b w:val="0"/>
          <w:bCs w:val="0"/>
          <w:color w:val="auto"/>
          <w:highlight w:val="none"/>
        </w:rPr>
        <w:t>般公共预算财政拨款支出决算表</w:t>
      </w:r>
      <w:bookmarkEnd w:id="100"/>
      <w:bookmarkEnd w:id="101"/>
    </w:p>
    <w:p w14:paraId="39428EAB">
      <w:pPr>
        <w:pStyle w:val="5"/>
        <w:rPr>
          <w:rFonts w:ascii="仿宋" w:eastAsia="仿宋"/>
          <w:color w:val="auto"/>
          <w:highlight w:val="none"/>
        </w:rPr>
      </w:pPr>
      <w:bookmarkStart w:id="102" w:name="_Toc15396625"/>
      <w:bookmarkStart w:id="103" w:name="_Toc32392"/>
      <w:r>
        <w:rPr>
          <w:rStyle w:val="21"/>
          <w:rFonts w:hint="eastAsia" w:ascii="仿宋" w:eastAsia="仿宋"/>
          <w:b w:val="0"/>
          <w:bCs w:val="0"/>
          <w:color w:val="auto"/>
          <w:highlight w:val="none"/>
        </w:rPr>
        <w:t>七、</w:t>
      </w:r>
      <w:r>
        <w:rPr>
          <w:rFonts w:hint="eastAsia" w:ascii="仿宋" w:eastAsia="仿宋"/>
          <w:b w:val="0"/>
          <w:color w:val="auto"/>
          <w:highlight w:val="none"/>
        </w:rPr>
        <w:t>一</w:t>
      </w:r>
      <w:r>
        <w:rPr>
          <w:rStyle w:val="21"/>
          <w:rFonts w:hint="eastAsia" w:ascii="仿宋" w:eastAsia="仿宋"/>
          <w:b w:val="0"/>
          <w:bCs w:val="0"/>
          <w:color w:val="auto"/>
          <w:highlight w:val="none"/>
        </w:rPr>
        <w:t>般公共预算财政拨款支出决算明细表</w:t>
      </w:r>
      <w:bookmarkEnd w:id="102"/>
      <w:bookmarkEnd w:id="103"/>
    </w:p>
    <w:p w14:paraId="6E37FC38">
      <w:pPr>
        <w:pStyle w:val="5"/>
        <w:rPr>
          <w:rFonts w:ascii="仿宋" w:eastAsia="仿宋"/>
          <w:color w:val="auto"/>
          <w:highlight w:val="none"/>
        </w:rPr>
      </w:pPr>
      <w:bookmarkStart w:id="104" w:name="_Toc15396626"/>
      <w:bookmarkStart w:id="105" w:name="_Toc9911"/>
      <w:r>
        <w:rPr>
          <w:rStyle w:val="21"/>
          <w:rFonts w:hint="eastAsia" w:ascii="仿宋" w:eastAsia="仿宋"/>
          <w:b w:val="0"/>
          <w:bCs w:val="0"/>
          <w:color w:val="auto"/>
          <w:highlight w:val="none"/>
        </w:rPr>
        <w:t>八、</w:t>
      </w:r>
      <w:r>
        <w:rPr>
          <w:rFonts w:hint="eastAsia" w:ascii="仿宋" w:eastAsia="仿宋"/>
          <w:b w:val="0"/>
          <w:color w:val="auto"/>
          <w:highlight w:val="none"/>
        </w:rPr>
        <w:t>一</w:t>
      </w:r>
      <w:r>
        <w:rPr>
          <w:rStyle w:val="21"/>
          <w:rFonts w:hint="eastAsia" w:ascii="仿宋" w:eastAsia="仿宋"/>
          <w:b w:val="0"/>
          <w:bCs w:val="0"/>
          <w:color w:val="auto"/>
          <w:highlight w:val="none"/>
        </w:rPr>
        <w:t>般公共预算财政拨款基本支出决算表</w:t>
      </w:r>
      <w:bookmarkEnd w:id="104"/>
      <w:bookmarkEnd w:id="105"/>
    </w:p>
    <w:p w14:paraId="6DBA684B">
      <w:pPr>
        <w:pStyle w:val="5"/>
        <w:rPr>
          <w:rFonts w:ascii="仿宋" w:eastAsia="仿宋"/>
          <w:color w:val="auto"/>
          <w:highlight w:val="none"/>
        </w:rPr>
      </w:pPr>
      <w:bookmarkStart w:id="106" w:name="_Toc8261"/>
      <w:bookmarkStart w:id="107" w:name="_Toc15396627"/>
      <w:r>
        <w:rPr>
          <w:rStyle w:val="21"/>
          <w:rFonts w:hint="eastAsia" w:ascii="仿宋" w:eastAsia="仿宋"/>
          <w:b w:val="0"/>
          <w:bCs w:val="0"/>
          <w:color w:val="auto"/>
          <w:highlight w:val="none"/>
        </w:rPr>
        <w:t>九、</w:t>
      </w:r>
      <w:r>
        <w:rPr>
          <w:rFonts w:hint="eastAsia" w:ascii="仿宋" w:eastAsia="仿宋"/>
          <w:b w:val="0"/>
          <w:color w:val="auto"/>
          <w:highlight w:val="none"/>
        </w:rPr>
        <w:t>一</w:t>
      </w:r>
      <w:r>
        <w:rPr>
          <w:rStyle w:val="21"/>
          <w:rFonts w:hint="eastAsia" w:ascii="仿宋" w:eastAsia="仿宋"/>
          <w:b w:val="0"/>
          <w:bCs w:val="0"/>
          <w:color w:val="auto"/>
          <w:highlight w:val="none"/>
        </w:rPr>
        <w:t>般公共预算财政拨款项目支出决算表</w:t>
      </w:r>
      <w:bookmarkEnd w:id="106"/>
      <w:bookmarkEnd w:id="107"/>
    </w:p>
    <w:p w14:paraId="2E4EA212">
      <w:pPr>
        <w:pStyle w:val="5"/>
        <w:rPr>
          <w:rFonts w:ascii="仿宋" w:eastAsia="仿宋"/>
          <w:color w:val="auto"/>
          <w:highlight w:val="none"/>
        </w:rPr>
      </w:pPr>
      <w:bookmarkStart w:id="108" w:name="_Toc15396628"/>
      <w:bookmarkStart w:id="109" w:name="_Toc5693"/>
      <w:r>
        <w:rPr>
          <w:rStyle w:val="21"/>
          <w:rFonts w:hint="eastAsia" w:ascii="仿宋" w:eastAsia="仿宋"/>
          <w:b w:val="0"/>
          <w:bCs w:val="0"/>
          <w:color w:val="auto"/>
          <w:highlight w:val="none"/>
        </w:rPr>
        <w:t>十、</w:t>
      </w:r>
      <w:bookmarkEnd w:id="108"/>
      <w:r>
        <w:rPr>
          <w:rFonts w:hint="eastAsia" w:ascii="仿宋" w:eastAsia="仿宋"/>
          <w:b w:val="0"/>
          <w:color w:val="auto"/>
          <w:highlight w:val="none"/>
        </w:rPr>
        <w:t>政</w:t>
      </w:r>
      <w:r>
        <w:rPr>
          <w:rStyle w:val="21"/>
          <w:rFonts w:hint="eastAsia" w:ascii="仿宋" w:eastAsia="仿宋"/>
          <w:b w:val="0"/>
          <w:bCs w:val="0"/>
          <w:color w:val="auto"/>
          <w:highlight w:val="none"/>
        </w:rPr>
        <w:t>府性基金预算财政拨款收入支出决算表</w:t>
      </w:r>
      <w:bookmarkEnd w:id="109"/>
    </w:p>
    <w:p w14:paraId="326681AA">
      <w:pPr>
        <w:pStyle w:val="5"/>
        <w:rPr>
          <w:rFonts w:ascii="仿宋" w:eastAsia="仿宋"/>
          <w:color w:val="auto"/>
          <w:highlight w:val="none"/>
        </w:rPr>
      </w:pPr>
      <w:bookmarkStart w:id="110" w:name="_Toc15396629"/>
      <w:bookmarkStart w:id="111" w:name="_Toc8601"/>
      <w:r>
        <w:rPr>
          <w:rStyle w:val="21"/>
          <w:rFonts w:hint="eastAsia" w:ascii="仿宋" w:eastAsia="仿宋"/>
          <w:b w:val="0"/>
          <w:bCs w:val="0"/>
          <w:color w:val="auto"/>
          <w:highlight w:val="none"/>
        </w:rPr>
        <w:t>十一、</w:t>
      </w:r>
      <w:bookmarkEnd w:id="110"/>
      <w:r>
        <w:rPr>
          <w:rFonts w:hint="eastAsia" w:ascii="仿宋" w:eastAsia="仿宋"/>
          <w:b w:val="0"/>
          <w:color w:val="auto"/>
          <w:highlight w:val="none"/>
        </w:rPr>
        <w:t>国</w:t>
      </w:r>
      <w:r>
        <w:rPr>
          <w:rStyle w:val="21"/>
          <w:rFonts w:hint="eastAsia" w:ascii="仿宋" w:eastAsia="仿宋"/>
          <w:b w:val="0"/>
          <w:bCs w:val="0"/>
          <w:color w:val="auto"/>
          <w:highlight w:val="none"/>
        </w:rPr>
        <w:t>有资本经营预算</w:t>
      </w:r>
      <w:r>
        <w:rPr>
          <w:rStyle w:val="21"/>
          <w:rFonts w:hint="eastAsia" w:ascii="仿宋" w:eastAsia="仿宋"/>
          <w:b w:val="0"/>
          <w:bCs w:val="0"/>
          <w:color w:val="auto"/>
          <w:highlight w:val="none"/>
          <w:lang w:eastAsia="zh-CN"/>
        </w:rPr>
        <w:t>财政拨款收入</w:t>
      </w:r>
      <w:r>
        <w:rPr>
          <w:rStyle w:val="21"/>
          <w:rFonts w:hint="eastAsia" w:ascii="仿宋" w:eastAsia="仿宋"/>
          <w:b w:val="0"/>
          <w:bCs w:val="0"/>
          <w:color w:val="auto"/>
          <w:highlight w:val="none"/>
        </w:rPr>
        <w:t>支出决算表</w:t>
      </w:r>
      <w:bookmarkEnd w:id="111"/>
    </w:p>
    <w:p w14:paraId="03329C54">
      <w:pPr>
        <w:pStyle w:val="5"/>
        <w:rPr>
          <w:rFonts w:ascii="仿宋" w:eastAsia="仿宋"/>
          <w:color w:val="auto"/>
          <w:highlight w:val="none"/>
        </w:rPr>
      </w:pPr>
      <w:bookmarkStart w:id="112" w:name="_Toc15396630"/>
      <w:bookmarkStart w:id="113" w:name="_Toc14374"/>
      <w:r>
        <w:rPr>
          <w:rStyle w:val="21"/>
          <w:rFonts w:hint="eastAsia" w:ascii="仿宋" w:eastAsia="仿宋"/>
          <w:b w:val="0"/>
          <w:bCs w:val="0"/>
          <w:color w:val="auto"/>
          <w:highlight w:val="none"/>
        </w:rPr>
        <w:t>十二、</w:t>
      </w:r>
      <w:bookmarkEnd w:id="112"/>
      <w:r>
        <w:rPr>
          <w:rStyle w:val="21"/>
          <w:rFonts w:hint="eastAsia" w:ascii="仿宋" w:eastAsia="仿宋"/>
          <w:b w:val="0"/>
          <w:bCs w:val="0"/>
          <w:color w:val="auto"/>
          <w:highlight w:val="none"/>
          <w:lang w:eastAsia="zh-CN"/>
        </w:rPr>
        <w:t>国有资本经营预算财政拨款支出决算表</w:t>
      </w:r>
      <w:bookmarkEnd w:id="113"/>
    </w:p>
    <w:p w14:paraId="5C2790DC">
      <w:pPr>
        <w:pStyle w:val="5"/>
        <w:rPr>
          <w:rFonts w:hint="eastAsia" w:eastAsia="仿宋"/>
          <w:color w:val="auto"/>
          <w:highlight w:val="none"/>
          <w:lang w:eastAsia="zh-CN"/>
        </w:rPr>
      </w:pPr>
      <w:bookmarkStart w:id="114" w:name="_Toc15396631"/>
      <w:bookmarkStart w:id="115" w:name="_Toc2385"/>
      <w:r>
        <w:rPr>
          <w:rStyle w:val="21"/>
          <w:rFonts w:hint="eastAsia" w:ascii="仿宋" w:eastAsia="仿宋"/>
          <w:b w:val="0"/>
          <w:bCs w:val="0"/>
          <w:color w:val="auto"/>
          <w:highlight w:val="none"/>
        </w:rPr>
        <w:t>十三、</w:t>
      </w:r>
      <w:bookmarkEnd w:id="114"/>
      <w:r>
        <w:rPr>
          <w:rStyle w:val="21"/>
          <w:rFonts w:hint="eastAsia" w:ascii="仿宋" w:eastAsia="仿宋"/>
          <w:b w:val="0"/>
          <w:bCs w:val="0"/>
          <w:color w:val="auto"/>
          <w:highlight w:val="none"/>
          <w:lang w:eastAsia="zh-CN"/>
        </w:rPr>
        <w:t>财政拨款“三公”经费支出决算表</w:t>
      </w:r>
      <w:bookmarkEnd w:id="115"/>
    </w:p>
    <w:sectPr>
      <w:footerReference r:id="rId5" w:type="first"/>
      <w:footerReference r:id="rId4" w:type="default"/>
      <w:pgSz w:w="11906" w:h="16838"/>
      <w:pgMar w:top="1440" w:right="1800" w:bottom="1440" w:left="1800" w:header="851" w:footer="992"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042A8FB1-2287-4ED5-9AAF-4BA2AB513928}"/>
  </w:font>
  <w:font w:name="黑体">
    <w:panose1 w:val="02010609060101010101"/>
    <w:charset w:val="86"/>
    <w:family w:val="auto"/>
    <w:pitch w:val="default"/>
    <w:sig w:usb0="800002BF" w:usb1="38CF7CFA" w:usb2="00000016" w:usb3="00000000" w:csb0="00040001" w:csb1="00000000"/>
    <w:embedRegular r:id="rId2" w:fontKey="{807055C6-4709-4660-9430-19DE9767AE0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embedRegular r:id="rId3" w:fontKey="{723BA9F3-3B47-43FA-AE86-D1767CD7951A}"/>
  </w:font>
  <w:font w:name="仿宋_GB2312">
    <w:altName w:val="仿宋"/>
    <w:panose1 w:val="02010609030101010101"/>
    <w:charset w:val="86"/>
    <w:family w:val="auto"/>
    <w:pitch w:val="default"/>
    <w:sig w:usb0="00000000" w:usb1="00000000" w:usb2="00000000" w:usb3="00000000" w:csb0="00040000" w:csb1="00000000"/>
    <w:embedRegular r:id="rId4" w:fontKey="{688434ED-9522-4FBE-B7F5-5C13162DC6DC}"/>
  </w:font>
  <w:font w:name="仿宋">
    <w:panose1 w:val="02010609060101010101"/>
    <w:charset w:val="86"/>
    <w:family w:val="auto"/>
    <w:pitch w:val="default"/>
    <w:sig w:usb0="800002BF" w:usb1="38CF7CFA" w:usb2="00000016" w:usb3="00000000" w:csb0="00040001" w:csb1="00000000"/>
    <w:embedRegular r:id="rId5" w:fontKey="{4445E48F-CD7D-4644-864C-037FC9B32DFE}"/>
  </w:font>
  <w:font w:name="方正小标宋简体">
    <w:panose1 w:val="02000000000000000000"/>
    <w:charset w:val="86"/>
    <w:family w:val="auto"/>
    <w:pitch w:val="default"/>
    <w:sig w:usb0="00000001" w:usb1="08000000" w:usb2="00000000" w:usb3="00000000" w:csb0="00040000" w:csb1="00000000"/>
    <w:embedRegular r:id="rId6" w:fontKey="{AC3D45B6-C30E-4CC2-AA8D-C92A976B624E}"/>
  </w:font>
  <w:font w:name="微软雅黑">
    <w:panose1 w:val="020B0503020204020204"/>
    <w:charset w:val="86"/>
    <w:family w:val="auto"/>
    <w:pitch w:val="default"/>
    <w:sig w:usb0="80000287" w:usb1="2ACF3C50" w:usb2="00000016" w:usb3="00000000" w:csb0="0004001F" w:csb1="00000000"/>
    <w:embedRegular r:id="rId7" w:fontKey="{FAB3546E-E668-4CB0-8E91-6284A0CC83C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4B7552">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03" name="文本框 7"/>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style>
                      <a:lnRef idx="0">
                        <a:srgbClr val="FFFFFF"/>
                      </a:lnRef>
                      <a:fillRef idx="0">
                        <a:srgbClr val="FFFFFF"/>
                      </a:fillRef>
                      <a:effectRef idx="0">
                        <a:schemeClr val="accent1"/>
                      </a:effectRef>
                      <a:fontRef idx="minor">
                        <a:schemeClr val="dk1"/>
                      </a:fontRef>
                    </wps:style>
                    <wps:txbx>
                      <w:txbxContent>
                        <w:p w14:paraId="70EABFBF">
                          <w:pPr>
                            <w:pStyle w:val="1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rtlCol="0" anchor="t" upright="0">
                      <a:spAutoFit/>
                    </wps:bodyPr>
                  </wps:wsp>
                </a:graphicData>
              </a:graphic>
            </wp:anchor>
          </w:drawing>
        </mc:Choice>
        <mc:Fallback>
          <w:pict>
            <v:rect id="文本框 7"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Ll1uVLQAAAABQEAAA8AAAAAAAAAAQAgAAAAIgAAAGRycy9kb3ducmV2&#10;LnhtbFBLAQIUABQAAAAIAIdO4kBWzHxLBAIAAAsEAAAOAAAAAAAAAAEAIAAAAB8BAABkcnMvZTJv&#10;RG9jLnhtbFBLBQYAAAAABgAGAFkBAACVBQAAAAA=&#10;">
              <v:fill on="f" focussize="0,0"/>
              <v:stroke on="f"/>
              <v:imagedata o:title=""/>
              <o:lock v:ext="edit" aspectratio="f"/>
              <v:textbox inset="0mm,0mm,0mm,0mm" style="mso-fit-shape-to-text:t;">
                <w:txbxContent>
                  <w:p w14:paraId="70EABFBF">
                    <w:pPr>
                      <w:pStyle w:val="1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2B0025">
    <w:pPr>
      <w:pStyle w:val="1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04" name="文本框 8"/>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style>
                      <a:lnRef idx="0">
                        <a:srgbClr val="FFFFFF"/>
                      </a:lnRef>
                      <a:fillRef idx="0">
                        <a:srgbClr val="FFFFFF"/>
                      </a:fillRef>
                      <a:effectRef idx="0">
                        <a:schemeClr val="accent1"/>
                      </a:effectRef>
                      <a:fontRef idx="minor">
                        <a:schemeClr val="dk1"/>
                      </a:fontRef>
                    </wps:style>
                    <wps:txbx>
                      <w:txbxContent>
                        <w:p w14:paraId="74173468">
                          <w:pPr>
                            <w:pStyle w:val="1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rtlCol="0" anchor="t" upright="0">
                      <a:spAutoFit/>
                    </wps:bodyPr>
                  </wps:wsp>
                </a:graphicData>
              </a:graphic>
            </wp:anchor>
          </w:drawing>
        </mc:Choice>
        <mc:Fallback>
          <w:pict>
            <v:rect id="文本框 8"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5dblS0AAAAAUBAAAPAAAAAAAAAAEAIAAAACIAAABkcnMvZG93bnJldi54&#10;bWxQSwECFAAUAAAACACHTuJAaKkYGAICAAALBAAADgAAAAAAAAABACAAAAAfAQAAZHJzL2Uyb0Rv&#10;Yy54bWxQSwUGAAAAAAYABgBZAQAAkwUAAAAA&#10;">
              <v:fill on="f" focussize="0,0"/>
              <v:stroke on="f"/>
              <v:imagedata o:title=""/>
              <o:lock v:ext="edit" aspectratio="f"/>
              <v:textbox inset="0mm,0mm,0mm,0mm" style="mso-fit-shape-to-text:t;">
                <w:txbxContent>
                  <w:p w14:paraId="74173468">
                    <w:pPr>
                      <w:pStyle w:val="1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5C8490">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3"/>
      <w:numFmt w:val="chineseCounting"/>
      <w:suff w:val="space"/>
      <w:lvlText w:val="第%1部分"/>
      <w:lvlJc w:val="left"/>
      <w:pPr>
        <w:ind w:left="0" w:firstLine="0"/>
      </w:pPr>
      <w:rPr>
        <w:rFonts w:hint="eastAsia" w:ascii="黑体" w:hAnsi="黑体" w:eastAsia="黑体" w:cs="黑体"/>
        <w:sz w:val="44"/>
        <w:szCs w:val="44"/>
      </w:rPr>
    </w:lvl>
  </w:abstractNum>
  <w:abstractNum w:abstractNumId="1">
    <w:nsid w:val="BF205925"/>
    <w:multiLevelType w:val="singleLevel"/>
    <w:tmpl w:val="BF205925"/>
    <w:lvl w:ilvl="0" w:tentative="0">
      <w:start w:val="9"/>
      <w:numFmt w:val="chineseCounting"/>
      <w:suff w:val="nothing"/>
      <w:lvlText w:val="%1、"/>
      <w:lvlJc w:val="left"/>
      <w:pPr>
        <w:ind w:left="0" w:firstLine="0"/>
      </w:pPr>
      <w:rPr>
        <w:rFonts w:hint="eastAsia"/>
      </w:rPr>
    </w:lvl>
  </w:abstractNum>
  <w:abstractNum w:abstractNumId="2">
    <w:nsid w:val="CF092B84"/>
    <w:multiLevelType w:val="singleLevel"/>
    <w:tmpl w:val="CF092B84"/>
    <w:lvl w:ilvl="0" w:tentative="0">
      <w:start w:val="1"/>
      <w:numFmt w:val="chineseCounting"/>
      <w:suff w:val="nothing"/>
      <w:lvlText w:val="%1、"/>
      <w:lvlJc w:val="left"/>
      <w:pPr>
        <w:ind w:left="0" w:firstLine="0"/>
      </w:pPr>
      <w:rPr>
        <w:rFonts w:hint="eastAsia"/>
      </w:rPr>
    </w:lvl>
  </w:abstractNum>
  <w:abstractNum w:abstractNumId="3">
    <w:nsid w:val="0053208E"/>
    <w:multiLevelType w:val="singleLevel"/>
    <w:tmpl w:val="0053208E"/>
    <w:lvl w:ilvl="0" w:tentative="0">
      <w:start w:val="1"/>
      <w:numFmt w:val="chineseCounting"/>
      <w:suff w:val="space"/>
      <w:lvlText w:val="第%1部分"/>
      <w:lvlJc w:val="left"/>
      <w:rPr>
        <w:rFonts w:hint="eastAsia"/>
      </w:rPr>
    </w:lvl>
  </w:abstractNum>
  <w:abstractNum w:abstractNumId="4">
    <w:nsid w:val="59ADCABA"/>
    <w:multiLevelType w:val="multilevel"/>
    <w:tmpl w:val="59ADCABA"/>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
  <w:docVars>
    <w:docVar w:name="commondata" w:val="eyJoZGlkIjoiMGVhYTg4NGNkZWJkODFjNzcyZDRjM2M4Y2UzNjI5ZmUifQ=="/>
  </w:docVars>
  <w:rsids>
    <w:rsidRoot w:val="00000000"/>
    <w:rsid w:val="432B5F37"/>
    <w:rsid w:val="5DC15C82"/>
  </w:rsids>
  <m:mathPr>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20"/>
    <w:autoRedefine/>
    <w:qFormat/>
    <w:uiPriority w:val="0"/>
    <w:pPr>
      <w:keepNext/>
      <w:keepLines/>
      <w:widowControl w:val="0"/>
      <w:spacing w:before="340" w:after="330" w:line="578" w:lineRule="auto"/>
      <w:outlineLvl w:val="0"/>
    </w:pPr>
    <w:rPr>
      <w:b/>
      <w:bCs/>
      <w:kern w:val="44"/>
      <w:sz w:val="44"/>
      <w:szCs w:val="44"/>
    </w:rPr>
  </w:style>
  <w:style w:type="paragraph" w:styleId="5">
    <w:name w:val="heading 2"/>
    <w:basedOn w:val="1"/>
    <w:next w:val="1"/>
    <w:link w:val="21"/>
    <w:autoRedefine/>
    <w:qFormat/>
    <w:uiPriority w:val="0"/>
    <w:pPr>
      <w:keepNext/>
      <w:keepLines/>
      <w:widowControl w:val="0"/>
      <w:spacing w:before="260" w:after="260" w:line="415" w:lineRule="auto"/>
      <w:outlineLvl w:val="1"/>
    </w:pPr>
    <w:rPr>
      <w:rFonts w:ascii="Cambria" w:hAnsi="Cambria" w:eastAsia="宋体" w:cs="Times New Roman"/>
      <w:b/>
      <w:bCs/>
      <w:sz w:val="32"/>
      <w:szCs w:val="32"/>
    </w:rPr>
  </w:style>
  <w:style w:type="paragraph" w:styleId="6">
    <w:name w:val="heading 3"/>
    <w:basedOn w:val="1"/>
    <w:next w:val="1"/>
    <w:autoRedefine/>
    <w:qFormat/>
    <w:uiPriority w:val="0"/>
    <w:pPr>
      <w:keepNext/>
      <w:keepLines/>
      <w:widowControl w:val="0"/>
      <w:spacing w:before="260" w:after="260" w:line="415" w:lineRule="auto"/>
      <w:outlineLvl w:val="2"/>
    </w:pPr>
    <w:rPr>
      <w:b/>
      <w:bCs/>
      <w:sz w:val="32"/>
      <w:szCs w:val="32"/>
    </w:rPr>
  </w:style>
  <w:style w:type="character" w:default="1" w:styleId="17">
    <w:name w:val="Default Paragraph Font"/>
    <w:autoRedefine/>
    <w:qFormat/>
    <w:uiPriority w:val="0"/>
  </w:style>
  <w:style w:type="table" w:default="1" w:styleId="15">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next w:val="1"/>
    <w:autoRedefine/>
    <w:qFormat/>
    <w:uiPriority w:val="0"/>
    <w:pPr>
      <w:ind w:firstLine="200" w:firstLineChars="200"/>
    </w:pPr>
  </w:style>
  <w:style w:type="paragraph" w:styleId="3">
    <w:name w:val="Body Text Indent"/>
    <w:basedOn w:val="1"/>
    <w:next w:val="2"/>
    <w:autoRedefine/>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0" w:beforeAutospacing="0" w:after="0" w:afterAutospacing="0" w:line="240" w:lineRule="auto"/>
      <w:ind w:left="0" w:right="0" w:firstLine="643"/>
      <w:jc w:val="both"/>
      <w:textAlignment w:val="auto"/>
      <w:outlineLvl w:val="9"/>
    </w:pPr>
    <w:rPr>
      <w:rFonts w:ascii="Times New Roman" w:hAnsi="Times New Roman" w:eastAsia="仿宋_GB2312" w:cs="宋体"/>
      <w:b/>
      <w:snapToGrid/>
      <w:color w:val="000000"/>
      <w:spacing w:val="0"/>
      <w:w w:val="100"/>
      <w:kern w:val="2"/>
      <w:position w:val="0"/>
      <w:sz w:val="32"/>
      <w:szCs w:val="24"/>
      <w:u w:val="none" w:color="auto"/>
      <w:vertAlign w:val="baseline"/>
      <w:lang w:val="en-US" w:eastAsia="zh-CN" w:bidi="ar-SA"/>
    </w:rPr>
  </w:style>
  <w:style w:type="paragraph" w:styleId="7">
    <w:name w:val="Body Text"/>
    <w:basedOn w:val="1"/>
    <w:next w:val="1"/>
    <w:autoRedefine/>
    <w:qFormat/>
    <w:uiPriority w:val="0"/>
    <w:pPr>
      <w:spacing w:before="30" w:beforeLines="30"/>
    </w:pPr>
    <w:rPr>
      <w:rFonts w:ascii="仿宋_GB2312" w:eastAsia="仿宋_GB2312"/>
      <w:kern w:val="0"/>
      <w:sz w:val="30"/>
    </w:rPr>
  </w:style>
  <w:style w:type="paragraph" w:styleId="8">
    <w:name w:val="toc 3"/>
    <w:basedOn w:val="1"/>
    <w:next w:val="1"/>
    <w:autoRedefine/>
    <w:qFormat/>
    <w:uiPriority w:val="0"/>
    <w:pPr>
      <w:tabs>
        <w:tab w:val="right" w:leader="dot" w:pos="8296"/>
      </w:tabs>
      <w:ind w:left="400" w:leftChars="400"/>
    </w:pPr>
  </w:style>
  <w:style w:type="paragraph" w:styleId="9">
    <w:name w:val="Balloon Text"/>
    <w:basedOn w:val="1"/>
    <w:autoRedefine/>
    <w:qFormat/>
    <w:uiPriority w:val="0"/>
    <w:rPr>
      <w:sz w:val="18"/>
      <w:szCs w:val="18"/>
    </w:rPr>
  </w:style>
  <w:style w:type="paragraph" w:styleId="10">
    <w:name w:val="footer"/>
    <w:basedOn w:val="1"/>
    <w:autoRedefine/>
    <w:qFormat/>
    <w:uiPriority w:val="0"/>
    <w:pPr>
      <w:tabs>
        <w:tab w:val="center" w:pos="4153"/>
        <w:tab w:val="right" w:pos="8306"/>
      </w:tabs>
      <w:snapToGrid w:val="0"/>
      <w:jc w:val="left"/>
    </w:pPr>
    <w:rPr>
      <w:rFonts w:ascii="Calibri" w:hAnsi="Calibri"/>
      <w:kern w:val="0"/>
      <w:sz w:val="18"/>
      <w:szCs w:val="18"/>
    </w:rPr>
  </w:style>
  <w:style w:type="paragraph" w:styleId="11">
    <w:name w:val="header"/>
    <w:basedOn w:val="1"/>
    <w:autoRedefine/>
    <w:qFormat/>
    <w:uiPriority w:val="0"/>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autoRedefine/>
    <w:qFormat/>
    <w:uiPriority w:val="0"/>
    <w:pPr>
      <w:tabs>
        <w:tab w:val="right" w:leader="dot" w:pos="8296"/>
      </w:tabs>
      <w:spacing w:before="93"/>
      <w:jc w:val="center"/>
    </w:pPr>
    <w:rPr>
      <w:rFonts w:ascii="仿宋" w:eastAsia="仿宋"/>
      <w:sz w:val="28"/>
      <w:szCs w:val="28"/>
    </w:rPr>
  </w:style>
  <w:style w:type="paragraph" w:styleId="13">
    <w:name w:val="toc 2"/>
    <w:basedOn w:val="1"/>
    <w:next w:val="1"/>
    <w:autoRedefine/>
    <w:qFormat/>
    <w:uiPriority w:val="0"/>
    <w:pPr>
      <w:tabs>
        <w:tab w:val="right" w:leader="dot" w:pos="8296"/>
      </w:tabs>
      <w:ind w:left="200" w:leftChars="200"/>
    </w:pPr>
  </w:style>
  <w:style w:type="paragraph" w:styleId="14">
    <w:name w:val="Normal (Web)"/>
    <w:basedOn w:val="1"/>
    <w:autoRedefine/>
    <w:qFormat/>
    <w:uiPriority w:val="0"/>
    <w:rPr>
      <w:sz w:val="24"/>
    </w:rPr>
  </w:style>
  <w:style w:type="table" w:styleId="16">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8">
    <w:name w:val="Strong"/>
    <w:basedOn w:val="17"/>
    <w:autoRedefine/>
    <w:qFormat/>
    <w:uiPriority w:val="0"/>
    <w:rPr>
      <w:b/>
    </w:rPr>
  </w:style>
  <w:style w:type="character" w:styleId="19">
    <w:name w:val="Hyperlink"/>
    <w:basedOn w:val="17"/>
    <w:autoRedefine/>
    <w:qFormat/>
    <w:uiPriority w:val="0"/>
    <w:rPr>
      <w:color w:val="0000FF"/>
      <w:u w:val="single"/>
    </w:rPr>
  </w:style>
  <w:style w:type="character" w:customStyle="1" w:styleId="20">
    <w:name w:val="heading 1 Char"/>
    <w:basedOn w:val="17"/>
    <w:link w:val="4"/>
    <w:autoRedefine/>
    <w:qFormat/>
    <w:uiPriority w:val="0"/>
    <w:rPr>
      <w:rFonts w:ascii="Times New Roman" w:hAnsi="Times New Roman" w:eastAsia="宋体" w:cs="Times New Roman"/>
      <w:b/>
      <w:bCs/>
      <w:kern w:val="44"/>
      <w:sz w:val="44"/>
      <w:szCs w:val="44"/>
      <w:lang w:val="en-US" w:eastAsia="zh-CN" w:bidi="ar-SA"/>
    </w:rPr>
  </w:style>
  <w:style w:type="character" w:customStyle="1" w:styleId="21">
    <w:name w:val="heading 2 Char"/>
    <w:basedOn w:val="17"/>
    <w:link w:val="5"/>
    <w:autoRedefine/>
    <w:qFormat/>
    <w:uiPriority w:val="0"/>
    <w:rPr>
      <w:rFonts w:ascii="Cambria" w:hAnsi="Cambria" w:eastAsia="宋体" w:cs="Times New Roman"/>
      <w:b/>
      <w:bCs/>
      <w:kern w:val="2"/>
      <w:sz w:val="32"/>
      <w:szCs w:val="32"/>
      <w:lang w:val="en-US" w:eastAsia="zh-CN" w:bidi="ar-SA"/>
    </w:rPr>
  </w:style>
  <w:style w:type="character" w:customStyle="1" w:styleId="22">
    <w:name w:val="Header Char"/>
    <w:basedOn w:val="17"/>
    <w:autoRedefine/>
    <w:qFormat/>
    <w:uiPriority w:val="0"/>
    <w:rPr>
      <w:rFonts w:ascii="Times New Roman" w:hAnsi="Times New Roman"/>
      <w:sz w:val="18"/>
      <w:szCs w:val="18"/>
    </w:rPr>
  </w:style>
  <w:style w:type="character" w:customStyle="1" w:styleId="23">
    <w:name w:val="Footer Char"/>
    <w:basedOn w:val="17"/>
    <w:autoRedefine/>
    <w:qFormat/>
    <w:uiPriority w:val="0"/>
    <w:rPr>
      <w:rFonts w:ascii="Times New Roman" w:hAnsi="Times New Roman"/>
      <w:sz w:val="18"/>
      <w:szCs w:val="18"/>
    </w:rPr>
  </w:style>
  <w:style w:type="character" w:customStyle="1" w:styleId="24">
    <w:name w:val="Body Text Char"/>
    <w:basedOn w:val="17"/>
    <w:autoRedefine/>
    <w:qFormat/>
    <w:uiPriority w:val="0"/>
    <w:rPr>
      <w:rFonts w:ascii="Times New Roman" w:hAnsi="Times New Roman"/>
      <w:szCs w:val="24"/>
    </w:rPr>
  </w:style>
  <w:style w:type="paragraph" w:customStyle="1" w:styleId="25">
    <w:name w:val="Default"/>
    <w:autoRedefine/>
    <w:qFormat/>
    <w:uiPriority w:val="0"/>
    <w:pPr>
      <w:widowControl w:val="0"/>
      <w:autoSpaceDE w:val="0"/>
      <w:autoSpaceDN w:val="0"/>
      <w:adjustRightInd w:val="0"/>
    </w:pPr>
    <w:rPr>
      <w:rFonts w:ascii="仿宋" w:hAnsi="Times New Roman" w:eastAsia="仿宋" w:cs="仿宋"/>
      <w:color w:val="000000"/>
      <w:sz w:val="24"/>
      <w:szCs w:val="24"/>
      <w:lang w:val="en-US" w:eastAsia="zh-CN" w:bidi="ar-SA"/>
    </w:rPr>
  </w:style>
  <w:style w:type="paragraph" w:styleId="26">
    <w:name w:val="List Paragraph"/>
    <w:basedOn w:val="1"/>
    <w:autoRedefine/>
    <w:qFormat/>
    <w:uiPriority w:val="0"/>
    <w:pPr>
      <w:ind w:firstLine="200" w:firstLineChars="200"/>
    </w:pPr>
  </w:style>
  <w:style w:type="paragraph" w:customStyle="1" w:styleId="27">
    <w:name w:val="TOC 标题1"/>
    <w:basedOn w:val="4"/>
    <w:next w:val="1"/>
    <w:autoRedefine/>
    <w:qFormat/>
    <w:uiPriority w:val="0"/>
    <w:pPr>
      <w:keepNext/>
      <w:keepLines/>
      <w:widowControl/>
      <w:spacing w:before="480" w:after="0" w:line="276" w:lineRule="auto"/>
      <w:jc w:val="left"/>
      <w:outlineLvl w:val="9"/>
    </w:pPr>
    <w:rPr>
      <w:rFonts w:ascii="Cambria" w:hAnsi="Cambria" w:eastAsia="宋体" w:cs="Times New Roman"/>
      <w:color w:val="376092"/>
      <w:kern w:val="0"/>
      <w:sz w:val="28"/>
      <w:szCs w:val="28"/>
    </w:rPr>
  </w:style>
  <w:style w:type="paragraph" w:customStyle="1" w:styleId="28">
    <w:name w:val="TOC Heading"/>
    <w:basedOn w:val="4"/>
    <w:next w:val="1"/>
    <w:autoRedefine/>
    <w:qFormat/>
    <w:uiPriority w:val="0"/>
    <w:pPr>
      <w:keepNext/>
      <w:keepLines/>
      <w:widowControl/>
      <w:spacing w:before="480" w:after="0" w:line="276" w:lineRule="auto"/>
      <w:jc w:val="left"/>
      <w:outlineLvl w:val="9"/>
    </w:pPr>
    <w:rPr>
      <w:rFonts w:ascii="Cambria" w:hAnsi="Cambria" w:eastAsia="宋体" w:cs="Times New Roman"/>
      <w:color w:val="376092"/>
      <w:kern w:val="0"/>
      <w:sz w:val="28"/>
      <w:szCs w:val="28"/>
    </w:rPr>
  </w:style>
  <w:style w:type="character" w:customStyle="1" w:styleId="29">
    <w:name w:val="font132"/>
    <w:basedOn w:val="17"/>
    <w:autoRedefine/>
    <w:qFormat/>
    <w:uiPriority w:val="0"/>
    <w:rPr>
      <w:rFonts w:hint="eastAsia" w:ascii="宋体" w:hAnsi="宋体" w:eastAsia="宋体" w:cs="宋体"/>
      <w:color w:val="000000"/>
      <w:sz w:val="20"/>
      <w:szCs w:val="20"/>
      <w:u w:val="none"/>
    </w:rPr>
  </w:style>
  <w:style w:type="character" w:customStyle="1" w:styleId="30">
    <w:name w:val="font112"/>
    <w:basedOn w:val="17"/>
    <w:autoRedefine/>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4.xml"/><Relationship Id="rId16" Type="http://schemas.openxmlformats.org/officeDocument/2006/relationships/customXml" Target="../customXml/item3.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chart" Target="charts/chart6.xml"/><Relationship Id="rId11" Type="http://schemas.openxmlformats.org/officeDocument/2006/relationships/chart" Target="charts/chart5.xml"/><Relationship Id="rId10" Type="http://schemas.openxmlformats.org/officeDocument/2006/relationships/chart" Target="charts/chart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6.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4.xlsx"/></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Workbook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2022年</c:f>
              <c:strCache>
                <c:ptCount val="1"/>
                <c:pt idx="0">
                  <c:v>2022年</c:v>
                </c:pt>
              </c:strCache>
            </c:strRef>
          </c:tx>
          <c:spPr>
            <a:solidFill>
              <a:srgbClr val="4F81BD"/>
            </a:solidFill>
            <a:ln>
              <a:noFill/>
            </a:ln>
          </c:spPr>
          <c:invertIfNegative val="0"/>
          <c:dLbls>
            <c:numFmt formatCode="General"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404040"/>
                    </a:solidFill>
                    <a:latin typeface="Times New Roman" panose="02020603050405020304"/>
                    <a:ea typeface="宋体" panose="02010600030101010101" charset="-122"/>
                    <a:cs typeface="Arial" panose="020B0604020202020204" pitchFamily="2"/>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ext>
            </c:extLst>
          </c:dLbls>
          <c:cat>
            <c:strRef>
              <c:f>{"收入","支出"}</c:f>
              <c:strCache>
                <c:ptCount val="2"/>
                <c:pt idx="0">
                  <c:v>收入</c:v>
                </c:pt>
                <c:pt idx="1">
                  <c:v>支出</c:v>
                </c:pt>
              </c:strCache>
            </c:strRef>
          </c:cat>
          <c:val>
            <c:numRef>
              <c:f>{869.54,869.54}</c:f>
              <c:numCache>
                <c:formatCode>General</c:formatCode>
                <c:ptCount val="2"/>
                <c:pt idx="0">
                  <c:v>869.54</c:v>
                </c:pt>
                <c:pt idx="1">
                  <c:v>869.54</c:v>
                </c:pt>
              </c:numCache>
            </c:numRef>
          </c:val>
        </c:ser>
        <c:ser>
          <c:idx val="1"/>
          <c:order val="1"/>
          <c:tx>
            <c:strRef>
              <c:f>2021年</c:f>
              <c:strCache>
                <c:ptCount val="1"/>
                <c:pt idx="0">
                  <c:v>2021年</c:v>
                </c:pt>
              </c:strCache>
            </c:strRef>
          </c:tx>
          <c:spPr>
            <a:solidFill>
              <a:srgbClr val="C0504D"/>
            </a:solidFill>
            <a:ln>
              <a:noFill/>
            </a:ln>
          </c:spPr>
          <c:invertIfNegative val="0"/>
          <c:dLbls>
            <c:numFmt formatCode="General"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404040"/>
                    </a:solidFill>
                    <a:latin typeface="Times New Roman" panose="02020603050405020304"/>
                    <a:ea typeface="宋体" panose="02010600030101010101" charset="-122"/>
                    <a:cs typeface="Arial" panose="020B0604020202020204" pitchFamily="2"/>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ext>
            </c:extLst>
          </c:dLbls>
          <c:cat>
            <c:strRef>
              <c:f>{"收入","支出"}</c:f>
              <c:strCache>
                <c:ptCount val="2"/>
                <c:pt idx="0">
                  <c:v>收入</c:v>
                </c:pt>
                <c:pt idx="1">
                  <c:v>支出</c:v>
                </c:pt>
              </c:strCache>
            </c:strRef>
          </c:cat>
          <c:val>
            <c:numRef>
              <c:f>{647.25,647.25}</c:f>
              <c:numCache>
                <c:formatCode>General</c:formatCode>
                <c:ptCount val="2"/>
                <c:pt idx="0">
                  <c:v>647.25</c:v>
                </c:pt>
                <c:pt idx="1">
                  <c:v>647.25</c:v>
                </c:pt>
              </c:numCache>
            </c:numRef>
          </c:val>
        </c:ser>
        <c:dLbls>
          <c:showLegendKey val="0"/>
          <c:showVal val="1"/>
          <c:showCatName val="0"/>
          <c:showSerName val="0"/>
          <c:showPercent val="0"/>
          <c:showBubbleSize val="0"/>
        </c:dLbls>
        <c:gapWidth val="219"/>
        <c:overlap val="-27"/>
        <c:axId val="0"/>
        <c:axId val="1"/>
      </c:barChart>
      <c:catAx>
        <c:axId val="0"/>
        <c:scaling>
          <c:orientation val="minMax"/>
        </c:scaling>
        <c:delete val="0"/>
        <c:axPos val="b"/>
        <c:numFmt formatCode="General" sourceLinked="0"/>
        <c:majorTickMark val="out"/>
        <c:minorTickMark val="none"/>
        <c:tickLblPos val="nextTo"/>
        <c:spPr>
          <a:ln w="12700" cap="flat" cmpd="sng" algn="ctr">
            <a:solidFill>
              <a:srgbClr val="D9D9D9"/>
            </a:solidFill>
            <a:prstDash val="solid"/>
            <a:round/>
          </a:ln>
        </c:spPr>
        <c:txPr>
          <a:bodyPr rot="-60000000" spcFirstLastPara="0" vertOverflow="ellipsis" vert="horz" wrap="square" anchor="ctr" anchorCtr="1"/>
          <a:lstStyle/>
          <a:p>
            <a:pPr>
              <a:defRPr lang="zh-CN" sz="900" b="0" i="0" u="none" strike="noStrike" kern="1200" baseline="0">
                <a:solidFill>
                  <a:srgbClr val="595959"/>
                </a:solidFill>
                <a:latin typeface="Times New Roman" panose="02020603050405020304"/>
                <a:ea typeface="宋体" panose="02010600030101010101" charset="-122"/>
                <a:cs typeface="Arial" panose="020B0604020202020204" pitchFamily="2"/>
              </a:defRPr>
            </a:pPr>
          </a:p>
        </c:txPr>
        <c:crossAx val="1"/>
        <c:crosses val="autoZero"/>
        <c:auto val="1"/>
        <c:lblAlgn val="ctr"/>
        <c:lblOffset val="100"/>
        <c:noMultiLvlLbl val="0"/>
      </c:catAx>
      <c:valAx>
        <c:axId val="1"/>
        <c:scaling>
          <c:orientation val="minMax"/>
        </c:scaling>
        <c:delete val="0"/>
        <c:axPos val="l"/>
        <c:majorGridlines>
          <c:spPr>
            <a:ln w="12700" cap="flat" cmpd="sng" algn="ctr">
              <a:solidFill>
                <a:srgbClr val="D9D9D9"/>
              </a:solidFill>
              <a:prstDash val="solid"/>
              <a:round/>
            </a:ln>
          </c:spPr>
        </c:majorGridlines>
        <c:numFmt formatCode="General" sourceLinked="1"/>
        <c:majorTickMark val="out"/>
        <c:minorTickMark val="none"/>
        <c:tickLblPos val="nextTo"/>
        <c:spPr>
          <a:ln w="9525" cap="flat" cmpd="sng" algn="ctr">
            <a:noFill/>
            <a:prstDash val="solid"/>
            <a:round/>
          </a:ln>
        </c:spPr>
        <c:txPr>
          <a:bodyPr rot="-60000000" spcFirstLastPara="0" vertOverflow="ellipsis" vert="horz" wrap="square" anchor="ctr" anchorCtr="1"/>
          <a:lstStyle/>
          <a:p>
            <a:pPr>
              <a:defRPr lang="zh-CN" sz="900" b="0" i="0" u="none" strike="noStrike" kern="1200" baseline="0">
                <a:solidFill>
                  <a:srgbClr val="595959"/>
                </a:solidFill>
                <a:latin typeface="Times New Roman" panose="02020603050405020304"/>
                <a:ea typeface="宋体" panose="02010600030101010101" charset="-122"/>
                <a:cs typeface="Arial" panose="020B0604020202020204" pitchFamily="2"/>
              </a:defRPr>
            </a:pPr>
          </a:p>
        </c:txPr>
        <c:crossAx val="0"/>
        <c:crossesAt val="1"/>
        <c:crossBetween val="between"/>
      </c:valAx>
      <c:spPr>
        <a:noFill/>
        <a:ln>
          <a:noFill/>
        </a:ln>
      </c:spPr>
    </c:plotArea>
    <c:legend>
      <c:legendPos val="b"/>
      <c:layout/>
      <c:overlay val="0"/>
      <c:spPr>
        <a:noFill/>
        <a:ln>
          <a:noFill/>
        </a:ln>
      </c:spPr>
      <c:txPr>
        <a:bodyPr rot="0" spcFirstLastPara="0" vertOverflow="ellipsis" vert="horz" wrap="square" anchor="ctr" anchorCtr="1"/>
        <a:lstStyle/>
        <a:p>
          <a:pPr>
            <a:defRPr lang="zh-CN" sz="900" b="0" i="0" u="none" strike="noStrike" kern="1200" baseline="0">
              <a:solidFill>
                <a:srgbClr val="595959"/>
              </a:solidFill>
              <a:latin typeface="Times New Roman" panose="02020603050405020304"/>
              <a:ea typeface="宋体" panose="02010600030101010101" charset="-122"/>
              <a:cs typeface="Arial" panose="020B0604020202020204" pitchFamily="2"/>
            </a:defRPr>
          </a:pPr>
        </a:p>
      </c:txPr>
    </c:legend>
    <c:plotVisOnly val="1"/>
    <c:dispBlanksAs val="gap"/>
    <c:showDLblsOverMax val="0"/>
  </c:chart>
  <c:spPr>
    <a:solidFill>
      <a:srgbClr val="FFFFFF"/>
    </a:solidFill>
    <a:ln w="12700" cap="flat" cmpd="sng" algn="ctr">
      <a:solidFill>
        <a:srgbClr val="D9D9D9"/>
      </a:solidFill>
      <a:prstDash val="solid"/>
      <a:round/>
    </a:ln>
  </c:spPr>
  <c:txPr>
    <a:bodyPr/>
    <a:lstStyle/>
    <a:p>
      <a:pPr>
        <a:defRPr lang="zh-CN" sz="1000" b="0" i="0" u="none" strike="noStrike" baseline="0">
          <a:solidFill>
            <a:srgbClr val="000000"/>
          </a:solidFill>
          <a:latin typeface="Times New Roman" panose="02020603050405020304"/>
          <a:ea typeface="宋体" panose="02010600030101010101" charset="-122"/>
          <a:cs typeface="Arial" panose="020B0604020202020204" pitchFamily="2"/>
        </a:defRPr>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spPr>
            <a:solidFill>
              <a:srgbClr val="4F81BD"/>
            </a:solidFill>
            <a:ln>
              <a:noFill/>
            </a:ln>
          </c:spPr>
          <c:explosion val="0"/>
          <c:dPt>
            <c:idx val="0"/>
            <c:bubble3D val="0"/>
            <c:spPr>
              <a:solidFill>
                <a:srgbClr val="4F81BD"/>
              </a:solidFill>
              <a:ln w="19050">
                <a:solidFill>
                  <a:srgbClr val="FFFFFF"/>
                </a:solidFill>
                <a:prstDash val="solid"/>
              </a:ln>
            </c:spPr>
          </c:dPt>
          <c:dPt>
            <c:idx val="1"/>
            <c:bubble3D val="0"/>
            <c:spPr>
              <a:solidFill>
                <a:srgbClr val="C0504D"/>
              </a:solidFill>
              <a:ln w="19050">
                <a:solidFill>
                  <a:srgbClr val="FFFFFF"/>
                </a:solidFill>
                <a:prstDash val="solid"/>
              </a:ln>
            </c:spPr>
          </c:dPt>
          <c:dPt>
            <c:idx val="2"/>
            <c:bubble3D val="0"/>
            <c:spPr>
              <a:solidFill>
                <a:srgbClr val="9BBB59"/>
              </a:solidFill>
              <a:ln w="19050">
                <a:solidFill>
                  <a:srgbClr val="FFFFFF"/>
                </a:solidFill>
                <a:prstDash val="solid"/>
              </a:ln>
            </c:spPr>
          </c:dPt>
          <c:dLbls>
            <c:numFmt formatCode="General"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404040"/>
                    </a:solidFill>
                    <a:latin typeface="Times New Roman" panose="02020603050405020304"/>
                    <a:ea typeface="宋体" panose="02010600030101010101" charset="-122"/>
                    <a:cs typeface="Arial" panose="020B0604020202020204" pitchFamily="2"/>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ext>
            </c:extLst>
          </c:dLbls>
          <c:cat>
            <c:strRef>
              <c:f>{"一般公共预算财政拨款收入","政府性基金预算财政拨款收入","事业收入"}</c:f>
              <c:strCache>
                <c:ptCount val="3"/>
                <c:pt idx="0">
                  <c:v>一般公共预算财政拨款收入</c:v>
                </c:pt>
                <c:pt idx="1">
                  <c:v>政府性基金预算财政拨款收入</c:v>
                </c:pt>
                <c:pt idx="2">
                  <c:v>事业收入</c:v>
                </c:pt>
              </c:strCache>
            </c:strRef>
          </c:cat>
          <c:val>
            <c:numRef>
              <c:f>{547.04,18.42,304.08}</c:f>
              <c:numCache>
                <c:formatCode>General</c:formatCode>
                <c:ptCount val="3"/>
                <c:pt idx="0">
                  <c:v>547.04</c:v>
                </c:pt>
                <c:pt idx="1">
                  <c:v>18.42</c:v>
                </c:pt>
                <c:pt idx="2">
                  <c:v>304.08</c:v>
                </c:pt>
              </c:numCache>
            </c:numRef>
          </c:val>
        </c:ser>
        <c:dLbls>
          <c:showLegendKey val="0"/>
          <c:showVal val="1"/>
          <c:showCatName val="0"/>
          <c:showSerName val="0"/>
          <c:showPercent val="0"/>
          <c:showBubbleSize val="0"/>
          <c:showLeaderLines val="1"/>
        </c:dLbls>
        <c:firstSliceAng val="0"/>
      </c:pieChart>
      <c:spPr>
        <a:noFill/>
        <a:ln>
          <a:noFill/>
        </a:ln>
      </c:spPr>
    </c:plotArea>
    <c:legend>
      <c:legendPos val="b"/>
      <c:layout/>
      <c:overlay val="0"/>
      <c:spPr>
        <a:noFill/>
        <a:ln>
          <a:noFill/>
        </a:ln>
      </c:spPr>
      <c:txPr>
        <a:bodyPr rot="0" spcFirstLastPara="0" vertOverflow="ellipsis" vert="horz" wrap="square" anchor="ctr" anchorCtr="1"/>
        <a:lstStyle/>
        <a:p>
          <a:pPr>
            <a:defRPr lang="zh-CN" sz="900" b="0" i="0" u="none" strike="noStrike" kern="1200" baseline="0">
              <a:solidFill>
                <a:srgbClr val="595959"/>
              </a:solidFill>
              <a:latin typeface="Times New Roman" panose="02020603050405020304"/>
              <a:ea typeface="宋体" panose="02010600030101010101" charset="-122"/>
              <a:cs typeface="Arial" panose="020B0604020202020204" pitchFamily="2"/>
            </a:defRPr>
          </a:pPr>
        </a:p>
      </c:txPr>
    </c:legend>
    <c:plotVisOnly val="1"/>
    <c:dispBlanksAs val="gap"/>
    <c:showDLblsOverMax val="0"/>
  </c:chart>
  <c:spPr>
    <a:solidFill>
      <a:srgbClr val="FFFFFF"/>
    </a:solidFill>
    <a:ln w="12700" cap="flat" cmpd="sng" algn="ctr">
      <a:solidFill>
        <a:srgbClr val="D9D9D9"/>
      </a:solidFill>
      <a:prstDash val="solid"/>
      <a:round/>
    </a:ln>
  </c:spPr>
  <c:txPr>
    <a:bodyPr/>
    <a:lstStyle/>
    <a:p>
      <a:pPr>
        <a:defRPr lang="zh-CN" sz="1000" b="0" i="0" u="none" strike="noStrike" baseline="0">
          <a:solidFill>
            <a:srgbClr val="000000"/>
          </a:solidFill>
          <a:latin typeface="Times New Roman" panose="02020603050405020304"/>
          <a:ea typeface="宋体" panose="02010600030101010101" charset="-122"/>
          <a:cs typeface="Arial" panose="020B0604020202020204" pitchFamily="2"/>
        </a:defRPr>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spPr>
            <a:solidFill>
              <a:srgbClr val="4F81BD"/>
            </a:solidFill>
            <a:ln>
              <a:noFill/>
            </a:ln>
          </c:spPr>
          <c:explosion val="0"/>
          <c:dPt>
            <c:idx val="0"/>
            <c:bubble3D val="0"/>
            <c:spPr>
              <a:solidFill>
                <a:srgbClr val="4F81BD"/>
              </a:solidFill>
              <a:ln w="19050">
                <a:solidFill>
                  <a:srgbClr val="FFFFFF"/>
                </a:solidFill>
                <a:prstDash val="solid"/>
              </a:ln>
            </c:spPr>
          </c:dPt>
          <c:dPt>
            <c:idx val="1"/>
            <c:bubble3D val="0"/>
            <c:spPr>
              <a:solidFill>
                <a:srgbClr val="C0504D"/>
              </a:solidFill>
              <a:ln w="19050">
                <a:solidFill>
                  <a:srgbClr val="FFFFFF"/>
                </a:solidFill>
                <a:prstDash val="solid"/>
              </a:ln>
            </c:spPr>
          </c:dPt>
          <c:dLbls>
            <c:numFmt formatCode="General"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404040"/>
                    </a:solidFill>
                    <a:latin typeface="Times New Roman" panose="02020603050405020304"/>
                    <a:ea typeface="宋体" panose="02010600030101010101" charset="-122"/>
                    <a:cs typeface="Arial" panose="020B0604020202020204" pitchFamily="2"/>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ext>
            </c:extLst>
          </c:dLbls>
          <c:cat>
            <c:strRef>
              <c:f>{"基本支出","项目支出"}</c:f>
              <c:strCache>
                <c:ptCount val="2"/>
                <c:pt idx="0">
                  <c:v>基本支出</c:v>
                </c:pt>
                <c:pt idx="1">
                  <c:v>项目支出</c:v>
                </c:pt>
              </c:strCache>
            </c:strRef>
          </c:cat>
          <c:val>
            <c:numRef>
              <c:f>{673.55,195.99}</c:f>
              <c:numCache>
                <c:formatCode>General</c:formatCode>
                <c:ptCount val="2"/>
                <c:pt idx="0">
                  <c:v>673.55</c:v>
                </c:pt>
                <c:pt idx="1">
                  <c:v>195.99</c:v>
                </c:pt>
              </c:numCache>
            </c:numRef>
          </c:val>
        </c:ser>
        <c:dLbls>
          <c:showLegendKey val="0"/>
          <c:showVal val="1"/>
          <c:showCatName val="0"/>
          <c:showSerName val="0"/>
          <c:showPercent val="0"/>
          <c:showBubbleSize val="0"/>
          <c:showLeaderLines val="1"/>
        </c:dLbls>
        <c:firstSliceAng val="0"/>
      </c:pieChart>
      <c:spPr>
        <a:noFill/>
        <a:ln>
          <a:noFill/>
        </a:ln>
      </c:spPr>
    </c:plotArea>
    <c:legend>
      <c:legendPos val="b"/>
      <c:layout/>
      <c:overlay val="0"/>
      <c:spPr>
        <a:noFill/>
        <a:ln>
          <a:noFill/>
        </a:ln>
      </c:spPr>
      <c:txPr>
        <a:bodyPr rot="0" spcFirstLastPara="0" vertOverflow="ellipsis" vert="horz" wrap="square" anchor="ctr" anchorCtr="1"/>
        <a:lstStyle/>
        <a:p>
          <a:pPr>
            <a:defRPr lang="zh-CN" sz="900" b="0" i="0" u="none" strike="noStrike" kern="1200" baseline="0">
              <a:solidFill>
                <a:srgbClr val="595959"/>
              </a:solidFill>
              <a:latin typeface="Times New Roman" panose="02020603050405020304"/>
              <a:ea typeface="宋体" panose="02010600030101010101" charset="-122"/>
              <a:cs typeface="Arial" panose="020B0604020202020204" pitchFamily="2"/>
            </a:defRPr>
          </a:pPr>
        </a:p>
      </c:txPr>
    </c:legend>
    <c:plotVisOnly val="1"/>
    <c:dispBlanksAs val="gap"/>
    <c:showDLblsOverMax val="0"/>
  </c:chart>
  <c:spPr>
    <a:solidFill>
      <a:srgbClr val="FFFFFF"/>
    </a:solidFill>
    <a:ln w="12700" cap="flat" cmpd="sng" algn="ctr">
      <a:solidFill>
        <a:srgbClr val="D9D9D9"/>
      </a:solidFill>
      <a:prstDash val="solid"/>
      <a:round/>
    </a:ln>
  </c:spPr>
  <c:txPr>
    <a:bodyPr/>
    <a:lstStyle/>
    <a:p>
      <a:pPr>
        <a:defRPr lang="zh-CN" sz="1000" b="0" i="0" u="none" strike="noStrike" baseline="0">
          <a:solidFill>
            <a:srgbClr val="000000"/>
          </a:solidFill>
          <a:latin typeface="Times New Roman" panose="02020603050405020304"/>
          <a:ea typeface="宋体" panose="02010600030101010101" charset="-122"/>
          <a:cs typeface="Arial" panose="020B0604020202020204" pitchFamily="2"/>
        </a:defRPr>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财政拨款收入</c:f>
              <c:strCache>
                <c:ptCount val="1"/>
                <c:pt idx="0">
                  <c:v>财政拨款收入</c:v>
                </c:pt>
              </c:strCache>
            </c:strRef>
          </c:tx>
          <c:spPr>
            <a:solidFill>
              <a:srgbClr val="4F81BD"/>
            </a:solidFill>
            <a:ln>
              <a:noFill/>
            </a:ln>
          </c:spPr>
          <c:invertIfNegative val="0"/>
          <c:dLbls>
            <c:numFmt formatCode="General"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404040"/>
                    </a:solidFill>
                    <a:latin typeface="Times New Roman" panose="02020603050405020304"/>
                    <a:ea typeface="宋体" panose="02010600030101010101" charset="-122"/>
                    <a:cs typeface="Arial" panose="020B0604020202020204" pitchFamily="2"/>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ext>
            </c:extLst>
          </c:dLbls>
          <c:cat>
            <c:numRef>
              <c:f>{2021,20222}</c:f>
              <c:numCache>
                <c:formatCode>General</c:formatCode>
                <c:ptCount val="2"/>
                <c:pt idx="0">
                  <c:v>2021</c:v>
                </c:pt>
                <c:pt idx="1">
                  <c:v>20222</c:v>
                </c:pt>
              </c:numCache>
            </c:numRef>
          </c:cat>
          <c:val>
            <c:numRef>
              <c:f>{415.24,547.04}</c:f>
              <c:numCache>
                <c:formatCode>General</c:formatCode>
                <c:ptCount val="2"/>
                <c:pt idx="0">
                  <c:v>415.24</c:v>
                </c:pt>
                <c:pt idx="1">
                  <c:v>547.04</c:v>
                </c:pt>
              </c:numCache>
            </c:numRef>
          </c:val>
        </c:ser>
        <c:ser>
          <c:idx val="1"/>
          <c:order val="1"/>
          <c:tx>
            <c:strRef>
              <c:f>财政拨款支出</c:f>
              <c:strCache>
                <c:ptCount val="1"/>
                <c:pt idx="0">
                  <c:v>财政拨款支出</c:v>
                </c:pt>
              </c:strCache>
            </c:strRef>
          </c:tx>
          <c:spPr>
            <a:solidFill>
              <a:srgbClr val="C0504D"/>
            </a:solidFill>
            <a:ln>
              <a:noFill/>
            </a:ln>
          </c:spPr>
          <c:invertIfNegative val="0"/>
          <c:dLbls>
            <c:numFmt formatCode="General"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404040"/>
                    </a:solidFill>
                    <a:latin typeface="Times New Roman" panose="02020603050405020304"/>
                    <a:ea typeface="宋体" panose="02010600030101010101" charset="-122"/>
                    <a:cs typeface="Arial" panose="020B0604020202020204" pitchFamily="2"/>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ext>
            </c:extLst>
          </c:dLbls>
          <c:cat>
            <c:numRef>
              <c:f>{2021,20222}</c:f>
              <c:numCache>
                <c:formatCode>General</c:formatCode>
                <c:ptCount val="2"/>
                <c:pt idx="0">
                  <c:v>2021</c:v>
                </c:pt>
                <c:pt idx="1">
                  <c:v>20222</c:v>
                </c:pt>
              </c:numCache>
            </c:numRef>
          </c:cat>
          <c:val>
            <c:numRef>
              <c:f>{415.24,547.04}</c:f>
              <c:numCache>
                <c:formatCode>General</c:formatCode>
                <c:ptCount val="2"/>
                <c:pt idx="0">
                  <c:v>415.24</c:v>
                </c:pt>
                <c:pt idx="1">
                  <c:v>547.04</c:v>
                </c:pt>
              </c:numCache>
            </c:numRef>
          </c:val>
        </c:ser>
        <c:dLbls>
          <c:showLegendKey val="0"/>
          <c:showVal val="1"/>
          <c:showCatName val="0"/>
          <c:showSerName val="0"/>
          <c:showPercent val="0"/>
          <c:showBubbleSize val="0"/>
        </c:dLbls>
        <c:gapWidth val="219"/>
        <c:overlap val="-27"/>
        <c:axId val="0"/>
        <c:axId val="1"/>
      </c:barChart>
      <c:catAx>
        <c:axId val="0"/>
        <c:scaling>
          <c:orientation val="minMax"/>
        </c:scaling>
        <c:delete val="0"/>
        <c:axPos val="b"/>
        <c:numFmt formatCode="General" sourceLinked="0"/>
        <c:majorTickMark val="out"/>
        <c:minorTickMark val="none"/>
        <c:tickLblPos val="nextTo"/>
        <c:spPr>
          <a:ln w="12700" cap="flat" cmpd="sng" algn="ctr">
            <a:solidFill>
              <a:srgbClr val="D9D9D9"/>
            </a:solidFill>
            <a:prstDash val="solid"/>
            <a:round/>
          </a:ln>
        </c:spPr>
        <c:txPr>
          <a:bodyPr rot="-60000000" spcFirstLastPara="0" vertOverflow="ellipsis" vert="horz" wrap="square" anchor="ctr" anchorCtr="1"/>
          <a:lstStyle/>
          <a:p>
            <a:pPr>
              <a:defRPr lang="zh-CN" sz="900" b="0" i="0" u="none" strike="noStrike" kern="1200" baseline="0">
                <a:solidFill>
                  <a:srgbClr val="595959"/>
                </a:solidFill>
                <a:latin typeface="Times New Roman" panose="02020603050405020304"/>
                <a:ea typeface="宋体" panose="02010600030101010101" charset="-122"/>
                <a:cs typeface="Arial" panose="020B0604020202020204" pitchFamily="2"/>
              </a:defRPr>
            </a:pPr>
          </a:p>
        </c:txPr>
        <c:crossAx val="1"/>
        <c:crosses val="autoZero"/>
        <c:auto val="1"/>
        <c:lblAlgn val="ctr"/>
        <c:lblOffset val="100"/>
        <c:noMultiLvlLbl val="0"/>
      </c:catAx>
      <c:valAx>
        <c:axId val="1"/>
        <c:scaling>
          <c:orientation val="minMax"/>
        </c:scaling>
        <c:delete val="0"/>
        <c:axPos val="l"/>
        <c:majorGridlines>
          <c:spPr>
            <a:ln w="12700" cap="flat" cmpd="sng" algn="ctr">
              <a:solidFill>
                <a:srgbClr val="D9D9D9"/>
              </a:solidFill>
              <a:prstDash val="solid"/>
              <a:round/>
            </a:ln>
          </c:spPr>
        </c:majorGridlines>
        <c:numFmt formatCode="General" sourceLinked="1"/>
        <c:majorTickMark val="out"/>
        <c:minorTickMark val="none"/>
        <c:tickLblPos val="nextTo"/>
        <c:spPr>
          <a:ln w="9525" cap="flat" cmpd="sng" algn="ctr">
            <a:noFill/>
            <a:prstDash val="solid"/>
            <a:round/>
          </a:ln>
        </c:spPr>
        <c:txPr>
          <a:bodyPr rot="-60000000" spcFirstLastPara="0" vertOverflow="ellipsis" vert="horz" wrap="square" anchor="ctr" anchorCtr="1"/>
          <a:lstStyle/>
          <a:p>
            <a:pPr>
              <a:defRPr lang="zh-CN" sz="900" b="0" i="0" u="none" strike="noStrike" kern="1200" baseline="0">
                <a:solidFill>
                  <a:srgbClr val="595959"/>
                </a:solidFill>
                <a:latin typeface="Times New Roman" panose="02020603050405020304"/>
                <a:ea typeface="宋体" panose="02010600030101010101" charset="-122"/>
                <a:cs typeface="Arial" panose="020B0604020202020204" pitchFamily="2"/>
              </a:defRPr>
            </a:pPr>
          </a:p>
        </c:txPr>
        <c:crossAx val="0"/>
        <c:crossesAt val="1"/>
        <c:crossBetween val="between"/>
      </c:valAx>
      <c:spPr>
        <a:noFill/>
        <a:ln>
          <a:noFill/>
        </a:ln>
      </c:spPr>
    </c:plotArea>
    <c:legend>
      <c:legendPos val="b"/>
      <c:layout/>
      <c:overlay val="0"/>
      <c:spPr>
        <a:noFill/>
        <a:ln>
          <a:noFill/>
        </a:ln>
      </c:spPr>
      <c:txPr>
        <a:bodyPr rot="0" spcFirstLastPara="0" vertOverflow="ellipsis" vert="horz" wrap="square" anchor="ctr" anchorCtr="1"/>
        <a:lstStyle/>
        <a:p>
          <a:pPr>
            <a:defRPr lang="zh-CN" sz="900" b="0" i="0" u="none" strike="noStrike" kern="1200" baseline="0">
              <a:solidFill>
                <a:srgbClr val="595959"/>
              </a:solidFill>
              <a:latin typeface="Times New Roman" panose="02020603050405020304"/>
              <a:ea typeface="宋体" panose="02010600030101010101" charset="-122"/>
              <a:cs typeface="Arial" panose="020B0604020202020204" pitchFamily="2"/>
            </a:defRPr>
          </a:pPr>
        </a:p>
      </c:txPr>
    </c:legend>
    <c:plotVisOnly val="1"/>
    <c:dispBlanksAs val="gap"/>
    <c:showDLblsOverMax val="0"/>
  </c:chart>
  <c:spPr>
    <a:solidFill>
      <a:srgbClr val="FFFFFF"/>
    </a:solidFill>
    <a:ln w="12700" cap="flat" cmpd="sng" algn="ctr">
      <a:solidFill>
        <a:srgbClr val="D9D9D9"/>
      </a:solidFill>
      <a:prstDash val="solid"/>
      <a:round/>
    </a:ln>
  </c:spPr>
  <c:txPr>
    <a:bodyPr/>
    <a:lstStyle/>
    <a:p>
      <a:pPr>
        <a:defRPr lang="zh-CN" sz="1000" b="0" i="0" u="none" strike="noStrike" baseline="0">
          <a:solidFill>
            <a:srgbClr val="000000"/>
          </a:solidFill>
          <a:latin typeface="Times New Roman" panose="02020603050405020304"/>
          <a:ea typeface="宋体" panose="02010600030101010101" charset="-122"/>
          <a:cs typeface="Arial" panose="020B0604020202020204" pitchFamily="2"/>
        </a:defRPr>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一般公共预算财政拨款支出</c:f>
              <c:strCache>
                <c:ptCount val="1"/>
                <c:pt idx="0">
                  <c:v>一般公共预算财政拨款支出</c:v>
                </c:pt>
              </c:strCache>
            </c:strRef>
          </c:tx>
          <c:spPr>
            <a:solidFill>
              <a:srgbClr val="4F81BD"/>
            </a:solidFill>
            <a:ln>
              <a:noFill/>
            </a:ln>
          </c:spPr>
          <c:invertIfNegative val="0"/>
          <c:dLbls>
            <c:numFmt formatCode="General"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404040"/>
                    </a:solidFill>
                    <a:latin typeface="Times New Roman" panose="02020603050405020304"/>
                    <a:ea typeface="宋体" panose="02010600030101010101" charset="-122"/>
                    <a:cs typeface="Arial" panose="020B0604020202020204" pitchFamily="2"/>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ext>
            </c:extLst>
          </c:dLbls>
          <c:cat>
            <c:numRef>
              <c:f>{2021,20222}</c:f>
              <c:numCache>
                <c:formatCode>General</c:formatCode>
                <c:ptCount val="2"/>
                <c:pt idx="0">
                  <c:v>2021</c:v>
                </c:pt>
                <c:pt idx="1">
                  <c:v>20222</c:v>
                </c:pt>
              </c:numCache>
            </c:numRef>
          </c:cat>
          <c:val>
            <c:numRef>
              <c:f>{415.24,547.04}</c:f>
              <c:numCache>
                <c:formatCode>General</c:formatCode>
                <c:ptCount val="2"/>
                <c:pt idx="0">
                  <c:v>415.24</c:v>
                </c:pt>
                <c:pt idx="1">
                  <c:v>547.04</c:v>
                </c:pt>
              </c:numCache>
            </c:numRef>
          </c:val>
        </c:ser>
        <c:ser>
          <c:idx val="1"/>
          <c:order val="1"/>
          <c:spPr>
            <a:solidFill>
              <a:srgbClr val="C0504D"/>
            </a:solidFill>
            <a:ln>
              <a:noFill/>
            </a:ln>
          </c:spPr>
          <c:invertIfNegative val="0"/>
          <c:dLbls>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404040"/>
                    </a:solidFill>
                    <a:latin typeface="Times New Roman" panose="02020603050405020304"/>
                    <a:ea typeface="宋体" panose="02010600030101010101" charset="-122"/>
                    <a:cs typeface="Arial" panose="020B0604020202020204" pitchFamily="2"/>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ext>
            </c:extLst>
          </c:dLbls>
          <c:cat>
            <c:numRef>
              <c:f>{2021,20222}</c:f>
              <c:numCache>
                <c:formatCode>General</c:formatCode>
                <c:ptCount val="2"/>
                <c:pt idx="0">
                  <c:v>2021</c:v>
                </c:pt>
                <c:pt idx="1">
                  <c:v>20222</c:v>
                </c:pt>
              </c:numCache>
            </c:numRef>
          </c:cat>
          <c:val>
            <c:numRef>
              <c:f>{}</c:f>
            </c:numRef>
          </c:val>
        </c:ser>
        <c:dLbls>
          <c:showLegendKey val="0"/>
          <c:showVal val="1"/>
          <c:showCatName val="0"/>
          <c:showSerName val="0"/>
          <c:showPercent val="0"/>
          <c:showBubbleSize val="0"/>
        </c:dLbls>
        <c:gapWidth val="219"/>
        <c:overlap val="-27"/>
        <c:axId val="0"/>
        <c:axId val="1"/>
      </c:barChart>
      <c:catAx>
        <c:axId val="0"/>
        <c:scaling>
          <c:orientation val="minMax"/>
        </c:scaling>
        <c:delete val="0"/>
        <c:axPos val="b"/>
        <c:numFmt formatCode="General" sourceLinked="0"/>
        <c:majorTickMark val="out"/>
        <c:minorTickMark val="none"/>
        <c:tickLblPos val="nextTo"/>
        <c:spPr>
          <a:ln w="12700" cap="flat" cmpd="sng" algn="ctr">
            <a:solidFill>
              <a:srgbClr val="D9D9D9"/>
            </a:solidFill>
            <a:prstDash val="solid"/>
            <a:round/>
          </a:ln>
        </c:spPr>
        <c:txPr>
          <a:bodyPr rot="-60000000" spcFirstLastPara="0" vertOverflow="ellipsis" vert="horz" wrap="square" anchor="ctr" anchorCtr="1"/>
          <a:lstStyle/>
          <a:p>
            <a:pPr>
              <a:defRPr lang="zh-CN" sz="900" b="0" i="0" u="none" strike="noStrike" kern="1200" baseline="0">
                <a:solidFill>
                  <a:srgbClr val="595959"/>
                </a:solidFill>
                <a:latin typeface="Times New Roman" panose="02020603050405020304"/>
                <a:ea typeface="宋体" panose="02010600030101010101" charset="-122"/>
                <a:cs typeface="Arial" panose="020B0604020202020204" pitchFamily="2"/>
              </a:defRPr>
            </a:pPr>
          </a:p>
        </c:txPr>
        <c:crossAx val="1"/>
        <c:crosses val="autoZero"/>
        <c:auto val="1"/>
        <c:lblAlgn val="ctr"/>
        <c:lblOffset val="100"/>
        <c:noMultiLvlLbl val="0"/>
      </c:catAx>
      <c:valAx>
        <c:axId val="1"/>
        <c:scaling>
          <c:orientation val="minMax"/>
        </c:scaling>
        <c:delete val="0"/>
        <c:axPos val="l"/>
        <c:majorGridlines>
          <c:spPr>
            <a:ln w="12700" cap="flat" cmpd="sng" algn="ctr">
              <a:solidFill>
                <a:srgbClr val="D9D9D9"/>
              </a:solidFill>
              <a:prstDash val="solid"/>
              <a:round/>
            </a:ln>
          </c:spPr>
        </c:majorGridlines>
        <c:numFmt formatCode="General" sourceLinked="1"/>
        <c:majorTickMark val="out"/>
        <c:minorTickMark val="none"/>
        <c:tickLblPos val="nextTo"/>
        <c:spPr>
          <a:ln w="9525" cap="flat" cmpd="sng" algn="ctr">
            <a:noFill/>
            <a:prstDash val="solid"/>
            <a:round/>
          </a:ln>
        </c:spPr>
        <c:txPr>
          <a:bodyPr rot="-60000000" spcFirstLastPara="0" vertOverflow="ellipsis" vert="horz" wrap="square" anchor="ctr" anchorCtr="1"/>
          <a:lstStyle/>
          <a:p>
            <a:pPr>
              <a:defRPr lang="zh-CN" sz="900" b="0" i="0" u="none" strike="noStrike" kern="1200" baseline="0">
                <a:solidFill>
                  <a:srgbClr val="595959"/>
                </a:solidFill>
                <a:latin typeface="Times New Roman" panose="02020603050405020304"/>
                <a:ea typeface="宋体" panose="02010600030101010101" charset="-122"/>
                <a:cs typeface="Arial" panose="020B0604020202020204" pitchFamily="2"/>
              </a:defRPr>
            </a:pPr>
          </a:p>
        </c:txPr>
        <c:crossAx val="0"/>
        <c:crossesAt val="1"/>
        <c:crossBetween val="between"/>
      </c:valAx>
      <c:spPr>
        <a:noFill/>
        <a:ln>
          <a:noFill/>
        </a:ln>
      </c:spPr>
    </c:plotArea>
    <c:legend>
      <c:legendPos val="b"/>
      <c:layout>
        <c:manualLayout>
          <c:xMode val="edge"/>
          <c:yMode val="edge"/>
          <c:x val="0.20701407"/>
          <c:y val="0.8706365"/>
        </c:manualLayout>
      </c:layout>
      <c:overlay val="0"/>
      <c:spPr>
        <a:noFill/>
        <a:ln>
          <a:noFill/>
        </a:ln>
      </c:spPr>
      <c:txPr>
        <a:bodyPr rot="0" spcFirstLastPara="0" vertOverflow="ellipsis" vert="horz" wrap="square" anchor="ctr" anchorCtr="1"/>
        <a:lstStyle/>
        <a:p>
          <a:pPr>
            <a:defRPr lang="zh-CN" sz="900" b="0" i="0" u="none" strike="noStrike" kern="1200" baseline="0">
              <a:solidFill>
                <a:srgbClr val="595959"/>
              </a:solidFill>
              <a:latin typeface="Times New Roman" panose="02020603050405020304"/>
              <a:ea typeface="宋体" panose="02010600030101010101" charset="-122"/>
              <a:cs typeface="Arial" panose="020B0604020202020204" pitchFamily="2"/>
            </a:defRPr>
          </a:pPr>
        </a:p>
      </c:txPr>
    </c:legend>
    <c:plotVisOnly val="1"/>
    <c:dispBlanksAs val="gap"/>
    <c:showDLblsOverMax val="0"/>
  </c:chart>
  <c:spPr>
    <a:solidFill>
      <a:srgbClr val="FFFFFF"/>
    </a:solidFill>
    <a:ln w="12700" cap="flat" cmpd="sng" algn="ctr">
      <a:solidFill>
        <a:srgbClr val="D9D9D9"/>
      </a:solidFill>
      <a:prstDash val="solid"/>
      <a:round/>
    </a:ln>
  </c:spPr>
  <c:txPr>
    <a:bodyPr/>
    <a:lstStyle/>
    <a:p>
      <a:pPr>
        <a:defRPr lang="zh-CN" sz="1000" b="0" i="0" u="none" strike="noStrike" baseline="0">
          <a:solidFill>
            <a:srgbClr val="000000"/>
          </a:solidFill>
          <a:latin typeface="Times New Roman" panose="02020603050405020304"/>
          <a:ea typeface="宋体" panose="02010600030101010101" charset="-122"/>
          <a:cs typeface="Arial" panose="020B0604020202020204" pitchFamily="2"/>
        </a:defRPr>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c:spPr>
      <c:tx>
        <c:rich>
          <a:bodyPr/>
          <a:lstStyle/>
          <a:p>
            <a:pPr>
              <a:defRPr/>
            </a:pPr>
          </a:p>
        </c:rich>
      </c:tx>
    </c:title>
    <c:autoTitleDeleted val="0"/>
    <c:plotArea>
      <c:layout/>
      <c:pieChart>
        <c:varyColors val="1"/>
        <c:ser>
          <c:idx val="0"/>
          <c:order val="0"/>
          <c:spPr>
            <a:solidFill>
              <a:srgbClr val="4F81BD"/>
            </a:solidFill>
            <a:ln>
              <a:noFill/>
            </a:ln>
          </c:spPr>
          <c:explosion val="0"/>
          <c:dPt>
            <c:idx val="0"/>
            <c:bubble3D val="0"/>
            <c:spPr>
              <a:solidFill>
                <a:srgbClr val="4F81BD"/>
              </a:solidFill>
              <a:ln w="19050">
                <a:solidFill>
                  <a:srgbClr val="FFFFFF"/>
                </a:solidFill>
                <a:prstDash val="solid"/>
              </a:ln>
            </c:spPr>
          </c:dPt>
          <c:dPt>
            <c:idx val="1"/>
            <c:bubble3D val="0"/>
            <c:spPr>
              <a:solidFill>
                <a:srgbClr val="C0504D"/>
              </a:solidFill>
              <a:ln w="19050">
                <a:solidFill>
                  <a:srgbClr val="FFFFFF"/>
                </a:solidFill>
                <a:prstDash val="solid"/>
              </a:ln>
            </c:spPr>
          </c:dPt>
          <c:dPt>
            <c:idx val="2"/>
            <c:bubble3D val="0"/>
            <c:spPr>
              <a:solidFill>
                <a:srgbClr val="9BBB59"/>
              </a:solidFill>
              <a:ln w="19050">
                <a:solidFill>
                  <a:srgbClr val="FFFFFF"/>
                </a:solidFill>
                <a:prstDash val="solid"/>
              </a:ln>
            </c:spPr>
          </c:dPt>
          <c:dLbls>
            <c:numFmt formatCode="General"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404040"/>
                    </a:solidFill>
                    <a:latin typeface="Times New Roman" panose="02020603050405020304"/>
                    <a:ea typeface="宋体" panose="02010600030101010101" charset="-122"/>
                    <a:cs typeface="Arial" panose="020B0604020202020204" pitchFamily="2"/>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ext>
            </c:extLst>
          </c:dLbls>
          <c:cat>
            <c:strRef>
              <c:f>{"社会保障和就业支出","住房保障支出","卫生健康支出"}</c:f>
              <c:strCache>
                <c:ptCount val="3"/>
                <c:pt idx="0">
                  <c:v>社会保障和就业支出</c:v>
                </c:pt>
                <c:pt idx="1">
                  <c:v>住房保障支出</c:v>
                </c:pt>
                <c:pt idx="2">
                  <c:v>卫生健康支出</c:v>
                </c:pt>
              </c:strCache>
            </c:strRef>
          </c:cat>
          <c:val>
            <c:numRef>
              <c:f>{51.03,31.29,464.74}</c:f>
              <c:numCache>
                <c:formatCode>General</c:formatCode>
                <c:ptCount val="3"/>
                <c:pt idx="0">
                  <c:v>51.03</c:v>
                </c:pt>
                <c:pt idx="1">
                  <c:v>31.29</c:v>
                </c:pt>
                <c:pt idx="2">
                  <c:v>464.74</c:v>
                </c:pt>
              </c:numCache>
            </c:numRef>
          </c:val>
        </c:ser>
        <c:dLbls>
          <c:showLegendKey val="0"/>
          <c:showVal val="1"/>
          <c:showCatName val="0"/>
          <c:showSerName val="0"/>
          <c:showPercent val="0"/>
          <c:showBubbleSize val="0"/>
          <c:showLeaderLines val="1"/>
        </c:dLbls>
        <c:firstSliceAng val="0"/>
      </c:pieChart>
      <c:spPr>
        <a:noFill/>
        <a:ln>
          <a:noFill/>
        </a:ln>
      </c:spPr>
    </c:plotArea>
    <c:legend>
      <c:legendPos val="b"/>
      <c:layout/>
      <c:overlay val="0"/>
      <c:spPr>
        <a:noFill/>
        <a:ln>
          <a:noFill/>
        </a:ln>
      </c:spPr>
      <c:txPr>
        <a:bodyPr rot="0" spcFirstLastPara="0" vertOverflow="ellipsis" vert="horz" wrap="square" anchor="ctr" anchorCtr="1"/>
        <a:lstStyle/>
        <a:p>
          <a:pPr>
            <a:defRPr lang="zh-CN" sz="900" b="0" i="0" u="none" strike="noStrike" kern="1200" baseline="0">
              <a:solidFill>
                <a:srgbClr val="595959"/>
              </a:solidFill>
              <a:latin typeface="Times New Roman" panose="02020603050405020304"/>
              <a:ea typeface="宋体" panose="02010600030101010101" charset="-122"/>
              <a:cs typeface="Arial" panose="020B0604020202020204" pitchFamily="2"/>
            </a:defRPr>
          </a:pPr>
        </a:p>
      </c:txPr>
    </c:legend>
    <c:plotVisOnly val="1"/>
    <c:dispBlanksAs val="gap"/>
    <c:showDLblsOverMax val="0"/>
  </c:chart>
  <c:spPr>
    <a:solidFill>
      <a:srgbClr val="FFFFFF"/>
    </a:solidFill>
    <a:ln w="12700" cap="flat" cmpd="sng" algn="ctr">
      <a:solidFill>
        <a:srgbClr val="D9D9D9"/>
      </a:solidFill>
      <a:prstDash val="solid"/>
      <a:round/>
    </a:ln>
  </c:spPr>
  <c:txPr>
    <a:bodyPr/>
    <a:lstStyle/>
    <a:p>
      <a:pPr>
        <a:defRPr lang="zh-CN" sz="1000" b="0" i="0" u="none" strike="noStrike" baseline="0">
          <a:solidFill>
            <a:srgbClr val="000000"/>
          </a:solidFill>
          <a:latin typeface="Times New Roman" panose="02020603050405020304"/>
          <a:ea typeface="宋体" panose="02010600030101010101" charset="-122"/>
          <a:cs typeface="Arial" panose="020B0604020202020204" pitchFamily="2"/>
        </a:defRPr>
      </a:pPr>
    </a:p>
  </c:txPr>
  <c:externalData r:id="rId1">
    <c:autoUpdate val="0"/>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WPS_1651227375</cp:lastModifiedBy>
  <cp:lastPrinted>2023-07-31T02:35:00Z</cp:lastPrinted>
  <dcterms:modified xsi:type="dcterms:W3CDTF">2024-07-26T04:35:31Z</dcterms:modified>
  <dc:title>四川省***</dc:title>
  <cp:revision>32</cp:revision>
</cp:coreProperties>
</file>

<file path=customXml/item3.xml><?xml version="1.0" encoding="utf-8"?>
<Properties xmlns="http://schemas.openxmlformats.org/officeDocument/2006/extended-properties" xmlns:vt="http://schemas.openxmlformats.org/officeDocument/2006/docPropsVTypes">
  <Template>Normal.eit</Template>
  <Company>四川省财政厅</Company>
  <Pages>20</Pages>
  <Words>5974</Words>
  <Characters>6713</Characters>
  <Lines>0</Lines>
  <Paragraphs>192</Paragraphs>
  <TotalTime>55</TotalTime>
  <ScaleCrop>false</ScaleCrop>
  <LinksUpToDate>false</LinksUpToDate>
  <CharactersWithSpaces>6956</CharactersWithSpaces>
  <Application>WPS Office_12.1.0.16412_F1E327BC-269C-435d-A152-05C5408002CA</Application>
</Properties>
</file>

<file path=customXml/item4.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418F7A5E08CC40FAB5C0D71647DCDCC9_13</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5e68d8-846c-40b9-bfdc-1ba58fee725f}">
  <ds:schemaRefs/>
</ds:datastoreItem>
</file>

<file path=customXml/itemProps3.xml><?xml version="1.0" encoding="utf-8"?>
<ds:datastoreItem xmlns:ds="http://schemas.openxmlformats.org/officeDocument/2006/customXml" ds:itemID="{10222536-c5b0-49eb-9f51-d58d34cf2986}">
  <ds:schemaRefs/>
</ds:datastoreItem>
</file>

<file path=customXml/itemProps4.xml><?xml version="1.0" encoding="utf-8"?>
<ds:datastoreItem xmlns:ds="http://schemas.openxmlformats.org/officeDocument/2006/customXml" ds:itemID="{ba85e91d-f9a4-4999-b51d-da54b48961c4}">
  <ds:schemaRefs/>
</ds:datastoreItem>
</file>

<file path=docProps/app.xml><?xml version="1.0" encoding="utf-8"?>
<Properties xmlns="http://schemas.openxmlformats.org/officeDocument/2006/extended-properties" xmlns:vt="http://schemas.openxmlformats.org/officeDocument/2006/docPropsVTypes">
  <Template>Normal.eit</Template>
  <Company>四川省财政厅</Company>
  <Pages>27</Pages>
  <Words>8945</Words>
  <Characters>9925</Characters>
  <Lines>0</Lines>
  <Paragraphs>192</Paragraphs>
  <TotalTime>2</TotalTime>
  <ScaleCrop>false</ScaleCrop>
  <LinksUpToDate>false</LinksUpToDate>
  <CharactersWithSpaces>10179</CharactersWithSpaces>
  <Application>WPS Office_12.1.0.17857_F1E327BC-269C-435d-A152-05C5408002CA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昭化融媒体</cp:lastModifiedBy>
  <cp:lastPrinted>2023-07-31T02:35:00Z</cp:lastPrinted>
  <dcterms:modified xsi:type="dcterms:W3CDTF">2024-08-27T01:07:50Z</dcterms:modified>
  <dc:title>四川省_x002A__x002A__x002A_</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418F7A5E08CC40FAB5C0D71647DCDCC9_13</vt:lpwstr>
  </property>
</Properties>
</file>