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3856"/>
      <w:bookmarkStart w:id="3" w:name="_Toc27746"/>
      <w:bookmarkStart w:id="4" w:name="_Toc15396597"/>
      <w:bookmarkStart w:id="5" w:name="_Toc15378441"/>
      <w:bookmarkStart w:id="6" w:name="_Toc15377425"/>
      <w:bookmarkStart w:id="7"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96476"/>
      <w:bookmarkStart w:id="9" w:name="_Toc15377426"/>
      <w:bookmarkStart w:id="10" w:name="_Toc15377194"/>
      <w:bookmarkStart w:id="11" w:name="_Toc11080"/>
      <w:bookmarkStart w:id="12" w:name="_Toc15396598"/>
      <w:bookmarkStart w:id="13" w:name="_Toc15378442"/>
      <w:bookmarkStart w:id="14" w:name="_Toc27082"/>
      <w:r>
        <w:rPr>
          <w:rFonts w:hint="eastAsia" w:ascii="方正小标宋简体" w:hAnsi="方正小标宋简体" w:eastAsia="方正小标宋简体" w:cs="方正小标宋简体"/>
          <w:color w:val="auto"/>
          <w:sz w:val="72"/>
          <w:szCs w:val="72"/>
          <w:highlight w:val="none"/>
        </w:rPr>
        <w:t>四川省</w:t>
      </w:r>
      <w:bookmarkEnd w:id="0"/>
      <w:bookmarkStart w:id="15" w:name="_Toc15306268"/>
      <w:r>
        <w:rPr>
          <w:rFonts w:hint="eastAsia" w:ascii="方正小标宋简体" w:hAnsi="方正小标宋简体" w:eastAsia="方正小标宋简体" w:cs="方正小标宋简体"/>
          <w:color w:val="auto"/>
          <w:sz w:val="72"/>
          <w:szCs w:val="72"/>
          <w:highlight w:val="none"/>
        </w:rPr>
        <w:t>广元市昭化区</w:t>
      </w:r>
      <w:r>
        <w:rPr>
          <w:rFonts w:hint="eastAsia" w:ascii="方正小标宋简体" w:hAnsi="方正小标宋简体" w:eastAsia="方正小标宋简体" w:cs="方正小标宋简体"/>
          <w:color w:val="auto"/>
          <w:sz w:val="72"/>
          <w:szCs w:val="72"/>
          <w:highlight w:val="none"/>
          <w:lang w:eastAsia="zh-CN"/>
        </w:rPr>
        <w:t>晋贤乡</w:t>
      </w:r>
      <w:r>
        <w:rPr>
          <w:rFonts w:hint="eastAsia" w:ascii="方正小标宋简体" w:hAnsi="方正小标宋简体" w:eastAsia="方正小标宋简体" w:cs="方正小标宋简体"/>
          <w:color w:val="auto"/>
          <w:sz w:val="72"/>
          <w:szCs w:val="72"/>
          <w:highlight w:val="none"/>
        </w:rPr>
        <w:t>卫生院</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2777"/>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"1-3" \h \u</w:instrText>
          </w:r>
          <w:r>
            <w:rPr>
              <w:rFonts w:hint="eastAsia" w:ascii="黑体" w:hAnsi="黑体" w:eastAsia="黑体"/>
              <w:b w:val="0"/>
              <w:color w:val="auto"/>
              <w:highlight w:val="none"/>
            </w:rPr>
            <w:fldChar w:fldCharType="separate"/>
          </w:r>
        </w:p>
        <w:p>
          <w:pPr>
            <w:pStyle w:val="33"/>
            <w:tabs>
              <w:tab w:val="right" w:leader="dot" w:pos="8306"/>
            </w:tabs>
          </w:pPr>
          <w:r>
            <w:fldChar w:fldCharType="begin"/>
          </w:r>
          <w:r>
            <w:instrText xml:space="preserve"> HYPERLINK \l "_Toc9083"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_Toc9083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"_Toc2377"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_Toc2377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"_Toc8903"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_Toc8903 \h </w:instrText>
          </w:r>
          <w:r>
            <w:fldChar w:fldCharType="separate"/>
          </w:r>
          <w:r>
            <w:t>2</w:t>
          </w:r>
          <w:r>
            <w:fldChar w:fldCharType="end"/>
          </w:r>
          <w:r>
            <w:fldChar w:fldCharType="end"/>
          </w:r>
        </w:p>
        <w:p>
          <w:pPr>
            <w:pStyle w:val="33"/>
            <w:tabs>
              <w:tab w:val="right" w:leader="dot" w:pos="8306"/>
            </w:tabs>
          </w:pPr>
          <w:r>
            <w:fldChar w:fldCharType="begin"/>
          </w:r>
          <w:r>
            <w:instrText xml:space="preserve"> HYPERLINK \l "_Toc23362" </w:instrText>
          </w:r>
          <w:r>
            <w:fldChar w:fldCharType="separate"/>
          </w:r>
          <w:r>
            <w:rPr>
              <w:rFonts w:hint="eastAsia" w:ascii="黑体" w:hAnsi="黑体" w:eastAsia="黑体" w:cstheme="minorBidi"/>
              <w:bCs/>
              <w:highlight w:val="none"/>
            </w:rPr>
            <w:t xml:space="preserve">第二部分 </w:t>
          </w:r>
          <w:r>
            <w:rPr>
              <w:rFonts w:hint="eastAsia" w:ascii="黑体" w:hAnsi="黑体" w:eastAsia="黑体" w:cstheme="minorBidi"/>
              <w:bCs/>
              <w:highlight w:val="none"/>
              <w:lang w:val="en-US" w:eastAsia="zh-CN"/>
            </w:rPr>
            <w:t>2022年度</w:t>
          </w:r>
          <w:r>
            <w:rPr>
              <w:rFonts w:hint="eastAsia" w:ascii="黑体" w:hAnsi="黑体" w:eastAsia="黑体" w:cstheme="minorBidi"/>
              <w:bCs/>
              <w:highlight w:val="none"/>
              <w:lang w:eastAsia="zh-CN"/>
            </w:rPr>
            <w:t>单位</w:t>
          </w:r>
          <w:r>
            <w:rPr>
              <w:rFonts w:hint="eastAsia" w:ascii="黑体" w:hAnsi="黑体" w:eastAsia="黑体" w:cstheme="minorBidi"/>
              <w:bCs/>
              <w:highlight w:val="none"/>
            </w:rPr>
            <w:t>决算情况说明</w:t>
          </w:r>
          <w:r>
            <w:tab/>
          </w:r>
          <w:r>
            <w:fldChar w:fldCharType="begin"/>
          </w:r>
          <w:r>
            <w:instrText xml:space="preserve"> PAGEREF _Toc23362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"_Toc3433"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_Toc3433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"_Toc5370"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_Toc5370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"_Toc27434"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_Toc27434 \h </w:instrText>
          </w:r>
          <w:r>
            <w:fldChar w:fldCharType="separate"/>
          </w:r>
          <w:r>
            <w:t>4</w:t>
          </w:r>
          <w:r>
            <w:fldChar w:fldCharType="end"/>
          </w:r>
          <w:r>
            <w:fldChar w:fldCharType="end"/>
          </w:r>
        </w:p>
        <w:p>
          <w:pPr>
            <w:pStyle w:val="34"/>
            <w:tabs>
              <w:tab w:val="right" w:leader="dot" w:pos="8306"/>
            </w:tabs>
          </w:pPr>
          <w:r>
            <w:fldChar w:fldCharType="begin"/>
          </w:r>
          <w:r>
            <w:instrText xml:space="preserve"> HYPERLINK \l "_Toc4604"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_Toc4604 \h </w:instrText>
          </w:r>
          <w:r>
            <w:fldChar w:fldCharType="separate"/>
          </w:r>
          <w:r>
            <w:t>4</w:t>
          </w:r>
          <w:r>
            <w:fldChar w:fldCharType="end"/>
          </w:r>
          <w:r>
            <w:fldChar w:fldCharType="end"/>
          </w:r>
        </w:p>
        <w:p>
          <w:pPr>
            <w:pStyle w:val="34"/>
            <w:tabs>
              <w:tab w:val="right" w:leader="dot" w:pos="8306"/>
            </w:tabs>
          </w:pPr>
          <w:r>
            <w:fldChar w:fldCharType="begin"/>
          </w:r>
          <w:r>
            <w:instrText xml:space="preserve"> HYPERLINK \l "_Toc4727"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_Toc4727 \h </w:instrText>
          </w:r>
          <w:r>
            <w:fldChar w:fldCharType="separate"/>
          </w:r>
          <w:r>
            <w:t>4</w:t>
          </w:r>
          <w:r>
            <w:fldChar w:fldCharType="end"/>
          </w:r>
          <w:r>
            <w:fldChar w:fldCharType="end"/>
          </w:r>
        </w:p>
        <w:p>
          <w:pPr>
            <w:pStyle w:val="34"/>
            <w:tabs>
              <w:tab w:val="right" w:leader="dot" w:pos="8306"/>
            </w:tabs>
            <w:ind w:left="0" w:leftChars="0" w:firstLine="400" w:firstLineChars="200"/>
          </w:pPr>
          <w:r>
            <w:fldChar w:fldCharType="begin"/>
          </w:r>
          <w:r>
            <w:instrText xml:space="preserve"> HYPERLINK \l "_Toc23171"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_Toc23171 \h </w:instrText>
          </w:r>
          <w:r>
            <w:fldChar w:fldCharType="separate"/>
          </w:r>
          <w:r>
            <w:t>6</w:t>
          </w:r>
          <w:r>
            <w:fldChar w:fldCharType="end"/>
          </w:r>
          <w:r>
            <w:fldChar w:fldCharType="end"/>
          </w:r>
        </w:p>
        <w:p>
          <w:pPr>
            <w:pStyle w:val="34"/>
            <w:tabs>
              <w:tab w:val="right" w:leader="dot" w:pos="8306"/>
            </w:tabs>
          </w:pPr>
          <w:r>
            <w:fldChar w:fldCharType="begin"/>
          </w:r>
          <w:r>
            <w:instrText xml:space="preserve"> HYPERLINK \l "_Toc15303"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_Toc15303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"_Toc8588"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_Toc8588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"_Toc19832"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_Toc19832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"_Toc5391"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_Toc5391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"_Toc29541"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_Toc29541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"_Toc13185"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_Toc13185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"_Toc12935"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_Toc12935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"_Toc13180"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_Toc13180 \h </w:instrText>
          </w:r>
          <w:r>
            <w:fldChar w:fldCharType="separate"/>
          </w:r>
          <w:r>
            <w:t>8</w:t>
          </w:r>
          <w:r>
            <w:fldChar w:fldCharType="end"/>
          </w:r>
          <w:r>
            <w:fldChar w:fldCharType="end"/>
          </w:r>
        </w:p>
        <w:p>
          <w:pPr>
            <w:pStyle w:val="33"/>
            <w:tabs>
              <w:tab w:val="right" w:leader="dot" w:pos="8306"/>
            </w:tabs>
          </w:pPr>
          <w:r>
            <w:fldChar w:fldCharType="begin"/>
          </w:r>
          <w:r>
            <w:instrText xml:space="preserve"> HYPERLINK \l "_Toc12997"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_Toc12997 \h </w:instrText>
          </w:r>
          <w:r>
            <w:fldChar w:fldCharType="separate"/>
          </w:r>
          <w:r>
            <w:t>9</w:t>
          </w:r>
          <w:r>
            <w:fldChar w:fldCharType="end"/>
          </w:r>
          <w:r>
            <w:fldChar w:fldCharType="end"/>
          </w:r>
        </w:p>
        <w:p>
          <w:pPr>
            <w:pStyle w:val="33"/>
            <w:tabs>
              <w:tab w:val="right" w:leader="dot" w:pos="8306"/>
            </w:tabs>
          </w:pPr>
          <w:r>
            <w:fldChar w:fldCharType="begin"/>
          </w:r>
          <w:r>
            <w:instrText xml:space="preserve"> HYPERLINK \l "_Toc24416"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_Toc24416 \h </w:instrText>
          </w:r>
          <w:r>
            <w:fldChar w:fldCharType="separate"/>
          </w:r>
          <w:r>
            <w:t>12</w:t>
          </w:r>
          <w:r>
            <w:fldChar w:fldCharType="end"/>
          </w:r>
          <w:r>
            <w:fldChar w:fldCharType="end"/>
          </w:r>
        </w:p>
        <w:p>
          <w:pPr>
            <w:pStyle w:val="33"/>
            <w:tabs>
              <w:tab w:val="right" w:leader="dot" w:pos="8306"/>
            </w:tabs>
          </w:pPr>
          <w:r>
            <w:fldChar w:fldCharType="begin"/>
          </w:r>
          <w:r>
            <w:instrText xml:space="preserve"> HYPERLINK \l "_Toc24677"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_Toc24677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"_Toc24444"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_Toc24444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"_Toc3108"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_Toc3108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"_Toc31831"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_Toc31831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"_Toc11628"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_Toc11628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"_Toc10386"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_Toc10386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"_Toc4510"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_Toc4510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"_Toc30189"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_Toc30189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"_Toc7641"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_Toc7641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"_Toc19967"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_Toc19967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"_Toc4730"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_Toc4730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"_Toc8242"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_Toc8242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"_Toc6084"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_Toc6084 \h </w:instrText>
          </w:r>
          <w:r>
            <w:fldChar w:fldCharType="separate"/>
          </w:r>
          <w:r>
            <w:t>12</w:t>
          </w:r>
          <w:r>
            <w:fldChar w:fldCharType="end"/>
          </w:r>
          <w:r>
            <w:fldChar w:fldCharType="end"/>
          </w:r>
        </w:p>
        <w:p>
          <w:pPr>
            <w:pStyle w:val="34"/>
            <w:tabs>
              <w:tab w:val="right" w:leader="dot" w:pos="8306"/>
            </w:tabs>
          </w:pPr>
          <w:r>
            <w:fldChar w:fldCharType="begin"/>
          </w:r>
          <w:r>
            <w:instrText xml:space="preserve"> HYPERLINK \l "_Toc30794"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_Toc30794 \h </w:instrText>
          </w:r>
          <w:r>
            <w:fldChar w:fldCharType="separate"/>
          </w:r>
          <w:r>
            <w:t>12</w:t>
          </w:r>
          <w:r>
            <w:fldChar w:fldCharType="end"/>
          </w:r>
          <w:r>
            <w:fldChar w:fldCharType="end"/>
          </w:r>
        </w:p>
        <w:p>
          <w:pPr>
            <w:pStyle w:val="3"/>
            <w:jc w:val="both"/>
            <w:outlineLvl w:val="9"/>
            <w:rPr>
              <w:rFonts w:hint="eastAsia" w:ascii="黑体" w:hAnsi="黑体" w:eastAsia="黑体"/>
              <w:b w:val="0"/>
              <w:color w:val="auto"/>
              <w:highlight w:val="none"/>
            </w:r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r>
            <w:rPr>
              <w:rFonts w:hint="eastAsia" w:ascii="黑体" w:hAnsi="黑体" w:eastAsia="黑体"/>
              <w:color w:val="auto"/>
              <w:highlight w:val="none"/>
            </w:rPr>
            <w:fldChar w:fldCharType="end"/>
          </w:r>
        </w:p>
      </w:sdtContent>
    </w:sdt>
    <w:p>
      <w:pPr>
        <w:pStyle w:val="3"/>
        <w:jc w:val="center"/>
        <w:rPr>
          <w:rFonts w:ascii="黑体" w:eastAsia="黑体"/>
          <w:color w:val="auto"/>
          <w:sz w:val="32"/>
          <w:szCs w:val="32"/>
          <w:highlight w:val="none"/>
        </w:rPr>
      </w:pPr>
      <w:bookmarkStart w:id="16" w:name="_Toc908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7"/>
          <w:rFonts w:hint="eastAsia" w:ascii="黑体" w:hAnsi="黑体" w:eastAsia="黑体"/>
          <w:b w:val="0"/>
          <w:bCs w:val="0"/>
          <w:color w:val="auto"/>
          <w:highlight w:val="none"/>
        </w:rPr>
        <w:t>概况</w:t>
      </w:r>
      <w:bookmarkEnd w:id="16"/>
    </w:p>
    <w:p>
      <w:pPr>
        <w:ind w:firstLine="640" w:firstLineChars="200"/>
        <w:rPr>
          <w:rFonts w:hint="eastAsia" w:ascii="黑体" w:hAnsi="黑体" w:eastAsia="黑体" w:cs="黑体"/>
          <w:sz w:val="32"/>
          <w:szCs w:val="32"/>
          <w:lang w:eastAsia="zh-CN"/>
        </w:rPr>
      </w:pPr>
      <w:bookmarkStart w:id="17" w:name="_Toc2377"/>
      <w:bookmarkStart w:id="18" w:name="_Toc15396600"/>
      <w:bookmarkStart w:id="19" w:name="_Toc15377197"/>
      <w:r>
        <w:rPr>
          <w:rFonts w:hint="eastAsia" w:ascii="黑体" w:hAnsi="黑体" w:eastAsia="黑体" w:cs="黑体"/>
          <w:sz w:val="32"/>
          <w:szCs w:val="32"/>
          <w:lang w:eastAsia="zh-CN"/>
        </w:rPr>
        <w:t>一、主要职责</w:t>
      </w:r>
      <w:bookmarkEnd w:id="17"/>
    </w:p>
    <w:p>
      <w:pPr>
        <w:spacing w:line="600" w:lineRule="exact"/>
        <w:ind w:firstLine="640" w:firstLineChars="200"/>
        <w:rPr>
          <w:rFonts w:hint="eastAsia" w:ascii="仿宋" w:hAnsi="仿宋" w:eastAsia="仿宋" w:cs="仿宋"/>
          <w:color w:val="auto"/>
          <w:sz w:val="32"/>
          <w:szCs w:val="32"/>
          <w:lang w:val="en-US" w:eastAsia="zh-CN"/>
        </w:rPr>
      </w:pPr>
      <w:bookmarkStart w:id="20" w:name="_Toc11372"/>
      <w:r>
        <w:rPr>
          <w:rFonts w:hint="eastAsia" w:ascii="仿宋" w:hAnsi="仿宋" w:eastAsia="仿宋" w:cs="仿宋"/>
          <w:color w:val="auto"/>
          <w:sz w:val="32"/>
          <w:szCs w:val="32"/>
          <w:lang w:val="en-US" w:eastAsia="zh-CN"/>
        </w:rPr>
        <w:t>（一）基本公共卫生服务方面</w:t>
      </w:r>
      <w:bookmarkEnd w:id="20"/>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spacing w:line="600" w:lineRule="exact"/>
        <w:ind w:firstLine="640" w:firstLineChars="200"/>
        <w:outlineLvl w:val="2"/>
        <w:rPr>
          <w:rFonts w:hint="eastAsia" w:ascii="仿宋" w:hAnsi="仿宋" w:eastAsia="仿宋" w:cs="仿宋"/>
          <w:color w:val="auto"/>
          <w:sz w:val="32"/>
          <w:szCs w:val="32"/>
          <w:lang w:val="en-US" w:eastAsia="zh-CN"/>
        </w:rPr>
      </w:pPr>
      <w:bookmarkStart w:id="21" w:name="_Toc24018"/>
      <w:r>
        <w:rPr>
          <w:rFonts w:hint="eastAsia" w:ascii="仿宋" w:hAnsi="仿宋" w:eastAsia="仿宋" w:cs="仿宋"/>
          <w:color w:val="auto"/>
          <w:sz w:val="32"/>
          <w:szCs w:val="32"/>
          <w:lang w:val="en-US" w:eastAsia="zh-CN"/>
        </w:rPr>
        <w:t>（二）基本医疗服务方面</w:t>
      </w:r>
      <w:bookmarkEnd w:id="21"/>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正确处理常见病，多发病，对疑难杂症进行恰当的处理与转诊；加强急诊救护体系建设，承担乡村现场应急救护，转诊和康复服务；认真执行国家基本药物制度，加强医疗质量管理及院感防控。</w:t>
      </w:r>
    </w:p>
    <w:p>
      <w:pPr>
        <w:spacing w:line="600" w:lineRule="exact"/>
        <w:ind w:firstLine="640" w:firstLineChars="200"/>
        <w:outlineLvl w:val="2"/>
        <w:rPr>
          <w:rFonts w:hint="eastAsia" w:ascii="仿宋" w:hAnsi="仿宋" w:eastAsia="仿宋" w:cs="仿宋"/>
          <w:color w:val="auto"/>
          <w:sz w:val="32"/>
          <w:szCs w:val="32"/>
          <w:lang w:val="en-US" w:eastAsia="zh-CN"/>
        </w:rPr>
      </w:pPr>
      <w:bookmarkStart w:id="22" w:name="_Toc28646"/>
      <w:r>
        <w:rPr>
          <w:rFonts w:hint="eastAsia" w:ascii="仿宋" w:hAnsi="仿宋" w:eastAsia="仿宋" w:cs="仿宋"/>
          <w:color w:val="auto"/>
          <w:sz w:val="32"/>
          <w:szCs w:val="32"/>
          <w:lang w:val="en-US" w:eastAsia="zh-CN"/>
        </w:rPr>
        <w:t>（三）基本管理服务</w:t>
      </w:r>
      <w:bookmarkEnd w:id="22"/>
    </w:p>
    <w:p>
      <w:pPr>
        <w:spacing w:line="600" w:lineRule="exact"/>
        <w:ind w:firstLine="640" w:firstLineChars="200"/>
        <w:rPr>
          <w:rFonts w:hint="eastAsia"/>
          <w:lang w:eastAsia="zh-CN"/>
        </w:rPr>
      </w:pPr>
      <w:r>
        <w:rPr>
          <w:rFonts w:hint="eastAsia" w:ascii="仿宋" w:hAnsi="仿宋" w:eastAsia="仿宋" w:cs="仿宋"/>
          <w:color w:val="auto"/>
          <w:sz w:val="32"/>
          <w:szCs w:val="32"/>
          <w:lang w:val="en-US"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工作。落实健康扶贫相关政策。</w:t>
      </w:r>
    </w:p>
    <w:p>
      <w:pPr>
        <w:pStyle w:val="4"/>
        <w:numPr>
          <w:ilvl w:val="0"/>
          <w:numId w:val="0"/>
        </w:numPr>
        <w:spacing w:after="0" w:afterAutospacing="0"/>
        <w:ind w:leftChars="0" w:firstLine="640" w:firstLineChars="200"/>
        <w:rPr>
          <w:rFonts w:hint="eastAsia" w:ascii="黑体" w:hAnsi="黑体" w:eastAsia="黑体"/>
          <w:b w:val="0"/>
          <w:color w:val="auto"/>
          <w:highlight w:val="none"/>
          <w:lang w:val="en-US" w:eastAsia="zh-CN"/>
        </w:rPr>
      </w:pPr>
      <w:bookmarkStart w:id="23" w:name="_Toc8903"/>
      <w:r>
        <w:rPr>
          <w:rFonts w:hint="eastAsia" w:ascii="黑体" w:hAnsi="黑体" w:eastAsia="黑体"/>
          <w:b w:val="0"/>
          <w:color w:val="auto"/>
          <w:highlight w:val="none"/>
          <w:lang w:val="en-US" w:eastAsia="zh-CN"/>
        </w:rPr>
        <w:t>二、机构设置</w:t>
      </w:r>
      <w:bookmarkEnd w:id="23"/>
    </w:p>
    <w:p>
      <w:pPr>
        <w:pStyle w:val="3"/>
        <w:pageBreakBefore w:val="0"/>
        <w:wordWrap/>
        <w:overflowPunct/>
        <w:topLinePunct w:val="0"/>
        <w:bidi w:val="0"/>
        <w:spacing w:before="0" w:beforeAutospacing="0" w:after="263" w:afterAutospacing="0" w:line="580" w:lineRule="exact"/>
        <w:ind w:right="0" w:rightChars="0" w:firstLine="640" w:firstLineChars="200"/>
        <w:jc w:val="left"/>
        <w:rPr>
          <w:rFonts w:hint="eastAsia" w:ascii="仿宋" w:hAnsi="仿宋" w:eastAsia="仿宋"/>
          <w:b w:val="0"/>
          <w:bCs w:val="0"/>
          <w:color w:val="auto"/>
          <w:sz w:val="32"/>
          <w:szCs w:val="32"/>
          <w:highlight w:val="none"/>
          <w:lang w:eastAsia="zh-CN"/>
        </w:rPr>
      </w:pPr>
      <w:bookmarkStart w:id="24" w:name="_Toc23709"/>
      <w:bookmarkStart w:id="25" w:name="_Toc26672"/>
      <w:bookmarkStart w:id="26" w:name="_Toc24467"/>
      <w:bookmarkStart w:id="27" w:name="_Toc31484"/>
      <w:r>
        <w:rPr>
          <w:rFonts w:hint="eastAsia" w:ascii="仿宋" w:hAnsi="仿宋" w:eastAsia="仿宋"/>
          <w:b w:val="0"/>
          <w:bCs w:val="0"/>
          <w:color w:val="auto"/>
          <w:sz w:val="32"/>
          <w:szCs w:val="32"/>
          <w:highlight w:val="none"/>
          <w:lang w:eastAsia="zh-CN"/>
        </w:rPr>
        <w:t>晋贤卫生院属于主管部门下属单位，属于二级预算单位，无下属机构。</w:t>
      </w:r>
      <w:bookmarkEnd w:id="24"/>
      <w:bookmarkEnd w:id="25"/>
      <w:bookmarkEnd w:id="26"/>
      <w:bookmarkEnd w:id="27"/>
    </w:p>
    <w:bookmarkEnd w:id="18"/>
    <w:bookmarkEnd w:id="19"/>
    <w:p>
      <w:pPr>
        <w:numPr>
          <w:ilvl w:val="0"/>
          <w:numId w:val="0"/>
        </w:numPr>
        <w:ind w:leftChars="0"/>
        <w:rPr>
          <w:rFonts w:hint="eastAsia"/>
          <w:lang w:val="en-US" w:eastAsia="zh-CN"/>
        </w:rPr>
      </w:pPr>
    </w:p>
    <w:p>
      <w:pPr>
        <w:widowControl/>
        <w:jc w:val="center"/>
        <w:outlineLvl w:val="0"/>
        <w:rPr>
          <w:rStyle w:val="27"/>
          <w:rFonts w:hint="eastAsia" w:ascii="黑体" w:hAnsi="黑体" w:eastAsia="黑体" w:cstheme="minorBidi"/>
          <w:b w:val="0"/>
          <w:bCs/>
          <w:color w:val="auto"/>
          <w:highlight w:val="none"/>
        </w:rPr>
      </w:pPr>
      <w:bookmarkStart w:id="28" w:name="_Toc15396602"/>
      <w:bookmarkStart w:id="29" w:name="_Toc23362"/>
      <w:bookmarkStart w:id="30" w:name="_Toc15377204"/>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widowControl/>
        <w:jc w:val="center"/>
        <w:outlineLvl w:val="0"/>
        <w:rPr>
          <w:rStyle w:val="27"/>
          <w:rFonts w:hint="eastAsia" w:ascii="黑体" w:hAnsi="黑体" w:eastAsia="黑体" w:cstheme="minorBidi"/>
          <w:b w:val="0"/>
          <w:bCs/>
          <w:color w:val="auto"/>
          <w:highlight w:val="none"/>
        </w:rPr>
      </w:pPr>
    </w:p>
    <w:p>
      <w:pPr>
        <w:pStyle w:val="2"/>
        <w:rPr>
          <w:rFonts w:hint="eastAsia"/>
        </w:rPr>
      </w:pPr>
    </w:p>
    <w:p>
      <w:pPr>
        <w:widowControl/>
        <w:jc w:val="center"/>
        <w:outlineLvl w:val="0"/>
        <w:rPr>
          <w:rStyle w:val="27"/>
          <w:rFonts w:hint="eastAsia" w:ascii="黑体" w:hAnsi="黑体" w:eastAsia="黑体" w:cstheme="minorBidi"/>
          <w:b w:val="0"/>
          <w:bCs/>
          <w:color w:val="auto"/>
          <w:highlight w:val="none"/>
        </w:rPr>
      </w:pPr>
      <w:r>
        <w:rPr>
          <w:rStyle w:val="27"/>
          <w:rFonts w:hint="eastAsia" w:ascii="黑体" w:hAnsi="黑体" w:eastAsia="黑体" w:cstheme="minorBidi"/>
          <w:b w:val="0"/>
          <w:bCs/>
          <w:color w:val="auto"/>
          <w:highlight w:val="none"/>
        </w:rPr>
        <w:t xml:space="preserve">第二部分 </w:t>
      </w:r>
      <w:r>
        <w:rPr>
          <w:rStyle w:val="27"/>
          <w:rFonts w:hint="eastAsia" w:ascii="黑体" w:hAnsi="黑体" w:eastAsia="黑体" w:cstheme="minorBidi"/>
          <w:b w:val="0"/>
          <w:bCs/>
          <w:color w:val="auto"/>
          <w:highlight w:val="none"/>
          <w:lang w:val="en-US" w:eastAsia="zh-CN"/>
        </w:rPr>
        <w:t>2022年度</w:t>
      </w:r>
      <w:r>
        <w:rPr>
          <w:rStyle w:val="27"/>
          <w:rFonts w:hint="eastAsia" w:ascii="黑体" w:hAnsi="黑体" w:eastAsia="黑体" w:cstheme="minorBidi"/>
          <w:b w:val="0"/>
          <w:bCs/>
          <w:color w:val="auto"/>
          <w:highlight w:val="none"/>
          <w:lang w:eastAsia="zh-CN"/>
        </w:rPr>
        <w:t>单位</w:t>
      </w:r>
      <w:r>
        <w:rPr>
          <w:rStyle w:val="27"/>
          <w:rFonts w:hint="eastAsia" w:ascii="黑体" w:hAnsi="黑体" w:eastAsia="黑体" w:cstheme="minorBidi"/>
          <w:b w:val="0"/>
          <w:bCs/>
          <w:color w:val="auto"/>
          <w:highlight w:val="none"/>
        </w:rPr>
        <w:t>决算情况说明</w:t>
      </w:r>
      <w:bookmarkEnd w:id="28"/>
      <w:bookmarkEnd w:id="29"/>
      <w:bookmarkEnd w:id="30"/>
    </w:p>
    <w:p>
      <w:pPr>
        <w:rPr>
          <w:color w:val="auto"/>
          <w:highlight w:val="none"/>
        </w:rPr>
      </w:pPr>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31" w:name="_Toc3433"/>
      <w:bookmarkStart w:id="32" w:name="_Toc15396603"/>
      <w:bookmarkStart w:id="33" w:name="_Toc15377205"/>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入支出决算总体情况说明</w:t>
      </w:r>
      <w:bookmarkEnd w:id="31"/>
      <w:bookmarkEnd w:id="32"/>
      <w:bookmarkEnd w:id="33"/>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年度收、支总计130.77万元。与20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56.93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30.33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收入减少，人员经费减少。</w:t>
      </w:r>
    </w:p>
    <w:p>
      <w:pPr>
        <w:pStyle w:val="2"/>
        <w:rPr>
          <w:rFonts w:hint="eastAsia"/>
          <w:lang w:eastAsia="zh-CN"/>
        </w:rPr>
      </w:pPr>
    </w:p>
    <w:p>
      <w:pPr>
        <w:pStyle w:val="2"/>
      </w:pPr>
      <w:r>
        <w:drawing>
          <wp:anchor distT="0" distB="0" distL="114300" distR="114300" simplePos="0" relativeHeight="251659264" behindDoc="1" locked="0" layoutInCell="1" allowOverlap="1">
            <wp:simplePos x="0" y="0"/>
            <wp:positionH relativeFrom="column">
              <wp:posOffset>728345</wp:posOffset>
            </wp:positionH>
            <wp:positionV relativeFrom="paragraph">
              <wp:posOffset>31750</wp:posOffset>
            </wp:positionV>
            <wp:extent cx="4043680" cy="1901190"/>
            <wp:effectExtent l="4445" t="4445" r="9525" b="18415"/>
            <wp:wrapTight wrapText="bothSides">
              <wp:wrapPolygon>
                <wp:start x="-24" y="-51"/>
                <wp:lineTo x="-24" y="21376"/>
                <wp:lineTo x="21549" y="21376"/>
                <wp:lineTo x="21549" y="-51"/>
                <wp:lineTo x="-24" y="-51"/>
              </wp:wrapPolygon>
            </wp:wrapTight>
            <wp:docPr id="209"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pStyle w:val="2"/>
        <w:ind w:firstLine="640" w:firstLineChars="200"/>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34" w:name="_Toc15396604"/>
      <w:bookmarkStart w:id="35" w:name="_Toc5370"/>
      <w:bookmarkStart w:id="36" w:name="_Toc15377206"/>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入决算情况说明</w:t>
      </w:r>
      <w:bookmarkEnd w:id="34"/>
      <w:bookmarkEnd w:id="35"/>
      <w:bookmarkEnd w:id="36"/>
    </w:p>
    <w:p>
      <w:pPr>
        <w:spacing w:line="600" w:lineRule="exact"/>
        <w:ind w:firstLine="640" w:firstLineChars="200"/>
        <w:outlineLvl w:val="1"/>
        <w:rPr>
          <w:rFonts w:ascii="仿宋" w:hAnsi="仿宋" w:eastAsia="仿宋"/>
          <w:color w:val="auto"/>
          <w:sz w:val="32"/>
          <w:szCs w:val="32"/>
          <w:highlight w:val="none"/>
        </w:rPr>
      </w:pPr>
      <w:bookmarkStart w:id="37" w:name="_Toc17321"/>
      <w:bookmarkStart w:id="38" w:name="_Toc804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年本年收入合计130.77万元，其中：一般公共预算财政拨款收入82.13万元，占</w:t>
      </w:r>
      <w:r>
        <w:rPr>
          <w:rFonts w:hint="eastAsia" w:ascii="仿宋" w:hAnsi="仿宋" w:eastAsia="仿宋"/>
          <w:color w:val="auto"/>
          <w:sz w:val="32"/>
          <w:szCs w:val="32"/>
          <w:highlight w:val="none"/>
          <w:lang w:val="en-US" w:eastAsia="zh-CN"/>
        </w:rPr>
        <w:t>62.8</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；事业收入48.64万元，占</w:t>
      </w:r>
      <w:r>
        <w:rPr>
          <w:rFonts w:hint="eastAsia" w:ascii="仿宋" w:hAnsi="仿宋" w:eastAsia="仿宋"/>
          <w:color w:val="auto"/>
          <w:sz w:val="32"/>
          <w:szCs w:val="32"/>
          <w:highlight w:val="none"/>
          <w:lang w:val="en-US" w:eastAsia="zh-CN"/>
        </w:rPr>
        <w:t>37.2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7"/>
      <w:bookmarkEnd w:id="38"/>
    </w:p>
    <w:p>
      <w:pPr>
        <w:spacing w:line="600" w:lineRule="exact"/>
      </w:pPr>
      <w:r>
        <w:drawing>
          <wp:anchor distT="0" distB="0" distL="114300" distR="114300" simplePos="0" relativeHeight="251660288" behindDoc="1" locked="0" layoutInCell="1" allowOverlap="1">
            <wp:simplePos x="0" y="0"/>
            <wp:positionH relativeFrom="column">
              <wp:posOffset>594995</wp:posOffset>
            </wp:positionH>
            <wp:positionV relativeFrom="paragraph">
              <wp:posOffset>337820</wp:posOffset>
            </wp:positionV>
            <wp:extent cx="4016375" cy="1624330"/>
            <wp:effectExtent l="4445" t="5080" r="74930" b="46990"/>
            <wp:wrapTight wrapText="bothSides">
              <wp:wrapPolygon>
                <wp:start x="-24" y="-68"/>
                <wp:lineTo x="-24" y="21465"/>
                <wp:lineTo x="21491" y="21465"/>
                <wp:lineTo x="21491" y="-68"/>
                <wp:lineTo x="-24" y="-68"/>
              </wp:wrapPolygon>
            </wp:wrapTight>
            <wp:docPr id="210"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pPr>
    </w:p>
    <w:p>
      <w:pPr>
        <w:spacing w:line="600" w:lineRule="exact"/>
      </w:pPr>
    </w:p>
    <w:p>
      <w:pPr>
        <w:spacing w:line="600" w:lineRule="exact"/>
      </w:pPr>
    </w:p>
    <w:p>
      <w:pPr>
        <w:spacing w:line="600" w:lineRule="exact"/>
      </w:pPr>
    </w:p>
    <w:p>
      <w:pPr>
        <w:spacing w:line="600" w:lineRule="exact"/>
        <w:jc w:val="center"/>
      </w:pPr>
      <w:r>
        <w:rPr>
          <w:rFonts w:hint="eastAsia" w:ascii="仿宋" w:eastAsia="仿宋"/>
          <w:color w:val="auto"/>
          <w:sz w:val="32"/>
          <w:szCs w:val="32"/>
          <w:highlight w:val="none"/>
        </w:rPr>
        <w:t>（图2：收入决算结构图）（饼状图）</w:t>
      </w:r>
    </w:p>
    <w:p>
      <w:pPr>
        <w:spacing w:line="600" w:lineRule="exact"/>
        <w:rPr>
          <w:rFonts w:ascii="仿宋_GB2312" w:eastAsia="仿宋_GB2312"/>
          <w:color w:val="auto"/>
          <w:sz w:val="32"/>
          <w:szCs w:val="32"/>
          <w:highlight w:val="none"/>
        </w:rPr>
      </w:pPr>
    </w:p>
    <w:p>
      <w:pPr>
        <w:pStyle w:val="2"/>
      </w:pPr>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39" w:name="_Toc15396605"/>
      <w:bookmarkStart w:id="40" w:name="_Toc15377207"/>
      <w:bookmarkStart w:id="41" w:name="_Toc27434"/>
      <w:r>
        <w:rPr>
          <w:rFonts w:hint="eastAsia" w:ascii="黑体" w:hAnsi="黑体" w:eastAsia="黑体"/>
          <w:color w:val="auto"/>
          <w:sz w:val="32"/>
          <w:szCs w:val="32"/>
          <w:highlight w:val="none"/>
        </w:rPr>
        <w:t>支</w:t>
      </w:r>
      <w:r>
        <w:rPr>
          <w:rStyle w:val="28"/>
          <w:rFonts w:hint="eastAsia" w:ascii="黑体" w:hAnsi="黑体" w:eastAsia="黑体"/>
          <w:b w:val="0"/>
          <w:color w:val="auto"/>
          <w:highlight w:val="none"/>
        </w:rPr>
        <w:t>出决算情况说明</w:t>
      </w:r>
      <w:bookmarkEnd w:id="39"/>
      <w:bookmarkEnd w:id="40"/>
      <w:bookmarkEnd w:id="41"/>
    </w:p>
    <w:p>
      <w:pPr>
        <w:spacing w:line="600" w:lineRule="exact"/>
        <w:ind w:firstLine="640" w:firstLineChars="200"/>
        <w:outlineLvl w:val="1"/>
        <w:rPr>
          <w:rFonts w:ascii="仿宋" w:hAnsi="仿宋" w:eastAsia="仿宋"/>
          <w:color w:val="auto"/>
          <w:sz w:val="32"/>
          <w:szCs w:val="32"/>
          <w:highlight w:val="none"/>
        </w:rPr>
      </w:pPr>
      <w:bookmarkStart w:id="42" w:name="_Toc7022"/>
      <w:bookmarkStart w:id="43" w:name="_Toc34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年本年支出合计130.77万元，其中：基本支出130.77万元，占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2"/>
      <w:bookmarkEnd w:id="43"/>
    </w:p>
    <w:p>
      <w:pPr>
        <w:spacing w:line="600" w:lineRule="exact"/>
      </w:pPr>
      <w:r>
        <w:drawing>
          <wp:anchor distT="0" distB="0" distL="114300" distR="114300" simplePos="0" relativeHeight="251661312" behindDoc="1" locked="0" layoutInCell="1" allowOverlap="1">
            <wp:simplePos x="0" y="0"/>
            <wp:positionH relativeFrom="column">
              <wp:posOffset>623570</wp:posOffset>
            </wp:positionH>
            <wp:positionV relativeFrom="paragraph">
              <wp:posOffset>309245</wp:posOffset>
            </wp:positionV>
            <wp:extent cx="4196080" cy="1894205"/>
            <wp:effectExtent l="4445" t="4445" r="9525" b="6350"/>
            <wp:wrapTight wrapText="bothSides">
              <wp:wrapPolygon>
                <wp:start x="-23" y="-51"/>
                <wp:lineTo x="-23" y="21455"/>
                <wp:lineTo x="21551" y="21455"/>
                <wp:lineTo x="21551" y="-51"/>
                <wp:lineTo x="-23" y="-51"/>
              </wp:wrapPolygon>
            </wp:wrapTight>
            <wp:docPr id="211"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640" w:firstLineChars="200"/>
        <w:rPr>
          <w:rFonts w:ascii="仿宋" w:hAnsi="仿宋" w:eastAsia="仿宋"/>
          <w:color w:val="auto"/>
          <w:sz w:val="32"/>
          <w:szCs w:val="32"/>
          <w:highlight w:val="none"/>
        </w:rPr>
      </w:pPr>
    </w:p>
    <w:p>
      <w:pPr>
        <w:spacing w:line="600" w:lineRule="exact"/>
        <w:jc w:val="center"/>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8"/>
          <w:rFonts w:ascii="黑体" w:hAnsi="黑体" w:eastAsia="黑体"/>
          <w:b w:val="0"/>
          <w:color w:val="auto"/>
          <w:highlight w:val="none"/>
        </w:rPr>
      </w:pPr>
      <w:bookmarkStart w:id="44" w:name="_Toc4604"/>
      <w:bookmarkStart w:id="45" w:name="_Toc15377208"/>
      <w:bookmarkStart w:id="46" w:name="_Toc15396606"/>
      <w:r>
        <w:rPr>
          <w:rFonts w:hint="eastAsia" w:ascii="黑体" w:hAnsi="黑体" w:eastAsia="黑体"/>
          <w:color w:val="auto"/>
          <w:sz w:val="32"/>
          <w:szCs w:val="32"/>
          <w:highlight w:val="none"/>
        </w:rPr>
        <w:t>四、财</w:t>
      </w:r>
      <w:r>
        <w:rPr>
          <w:rStyle w:val="28"/>
          <w:rFonts w:hint="eastAsia" w:ascii="黑体" w:hAnsi="黑体" w:eastAsia="黑体"/>
          <w:b w:val="0"/>
          <w:color w:val="auto"/>
          <w:highlight w:val="none"/>
        </w:rPr>
        <w:t>政拨款收入支出决算总体情况说明</w:t>
      </w:r>
      <w:bookmarkEnd w:id="44"/>
      <w:bookmarkEnd w:id="45"/>
      <w:bookmarkEnd w:id="46"/>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年财政拨款收、支总计82.13万元。与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50.93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38.28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人员经费减少。</w:t>
      </w:r>
    </w:p>
    <w:p>
      <w:pPr>
        <w:spacing w:line="600" w:lineRule="exact"/>
        <w:rPr>
          <w:rFonts w:ascii="仿宋" w:hAnsi="仿宋" w:eastAsia="仿宋"/>
          <w:color w:val="auto"/>
          <w:sz w:val="32"/>
          <w:szCs w:val="32"/>
          <w:highlight w:val="none"/>
        </w:rPr>
      </w:pPr>
    </w:p>
    <w:p>
      <w:pPr>
        <w:spacing w:line="600" w:lineRule="exact"/>
        <w:ind w:firstLine="420" w:firstLineChars="200"/>
      </w:pPr>
      <w:r>
        <w:drawing>
          <wp:anchor distT="0" distB="0" distL="114300" distR="114300" simplePos="0" relativeHeight="251662336" behindDoc="1" locked="0" layoutInCell="1" allowOverlap="1">
            <wp:simplePos x="0" y="0"/>
            <wp:positionH relativeFrom="column">
              <wp:posOffset>680720</wp:posOffset>
            </wp:positionH>
            <wp:positionV relativeFrom="paragraph">
              <wp:posOffset>52070</wp:posOffset>
            </wp:positionV>
            <wp:extent cx="3951605" cy="1741170"/>
            <wp:effectExtent l="4445" t="4445" r="6350" b="6985"/>
            <wp:wrapTight wrapText="bothSides">
              <wp:wrapPolygon>
                <wp:start x="-24" y="-55"/>
                <wp:lineTo x="-24" y="21450"/>
                <wp:lineTo x="21531" y="21450"/>
                <wp:lineTo x="21531" y="-55"/>
                <wp:lineTo x="-24" y="-55"/>
              </wp:wrapPolygon>
            </wp:wrapTight>
            <wp:docPr id="212"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pPr>
    </w:p>
    <w:p>
      <w:pPr>
        <w:spacing w:line="600" w:lineRule="exact"/>
        <w:ind w:firstLine="420" w:firstLineChars="200"/>
      </w:pPr>
    </w:p>
    <w:p>
      <w:pPr>
        <w:spacing w:line="600" w:lineRule="exact"/>
        <w:rPr>
          <w:rFonts w:ascii="仿宋" w:hAnsi="仿宋" w:eastAsia="仿宋"/>
          <w:b/>
          <w:color w:val="auto"/>
          <w:sz w:val="32"/>
          <w:szCs w:val="32"/>
          <w:highlight w:val="none"/>
        </w:rPr>
      </w:pPr>
    </w:p>
    <w:p>
      <w:pPr>
        <w:spacing w:line="600" w:lineRule="exact"/>
        <w:ind w:firstLine="640" w:firstLineChars="200"/>
        <w:outlineLvl w:val="1"/>
        <w:rPr>
          <w:rFonts w:hint="eastAsia" w:ascii="黑体" w:hAnsi="黑体" w:eastAsia="黑体"/>
          <w:color w:val="auto"/>
          <w:sz w:val="32"/>
          <w:szCs w:val="32"/>
          <w:highlight w:val="none"/>
        </w:rPr>
      </w:pPr>
      <w:bookmarkStart w:id="47" w:name="_Toc15396607"/>
      <w:bookmarkStart w:id="48" w:name="_Toc15377209"/>
      <w:bookmarkStart w:id="49" w:name="_Toc4727"/>
    </w:p>
    <w:p>
      <w:pPr>
        <w:spacing w:line="600" w:lineRule="exact"/>
        <w:ind w:firstLine="640" w:firstLineChars="200"/>
        <w:outlineLvl w:val="1"/>
        <w:rPr>
          <w:rFonts w:hint="eastAsia" w:ascii="黑体" w:hAnsi="黑体" w:eastAsia="黑体"/>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8"/>
          <w:rFonts w:ascii="黑体" w:hAnsi="黑体" w:eastAsia="黑体"/>
          <w:b w:val="0"/>
          <w:color w:val="auto"/>
          <w:highlight w:val="none"/>
        </w:rPr>
      </w:pP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般公共预算财政拨款支出决算情况说明</w:t>
      </w:r>
      <w:bookmarkEnd w:id="47"/>
      <w:bookmarkEnd w:id="48"/>
      <w:bookmarkEnd w:id="49"/>
    </w:p>
    <w:p>
      <w:pPr>
        <w:spacing w:line="600" w:lineRule="exact"/>
        <w:ind w:firstLine="643" w:firstLineChars="200"/>
        <w:outlineLvl w:val="2"/>
        <w:rPr>
          <w:rFonts w:ascii="仿宋" w:hAnsi="仿宋" w:eastAsia="仿宋"/>
          <w:b/>
          <w:color w:val="auto"/>
          <w:sz w:val="32"/>
          <w:szCs w:val="32"/>
          <w:highlight w:val="none"/>
        </w:rPr>
      </w:pPr>
      <w:bookmarkStart w:id="50" w:name="_Toc15377210"/>
      <w:bookmarkStart w:id="51" w:name="_Toc13829"/>
      <w:r>
        <w:rPr>
          <w:rFonts w:hint="eastAsia" w:ascii="仿宋" w:hAnsi="仿宋" w:eastAsia="仿宋"/>
          <w:b/>
          <w:color w:val="auto"/>
          <w:sz w:val="32"/>
          <w:szCs w:val="32"/>
          <w:highlight w:val="none"/>
        </w:rPr>
        <w:t>（一）一般公共预算财政拨款支出决算总体情况</w:t>
      </w:r>
      <w:bookmarkEnd w:id="50"/>
      <w:bookmarkEnd w:id="51"/>
    </w:p>
    <w:p>
      <w:pPr>
        <w:spacing w:line="600" w:lineRule="exact"/>
        <w:ind w:firstLine="640" w:firstLineChars="20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年一般公共预算财政拨款支出82.13万元，占本年支出合计的</w:t>
      </w:r>
      <w:r>
        <w:rPr>
          <w:rFonts w:hint="eastAsia" w:ascii="仿宋" w:hAnsi="仿宋" w:eastAsia="仿宋"/>
          <w:color w:val="auto"/>
          <w:sz w:val="32"/>
          <w:szCs w:val="32"/>
          <w:highlight w:val="none"/>
          <w:lang w:val="en-US" w:eastAsia="zh-CN"/>
        </w:rPr>
        <w:t>62.8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50.93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38.28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收入减少，人员经费减少。</w:t>
      </w:r>
    </w:p>
    <w:p>
      <w:pPr>
        <w:spacing w:line="600" w:lineRule="exact"/>
        <w:ind w:firstLine="420" w:firstLineChars="200"/>
      </w:pPr>
      <w:r>
        <w:drawing>
          <wp:anchor distT="0" distB="0" distL="114300" distR="114300" simplePos="0" relativeHeight="251663360" behindDoc="1" locked="0" layoutInCell="1" allowOverlap="1">
            <wp:simplePos x="0" y="0"/>
            <wp:positionH relativeFrom="column">
              <wp:posOffset>680720</wp:posOffset>
            </wp:positionH>
            <wp:positionV relativeFrom="paragraph">
              <wp:posOffset>137795</wp:posOffset>
            </wp:positionV>
            <wp:extent cx="3502660" cy="1714500"/>
            <wp:effectExtent l="4445" t="4445" r="17145" b="14605"/>
            <wp:wrapTight wrapText="bothSides">
              <wp:wrapPolygon>
                <wp:start x="-27" y="-56"/>
                <wp:lineTo x="-27" y="21544"/>
                <wp:lineTo x="21471" y="21544"/>
                <wp:lineTo x="21471" y="-56"/>
                <wp:lineTo x="-27" y="-56"/>
              </wp:wrapPolygon>
            </wp:wrapTight>
            <wp:docPr id="213"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pStyle w:val="2"/>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52" w:name="_Toc15377211"/>
      <w:bookmarkStart w:id="53" w:name="_Toc10253"/>
      <w:r>
        <w:rPr>
          <w:rFonts w:hint="eastAsia" w:ascii="仿宋" w:hAnsi="仿宋" w:eastAsia="仿宋"/>
          <w:b/>
          <w:color w:val="auto"/>
          <w:sz w:val="32"/>
          <w:szCs w:val="32"/>
          <w:highlight w:val="none"/>
        </w:rPr>
        <w:t>（二）一般公共预算财政拨款支出决算结构情况</w:t>
      </w:r>
      <w:bookmarkEnd w:id="52"/>
      <w:bookmarkEnd w:id="5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年一般公共预算财政拨款支出82.13万元，主要用于以下方面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支出13.18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16.05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卫生健康支出61.38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74.74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住房保障支出7.57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9.21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r>
        <w:drawing>
          <wp:anchor distT="0" distB="0" distL="114300" distR="114300" simplePos="0" relativeHeight="251664384" behindDoc="1" locked="0" layoutInCell="1" allowOverlap="1">
            <wp:simplePos x="0" y="0"/>
            <wp:positionH relativeFrom="column">
              <wp:posOffset>509270</wp:posOffset>
            </wp:positionH>
            <wp:positionV relativeFrom="paragraph">
              <wp:posOffset>-24130</wp:posOffset>
            </wp:positionV>
            <wp:extent cx="4041140" cy="2049780"/>
            <wp:effectExtent l="4445" t="4445" r="12065" b="22225"/>
            <wp:wrapTight wrapText="bothSides">
              <wp:wrapPolygon>
                <wp:start x="-24" y="-47"/>
                <wp:lineTo x="-24" y="21433"/>
                <wp:lineTo x="21563" y="21433"/>
                <wp:lineTo x="21563" y="-47"/>
                <wp:lineTo x="-24" y="-47"/>
              </wp:wrapPolygon>
            </wp:wrapTight>
            <wp:docPr id="214"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pStyle w:val="2"/>
      </w:pPr>
    </w:p>
    <w:p>
      <w:pPr>
        <w:spacing w:line="600" w:lineRule="exact"/>
        <w:rPr>
          <w:rFonts w:hint="eastAsia" w:ascii="仿宋" w:hAnsi="仿宋" w:eastAsia="仿宋"/>
          <w:b/>
          <w:color w:val="auto"/>
          <w:sz w:val="32"/>
          <w:szCs w:val="32"/>
          <w:highlight w:val="none"/>
        </w:rPr>
      </w:pPr>
      <w:bookmarkStart w:id="54" w:name="_Toc6350"/>
      <w:bookmarkStart w:id="55" w:name="_Toc15377212"/>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54"/>
      <w:bookmarkEnd w:id="55"/>
    </w:p>
    <w:p>
      <w:pPr>
        <w:spacing w:line="600" w:lineRule="exact"/>
        <w:ind w:firstLine="643" w:firstLineChars="200"/>
        <w:outlineLvl w:val="1"/>
        <w:rPr>
          <w:rFonts w:ascii="仿宋" w:hAnsi="仿宋" w:eastAsia="仿宋"/>
          <w:color w:val="auto"/>
          <w:sz w:val="32"/>
          <w:szCs w:val="32"/>
          <w:highlight w:val="none"/>
        </w:rPr>
      </w:pPr>
      <w:bookmarkStart w:id="56" w:name="_Toc6961"/>
      <w:bookmarkStart w:id="57" w:name="_Toc15377444"/>
      <w:bookmarkStart w:id="58" w:name="_Toc15378460"/>
      <w:bookmarkStart w:id="59" w:name="_Toc20728"/>
      <w:bookmarkStart w:id="60"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般公共预算支出决算数为82.13</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56"/>
      <w:bookmarkEnd w:id="57"/>
      <w:bookmarkEnd w:id="58"/>
      <w:bookmarkEnd w:id="59"/>
      <w:bookmarkEnd w:id="60"/>
    </w:p>
    <w:p>
      <w:pPr>
        <w:numPr>
          <w:ilvl w:val="0"/>
          <w:numId w:val="0"/>
        </w:numPr>
        <w:spacing w:line="600" w:lineRule="exact"/>
        <w:ind w:firstLine="643" w:firstLineChars="20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1.</w:t>
      </w:r>
      <w:r>
        <w:rPr>
          <w:rStyle w:val="17"/>
          <w:rFonts w:hint="eastAsia" w:ascii="仿宋" w:hAnsi="仿宋" w:eastAsia="仿宋"/>
          <w:bCs/>
          <w:color w:val="auto"/>
          <w:sz w:val="32"/>
          <w:szCs w:val="32"/>
          <w:highlight w:val="none"/>
        </w:rPr>
        <w:t>社会保障和就业（类）行政事业单位养老支出（款）机关事业单位基本养老保险缴费支出（项）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9.29</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2.</w:t>
      </w:r>
      <w:r>
        <w:rPr>
          <w:rStyle w:val="17"/>
          <w:rFonts w:hint="eastAsia" w:ascii="仿宋" w:hAnsi="仿宋" w:eastAsia="仿宋"/>
          <w:bCs/>
          <w:color w:val="auto"/>
          <w:sz w:val="32"/>
          <w:szCs w:val="32"/>
          <w:highlight w:val="none"/>
        </w:rPr>
        <w:t>社会保障和就业（类）行政事业单位养老支出（款）机关事业单位职业年金缴费支出（项）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3.89</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spacing w:line="600" w:lineRule="exact"/>
        <w:ind w:firstLine="643" w:firstLineChars="200"/>
        <w:rPr>
          <w:rStyle w:val="17"/>
          <w:rFonts w:hint="eastAsia" w:ascii="仿宋" w:hAnsi="仿宋" w:eastAsia="仿宋"/>
          <w:b w:val="0"/>
          <w:bCs/>
          <w:color w:val="auto"/>
          <w:sz w:val="32"/>
          <w:szCs w:val="32"/>
          <w:highlight w:val="none"/>
        </w:rPr>
      </w:pPr>
      <w:r>
        <w:rPr>
          <w:rStyle w:val="17"/>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（类）基层医疗卫生机构（款）乡镇卫生院（项）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56.11</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ind w:firstLine="643" w:firstLineChars="200"/>
        <w:rPr>
          <w:rFonts w:hint="default"/>
          <w:lang w:val="en-US" w:eastAsia="zh-CN"/>
        </w:rPr>
      </w:pPr>
      <w:r>
        <w:rPr>
          <w:rStyle w:val="17"/>
          <w:rFonts w:hint="eastAsia" w:ascii="仿宋" w:hAnsi="仿宋" w:eastAsia="仿宋"/>
          <w:bCs/>
          <w:color w:val="auto"/>
          <w:sz w:val="32"/>
          <w:szCs w:val="32"/>
          <w:highlight w:val="none"/>
          <w:lang w:val="en-US" w:eastAsia="zh-CN"/>
        </w:rPr>
        <w:t>4</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（类）行政事业单位医疗（款）事业单位医疗（项）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5.27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7"/>
          <w:rFonts w:hint="eastAsia" w:ascii="仿宋" w:hAnsi="仿宋" w:eastAsia="仿宋"/>
          <w:bCs/>
          <w:color w:val="auto"/>
          <w:sz w:val="32"/>
          <w:szCs w:val="32"/>
          <w:highlight w:val="none"/>
          <w:lang w:val="en-US" w:eastAsia="zh-CN"/>
        </w:rPr>
        <w:t>5</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住房保障（类）住房改革支出（款）住房公积金（项）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7.57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8"/>
          <w:color w:val="auto"/>
          <w:highlight w:val="none"/>
        </w:rPr>
      </w:pPr>
      <w:bookmarkStart w:id="61" w:name="_Toc15396608"/>
      <w:bookmarkStart w:id="62" w:name="_Toc23171"/>
      <w:bookmarkStart w:id="63"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般公共预算财政拨款基本支出决算情况说明</w:t>
      </w:r>
      <w:bookmarkEnd w:id="61"/>
      <w:bookmarkEnd w:id="62"/>
      <w:bookmarkEnd w:id="63"/>
      <w:r>
        <w:rPr>
          <w:rStyle w:val="28"/>
          <w:rFonts w:ascii="黑体" w:hAnsi="黑体" w:eastAsia="黑体"/>
          <w:b w:val="0"/>
          <w:color w:val="auto"/>
          <w:highlight w:val="none"/>
        </w:rPr>
        <w:tab/>
      </w:r>
    </w:p>
    <w:p>
      <w:pPr>
        <w:spacing w:line="600" w:lineRule="exact"/>
        <w:ind w:firstLine="645"/>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年一般公共预算财政拨款基本支出82.13万元，其中：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人员经费82.13万元，主要包括：基本工资31.82</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津贴补贴0.57万元、</w:t>
      </w:r>
      <w:r>
        <w:rPr>
          <w:rFonts w:hint="eastAsia" w:ascii="仿宋" w:hAnsi="仿宋" w:eastAsia="仿宋"/>
          <w:color w:val="auto"/>
          <w:sz w:val="32"/>
          <w:szCs w:val="32"/>
          <w:highlight w:val="none"/>
        </w:rPr>
        <w:t>绩效工资23.72</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、机关事业单位基本养老保险缴费9.29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、职业年金缴费3.89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5.27</w:t>
      </w:r>
      <w:r>
        <w:rPr>
          <w:rFonts w:hint="eastAsia" w:ascii="仿宋" w:hAnsi="仿宋" w:eastAsia="仿宋"/>
          <w:color w:val="auto"/>
          <w:sz w:val="32"/>
          <w:szCs w:val="32"/>
          <w:highlight w:val="none"/>
        </w:rPr>
        <w:t>万元、住房公积金</w:t>
      </w:r>
      <w:r>
        <w:rPr>
          <w:rFonts w:hint="eastAsia" w:ascii="仿宋" w:hAnsi="仿宋" w:eastAsia="仿宋"/>
          <w:color w:val="auto"/>
          <w:sz w:val="32"/>
          <w:szCs w:val="32"/>
          <w:highlight w:val="none"/>
          <w:lang w:val="en-US" w:eastAsia="zh-CN"/>
        </w:rPr>
        <w:t>7.57</w:t>
      </w:r>
      <w:r>
        <w:rPr>
          <w:rFonts w:hint="eastAsia" w:ascii="仿宋" w:hAnsi="仿宋" w:eastAsia="仿宋"/>
          <w:color w:val="auto"/>
          <w:sz w:val="32"/>
          <w:szCs w:val="32"/>
          <w:highlight w:val="none"/>
        </w:rPr>
        <w:t>万元。</w:t>
      </w:r>
    </w:p>
    <w:p>
      <w:pPr>
        <w:spacing w:line="600" w:lineRule="exact"/>
        <w:ind w:firstLine="640"/>
        <w:outlineLvl w:val="1"/>
        <w:rPr>
          <w:rStyle w:val="28"/>
          <w:rFonts w:ascii="黑体" w:hAnsi="黑体" w:eastAsia="黑体"/>
          <w:b w:val="0"/>
          <w:color w:val="auto"/>
          <w:highlight w:val="none"/>
        </w:rPr>
      </w:pPr>
      <w:bookmarkStart w:id="64" w:name="_Toc15303"/>
      <w:bookmarkStart w:id="65" w:name="_Toc4818"/>
      <w:bookmarkStart w:id="66" w:name="_Toc15396609"/>
      <w:bookmarkStart w:id="67" w:name="_Toc15377215"/>
      <w:bookmarkStart w:id="68" w:name="_Toc15396610"/>
      <w:bookmarkStart w:id="69" w:name="_Toc15377218"/>
      <w:r>
        <w:rPr>
          <w:rFonts w:hint="eastAsia" w:ascii="黑体" w:eastAsia="黑体"/>
          <w:color w:val="auto"/>
          <w:sz w:val="32"/>
          <w:szCs w:val="32"/>
          <w:highlight w:val="none"/>
        </w:rPr>
        <w:t>七、</w:t>
      </w:r>
      <w:r>
        <w:rPr>
          <w:rStyle w:val="28"/>
          <w:rFonts w:hint="eastAsia" w:ascii="黑体" w:hAnsi="黑体" w:eastAsia="黑体"/>
          <w:color w:val="auto"/>
          <w:highlight w:val="none"/>
        </w:rPr>
        <w:t>“</w:t>
      </w:r>
      <w:r>
        <w:rPr>
          <w:rStyle w:val="28"/>
          <w:rFonts w:hint="eastAsia" w:ascii="黑体" w:hAnsi="黑体" w:eastAsia="黑体"/>
          <w:b w:val="0"/>
          <w:color w:val="auto"/>
          <w:highlight w:val="none"/>
        </w:rPr>
        <w:t>三公”经费财政拨款支出决算情况说明</w:t>
      </w:r>
      <w:bookmarkEnd w:id="64"/>
      <w:bookmarkEnd w:id="65"/>
      <w:bookmarkEnd w:id="66"/>
      <w:bookmarkEnd w:id="67"/>
    </w:p>
    <w:p>
      <w:pPr>
        <w:spacing w:line="600" w:lineRule="exact"/>
        <w:ind w:firstLine="640"/>
        <w:outlineLvl w:val="2"/>
        <w:rPr>
          <w:rFonts w:ascii="仿宋" w:hAnsi="仿宋" w:eastAsia="仿宋"/>
          <w:b/>
          <w:color w:val="auto"/>
          <w:sz w:val="32"/>
          <w:szCs w:val="32"/>
          <w:highlight w:val="none"/>
        </w:rPr>
      </w:pPr>
      <w:bookmarkStart w:id="70" w:name="_Toc15377216"/>
      <w:bookmarkStart w:id="71" w:name="_Toc8767"/>
      <w:r>
        <w:rPr>
          <w:rFonts w:hint="eastAsia" w:ascii="仿宋" w:hAnsi="仿宋" w:eastAsia="仿宋"/>
          <w:b/>
          <w:color w:val="auto"/>
          <w:sz w:val="32"/>
          <w:szCs w:val="32"/>
          <w:highlight w:val="none"/>
        </w:rPr>
        <w:t>（一）“三公”经费财政拨款支出决算总体情况说明</w:t>
      </w:r>
      <w:bookmarkEnd w:id="70"/>
      <w:bookmarkEnd w:id="71"/>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2" w:name="_Toc15377217"/>
      <w:bookmarkStart w:id="73" w:name="_Toc22588"/>
      <w:r>
        <w:rPr>
          <w:rFonts w:hint="eastAsia" w:ascii="仿宋" w:hAnsi="仿宋" w:eastAsia="仿宋"/>
          <w:b/>
          <w:color w:val="auto"/>
          <w:sz w:val="32"/>
          <w:szCs w:val="32"/>
          <w:highlight w:val="none"/>
        </w:rPr>
        <w:t>（二）“三公”经费财政拨款支出决算具体情况说明</w:t>
      </w:r>
      <w:bookmarkEnd w:id="72"/>
      <w:bookmarkEnd w:id="7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万元，年初未安排预算。具体情况如下：</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0"/>
        <w:rPr>
          <w:rStyle w:val="17"/>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p>
    <w:p>
      <w:pPr>
        <w:spacing w:line="600" w:lineRule="exact"/>
        <w:ind w:firstLine="640"/>
        <w:outlineLvl w:val="1"/>
        <w:rPr>
          <w:rStyle w:val="28"/>
          <w:rFonts w:ascii="黑体" w:hAnsi="黑体" w:eastAsia="黑体"/>
          <w:color w:val="auto"/>
          <w:highlight w:val="none"/>
        </w:rPr>
      </w:pPr>
      <w:bookmarkStart w:id="74" w:name="_Toc8588"/>
      <w:r>
        <w:rPr>
          <w:rFonts w:hint="eastAsia" w:ascii="黑体" w:eastAsia="黑体"/>
          <w:color w:val="auto"/>
          <w:sz w:val="32"/>
          <w:szCs w:val="32"/>
          <w:highlight w:val="none"/>
        </w:rPr>
        <w:t>八、</w:t>
      </w:r>
      <w:r>
        <w:rPr>
          <w:rStyle w:val="28"/>
          <w:rFonts w:hint="eastAsia" w:ascii="黑体" w:hAnsi="黑体" w:eastAsia="黑体"/>
          <w:b w:val="0"/>
          <w:color w:val="auto"/>
          <w:highlight w:val="none"/>
        </w:rPr>
        <w:t>政府性基金预算支出决算情况说明</w:t>
      </w:r>
      <w:bookmarkEnd w:id="68"/>
      <w:bookmarkEnd w:id="69"/>
      <w:bookmarkEnd w:id="7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8"/>
          <w:rFonts w:ascii="黑体" w:hAnsi="黑体" w:eastAsia="黑体"/>
          <w:b w:val="0"/>
          <w:color w:val="auto"/>
          <w:highlight w:val="none"/>
        </w:rPr>
      </w:pPr>
      <w:bookmarkStart w:id="75" w:name="_Toc19832"/>
      <w:bookmarkStart w:id="76" w:name="_Toc15377219"/>
      <w:bookmarkStart w:id="77" w:name="_Toc15396611"/>
      <w:r>
        <w:rPr>
          <w:rStyle w:val="28"/>
          <w:rFonts w:hint="eastAsia" w:ascii="黑体" w:hAnsi="黑体" w:eastAsia="黑体"/>
          <w:b w:val="0"/>
          <w:color w:val="auto"/>
          <w:highlight w:val="none"/>
        </w:rPr>
        <w:t>国有资本经营预算支出决算情况说明</w:t>
      </w:r>
      <w:bookmarkEnd w:id="75"/>
      <w:bookmarkEnd w:id="76"/>
      <w:bookmarkEnd w:id="77"/>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8"/>
          <w:rFonts w:hint="eastAsia" w:ascii="黑体" w:hAnsi="黑体" w:eastAsia="黑体"/>
          <w:b w:val="0"/>
          <w:color w:val="auto"/>
          <w:highlight w:val="none"/>
        </w:rPr>
      </w:pPr>
      <w:bookmarkStart w:id="78" w:name="_Toc15377221"/>
      <w:bookmarkStart w:id="79" w:name="_Toc15396612"/>
      <w:bookmarkStart w:id="80" w:name="_Toc5391"/>
      <w:r>
        <w:rPr>
          <w:rStyle w:val="28"/>
          <w:rFonts w:hint="eastAsia" w:ascii="黑体" w:hAnsi="黑体" w:eastAsia="黑体"/>
          <w:b w:val="0"/>
          <w:color w:val="auto"/>
          <w:highlight w:val="none"/>
        </w:rPr>
        <w:t>其他重要事项的情况说明</w:t>
      </w:r>
      <w:bookmarkEnd w:id="78"/>
      <w:bookmarkEnd w:id="79"/>
      <w:bookmarkEnd w:id="80"/>
    </w:p>
    <w:p>
      <w:pPr>
        <w:spacing w:line="600" w:lineRule="exact"/>
        <w:ind w:firstLine="643" w:firstLineChars="200"/>
        <w:outlineLvl w:val="2"/>
        <w:rPr>
          <w:rFonts w:ascii="仿宋" w:hAnsi="仿宋" w:eastAsia="仿宋"/>
          <w:color w:val="auto"/>
          <w:sz w:val="32"/>
          <w:szCs w:val="32"/>
          <w:highlight w:val="none"/>
        </w:rPr>
      </w:pPr>
      <w:bookmarkStart w:id="81" w:name="_Toc15377222"/>
      <w:bookmarkStart w:id="82" w:name="_Toc29541"/>
      <w:r>
        <w:rPr>
          <w:rFonts w:hint="eastAsia" w:ascii="仿宋" w:hAnsi="仿宋" w:eastAsia="仿宋"/>
          <w:b/>
          <w:color w:val="auto"/>
          <w:sz w:val="32"/>
          <w:szCs w:val="32"/>
          <w:highlight w:val="none"/>
        </w:rPr>
        <w:t>（一）机关运行经费支出情况</w:t>
      </w:r>
      <w:bookmarkEnd w:id="81"/>
      <w:bookmarkEnd w:id="82"/>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3"/>
      <w:bookmarkStart w:id="84" w:name="_Toc13185"/>
      <w:r>
        <w:rPr>
          <w:rFonts w:hint="eastAsia" w:ascii="仿宋" w:hAnsi="仿宋" w:eastAsia="仿宋"/>
          <w:b/>
          <w:color w:val="auto"/>
          <w:sz w:val="32"/>
          <w:szCs w:val="32"/>
          <w:highlight w:val="none"/>
        </w:rPr>
        <w:t>（二）政府采购支出情况</w:t>
      </w:r>
      <w:bookmarkEnd w:id="83"/>
      <w:bookmarkEnd w:id="8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晋贤乡</w:t>
      </w:r>
      <w:r>
        <w:rPr>
          <w:rFonts w:hint="eastAsia" w:ascii="仿宋_GB2312" w:eastAsia="仿宋_GB2312"/>
          <w:color w:val="auto"/>
          <w:sz w:val="32"/>
          <w:szCs w:val="32"/>
          <w:highlight w:val="none"/>
        </w:rPr>
        <w:t>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5" w:name="_Toc12935"/>
      <w:bookmarkStart w:id="86" w:name="_Toc15377224"/>
      <w:r>
        <w:rPr>
          <w:rFonts w:hint="eastAsia" w:ascii="仿宋" w:hAnsi="仿宋" w:eastAsia="仿宋"/>
          <w:b/>
          <w:color w:val="auto"/>
          <w:sz w:val="32"/>
          <w:szCs w:val="32"/>
          <w:highlight w:val="none"/>
        </w:rPr>
        <w:t>（三）国有资产占有使用情况</w:t>
      </w:r>
      <w:bookmarkEnd w:id="85"/>
      <w:bookmarkEnd w:id="86"/>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87" w:name="_Toc17749"/>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晋贤乡</w:t>
      </w:r>
      <w:r>
        <w:rPr>
          <w:rFonts w:hint="eastAsia" w:ascii="仿宋_GB2312" w:eastAsia="仿宋_GB2312"/>
          <w:color w:val="auto"/>
          <w:sz w:val="32"/>
          <w:szCs w:val="32"/>
          <w:highlight w:val="none"/>
        </w:rPr>
        <w:t>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87"/>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88" w:name="_Toc13180"/>
      <w:r>
        <w:rPr>
          <w:rFonts w:hint="eastAsia" w:ascii="仿宋" w:hAnsi="仿宋" w:eastAsia="仿宋"/>
          <w:b/>
          <w:color w:val="auto"/>
          <w:sz w:val="32"/>
          <w:szCs w:val="32"/>
          <w:highlight w:val="none"/>
        </w:rPr>
        <w:t>（四）预算绩效管理情况</w:t>
      </w:r>
      <w:bookmarkEnd w:id="88"/>
    </w:p>
    <w:p>
      <w:pPr>
        <w:pStyle w:val="2"/>
        <w:numPr>
          <w:ilvl w:val="0"/>
          <w:numId w:val="0"/>
        </w:numPr>
        <w:ind w:firstLine="320" w:firstLineChars="1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w:t>
      </w:r>
      <w:r>
        <w:rPr>
          <w:rFonts w:hint="eastAsia" w:hAnsi="仿宋_GB2312" w:cs="仿宋_GB2312"/>
          <w:color w:val="auto"/>
          <w:sz w:val="32"/>
          <w:szCs w:val="32"/>
          <w:highlight w:val="none"/>
          <w:lang w:eastAsia="zh-CN"/>
        </w:rPr>
        <w:t>中无项目。</w:t>
      </w:r>
    </w:p>
    <w:p>
      <w:pPr>
        <w:widowControl/>
        <w:jc w:val="left"/>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
      <w:pPr>
        <w:pStyle w:val="2"/>
      </w:pPr>
    </w:p>
    <w:p>
      <w:pPr>
        <w:numPr>
          <w:ilvl w:val="0"/>
          <w:numId w:val="3"/>
        </w:numPr>
        <w:spacing w:line="600" w:lineRule="exact"/>
        <w:ind w:firstLine="660" w:firstLineChars="150"/>
        <w:jc w:val="center"/>
        <w:outlineLvl w:val="0"/>
        <w:rPr>
          <w:rStyle w:val="27"/>
          <w:rFonts w:ascii="黑体" w:hAnsi="黑体" w:eastAsia="黑体"/>
          <w:b w:val="0"/>
          <w:color w:val="auto"/>
          <w:highlight w:val="none"/>
        </w:rPr>
      </w:pPr>
      <w:bookmarkStart w:id="89" w:name="_Toc15396613"/>
      <w:bookmarkStart w:id="90" w:name="_Toc12997"/>
      <w:bookmarkStart w:id="91" w:name="_Toc15377225"/>
      <w:r>
        <w:rPr>
          <w:rFonts w:hint="eastAsia" w:ascii="黑体" w:hAnsi="黑体" w:eastAsia="黑体"/>
          <w:color w:val="auto"/>
          <w:sz w:val="44"/>
          <w:szCs w:val="44"/>
          <w:highlight w:val="none"/>
        </w:rPr>
        <w:t>名</w:t>
      </w:r>
      <w:r>
        <w:rPr>
          <w:rStyle w:val="27"/>
          <w:rFonts w:hint="eastAsia" w:ascii="黑体" w:hAnsi="黑体" w:eastAsia="黑体"/>
          <w:b w:val="0"/>
          <w:color w:val="auto"/>
          <w:highlight w:val="none"/>
        </w:rPr>
        <w:t>词解释</w:t>
      </w:r>
      <w:bookmarkEnd w:id="89"/>
      <w:bookmarkEnd w:id="90"/>
      <w:bookmarkEnd w:id="91"/>
    </w:p>
    <w:p>
      <w:pPr>
        <w:spacing w:line="600" w:lineRule="exact"/>
        <w:jc w:val="left"/>
        <w:rPr>
          <w:rFonts w:ascii="宋体"/>
          <w:b/>
          <w:color w:val="auto"/>
          <w:sz w:val="44"/>
          <w:szCs w:val="44"/>
          <w:highlight w:val="none"/>
        </w:rPr>
      </w:pPr>
    </w:p>
    <w:p>
      <w:pPr>
        <w:pStyle w:val="25"/>
        <w:pageBreakBefore w:val="0"/>
        <w:wordWrap/>
        <w:overflowPunct/>
        <w:topLinePunct w:val="0"/>
        <w:bidi w:val="0"/>
        <w:spacing w:beforeAutospacing="0" w:line="580" w:lineRule="exact"/>
        <w:ind w:firstLine="640" w:firstLineChars="200"/>
        <w:rPr>
          <w:rFonts w:ascii="仿宋_GB2312" w:eastAsia="仿宋_GB2312"/>
          <w:sz w:val="32"/>
          <w:szCs w:val="32"/>
        </w:rPr>
      </w:pPr>
      <w:bookmarkStart w:id="92" w:name="_Toc15377226"/>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bookmarkStart w:id="126" w:name="_GoBack"/>
      <w:bookmarkEnd w:id="126"/>
      <w:r>
        <w:rPr>
          <w:rFonts w:hint="eastAsia" w:ascii="仿宋_GB2312" w:eastAsia="仿宋_GB2312"/>
          <w:sz w:val="32"/>
          <w:szCs w:val="32"/>
          <w:lang w:eastAsia="zh-CN"/>
        </w:rPr>
        <w:t>划生育</w:t>
      </w:r>
      <w:r>
        <w:rPr>
          <w:rFonts w:hint="eastAsia" w:ascii="仿宋_GB2312" w:eastAsia="仿宋_GB2312"/>
          <w:sz w:val="32"/>
          <w:szCs w:val="32"/>
        </w:rPr>
        <w:t>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r>
        <w:rPr>
          <w:rFonts w:ascii="仿宋_GB2312" w:eastAsia="仿宋_GB2312"/>
          <w:sz w:val="32"/>
          <w:szCs w:val="32"/>
        </w:rPr>
        <w:t xml:space="preserve"> </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25"/>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pageBreakBefore w:val="0"/>
        <w:wordWrap/>
        <w:overflowPunct/>
        <w:topLinePunct w:val="0"/>
        <w:bidi w:val="0"/>
        <w:spacing w:line="580" w:lineRule="exact"/>
        <w:ind w:firstLine="640" w:firstLineChars="200"/>
        <w:rPr>
          <w:rStyle w:val="17"/>
          <w:rFonts w:hint="eastAsia" w:ascii="仿宋_GB2312" w:eastAsia="仿宋_GB2312"/>
          <w:b w:val="0"/>
          <w:color w:val="000000"/>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17"/>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7"/>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7"/>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7"/>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7"/>
          <w:rFonts w:hint="eastAsia" w:ascii="仿宋_GB2312" w:eastAsia="仿宋_GB2312"/>
          <w:b w:val="0"/>
          <w:color w:val="000000"/>
          <w:sz w:val="32"/>
          <w:szCs w:val="32"/>
        </w:rPr>
        <w:t>:</w:t>
      </w:r>
      <w:r>
        <w:rPr>
          <w:rStyle w:val="17"/>
          <w:rFonts w:hint="eastAsia" w:ascii="仿宋_GB2312" w:eastAsia="仿宋_GB2312"/>
          <w:b w:val="0"/>
          <w:sz w:val="32"/>
          <w:szCs w:val="32"/>
        </w:rPr>
        <w:t>反映</w:t>
      </w:r>
      <w:r>
        <w:rPr>
          <w:rStyle w:val="17"/>
          <w:rFonts w:hint="eastAsia" w:ascii="仿宋_GB2312" w:eastAsia="仿宋_GB2312"/>
          <w:b w:val="0"/>
          <w:color w:val="000000"/>
          <w:sz w:val="32"/>
          <w:szCs w:val="32"/>
        </w:rPr>
        <w:t>卫生健康支出中的在职人员医疗保险。</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firstLine="640" w:firstLineChars="200"/>
        <w:rPr>
          <w:rStyle w:val="17"/>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5"/>
        <w:pageBreakBefore w:val="0"/>
        <w:wordWrap/>
        <w:overflowPunct/>
        <w:topLinePunct w:val="0"/>
        <w:bidi w:val="0"/>
        <w:spacing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93" w:name="_Toc15396614"/>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Autospacing="0" w:line="580" w:lineRule="exact"/>
        <w:ind w:firstLine="880" w:firstLineChars="200"/>
        <w:jc w:val="center"/>
        <w:rPr>
          <w:rFonts w:hint="eastAsia" w:ascii="黑体" w:hAnsi="黑体" w:eastAsia="黑体"/>
          <w:color w:val="auto"/>
          <w:sz w:val="44"/>
          <w:szCs w:val="44"/>
          <w:highlight w:val="none"/>
        </w:rPr>
      </w:pPr>
    </w:p>
    <w:p>
      <w:pPr>
        <w:pStyle w:val="25"/>
        <w:pageBreakBefore w:val="0"/>
        <w:kinsoku/>
        <w:wordWrap/>
        <w:overflowPunct/>
        <w:topLinePunct w:val="0"/>
        <w:bidi w:val="0"/>
        <w:spacing w:after="391" w:afterLines="125" w:afterAutospacing="0" w:line="580" w:lineRule="exact"/>
        <w:jc w:val="center"/>
        <w:outlineLvl w:val="0"/>
        <w:rPr>
          <w:rFonts w:ascii="仿宋_GB2312" w:hAnsi="仿宋_GB2312" w:eastAsia="仿宋_GB2312" w:cs="仿宋_GB2312"/>
          <w:color w:val="auto"/>
          <w:sz w:val="32"/>
          <w:szCs w:val="32"/>
          <w:highlight w:val="none"/>
        </w:rPr>
      </w:pPr>
      <w:bookmarkStart w:id="94" w:name="_Toc24416"/>
      <w:r>
        <w:rPr>
          <w:rFonts w:hint="eastAsia" w:ascii="黑体" w:hAnsi="黑体" w:eastAsia="黑体"/>
          <w:color w:val="auto"/>
          <w:sz w:val="44"/>
          <w:szCs w:val="44"/>
          <w:highlight w:val="none"/>
        </w:rPr>
        <w:t>第</w:t>
      </w:r>
      <w:r>
        <w:rPr>
          <w:rStyle w:val="27"/>
          <w:rFonts w:hint="eastAsia" w:ascii="黑体" w:hAnsi="黑体" w:eastAsia="黑体"/>
          <w:b w:val="0"/>
          <w:color w:val="auto"/>
          <w:highlight w:val="none"/>
        </w:rPr>
        <w:t>四部分 附件</w:t>
      </w:r>
      <w:bookmarkEnd w:id="93"/>
      <w:bookmarkEnd w:id="94"/>
    </w:p>
    <w:p>
      <w:pPr>
        <w:keepNext w:val="0"/>
        <w:keepLines w:val="0"/>
        <w:pageBreakBefore w:val="0"/>
        <w:kinsoku/>
        <w:wordWrap/>
        <w:overflowPunct/>
        <w:topLinePunct w:val="0"/>
        <w:autoSpaceDE/>
        <w:autoSpaceDN/>
        <w:bidi w:val="0"/>
        <w:spacing w:beforeAutospacing="0" w:line="572" w:lineRule="exact"/>
        <w:jc w:val="left"/>
        <w:textAlignment w:val="auto"/>
        <w:outlineLvl w:val="1"/>
        <w:rPr>
          <w:rFonts w:hint="eastAsia"/>
          <w:lang w:val="en-US" w:eastAsia="zh-CN"/>
        </w:rPr>
      </w:pPr>
      <w:bookmarkStart w:id="95" w:name="_Toc798"/>
      <w:bookmarkStart w:id="96" w:name="_Toc12619"/>
      <w:bookmarkStart w:id="97" w:name="_Toc32049"/>
      <w:bookmarkStart w:id="98" w:name="_Toc15396618"/>
      <w:r>
        <w:rPr>
          <w:rFonts w:hint="eastAsia" w:ascii="仿宋_GB2312" w:hAnsi="Calibri" w:eastAsia="仿宋_GB2312" w:cs="仿宋"/>
          <w:color w:val="auto"/>
          <w:kern w:val="0"/>
          <w:sz w:val="32"/>
          <w:szCs w:val="32"/>
          <w:highlight w:val="none"/>
          <w:lang w:val="en-US" w:eastAsia="zh-CN" w:bidi="ar-SA"/>
        </w:rPr>
        <w:t>无附件。2022年度昭化区晋贤乡卫生院无预算项目。</w:t>
      </w:r>
      <w:bookmarkEnd w:id="95"/>
      <w:bookmarkEnd w:id="96"/>
      <w:bookmarkEnd w:id="97"/>
    </w:p>
    <w:p>
      <w:pPr>
        <w:spacing w:line="600" w:lineRule="exact"/>
        <w:jc w:val="center"/>
        <w:outlineLvl w:val="0"/>
        <w:rPr>
          <w:rFonts w:hint="eastAsia" w:ascii="仿宋" w:hAnsi="仿宋" w:eastAsia="仿宋"/>
          <w:b w:val="0"/>
          <w:color w:val="auto"/>
          <w:highlight w:val="none"/>
        </w:rPr>
      </w:pPr>
      <w:bookmarkStart w:id="99" w:name="_Toc24677"/>
      <w:r>
        <w:rPr>
          <w:rFonts w:hint="eastAsia" w:ascii="黑体" w:hAnsi="黑体" w:eastAsia="黑体"/>
          <w:color w:val="auto"/>
          <w:sz w:val="44"/>
          <w:szCs w:val="44"/>
          <w:highlight w:val="none"/>
        </w:rPr>
        <w:t>第</w:t>
      </w:r>
      <w:r>
        <w:rPr>
          <w:rStyle w:val="27"/>
          <w:rFonts w:hint="eastAsia" w:ascii="黑体" w:hAnsi="黑体" w:eastAsia="黑体"/>
          <w:b w:val="0"/>
          <w:color w:val="auto"/>
          <w:highlight w:val="none"/>
        </w:rPr>
        <w:t>五部分 附表</w:t>
      </w:r>
      <w:bookmarkEnd w:id="92"/>
      <w:bookmarkEnd w:id="98"/>
      <w:bookmarkEnd w:id="99"/>
      <w:bookmarkStart w:id="100" w:name="_Toc15396619"/>
    </w:p>
    <w:p>
      <w:pPr>
        <w:pStyle w:val="4"/>
        <w:rPr>
          <w:rFonts w:ascii="仿宋" w:hAnsi="仿宋" w:eastAsia="仿宋"/>
          <w:color w:val="auto"/>
          <w:highlight w:val="none"/>
        </w:rPr>
      </w:pPr>
      <w:bookmarkStart w:id="101" w:name="_Toc24444"/>
      <w:r>
        <w:rPr>
          <w:rFonts w:hint="eastAsia" w:ascii="仿宋" w:hAnsi="仿宋" w:eastAsia="仿宋"/>
          <w:b w:val="0"/>
          <w:color w:val="auto"/>
          <w:highlight w:val="none"/>
        </w:rPr>
        <w:t>一、收</w:t>
      </w:r>
      <w:r>
        <w:rPr>
          <w:rStyle w:val="28"/>
          <w:rFonts w:hint="eastAsia" w:ascii="仿宋" w:hAnsi="仿宋" w:eastAsia="仿宋"/>
          <w:b w:val="0"/>
          <w:bCs w:val="0"/>
          <w:color w:val="auto"/>
          <w:highlight w:val="none"/>
        </w:rPr>
        <w:t>入支出决算总表</w:t>
      </w:r>
      <w:bookmarkEnd w:id="100"/>
      <w:bookmarkEnd w:id="101"/>
    </w:p>
    <w:p>
      <w:pPr>
        <w:pStyle w:val="4"/>
        <w:rPr>
          <w:rFonts w:ascii="仿宋" w:hAnsi="仿宋" w:eastAsia="仿宋"/>
          <w:color w:val="auto"/>
          <w:highlight w:val="none"/>
        </w:rPr>
      </w:pPr>
      <w:bookmarkStart w:id="102" w:name="_Toc3108"/>
      <w:bookmarkStart w:id="103" w:name="_Toc15396620"/>
      <w:r>
        <w:rPr>
          <w:rFonts w:hint="eastAsia" w:ascii="仿宋" w:hAnsi="仿宋" w:eastAsia="仿宋"/>
          <w:b w:val="0"/>
          <w:color w:val="auto"/>
          <w:highlight w:val="none"/>
        </w:rPr>
        <w:t>二、收</w:t>
      </w:r>
      <w:r>
        <w:rPr>
          <w:rStyle w:val="28"/>
          <w:rFonts w:hint="eastAsia" w:ascii="仿宋" w:hAnsi="仿宋" w:eastAsia="仿宋"/>
          <w:b w:val="0"/>
          <w:bCs w:val="0"/>
          <w:color w:val="auto"/>
          <w:highlight w:val="none"/>
        </w:rPr>
        <w:t>入决算表</w:t>
      </w:r>
      <w:bookmarkEnd w:id="102"/>
      <w:bookmarkEnd w:id="103"/>
    </w:p>
    <w:p>
      <w:pPr>
        <w:pStyle w:val="4"/>
        <w:rPr>
          <w:rFonts w:ascii="仿宋" w:hAnsi="仿宋" w:eastAsia="仿宋"/>
          <w:color w:val="auto"/>
          <w:highlight w:val="none"/>
        </w:rPr>
      </w:pPr>
      <w:bookmarkStart w:id="104" w:name="_Toc15396621"/>
      <w:bookmarkStart w:id="105" w:name="_Toc31831"/>
      <w:r>
        <w:rPr>
          <w:rStyle w:val="2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8"/>
          <w:rFonts w:hint="eastAsia" w:ascii="仿宋" w:hAnsi="仿宋" w:eastAsia="仿宋"/>
          <w:b w:val="0"/>
          <w:bCs w:val="0"/>
          <w:color w:val="auto"/>
          <w:highlight w:val="none"/>
        </w:rPr>
        <w:t>出决算表</w:t>
      </w:r>
      <w:bookmarkEnd w:id="104"/>
      <w:bookmarkEnd w:id="105"/>
    </w:p>
    <w:p>
      <w:pPr>
        <w:pStyle w:val="4"/>
        <w:rPr>
          <w:rFonts w:ascii="仿宋" w:hAnsi="仿宋" w:eastAsia="仿宋"/>
          <w:b w:val="0"/>
          <w:color w:val="auto"/>
          <w:highlight w:val="none"/>
        </w:rPr>
      </w:pPr>
      <w:bookmarkStart w:id="106" w:name="_Toc11628"/>
      <w:bookmarkStart w:id="107" w:name="_Toc15396622"/>
      <w:r>
        <w:rPr>
          <w:rStyle w:val="2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8"/>
          <w:rFonts w:hint="eastAsia" w:ascii="仿宋" w:hAnsi="仿宋" w:eastAsia="仿宋"/>
          <w:b w:val="0"/>
          <w:bCs w:val="0"/>
          <w:color w:val="auto"/>
          <w:highlight w:val="none"/>
        </w:rPr>
        <w:t>政拨款收入支出决算总表</w:t>
      </w:r>
      <w:bookmarkEnd w:id="106"/>
      <w:bookmarkEnd w:id="107"/>
    </w:p>
    <w:p>
      <w:pPr>
        <w:pStyle w:val="4"/>
        <w:rPr>
          <w:rStyle w:val="28"/>
          <w:rFonts w:ascii="仿宋" w:hAnsi="仿宋" w:eastAsia="仿宋"/>
          <w:b w:val="0"/>
          <w:bCs w:val="0"/>
          <w:color w:val="auto"/>
          <w:highlight w:val="none"/>
        </w:rPr>
      </w:pPr>
      <w:bookmarkStart w:id="108" w:name="_Toc15396623"/>
      <w:bookmarkStart w:id="109" w:name="_Toc10386"/>
      <w:r>
        <w:rPr>
          <w:rStyle w:val="2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8"/>
          <w:rFonts w:hint="eastAsia" w:ascii="仿宋" w:hAnsi="仿宋" w:eastAsia="仿宋"/>
          <w:b w:val="0"/>
          <w:bCs w:val="0"/>
          <w:color w:val="auto"/>
          <w:highlight w:val="none"/>
        </w:rPr>
        <w:t>政拨款支出决算明细表</w:t>
      </w:r>
      <w:bookmarkEnd w:id="108"/>
      <w:bookmarkEnd w:id="109"/>
      <w:bookmarkStart w:id="110" w:name="_Toc15396624"/>
    </w:p>
    <w:p>
      <w:pPr>
        <w:pStyle w:val="4"/>
        <w:rPr>
          <w:rFonts w:ascii="仿宋" w:hAnsi="仿宋" w:eastAsia="仿宋"/>
          <w:color w:val="auto"/>
          <w:highlight w:val="none"/>
        </w:rPr>
      </w:pPr>
      <w:bookmarkStart w:id="111" w:name="_Toc4510"/>
      <w:r>
        <w:rPr>
          <w:rStyle w:val="2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般公共预算财政拨款支出决算表</w:t>
      </w:r>
      <w:bookmarkEnd w:id="110"/>
      <w:bookmarkEnd w:id="111"/>
    </w:p>
    <w:p>
      <w:pPr>
        <w:pStyle w:val="4"/>
        <w:rPr>
          <w:rFonts w:ascii="仿宋" w:hAnsi="仿宋" w:eastAsia="仿宋"/>
          <w:color w:val="auto"/>
          <w:highlight w:val="none"/>
        </w:rPr>
      </w:pPr>
      <w:bookmarkStart w:id="112" w:name="_Toc30189"/>
      <w:bookmarkStart w:id="113" w:name="_Toc15396625"/>
      <w:r>
        <w:rPr>
          <w:rStyle w:val="2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般公共预算财政拨款支出决算明细表</w:t>
      </w:r>
      <w:bookmarkEnd w:id="112"/>
      <w:bookmarkEnd w:id="113"/>
    </w:p>
    <w:p>
      <w:pPr>
        <w:pStyle w:val="4"/>
        <w:rPr>
          <w:rFonts w:ascii="仿宋" w:hAnsi="仿宋" w:eastAsia="仿宋"/>
          <w:color w:val="auto"/>
          <w:highlight w:val="none"/>
        </w:rPr>
      </w:pPr>
      <w:bookmarkStart w:id="114" w:name="_Toc15396626"/>
      <w:bookmarkStart w:id="115" w:name="_Toc7641"/>
      <w:r>
        <w:rPr>
          <w:rStyle w:val="2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般公共预算财政拨款基本支出决算表</w:t>
      </w:r>
      <w:bookmarkEnd w:id="114"/>
      <w:bookmarkEnd w:id="115"/>
    </w:p>
    <w:p>
      <w:pPr>
        <w:pStyle w:val="4"/>
        <w:rPr>
          <w:rFonts w:ascii="仿宋" w:hAnsi="仿宋" w:eastAsia="仿宋"/>
          <w:color w:val="auto"/>
          <w:highlight w:val="none"/>
        </w:rPr>
      </w:pPr>
      <w:bookmarkStart w:id="116" w:name="_Toc15396627"/>
      <w:bookmarkStart w:id="117" w:name="_Toc19967"/>
      <w:r>
        <w:rPr>
          <w:rStyle w:val="2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般公共预算财政拨款项目支出决算表</w:t>
      </w:r>
      <w:bookmarkEnd w:id="116"/>
      <w:bookmarkEnd w:id="117"/>
    </w:p>
    <w:p>
      <w:pPr>
        <w:pStyle w:val="4"/>
        <w:rPr>
          <w:rFonts w:ascii="仿宋" w:hAnsi="仿宋" w:eastAsia="仿宋"/>
          <w:color w:val="auto"/>
          <w:highlight w:val="none"/>
        </w:rPr>
      </w:pPr>
      <w:bookmarkStart w:id="118" w:name="_Toc15396628"/>
      <w:bookmarkStart w:id="119" w:name="_Toc4730"/>
      <w:r>
        <w:rPr>
          <w:rStyle w:val="28"/>
          <w:rFonts w:hint="eastAsia" w:ascii="仿宋" w:hAnsi="仿宋" w:eastAsia="仿宋"/>
          <w:b w:val="0"/>
          <w:bCs w:val="0"/>
          <w:color w:val="auto"/>
          <w:highlight w:val="none"/>
        </w:rPr>
        <w:t>十、</w:t>
      </w:r>
      <w:bookmarkEnd w:id="118"/>
      <w:r>
        <w:rPr>
          <w:rFonts w:hint="eastAsia" w:ascii="仿宋" w:hAnsi="仿宋" w:eastAsia="仿宋"/>
          <w:b w:val="0"/>
          <w:color w:val="auto"/>
          <w:highlight w:val="none"/>
        </w:rPr>
        <w:t>政</w:t>
      </w:r>
      <w:r>
        <w:rPr>
          <w:rStyle w:val="28"/>
          <w:rFonts w:hint="eastAsia" w:ascii="仿宋" w:hAnsi="仿宋" w:eastAsia="仿宋"/>
          <w:b w:val="0"/>
          <w:bCs w:val="0"/>
          <w:color w:val="auto"/>
          <w:highlight w:val="none"/>
        </w:rPr>
        <w:t>府性基金预算财政拨款收入支出决算表</w:t>
      </w:r>
      <w:bookmarkEnd w:id="119"/>
    </w:p>
    <w:p>
      <w:pPr>
        <w:pStyle w:val="4"/>
        <w:rPr>
          <w:rFonts w:ascii="仿宋" w:hAnsi="仿宋" w:eastAsia="仿宋"/>
          <w:color w:val="auto"/>
          <w:highlight w:val="none"/>
        </w:rPr>
      </w:pPr>
      <w:bookmarkStart w:id="120" w:name="_Toc15396629"/>
      <w:bookmarkStart w:id="121" w:name="_Toc8242"/>
      <w:r>
        <w:rPr>
          <w:rStyle w:val="28"/>
          <w:rFonts w:hint="eastAsia" w:ascii="仿宋" w:hAnsi="仿宋" w:eastAsia="仿宋"/>
          <w:b w:val="0"/>
          <w:bCs w:val="0"/>
          <w:color w:val="auto"/>
          <w:highlight w:val="none"/>
        </w:rPr>
        <w:t>十一、</w:t>
      </w:r>
      <w:bookmarkEnd w:id="120"/>
      <w:r>
        <w:rPr>
          <w:rFonts w:hint="eastAsia" w:ascii="仿宋" w:hAnsi="仿宋" w:eastAsia="仿宋"/>
          <w:b w:val="0"/>
          <w:color w:val="auto"/>
          <w:highlight w:val="none"/>
        </w:rPr>
        <w:t>国</w:t>
      </w:r>
      <w:r>
        <w:rPr>
          <w:rStyle w:val="28"/>
          <w:rFonts w:hint="eastAsia" w:ascii="仿宋" w:hAnsi="仿宋" w:eastAsia="仿宋"/>
          <w:b w:val="0"/>
          <w:bCs w:val="0"/>
          <w:color w:val="auto"/>
          <w:highlight w:val="none"/>
        </w:rPr>
        <w:t>有资本经营预算</w:t>
      </w:r>
      <w:r>
        <w:rPr>
          <w:rStyle w:val="28"/>
          <w:rFonts w:hint="eastAsia" w:ascii="仿宋" w:hAnsi="仿宋" w:eastAsia="仿宋"/>
          <w:b w:val="0"/>
          <w:bCs w:val="0"/>
          <w:color w:val="auto"/>
          <w:highlight w:val="none"/>
          <w:lang w:eastAsia="zh-CN"/>
        </w:rPr>
        <w:t>财政拨款收入</w:t>
      </w:r>
      <w:r>
        <w:rPr>
          <w:rStyle w:val="28"/>
          <w:rFonts w:hint="eastAsia" w:ascii="仿宋" w:hAnsi="仿宋" w:eastAsia="仿宋"/>
          <w:b w:val="0"/>
          <w:bCs w:val="0"/>
          <w:color w:val="auto"/>
          <w:highlight w:val="none"/>
        </w:rPr>
        <w:t>支出决算表</w:t>
      </w:r>
      <w:bookmarkEnd w:id="121"/>
    </w:p>
    <w:p>
      <w:pPr>
        <w:pStyle w:val="4"/>
        <w:rPr>
          <w:rFonts w:ascii="仿宋" w:hAnsi="仿宋" w:eastAsia="仿宋"/>
          <w:color w:val="auto"/>
          <w:highlight w:val="none"/>
        </w:rPr>
      </w:pPr>
      <w:bookmarkStart w:id="122" w:name="_Toc15396630"/>
      <w:bookmarkStart w:id="123" w:name="_Toc6084"/>
      <w:r>
        <w:rPr>
          <w:rStyle w:val="28"/>
          <w:rFonts w:hint="eastAsia" w:ascii="仿宋" w:hAnsi="仿宋" w:eastAsia="仿宋"/>
          <w:b w:val="0"/>
          <w:bCs w:val="0"/>
          <w:color w:val="auto"/>
          <w:highlight w:val="none"/>
        </w:rPr>
        <w:t>十二、</w:t>
      </w:r>
      <w:bookmarkEnd w:id="122"/>
      <w:r>
        <w:rPr>
          <w:rStyle w:val="28"/>
          <w:rFonts w:hint="eastAsia" w:ascii="仿宋" w:hAnsi="仿宋" w:eastAsia="仿宋"/>
          <w:b w:val="0"/>
          <w:bCs w:val="0"/>
          <w:color w:val="auto"/>
          <w:highlight w:val="none"/>
          <w:lang w:eastAsia="zh-CN"/>
        </w:rPr>
        <w:t>国有资本经营预算财政拨款支出决算表</w:t>
      </w:r>
      <w:bookmarkEnd w:id="123"/>
    </w:p>
    <w:p>
      <w:pPr>
        <w:pStyle w:val="4"/>
        <w:rPr>
          <w:rFonts w:hint="eastAsia" w:eastAsia="仿宋"/>
          <w:color w:val="auto"/>
          <w:highlight w:val="none"/>
          <w:lang w:eastAsia="zh-CN"/>
        </w:rPr>
      </w:pPr>
      <w:bookmarkStart w:id="124" w:name="_Toc15396631"/>
      <w:bookmarkStart w:id="125" w:name="_Toc30794"/>
      <w:r>
        <w:rPr>
          <w:rStyle w:val="28"/>
          <w:rFonts w:hint="eastAsia" w:ascii="仿宋" w:hAnsi="仿宋" w:eastAsia="仿宋"/>
          <w:b w:val="0"/>
          <w:bCs w:val="0"/>
          <w:color w:val="auto"/>
          <w:highlight w:val="none"/>
        </w:rPr>
        <w:t>十三、</w:t>
      </w:r>
      <w:bookmarkEnd w:id="124"/>
      <w:r>
        <w:rPr>
          <w:rStyle w:val="28"/>
          <w:rFonts w:hint="eastAsia" w:ascii="仿宋" w:hAnsi="仿宋" w:eastAsia="仿宋"/>
          <w:b w:val="0"/>
          <w:bCs w:val="0"/>
          <w:color w:val="auto"/>
          <w:highlight w:val="none"/>
          <w:lang w:eastAsia="zh-CN"/>
        </w:rPr>
        <w:t>财政拨款“三公”经费支出决算表</w:t>
      </w:r>
      <w:bookmarkEnd w:id="125"/>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0FFE31D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4"/>
    <w:qFormat/>
    <w:uiPriority w:val="99"/>
    <w:pPr>
      <w:spacing w:beforeLines="30"/>
    </w:pPr>
    <w:rPr>
      <w:rFonts w:ascii="仿宋_GB2312" w:eastAsia="仿宋_GB2312"/>
      <w:kern w:val="0"/>
      <w:sz w:val="30"/>
    </w:rPr>
  </w:style>
  <w:style w:type="paragraph" w:styleId="6">
    <w:name w:val="Body Text Inden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qFormat/>
    <w:uiPriority w:val="0"/>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Char"/>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Char"/>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Char"/>
    <w:basedOn w:val="16"/>
    <w:link w:val="3"/>
    <w:qFormat/>
    <w:uiPriority w:val="9"/>
    <w:rPr>
      <w:rFonts w:ascii="Times New Roman" w:hAnsi="Times New Roman"/>
      <w:b/>
      <w:bCs/>
      <w:kern w:val="44"/>
      <w:sz w:val="44"/>
      <w:szCs w:val="44"/>
    </w:rPr>
  </w:style>
  <w:style w:type="character" w:customStyle="1" w:styleId="28">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6"/>
    <w:link w:val="9"/>
    <w:semiHidden/>
    <w:qFormat/>
    <w:uiPriority w:val="99"/>
    <w:rPr>
      <w:rFonts w:ascii="Times New Roman" w:hAnsi="Times New Roman"/>
      <w:kern w:val="2"/>
      <w:sz w:val="18"/>
      <w:szCs w:val="18"/>
    </w:rPr>
  </w:style>
  <w:style w:type="character" w:customStyle="1" w:styleId="31">
    <w:name w:val="标题 3 Char"/>
    <w:basedOn w:val="16"/>
    <w:link w:val="5"/>
    <w:qFormat/>
    <w:uiPriority w:val="9"/>
    <w:rPr>
      <w:rFonts w:ascii="Times New Roman" w:hAnsi="Times New Roman"/>
      <w:b/>
      <w:bCs/>
      <w:kern w:val="2"/>
      <w:sz w:val="32"/>
      <w:szCs w:val="32"/>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heme="minorHAnsi" w:hAnsiTheme="minorHAnsi" w:eastAsiaTheme="minorEastAsia" w:cstheme="minorBidi"/>
      <w:sz w:val="20"/>
      <w:szCs w:val="20"/>
    </w:rPr>
  </w:style>
  <w:style w:type="paragraph" w:customStyle="1" w:styleId="34">
    <w:name w:val="WPSOffice手动目录 2"/>
    <w:qFormat/>
    <w:uiPriority w:val="0"/>
    <w:pPr>
      <w:ind w:leftChars="200"/>
    </w:pPr>
    <w:rPr>
      <w:rFonts w:asciiTheme="minorHAnsi" w:hAnsiTheme="minorHAnsi" w:eastAsiaTheme="minorEastAsia" w:cstheme="minorBidi"/>
      <w:sz w:val="20"/>
      <w:szCs w:val="20"/>
    </w:rPr>
  </w:style>
  <w:style w:type="paragraph" w:customStyle="1" w:styleId="35">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187.7</c:v>
                </c:pt>
                <c:pt idx="1">
                  <c:v>187.7</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130.77</c:v>
                </c:pt>
                <c:pt idx="1">
                  <c:v>130.77</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01392607738453"/>
          <c:y val="0.187298893916541"/>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2868354381651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62.8%</a:t>
                    </a:r>
                    <a:endParaRPr lang="en-US" altLang="zh-CN">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37.2%</a:t>
                    </a:r>
                    <a:endParaRPr lang="en-US" altLang="zh-CN">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[工作簿1.xlsx]Sheet1!$B$16:$B$18</c:f>
              <c:numCache>
                <c:formatCode>General</c:formatCode>
                <c:ptCount val="3"/>
                <c:pt idx="0">
                  <c:v>82.13</c:v>
                </c:pt>
                <c:pt idx="2">
                  <c:v>48.64</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[工作簿1.xlsx]Sheet1!$C$16:$C$18</c:f>
              <c:numCache>
                <c:formatCode>0.00%</c:formatCode>
                <c:ptCount val="3"/>
                <c:pt idx="0">
                  <c:v>0.4949</c:v>
                </c:pt>
                <c:pt idx="2">
                  <c:v>0.5051</c:v>
                </c:pt>
              </c:numCache>
            </c:numRef>
          </c:val>
        </c:ser>
        <c:dLbls>
          <c:showLegendKey val="0"/>
          <c:showVal val="0"/>
          <c:showCatName val="0"/>
          <c:showSerName val="0"/>
          <c:showPercent val="1"/>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44611528822055"/>
          <c:y val="0.22005376907467"/>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100%</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10.53%</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strCache>
            </c:strRef>
          </c:cat>
          <c:val>
            <c:numRef>
              <c:f>[工作簿1.xlsx]Sheet1!$B$29:$B$31</c:f>
              <c:numCache>
                <c:formatCode>General</c:formatCode>
                <c:ptCount val="3"/>
                <c:pt idx="0">
                  <c:v>130.77</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strCache>
            </c:strRef>
          </c:cat>
          <c:val>
            <c:numRef>
              <c:f>[工作簿1.xlsx]Sheet1!$C$29:$C$31</c:f>
              <c:numCache>
                <c:formatCode>0.00%</c:formatCode>
                <c:ptCount val="3"/>
                <c:pt idx="0">
                  <c:v>1</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133.06</c:v>
                </c:pt>
                <c:pt idx="1">
                  <c:v>133.06</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82.13</c:v>
                </c:pt>
                <c:pt idx="1">
                  <c:v>82.13</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4329224075417"/>
          <c:y val="0.109259259259259"/>
          <c:w val="0.920232052211748"/>
          <c:h val="0.755111111111111"/>
        </c:manualLayout>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133.06</c:v>
                </c:pt>
                <c:pt idx="1">
                  <c:v>82.13</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593269998783629"/>
          <c:y val="0.119361290462836"/>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社会保障和就业（类）支出16.05%</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卫生健康支出74.74%</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9.21</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13.18</c:v>
                </c:pt>
                <c:pt idx="1">
                  <c:v>61.38</c:v>
                </c:pt>
                <c:pt idx="2">
                  <c:v>7.57</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0.0762</c:v>
                </c:pt>
                <c:pt idx="1">
                  <c:v>0.8505</c:v>
                </c:pt>
                <c:pt idx="2">
                  <c:v>0.0733</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13</Pages>
  <Words>3909</Words>
  <Characters>4206</Characters>
  <Lines>61</Lines>
  <Paragraphs>17</Paragraphs>
  <TotalTime>7</TotalTime>
  <ScaleCrop>false</ScaleCrop>
  <LinksUpToDate>false</LinksUpToDate>
  <CharactersWithSpaces>4342</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2024-07-29T03:37:37Z</dcterms:modified>
  <dc:title>四川省***</dc:title>
  <cp:revision>32</cp:revision>
</cp:coreProperties>
</file>

<file path=customXml/itemProps1.xml><?xml version="1.0" encoding="utf-8"?>
<ds:datastoreItem xmlns:ds="http://schemas.openxmlformats.org/officeDocument/2006/customXml" ds:itemID="{cfc8f678-2841-4f99-b442-5acd3f41eccb}">
  <ds:schemaRefs/>
</ds:datastoreItem>
</file>

<file path=customXml/itemProps2.xml><?xml version="1.0" encoding="utf-8"?>
<ds:datastoreItem xmlns:ds="http://schemas.openxmlformats.org/officeDocument/2006/customXml" ds:itemID="{773b3eab-d971-45da-ab32-f9dc94e74e1e}">
  <ds:schemaRefs/>
</ds:datastoreItem>
</file>

<file path=customXml/itemProps3.xml><?xml version="1.0" encoding="utf-8"?>
<ds:datastoreItem xmlns:ds="http://schemas.openxmlformats.org/officeDocument/2006/customXml" ds:itemID="{877ec3ac-20aa-4e5d-a383-2d25f6eaac13}">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13</Pages>
  <Words>3909</Words>
  <Characters>4206</Characters>
  <Lines>61</Lines>
  <Paragraphs>17</Paragraphs>
  <TotalTime>7</TotalTime>
  <ScaleCrop>false</ScaleCrop>
  <LinksUpToDate>false</LinksUpToDate>
  <CharactersWithSpaces>4342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2024-08-12T07:00:49Z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