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eastAsia="方正小标宋简体"/>
          <w:color w:val="auto"/>
          <w:sz w:val="21"/>
          <w:szCs w:val="21"/>
          <w:highlight w:val="none"/>
        </w:rPr>
      </w:pPr>
      <w:bookmarkStart w:id="0" w:name="_Toc15306267"/>
    </w:p>
    <w:p>
      <w:pPr>
        <w:spacing w:line="600" w:lineRule="exact"/>
        <w:jc w:val="center"/>
        <w:outlineLvl w:val="0"/>
        <w:rPr>
          <w:rFonts w:ascii="方正小标宋简体" w:eastAsia="方正小标宋简体"/>
          <w:color w:val="auto"/>
          <w:sz w:val="72"/>
          <w:szCs w:val="72"/>
          <w:highlight w:val="none"/>
        </w:rPr>
      </w:pPr>
    </w:p>
    <w:p>
      <w:pPr>
        <w:spacing w:line="600" w:lineRule="exact"/>
        <w:jc w:val="center"/>
        <w:outlineLvl w:val="0"/>
        <w:rPr>
          <w:rFonts w:ascii="方正小标宋简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 w:name="_Toc15377425"/>
      <w:bookmarkStart w:id="2" w:name="_Toc5235"/>
      <w:bookmarkStart w:id="3" w:name="_Toc15396475"/>
      <w:bookmarkStart w:id="4" w:name="_Toc15377193"/>
      <w:bookmarkStart w:id="5" w:name="_Toc15378441"/>
      <w:bookmarkStart w:id="6" w:name="_Toc23566"/>
      <w:bookmarkStart w:id="7" w:name="_Toc15396597"/>
      <w:bookmarkStart w:id="8" w:name="_Toc426"/>
      <w:r>
        <w:rPr>
          <w:rFonts w:hint="eastAsia" w:ascii="方正小标宋简体" w:eastAsia="方正小标宋简体" w:cs="方正小标宋简体"/>
          <w:color w:val="auto"/>
          <w:sz w:val="72"/>
          <w:szCs w:val="72"/>
          <w:highlight w:val="none"/>
        </w:rPr>
        <w:t>20</w:t>
      </w:r>
      <w:r>
        <w:rPr>
          <w:rFonts w:hint="eastAsia" w:ascii="方正小标宋简体" w:eastAsia="方正小标宋简体" w:cs="方正小标宋简体"/>
          <w:color w:val="auto"/>
          <w:sz w:val="72"/>
          <w:szCs w:val="72"/>
          <w:highlight w:val="none"/>
          <w:lang w:val="en-US" w:eastAsia="zh-CN"/>
        </w:rPr>
        <w:t>22</w:t>
      </w:r>
      <w:r>
        <w:rPr>
          <w:rFonts w:hint="eastAsia" w:asci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bookmarkEnd w:id="8"/>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9" w:name="_Toc15377194"/>
      <w:bookmarkStart w:id="10" w:name="_Toc15378442"/>
      <w:bookmarkStart w:id="11" w:name="_Toc15377426"/>
      <w:bookmarkStart w:id="12" w:name="_Toc15396476"/>
      <w:bookmarkStart w:id="13" w:name="_Toc9908"/>
      <w:bookmarkStart w:id="14" w:name="_Toc28653"/>
      <w:bookmarkStart w:id="15" w:name="_Toc15396598"/>
      <w:bookmarkStart w:id="16" w:name="_Toc30367"/>
      <w:r>
        <w:rPr>
          <w:rFonts w:hint="eastAsia" w:ascii="方正小标宋简体" w:eastAsia="方正小标宋简体" w:cs="方正小标宋简体"/>
          <w:color w:val="auto"/>
          <w:sz w:val="72"/>
          <w:szCs w:val="72"/>
          <w:highlight w:val="none"/>
        </w:rPr>
        <w:t>四川省</w:t>
      </w:r>
      <w:bookmarkEnd w:id="0"/>
      <w:bookmarkStart w:id="17" w:name="_Toc15306268"/>
      <w:r>
        <w:rPr>
          <w:rFonts w:ascii="方正小标宋简体" w:eastAsia="方正小标宋简体" w:cs="方正小标宋简体"/>
          <w:color w:val="auto"/>
          <w:sz w:val="72"/>
          <w:szCs w:val="72"/>
          <w:highlight w:val="none"/>
        </w:rPr>
        <w:t>广元市昭化区梅树乡卫生院</w:t>
      </w:r>
      <w:r>
        <w:rPr>
          <w:rFonts w:hint="eastAsia" w:ascii="方正小标宋简体" w:eastAsia="方正小标宋简体" w:cs="方正小标宋简体"/>
          <w:color w:val="auto"/>
          <w:sz w:val="72"/>
          <w:szCs w:val="72"/>
          <w:highlight w:val="none"/>
          <w:lang w:eastAsia="zh-CN"/>
        </w:rPr>
        <w:t>单位</w:t>
      </w:r>
      <w:r>
        <w:rPr>
          <w:rFonts w:hint="eastAsia" w:ascii="方正小标宋简体" w:eastAsia="方正小标宋简体" w:cs="方正小标宋简体"/>
          <w:color w:val="auto"/>
          <w:sz w:val="72"/>
          <w:szCs w:val="72"/>
          <w:highlight w:val="none"/>
        </w:rPr>
        <w:t>决算</w:t>
      </w:r>
      <w:bookmarkEnd w:id="9"/>
      <w:bookmarkEnd w:id="10"/>
      <w:bookmarkEnd w:id="11"/>
      <w:bookmarkEnd w:id="12"/>
      <w:bookmarkEnd w:id="13"/>
      <w:bookmarkEnd w:id="14"/>
      <w:bookmarkEnd w:id="15"/>
      <w:bookmarkEnd w:id="16"/>
      <w:bookmarkEnd w:id="17"/>
    </w:p>
    <w:p>
      <w:pPr>
        <w:widowControl/>
        <w:jc w:val="center"/>
        <w:rPr>
          <w:rFonts w:ascii="方正小标宋简体" w:eastAsia="方正小标宋简体"/>
          <w:color w:val="auto"/>
          <w:sz w:val="36"/>
          <w:szCs w:val="36"/>
          <w:highlight w:val="none"/>
        </w:rPr>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p>
    <w:p>
      <w:pPr>
        <w:widowControl/>
        <w:jc w:val="center"/>
        <w:rPr>
          <w:rFonts w:ascii="黑体" w:eastAsia="黑体" w:cs="Arial"/>
          <w:color w:val="auto"/>
          <w:sz w:val="28"/>
          <w:szCs w:val="28"/>
          <w:highlight w:val="none"/>
        </w:rPr>
      </w:pPr>
      <w:r>
        <w:rPr>
          <w:rFonts w:hint="eastAsia" w:ascii="黑体" w:eastAsia="黑体"/>
          <w:color w:val="auto"/>
          <w:sz w:val="48"/>
          <w:szCs w:val="48"/>
          <w:highlight w:val="none"/>
        </w:rPr>
        <w:t>目录</w:t>
      </w:r>
    </w:p>
    <w:p>
      <w:pPr>
        <w:pStyle w:val="11"/>
        <w:rPr>
          <w:color w:val="auto"/>
          <w:sz w:val="22"/>
          <w:szCs w:val="22"/>
          <w:highlight w:val="none"/>
        </w:rPr>
      </w:pPr>
      <w:r>
        <w:rPr>
          <w:rFonts w:hint="eastAsia"/>
          <w:color w:val="auto"/>
          <w:sz w:val="22"/>
          <w:szCs w:val="22"/>
          <w:highlight w:val="none"/>
        </w:rPr>
        <w:t>公开时间：20</w:t>
      </w:r>
      <w:r>
        <w:rPr>
          <w:rFonts w:hint="eastAsia"/>
          <w:color w:val="auto"/>
          <w:sz w:val="22"/>
          <w:szCs w:val="22"/>
          <w:highlight w:val="none"/>
          <w:lang w:val="en-US" w:eastAsia="zh-CN"/>
        </w:rPr>
        <w:t>23</w:t>
      </w:r>
      <w:r>
        <w:rPr>
          <w:rFonts w:hint="eastAsia"/>
          <w:color w:val="auto"/>
          <w:sz w:val="22"/>
          <w:szCs w:val="22"/>
          <w:highlight w:val="none"/>
        </w:rPr>
        <w:t>年</w:t>
      </w:r>
      <w:r>
        <w:rPr>
          <w:rFonts w:hint="eastAsia"/>
          <w:color w:val="auto"/>
          <w:sz w:val="22"/>
          <w:szCs w:val="22"/>
          <w:highlight w:val="none"/>
          <w:lang w:val="en-US" w:eastAsia="zh-CN"/>
        </w:rPr>
        <w:t>9</w:t>
      </w:r>
      <w:r>
        <w:rPr>
          <w:rFonts w:hint="eastAsia"/>
          <w:color w:val="auto"/>
          <w:sz w:val="22"/>
          <w:szCs w:val="22"/>
          <w:highlight w:val="none"/>
        </w:rPr>
        <w:t>月</w:t>
      </w:r>
      <w:r>
        <w:rPr>
          <w:rFonts w:hint="eastAsia"/>
          <w:color w:val="auto"/>
          <w:sz w:val="22"/>
          <w:szCs w:val="22"/>
          <w:highlight w:val="none"/>
          <w:lang w:val="en-US" w:eastAsia="zh-CN"/>
        </w:rPr>
        <w:t>28</w:t>
      </w:r>
      <w:r>
        <w:rPr>
          <w:rFonts w:hint="eastAsia"/>
          <w:color w:val="auto"/>
          <w:sz w:val="22"/>
          <w:szCs w:val="22"/>
          <w:highlight w:val="none"/>
        </w:rPr>
        <w:t>日</w:t>
      </w:r>
    </w:p>
    <w:sdt>
      <w:sdtPr>
        <w:rPr>
          <w:rFonts w:ascii="宋体" w:hAnsi="宋体" w:eastAsia="宋体" w:cs="Times New Roman"/>
          <w:kern w:val="2"/>
          <w:sz w:val="21"/>
          <w:szCs w:val="24"/>
          <w:lang w:val="en-US" w:eastAsia="zh-CN" w:bidi="ar-SA"/>
        </w:rPr>
        <w:id w:val="147476183"/>
        <w15:color w:val="DBDBDB"/>
        <w:docPartObj>
          <w:docPartGallery w:val="Table of Contents"/>
          <w:docPartUnique/>
        </w:docPartObj>
      </w:sdtPr>
      <w:sdtEndPr>
        <w:rPr>
          <w:rFonts w:hint="eastAsia" w:ascii="黑体" w:hAnsi="Times New Roman" w:eastAsia="黑体" w:cs="Times New Roman"/>
          <w:b/>
          <w:bCs/>
          <w:color w:val="auto"/>
          <w:kern w:val="44"/>
          <w:sz w:val="44"/>
          <w:szCs w:val="44"/>
          <w:highlight w:val="none"/>
          <w:lang w:val="en-US" w:eastAsia="zh-CN" w:bidi="ar-SA"/>
        </w:rPr>
      </w:sdtEndPr>
      <w:sdtContent>
        <w:p>
          <w:pPr>
            <w:spacing w:before="0" w:beforeLines="0" w:after="0" w:afterLines="0" w:line="240" w:lineRule="auto"/>
            <w:ind w:left="0" w:leftChars="0" w:right="0" w:rightChars="0" w:firstLine="0" w:firstLineChars="0"/>
            <w:jc w:val="left"/>
          </w:pPr>
          <w:bookmarkStart w:id="18" w:name="_Toc15377196"/>
          <w:r>
            <w:rPr>
              <w:rFonts w:hint="eastAsia" w:ascii="黑体" w:eastAsia="黑体"/>
              <w:b w:val="0"/>
              <w:color w:val="auto"/>
              <w:highlight w:val="none"/>
            </w:rPr>
            <w:fldChar w:fldCharType="begin"/>
          </w:r>
          <w:r>
            <w:rPr>
              <w:rFonts w:hint="eastAsia" w:ascii="黑体" w:eastAsia="黑体"/>
              <w:b w:val="0"/>
              <w:color w:val="auto"/>
              <w:highlight w:val="none"/>
            </w:rPr>
            <w:instrText xml:space="preserve">TOC \o "1-3" \h \u</w:instrText>
          </w:r>
          <w:r>
            <w:rPr>
              <w:rFonts w:hint="eastAsia" w:ascii="黑体" w:eastAsia="黑体"/>
              <w:b w:val="0"/>
              <w:color w:val="auto"/>
              <w:highlight w:val="none"/>
            </w:rPr>
            <w:fldChar w:fldCharType="separate"/>
          </w:r>
        </w:p>
        <w:p>
          <w:pPr>
            <w:pStyle w:val="11"/>
            <w:tabs>
              <w:tab w:val="right" w:leader="dot" w:pos="8306"/>
              <w:tab w:val="clear" w:pos="8296"/>
            </w:tabs>
            <w:jc w:val="both"/>
            <w:rPr>
              <w:rFonts w:hint="eastAsia" w:ascii="仿宋" w:hAnsi="仿宋" w:eastAsia="仿宋" w:cs="仿宋"/>
              <w:sz w:val="24"/>
              <w:szCs w:val="24"/>
            </w:rPr>
          </w:pPr>
          <w:r>
            <w:fldChar w:fldCharType="begin"/>
          </w:r>
          <w:r>
            <w:instrText xml:space="preserve"> HYPERLINK \l "_Toc30390" </w:instrText>
          </w:r>
          <w:r>
            <w:fldChar w:fldCharType="separate"/>
          </w:r>
          <w:r>
            <w:rPr>
              <w:rFonts w:hint="eastAsia" w:ascii="仿宋" w:hAnsi="仿宋" w:eastAsia="仿宋" w:cs="仿宋"/>
              <w:sz w:val="24"/>
              <w:szCs w:val="24"/>
              <w:highlight w:val="none"/>
            </w:rPr>
            <w:t xml:space="preserve">第一部分 </w:t>
          </w:r>
          <w:r>
            <w:rPr>
              <w:rFonts w:hint="eastAsia" w:ascii="仿宋" w:hAnsi="仿宋" w:eastAsia="仿宋" w:cs="仿宋"/>
              <w:sz w:val="24"/>
              <w:szCs w:val="24"/>
              <w:highlight w:val="none"/>
              <w:lang w:eastAsia="zh-CN"/>
            </w:rPr>
            <w:t>单位</w:t>
          </w:r>
          <w:r>
            <w:rPr>
              <w:rFonts w:hint="eastAsia" w:ascii="仿宋" w:hAnsi="仿宋" w:eastAsia="仿宋" w:cs="仿宋"/>
              <w:bCs w:val="0"/>
              <w:sz w:val="24"/>
              <w:szCs w:val="24"/>
              <w:highlight w:val="none"/>
            </w:rPr>
            <w:t>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_Toc30390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"_Toc2627" </w:instrText>
          </w:r>
          <w:r>
            <w:fldChar w:fldCharType="separate"/>
          </w:r>
          <w:r>
            <w:rPr>
              <w:rFonts w:hint="eastAsia" w:ascii="仿宋" w:hAnsi="仿宋" w:eastAsia="仿宋" w:cs="仿宋"/>
              <w:bCs w:val="0"/>
              <w:sz w:val="24"/>
              <w:szCs w:val="24"/>
              <w:lang w:eastAsia="zh-CN"/>
            </w:rPr>
            <w:t>一、</w:t>
          </w:r>
          <w:r>
            <w:rPr>
              <w:rFonts w:hint="eastAsia" w:ascii="仿宋" w:hAnsi="仿宋" w:eastAsia="仿宋" w:cs="仿宋"/>
              <w:bCs w:val="0"/>
              <w:sz w:val="24"/>
              <w:szCs w:val="24"/>
              <w:highlight w:val="none"/>
              <w:lang w:eastAsia="zh-CN"/>
            </w:rPr>
            <w:t>主要职责</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_Toc2627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"_Toc16914" </w:instrText>
          </w:r>
          <w:r>
            <w:fldChar w:fldCharType="separate"/>
          </w:r>
          <w:r>
            <w:rPr>
              <w:rFonts w:hint="eastAsia" w:ascii="仿宋" w:hAnsi="仿宋" w:eastAsia="仿宋" w:cs="仿宋"/>
              <w:sz w:val="24"/>
              <w:szCs w:val="24"/>
              <w:highlight w:val="none"/>
              <w:lang w:val="en-US" w:eastAsia="zh-CN"/>
            </w:rPr>
            <w:t>二、机构设置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_Toc16914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"_Toc21614" </w:instrText>
          </w:r>
          <w:r>
            <w:fldChar w:fldCharType="separate"/>
          </w:r>
          <w:r>
            <w:rPr>
              <w:rFonts w:hint="eastAsia" w:ascii="仿宋" w:hAnsi="仿宋" w:eastAsia="仿宋" w:cs="仿宋"/>
              <w:sz w:val="24"/>
              <w:szCs w:val="24"/>
            </w:rPr>
            <w:t>一、</w:t>
          </w:r>
          <w:r>
            <w:rPr>
              <w:rFonts w:hint="eastAsia" w:ascii="仿宋" w:hAnsi="仿宋" w:eastAsia="仿宋" w:cs="仿宋"/>
              <w:sz w:val="24"/>
              <w:szCs w:val="24"/>
              <w:highlight w:val="none"/>
            </w:rPr>
            <w:t>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_Toc21614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"_Toc2356" </w:instrText>
          </w:r>
          <w:r>
            <w:fldChar w:fldCharType="separate"/>
          </w:r>
          <w:r>
            <w:rPr>
              <w:rFonts w:hint="eastAsia" w:ascii="仿宋" w:hAnsi="仿宋" w:eastAsia="仿宋" w:cs="仿宋"/>
              <w:sz w:val="24"/>
              <w:szCs w:val="24"/>
              <w:highlight w:val="none"/>
            </w:rPr>
            <w:t>二、收入决算情况说明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_Toc2356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"_Toc18052" </w:instrText>
          </w:r>
          <w:r>
            <w:fldChar w:fldCharType="separate"/>
          </w:r>
          <w:r>
            <w:rPr>
              <w:rFonts w:hint="eastAsia" w:ascii="仿宋" w:hAnsi="仿宋" w:eastAsia="仿宋" w:cs="仿宋"/>
              <w:sz w:val="24"/>
              <w:szCs w:val="24"/>
              <w:highlight w:val="none"/>
            </w:rPr>
            <w:t>三、支出决算情况说明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_Toc18052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"_Toc2255" </w:instrText>
          </w:r>
          <w:r>
            <w:fldChar w:fldCharType="separate"/>
          </w:r>
          <w:r>
            <w:rPr>
              <w:rFonts w:hint="eastAsia" w:ascii="仿宋" w:hAnsi="仿宋" w:eastAsia="仿宋" w:cs="仿宋"/>
              <w:sz w:val="24"/>
              <w:szCs w:val="24"/>
              <w:highlight w:val="none"/>
            </w:rPr>
            <w:t>四、财政拨款收入支出决算总体情况说明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_Toc2255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"_Toc11564" </w:instrText>
          </w:r>
          <w:r>
            <w:fldChar w:fldCharType="separate"/>
          </w:r>
          <w:r>
            <w:rPr>
              <w:rFonts w:hint="eastAsia" w:ascii="仿宋" w:hAnsi="仿宋" w:eastAsia="仿宋" w:cs="仿宋"/>
              <w:sz w:val="24"/>
              <w:szCs w:val="24"/>
              <w:highlight w:val="none"/>
            </w:rPr>
            <w:t>五、一般公共预算财政拨款支出决算情况说明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_Toc11564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"_Toc10723" </w:instrText>
          </w:r>
          <w:r>
            <w:fldChar w:fldCharType="separate"/>
          </w:r>
          <w:r>
            <w:rPr>
              <w:rFonts w:hint="eastAsia" w:ascii="仿宋" w:hAnsi="仿宋" w:eastAsia="仿宋" w:cs="仿宋"/>
              <w:sz w:val="24"/>
              <w:szCs w:val="24"/>
              <w:highlight w:val="none"/>
            </w:rPr>
            <w:t>六、一般公共预算财政拨款基本支出决算情况说明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_Toc10723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"_Toc6249" </w:instrText>
          </w:r>
          <w:r>
            <w:fldChar w:fldCharType="separate"/>
          </w:r>
          <w:r>
            <w:rPr>
              <w:rFonts w:hint="eastAsia" w:ascii="仿宋" w:hAnsi="仿宋" w:eastAsia="仿宋" w:cs="仿宋"/>
              <w:sz w:val="24"/>
              <w:szCs w:val="24"/>
              <w:highlight w:val="none"/>
            </w:rPr>
            <w:t>七、财政拨款“三公”经费支出决算情况说明（无）</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_Toc6249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"_Toc1231" </w:instrText>
          </w:r>
          <w:r>
            <w:fldChar w:fldCharType="separate"/>
          </w:r>
          <w:r>
            <w:rPr>
              <w:rFonts w:hint="eastAsia" w:ascii="仿宋" w:hAnsi="仿宋" w:eastAsia="仿宋" w:cs="仿宋"/>
              <w:sz w:val="24"/>
              <w:szCs w:val="24"/>
              <w:highlight w:val="none"/>
            </w:rPr>
            <w:t>八、政府性基金预算支出决算情况说明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_Toc1231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"_Toc11325" </w:instrText>
          </w:r>
          <w:r>
            <w:fldChar w:fldCharType="separate"/>
          </w:r>
          <w:r>
            <w:rPr>
              <w:rFonts w:hint="eastAsia" w:ascii="仿宋" w:hAnsi="仿宋" w:eastAsia="仿宋" w:cs="仿宋"/>
              <w:sz w:val="24"/>
              <w:szCs w:val="24"/>
            </w:rPr>
            <w:t>九、</w:t>
          </w:r>
          <w:r>
            <w:rPr>
              <w:rFonts w:hint="eastAsia" w:ascii="仿宋" w:hAnsi="仿宋" w:eastAsia="仿宋" w:cs="仿宋"/>
              <w:sz w:val="24"/>
              <w:szCs w:val="24"/>
              <w:highlight w:val="none"/>
            </w:rPr>
            <w:t>国有资本经营预算支出决算情况说明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_Toc11325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仿宋" w:hAnsi="仿宋" w:eastAsia="仿宋" w:cs="仿宋"/>
              <w:sz w:val="24"/>
              <w:szCs w:val="24"/>
            </w:rPr>
          </w:pPr>
          <w:r>
            <w:fldChar w:fldCharType="begin"/>
          </w:r>
          <w:r>
            <w:instrText xml:space="preserve"> HYPERLINK \l "_Toc21959" </w:instrText>
          </w:r>
          <w:r>
            <w:fldChar w:fldCharType="separate"/>
          </w:r>
          <w:r>
            <w:rPr>
              <w:rFonts w:hint="eastAsia" w:ascii="仿宋" w:hAnsi="仿宋" w:eastAsia="仿宋" w:cs="仿宋"/>
              <w:sz w:val="24"/>
              <w:szCs w:val="24"/>
            </w:rPr>
            <w:t>十、</w:t>
          </w:r>
          <w:r>
            <w:rPr>
              <w:rFonts w:hint="eastAsia" w:ascii="仿宋" w:hAnsi="仿宋" w:eastAsia="仿宋" w:cs="仿宋"/>
              <w:sz w:val="24"/>
              <w:szCs w:val="24"/>
              <w:highlight w:val="none"/>
            </w:rPr>
            <w:t>其他重要事项的情况说明（无）</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_Toc21959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7"/>
            <w:tabs>
              <w:tab w:val="right" w:leader="dot" w:pos="8306"/>
              <w:tab w:val="clear" w:pos="8296"/>
            </w:tabs>
            <w:rPr>
              <w:rFonts w:hint="eastAsia" w:ascii="仿宋" w:hAnsi="仿宋" w:eastAsia="仿宋" w:cs="仿宋"/>
              <w:sz w:val="24"/>
              <w:szCs w:val="24"/>
            </w:rPr>
          </w:pPr>
          <w:r>
            <w:fldChar w:fldCharType="begin"/>
          </w:r>
          <w:r>
            <w:instrText xml:space="preserve"> HYPERLINK \l "_Toc30234" </w:instrText>
          </w:r>
          <w:r>
            <w:fldChar w:fldCharType="separate"/>
          </w:r>
          <w:r>
            <w:rPr>
              <w:rFonts w:hint="eastAsia" w:ascii="仿宋" w:hAnsi="仿宋" w:eastAsia="仿宋" w:cs="仿宋"/>
              <w:sz w:val="24"/>
              <w:szCs w:val="24"/>
              <w:highlight w:val="none"/>
            </w:rPr>
            <w:t>（一）</w:t>
          </w:r>
          <w:r>
            <w:rPr>
              <w:rFonts w:hint="eastAsia" w:ascii="仿宋" w:hAnsi="仿宋" w:eastAsia="仿宋" w:cs="仿宋"/>
              <w:sz w:val="24"/>
              <w:szCs w:val="24"/>
              <w:highlight w:val="none"/>
              <w:lang w:eastAsia="zh-CN"/>
            </w:rPr>
            <w:t>单位</w:t>
          </w:r>
          <w:r>
            <w:rPr>
              <w:rFonts w:hint="eastAsia" w:ascii="仿宋" w:hAnsi="仿宋" w:eastAsia="仿宋" w:cs="仿宋"/>
              <w:sz w:val="24"/>
              <w:szCs w:val="24"/>
              <w:highlight w:val="none"/>
            </w:rPr>
            <w:t>运行经费支出情况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_Toc30234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7"/>
            <w:tabs>
              <w:tab w:val="right" w:leader="dot" w:pos="8306"/>
              <w:tab w:val="clear" w:pos="8296"/>
            </w:tabs>
            <w:rPr>
              <w:rFonts w:hint="eastAsia" w:ascii="仿宋" w:hAnsi="仿宋" w:eastAsia="仿宋" w:cs="仿宋"/>
              <w:sz w:val="24"/>
              <w:szCs w:val="24"/>
            </w:rPr>
          </w:pPr>
          <w:r>
            <w:fldChar w:fldCharType="begin"/>
          </w:r>
          <w:r>
            <w:instrText xml:space="preserve"> HYPERLINK \l "_Toc2298" </w:instrText>
          </w:r>
          <w:r>
            <w:fldChar w:fldCharType="separate"/>
          </w:r>
          <w:r>
            <w:rPr>
              <w:rFonts w:hint="eastAsia" w:ascii="仿宋" w:hAnsi="仿宋" w:eastAsia="仿宋" w:cs="仿宋"/>
              <w:sz w:val="24"/>
              <w:szCs w:val="24"/>
              <w:highlight w:val="none"/>
            </w:rPr>
            <w:t>（二）政府采购支出情况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_Toc2298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7"/>
            <w:tabs>
              <w:tab w:val="right" w:leader="dot" w:pos="8306"/>
              <w:tab w:val="clear" w:pos="8296"/>
            </w:tabs>
            <w:rPr>
              <w:rFonts w:hint="eastAsia" w:ascii="仿宋" w:hAnsi="仿宋" w:eastAsia="仿宋" w:cs="仿宋"/>
              <w:sz w:val="24"/>
              <w:szCs w:val="24"/>
            </w:rPr>
          </w:pPr>
          <w:r>
            <w:fldChar w:fldCharType="begin"/>
          </w:r>
          <w:r>
            <w:instrText xml:space="preserve"> HYPERLINK \l "_Toc21699" </w:instrText>
          </w:r>
          <w:r>
            <w:fldChar w:fldCharType="separate"/>
          </w:r>
          <w:r>
            <w:rPr>
              <w:rFonts w:hint="eastAsia" w:ascii="仿宋" w:hAnsi="仿宋" w:eastAsia="仿宋" w:cs="仿宋"/>
              <w:sz w:val="24"/>
              <w:szCs w:val="24"/>
              <w:highlight w:val="none"/>
            </w:rPr>
            <w:t>（三）国有资产占有使用情况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_Toc21699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7"/>
            <w:tabs>
              <w:tab w:val="right" w:leader="dot" w:pos="8306"/>
              <w:tab w:val="clear" w:pos="8296"/>
            </w:tabs>
            <w:rPr>
              <w:rFonts w:hint="eastAsia" w:ascii="仿宋" w:hAnsi="仿宋" w:eastAsia="仿宋" w:cs="仿宋"/>
              <w:sz w:val="24"/>
              <w:szCs w:val="24"/>
            </w:rPr>
          </w:pPr>
          <w:r>
            <w:fldChar w:fldCharType="begin"/>
          </w:r>
          <w:r>
            <w:instrText xml:space="preserve"> HYPERLINK \l "_Toc1114" </w:instrText>
          </w:r>
          <w:r>
            <w:fldChar w:fldCharType="separate"/>
          </w:r>
          <w:r>
            <w:rPr>
              <w:rFonts w:hint="eastAsia" w:ascii="仿宋" w:hAnsi="仿宋" w:eastAsia="仿宋" w:cs="仿宋"/>
              <w:sz w:val="24"/>
              <w:szCs w:val="24"/>
              <w:highlight w:val="none"/>
            </w:rPr>
            <w:t>（四）预算绩效管理情况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_Toc1114 \h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"_Toc7216" </w:instrText>
          </w:r>
          <w:r>
            <w:fldChar w:fldCharType="separate"/>
          </w:r>
          <w:r>
            <w:rPr>
              <w:rFonts w:hint="eastAsia" w:ascii="仿宋" w:hAnsi="仿宋" w:eastAsia="仿宋" w:cs="仿宋"/>
              <w:sz w:val="24"/>
              <w:szCs w:val="24"/>
            </w:rPr>
            <w:t xml:space="preserve">第三部分 </w:t>
          </w:r>
          <w:r>
            <w:rPr>
              <w:rFonts w:hint="eastAsia" w:ascii="仿宋" w:hAnsi="仿宋" w:eastAsia="仿宋" w:cs="仿宋"/>
              <w:sz w:val="24"/>
              <w:szCs w:val="24"/>
              <w:highlight w:val="none"/>
            </w:rPr>
            <w:t>名词解释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_Toc7216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"_Toc650" </w:instrText>
          </w:r>
          <w:r>
            <w:fldChar w:fldCharType="separate"/>
          </w:r>
          <w:r>
            <w:rPr>
              <w:rFonts w:hint="eastAsia" w:ascii="仿宋" w:hAnsi="仿宋" w:eastAsia="仿宋" w:cs="仿宋"/>
              <w:sz w:val="24"/>
              <w:szCs w:val="24"/>
              <w:highlight w:val="none"/>
            </w:rPr>
            <w:t>第四部分 附件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_Toc650 \h </w:instrText>
          </w:r>
          <w:r>
            <w:rPr>
              <w:rFonts w:hint="eastAsia" w:ascii="仿宋" w:hAnsi="仿宋" w:eastAsia="仿宋" w:cs="仿宋"/>
              <w:sz w:val="24"/>
              <w:szCs w:val="24"/>
            </w:rPr>
            <w:fldChar w:fldCharType="separate"/>
          </w:r>
          <w:r>
            <w:rPr>
              <w:rFonts w:hint="eastAsia" w:ascii="仿宋" w:hAnsi="仿宋" w:eastAsia="仿宋" w:cs="仿宋"/>
              <w:sz w:val="24"/>
              <w:szCs w:val="24"/>
            </w:rPr>
            <w:t>12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fldChar w:fldCharType="begin"/>
          </w:r>
          <w:r>
            <w:instrText xml:space="preserve"> HYPERLINK \l "_Toc8414" </w:instrText>
          </w:r>
          <w:r>
            <w:fldChar w:fldCharType="separate"/>
          </w:r>
          <w:r>
            <w:rPr>
              <w:rFonts w:hint="eastAsia" w:ascii="仿宋" w:hAnsi="仿宋" w:eastAsia="仿宋" w:cs="仿宋"/>
              <w:sz w:val="24"/>
              <w:szCs w:val="24"/>
              <w:highlight w:val="none"/>
            </w:rPr>
            <w:t>第五部分 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_Toc8414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"_Toc235" </w:instrText>
          </w:r>
          <w:r>
            <w:fldChar w:fldCharType="separate"/>
          </w:r>
          <w:r>
            <w:rPr>
              <w:rFonts w:hint="eastAsia" w:ascii="仿宋" w:hAnsi="仿宋" w:eastAsia="仿宋" w:cs="仿宋"/>
              <w:sz w:val="24"/>
              <w:szCs w:val="24"/>
              <w:highlight w:val="none"/>
            </w:rPr>
            <w:t>一、收</w:t>
          </w:r>
          <w:r>
            <w:rPr>
              <w:rFonts w:hint="eastAsia" w:ascii="仿宋" w:hAnsi="仿宋" w:eastAsia="仿宋" w:cs="仿宋"/>
              <w:bCs w:val="0"/>
              <w:sz w:val="24"/>
              <w:szCs w:val="24"/>
              <w:highlight w:val="none"/>
            </w:rPr>
            <w:t>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_Toc235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"_Toc25109" </w:instrText>
          </w:r>
          <w:r>
            <w:fldChar w:fldCharType="separate"/>
          </w:r>
          <w:r>
            <w:rPr>
              <w:rFonts w:hint="eastAsia" w:ascii="仿宋" w:hAnsi="仿宋" w:eastAsia="仿宋" w:cs="仿宋"/>
              <w:sz w:val="24"/>
              <w:szCs w:val="24"/>
              <w:highlight w:val="none"/>
            </w:rPr>
            <w:t>二、收</w:t>
          </w:r>
          <w:r>
            <w:rPr>
              <w:rFonts w:hint="eastAsia" w:ascii="仿宋" w:hAnsi="仿宋" w:eastAsia="仿宋" w:cs="仿宋"/>
              <w:bCs w:val="0"/>
              <w:sz w:val="24"/>
              <w:szCs w:val="24"/>
              <w:highlight w:val="none"/>
            </w:rPr>
            <w:t>入决算表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_Toc25109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"_Toc25424" </w:instrText>
          </w:r>
          <w:r>
            <w:fldChar w:fldCharType="separate"/>
          </w:r>
          <w:r>
            <w:rPr>
              <w:rFonts w:hint="eastAsia" w:ascii="仿宋" w:hAnsi="仿宋" w:eastAsia="仿宋" w:cs="仿宋"/>
              <w:bCs w:val="0"/>
              <w:sz w:val="24"/>
              <w:szCs w:val="24"/>
              <w:highlight w:val="none"/>
            </w:rPr>
            <w:t>三、</w:t>
          </w:r>
          <w:r>
            <w:rPr>
              <w:rFonts w:hint="eastAsia" w:ascii="仿宋" w:hAnsi="仿宋" w:eastAsia="仿宋" w:cs="仿宋"/>
              <w:sz w:val="24"/>
              <w:szCs w:val="24"/>
              <w:highlight w:val="none"/>
            </w:rPr>
            <w:t>支</w:t>
          </w:r>
          <w:r>
            <w:rPr>
              <w:rFonts w:hint="eastAsia" w:ascii="仿宋" w:hAnsi="仿宋" w:eastAsia="仿宋" w:cs="仿宋"/>
              <w:bCs w:val="0"/>
              <w:sz w:val="24"/>
              <w:szCs w:val="24"/>
              <w:highlight w:val="none"/>
            </w:rPr>
            <w:t>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_Toc25424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"_Toc14182" </w:instrText>
          </w:r>
          <w:r>
            <w:fldChar w:fldCharType="separate"/>
          </w:r>
          <w:r>
            <w:rPr>
              <w:rFonts w:hint="eastAsia" w:ascii="仿宋" w:hAnsi="仿宋" w:eastAsia="仿宋" w:cs="仿宋"/>
              <w:bCs w:val="0"/>
              <w:sz w:val="24"/>
              <w:szCs w:val="24"/>
              <w:highlight w:val="none"/>
            </w:rPr>
            <w:t>四、</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_Toc14182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"_Toc8708" </w:instrText>
          </w:r>
          <w:r>
            <w:fldChar w:fldCharType="separate"/>
          </w:r>
          <w:r>
            <w:rPr>
              <w:rFonts w:hint="eastAsia" w:ascii="仿宋" w:hAnsi="仿宋" w:eastAsia="仿宋" w:cs="仿宋"/>
              <w:bCs w:val="0"/>
              <w:sz w:val="24"/>
              <w:szCs w:val="24"/>
              <w:highlight w:val="none"/>
            </w:rPr>
            <w:t>五、</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_Toc8708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"_Toc8958" </w:instrText>
          </w:r>
          <w:r>
            <w:fldChar w:fldCharType="separate"/>
          </w:r>
          <w:r>
            <w:rPr>
              <w:rFonts w:hint="eastAsia" w:ascii="仿宋" w:hAnsi="仿宋" w:eastAsia="仿宋" w:cs="仿宋"/>
              <w:bCs w:val="0"/>
              <w:sz w:val="24"/>
              <w:szCs w:val="24"/>
              <w:highlight w:val="none"/>
            </w:rPr>
            <w:t>六、</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_Toc8958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"_Toc15682" </w:instrText>
          </w:r>
          <w:r>
            <w:fldChar w:fldCharType="separate"/>
          </w:r>
          <w:r>
            <w:rPr>
              <w:rFonts w:hint="eastAsia" w:ascii="仿宋" w:hAnsi="仿宋" w:eastAsia="仿宋" w:cs="仿宋"/>
              <w:bCs w:val="0"/>
              <w:sz w:val="24"/>
              <w:szCs w:val="24"/>
              <w:highlight w:val="none"/>
            </w:rPr>
            <w:t>七、</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_Toc15682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"_Toc14283" </w:instrText>
          </w:r>
          <w:r>
            <w:fldChar w:fldCharType="separate"/>
          </w:r>
          <w:r>
            <w:rPr>
              <w:rFonts w:hint="eastAsia" w:ascii="仿宋" w:hAnsi="仿宋" w:eastAsia="仿宋" w:cs="仿宋"/>
              <w:bCs w:val="0"/>
              <w:sz w:val="24"/>
              <w:szCs w:val="24"/>
              <w:highlight w:val="none"/>
            </w:rPr>
            <w:t>八、</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般公共预算财政拨款基本支出决算表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_Toc14283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"_Toc18785" </w:instrText>
          </w:r>
          <w:r>
            <w:fldChar w:fldCharType="separate"/>
          </w:r>
          <w:r>
            <w:rPr>
              <w:rFonts w:hint="eastAsia" w:ascii="仿宋" w:hAnsi="仿宋" w:eastAsia="仿宋" w:cs="仿宋"/>
              <w:bCs w:val="0"/>
              <w:sz w:val="24"/>
              <w:szCs w:val="24"/>
              <w:highlight w:val="none"/>
            </w:rPr>
            <w:t>九、</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般公共预算财政拨款项目支出决算表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_Toc18785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"_Toc14721" </w:instrText>
          </w:r>
          <w:r>
            <w:fldChar w:fldCharType="separate"/>
          </w:r>
          <w:r>
            <w:rPr>
              <w:rFonts w:hint="eastAsia" w:ascii="仿宋" w:hAnsi="仿宋" w:eastAsia="仿宋" w:cs="仿宋"/>
              <w:bCs w:val="0"/>
              <w:sz w:val="24"/>
              <w:szCs w:val="24"/>
              <w:highlight w:val="none"/>
            </w:rPr>
            <w:t>十、</w:t>
          </w:r>
          <w:r>
            <w:rPr>
              <w:rFonts w:hint="eastAsia" w:ascii="仿宋" w:hAnsi="仿宋" w:eastAsia="仿宋" w:cs="仿宋"/>
              <w:sz w:val="24"/>
              <w:szCs w:val="24"/>
              <w:highlight w:val="none"/>
            </w:rPr>
            <w:t>政</w:t>
          </w:r>
          <w:r>
            <w:rPr>
              <w:rFonts w:hint="eastAsia" w:ascii="仿宋" w:hAnsi="仿宋" w:eastAsia="仿宋" w:cs="仿宋"/>
              <w:bCs w:val="0"/>
              <w:sz w:val="24"/>
              <w:szCs w:val="24"/>
              <w:highlight w:val="none"/>
            </w:rPr>
            <w:t>府性基金预算财政拨款收入支出决算表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_Toc14721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"_Toc16684" </w:instrText>
          </w:r>
          <w:r>
            <w:fldChar w:fldCharType="separate"/>
          </w:r>
          <w:r>
            <w:rPr>
              <w:rFonts w:hint="eastAsia" w:ascii="仿宋" w:hAnsi="仿宋" w:eastAsia="仿宋" w:cs="仿宋"/>
              <w:bCs w:val="0"/>
              <w:sz w:val="24"/>
              <w:szCs w:val="24"/>
              <w:highlight w:val="none"/>
            </w:rPr>
            <w:t>十一、</w:t>
          </w:r>
          <w:r>
            <w:rPr>
              <w:rFonts w:hint="eastAsia" w:ascii="仿宋" w:hAnsi="仿宋" w:eastAsia="仿宋" w:cs="仿宋"/>
              <w:sz w:val="24"/>
              <w:szCs w:val="24"/>
              <w:highlight w:val="none"/>
            </w:rPr>
            <w:t>国</w:t>
          </w:r>
          <w:r>
            <w:rPr>
              <w:rFonts w:hint="eastAsia" w:ascii="仿宋" w:hAnsi="仿宋" w:eastAsia="仿宋" w:cs="仿宋"/>
              <w:bCs w:val="0"/>
              <w:sz w:val="24"/>
              <w:szCs w:val="24"/>
              <w:highlight w:val="none"/>
            </w:rPr>
            <w:t>有资本经营预算</w:t>
          </w:r>
          <w:r>
            <w:rPr>
              <w:rFonts w:hint="eastAsia" w:ascii="仿宋" w:hAnsi="仿宋" w:eastAsia="仿宋" w:cs="仿宋"/>
              <w:bCs w:val="0"/>
              <w:sz w:val="24"/>
              <w:szCs w:val="24"/>
              <w:highlight w:val="none"/>
              <w:lang w:eastAsia="zh-CN"/>
            </w:rPr>
            <w:t>财政拨款收入</w:t>
          </w:r>
          <w:r>
            <w:rPr>
              <w:rFonts w:hint="eastAsia" w:ascii="仿宋" w:hAnsi="仿宋" w:eastAsia="仿宋" w:cs="仿宋"/>
              <w:bCs w:val="0"/>
              <w:sz w:val="24"/>
              <w:szCs w:val="24"/>
              <w:highlight w:val="none"/>
            </w:rPr>
            <w:t>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_Toc16684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"_Toc3579" </w:instrText>
          </w:r>
          <w:r>
            <w:fldChar w:fldCharType="separate"/>
          </w:r>
          <w:r>
            <w:rPr>
              <w:rFonts w:hint="eastAsia" w:ascii="仿宋" w:hAnsi="仿宋" w:eastAsia="仿宋" w:cs="仿宋"/>
              <w:bCs w:val="0"/>
              <w:sz w:val="24"/>
              <w:szCs w:val="24"/>
              <w:highlight w:val="none"/>
            </w:rPr>
            <w:t>十二、</w:t>
          </w:r>
          <w:r>
            <w:rPr>
              <w:rFonts w:hint="eastAsia" w:ascii="仿宋" w:hAnsi="仿宋" w:eastAsia="仿宋" w:cs="仿宋"/>
              <w:bCs w:val="0"/>
              <w:sz w:val="24"/>
              <w:szCs w:val="24"/>
              <w:highlight w:val="none"/>
              <w:lang w:eastAsia="zh-CN"/>
            </w:rPr>
            <w:t>国有资本经营预算财政拨款支出决算表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_Toc3579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306"/>
              <w:tab w:val="clear" w:pos="8296"/>
            </w:tabs>
            <w:rPr>
              <w:rFonts w:hint="eastAsia" w:ascii="仿宋" w:hAnsi="仿宋" w:eastAsia="仿宋" w:cs="仿宋"/>
              <w:sz w:val="24"/>
              <w:szCs w:val="24"/>
            </w:rPr>
          </w:pPr>
          <w:r>
            <w:fldChar w:fldCharType="begin"/>
          </w:r>
          <w:r>
            <w:instrText xml:space="preserve"> HYPERLINK \l "_Toc30793" </w:instrText>
          </w:r>
          <w:r>
            <w:fldChar w:fldCharType="separate"/>
          </w:r>
          <w:r>
            <w:rPr>
              <w:rFonts w:hint="eastAsia" w:ascii="仿宋" w:hAnsi="仿宋" w:eastAsia="仿宋" w:cs="仿宋"/>
              <w:bCs w:val="0"/>
              <w:sz w:val="24"/>
              <w:szCs w:val="24"/>
              <w:highlight w:val="none"/>
            </w:rPr>
            <w:t>十三、</w:t>
          </w:r>
          <w:r>
            <w:rPr>
              <w:rFonts w:hint="eastAsia" w:ascii="仿宋" w:hAnsi="仿宋" w:eastAsia="仿宋" w:cs="仿宋"/>
              <w:bCs w:val="0"/>
              <w:sz w:val="24"/>
              <w:szCs w:val="24"/>
              <w:highlight w:val="none"/>
              <w:lang w:eastAsia="zh-CN"/>
            </w:rPr>
            <w:t>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_Toc30793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
            <w:jc w:val="both"/>
            <w:rPr>
              <w:rFonts w:hint="eastAsia" w:ascii="黑体" w:eastAsia="黑体"/>
              <w:color w:val="auto"/>
              <w:highlight w:val="none"/>
            </w:rPr>
            <w:sectPr>
              <w:footerReference r:id="rId5" w:type="default"/>
              <w:pgSz w:w="11906" w:h="16838"/>
              <w:pgMar w:top="1440" w:right="1800" w:bottom="1440" w:left="1800" w:header="851" w:footer="992" w:gutter="0"/>
              <w:pgNumType w:start="1"/>
              <w:cols w:space="720" w:num="1"/>
              <w:docGrid w:type="lines" w:linePitch="312" w:charSpace="0"/>
            </w:sectPr>
          </w:pPr>
        </w:p>
      </w:sdtContent>
    </w:sdt>
    <w:p>
      <w:pPr>
        <w:pStyle w:val="3"/>
        <w:jc w:val="both"/>
        <w:rPr>
          <w:rFonts w:hint="eastAsia" w:ascii="黑体" w:eastAsia="黑体"/>
          <w:b w:val="0"/>
          <w:color w:val="auto"/>
          <w:highlight w:val="none"/>
        </w:rPr>
      </w:pPr>
      <w:r>
        <w:rPr>
          <w:rFonts w:hint="eastAsia" w:ascii="黑体" w:eastAsia="黑体"/>
          <w:color w:val="auto"/>
          <w:highlight w:val="none"/>
        </w:rPr>
        <w:fldChar w:fldCharType="end"/>
      </w:r>
    </w:p>
    <w:p>
      <w:pPr>
        <w:pStyle w:val="3"/>
        <w:jc w:val="center"/>
        <w:rPr>
          <w:rFonts w:ascii="黑体" w:eastAsia="黑体"/>
          <w:color w:val="auto"/>
          <w:sz w:val="32"/>
          <w:szCs w:val="32"/>
          <w:highlight w:val="none"/>
        </w:rPr>
      </w:pPr>
      <w:bookmarkStart w:id="19" w:name="_Toc30390"/>
      <w:r>
        <w:rPr>
          <w:rFonts w:hint="eastAsia" w:ascii="黑体" w:eastAsia="黑体"/>
          <w:b w:val="0"/>
          <w:color w:val="auto"/>
          <w:highlight w:val="none"/>
        </w:rPr>
        <w:t xml:space="preserve">第一部分 </w:t>
      </w:r>
      <w:r>
        <w:rPr>
          <w:rFonts w:hint="eastAsia" w:ascii="黑体" w:eastAsia="黑体"/>
          <w:b w:val="0"/>
          <w:color w:val="auto"/>
          <w:highlight w:val="none"/>
          <w:lang w:eastAsia="zh-CN"/>
        </w:rPr>
        <w:t>单位</w:t>
      </w:r>
      <w:r>
        <w:rPr>
          <w:rStyle w:val="19"/>
          <w:rFonts w:hint="eastAsia" w:ascii="黑体" w:eastAsia="黑体"/>
          <w:b w:val="0"/>
          <w:bCs w:val="0"/>
          <w:color w:val="auto"/>
          <w:highlight w:val="none"/>
        </w:rPr>
        <w:t>概况</w:t>
      </w:r>
      <w:bookmarkEnd w:id="18"/>
      <w:bookmarkEnd w:id="19"/>
    </w:p>
    <w:p>
      <w:pPr>
        <w:ind w:firstLine="640" w:firstLineChars="200"/>
        <w:rPr>
          <w:rFonts w:hint="eastAsia" w:ascii="黑体" w:hAnsi="黑体" w:eastAsia="黑体" w:cs="黑体"/>
          <w:sz w:val="32"/>
          <w:szCs w:val="32"/>
          <w:lang w:eastAsia="zh-CN"/>
        </w:rPr>
      </w:pPr>
      <w:bookmarkStart w:id="20" w:name="_Toc2627"/>
      <w:bookmarkStart w:id="21" w:name="_Toc15396600"/>
      <w:bookmarkStart w:id="22" w:name="_Toc15377197"/>
      <w:r>
        <w:rPr>
          <w:rFonts w:hint="eastAsia" w:ascii="黑体" w:hAnsi="黑体" w:eastAsia="黑体" w:cs="黑体"/>
          <w:sz w:val="32"/>
          <w:szCs w:val="32"/>
          <w:lang w:eastAsia="zh-CN"/>
        </w:rPr>
        <w:t>一、主要职责</w:t>
      </w:r>
      <w:bookmarkEnd w:id="20"/>
    </w:p>
    <w:p>
      <w:pPr>
        <w:ind w:firstLine="640" w:firstLineChars="200"/>
        <w:rPr>
          <w:rFonts w:hint="eastAsia" w:ascii="仿宋" w:eastAsia="仿宋" w:cs="仿宋"/>
          <w:kern w:val="0"/>
          <w:sz w:val="32"/>
          <w:szCs w:val="32"/>
          <w:lang w:val="en-US" w:eastAsia="zh-CN"/>
        </w:rPr>
      </w:pPr>
      <w:r>
        <w:rPr>
          <w:rFonts w:hint="eastAsia" w:ascii="仿宋" w:eastAsia="仿宋" w:cs="仿宋"/>
          <w:kern w:val="0"/>
          <w:sz w:val="32"/>
          <w:szCs w:val="32"/>
          <w:lang w:val="en-US" w:eastAsia="zh-CN"/>
        </w:rPr>
        <w:t>1.以公共卫生服务为主，综合提供预防、保健和基本医疗等服务。2.加强农村疾病预防控制，做好传染病、地方病防治和疫情等农村突发公共卫生事件报告工作，重点控制严重危害农民身体健康的传染病、地方病、职业病和寄生虫病等重大疾病。3.认真执行儿童计划免疫。积极开展慢性非传染性疾病的防治工作。4.做好农村孕产妇和儿童保健工作，提高住院分娩率，改善儿童营养状况。5.积极做好新型农村合作医疗的服务、计划生育技术指导、康复等工作。6.开展爱国卫生运动，普及疾病预防和卫生保健知识，指导群众改善居住、饮食、饮水和环境卫生条件，引导和帮助农民建立良好的卫生习惯。</w:t>
      </w:r>
    </w:p>
    <w:p>
      <w:pPr>
        <w:ind w:firstLine="640" w:firstLineChars="200"/>
        <w:rPr>
          <w:rFonts w:hint="eastAsia" w:ascii="黑体" w:hAnsi="黑体" w:eastAsia="黑体" w:cs="黑体"/>
          <w:sz w:val="32"/>
          <w:szCs w:val="32"/>
          <w:lang w:val="en-US" w:eastAsia="zh-CN"/>
        </w:rPr>
      </w:pPr>
      <w:bookmarkStart w:id="23" w:name="_Toc16914"/>
      <w:r>
        <w:rPr>
          <w:rFonts w:hint="eastAsia" w:ascii="黑体" w:hAnsi="黑体" w:eastAsia="黑体" w:cs="黑体"/>
          <w:sz w:val="32"/>
          <w:szCs w:val="32"/>
          <w:lang w:val="en-US" w:eastAsia="zh-CN"/>
        </w:rPr>
        <w:t>二、机构设置</w:t>
      </w:r>
      <w:bookmarkEnd w:id="21"/>
      <w:bookmarkEnd w:id="22"/>
      <w:bookmarkEnd w:id="23"/>
    </w:p>
    <w:p>
      <w:pPr>
        <w:ind w:firstLine="640" w:firstLineChars="200"/>
        <w:rPr>
          <w:rFonts w:hint="eastAsia" w:ascii="仿宋" w:eastAsia="仿宋" w:cs="仿宋"/>
          <w:kern w:val="0"/>
          <w:sz w:val="32"/>
          <w:szCs w:val="32"/>
          <w:lang w:val="en-US" w:eastAsia="zh-CN"/>
        </w:rPr>
      </w:pPr>
      <w:r>
        <w:rPr>
          <w:rFonts w:hint="eastAsia" w:ascii="仿宋" w:hAnsi="仿宋" w:eastAsia="仿宋"/>
          <w:color w:val="auto"/>
          <w:sz w:val="32"/>
          <w:szCs w:val="32"/>
          <w:highlight w:val="none"/>
          <w:lang w:eastAsia="zh-CN"/>
        </w:rPr>
        <w:t>梅树乡卫生院为主管部门下属单位，属于二级预算单位，无下设机构。</w:t>
      </w:r>
    </w:p>
    <w:p>
      <w:pPr>
        <w:widowControl/>
        <w:jc w:val="center"/>
        <w:rPr>
          <w:rFonts w:hint="eastAsia" w:ascii="黑体" w:eastAsia="黑体"/>
          <w:b w:val="0"/>
          <w:bCs/>
          <w:color w:val="auto"/>
          <w:sz w:val="44"/>
          <w:szCs w:val="44"/>
          <w:highlight w:val="none"/>
        </w:rPr>
      </w:pPr>
      <w:bookmarkStart w:id="24" w:name="_Toc15377204"/>
      <w:bookmarkStart w:id="25" w:name="_Toc15396602"/>
    </w:p>
    <w:p>
      <w:pPr>
        <w:pStyle w:val="2"/>
        <w:rPr>
          <w:rFonts w:hint="eastAsia" w:ascii="黑体" w:eastAsia="黑体"/>
          <w:b w:val="0"/>
          <w:bCs/>
          <w:color w:val="auto"/>
          <w:sz w:val="44"/>
          <w:szCs w:val="44"/>
          <w:highlight w:val="none"/>
        </w:rPr>
      </w:pPr>
    </w:p>
    <w:p>
      <w:pPr>
        <w:rPr>
          <w:rFonts w:hint="eastAsia" w:ascii="黑体" w:eastAsia="黑体"/>
          <w:b w:val="0"/>
          <w:bCs/>
          <w:color w:val="auto"/>
          <w:sz w:val="44"/>
          <w:szCs w:val="44"/>
          <w:highlight w:val="none"/>
        </w:rPr>
      </w:pPr>
    </w:p>
    <w:p>
      <w:pPr>
        <w:pStyle w:val="2"/>
        <w:rPr>
          <w:rFonts w:hint="eastAsia"/>
        </w:rPr>
      </w:pPr>
    </w:p>
    <w:p>
      <w:pPr>
        <w:widowControl/>
        <w:jc w:val="center"/>
        <w:rPr>
          <w:color w:val="auto"/>
          <w:highlight w:val="none"/>
        </w:rPr>
      </w:pPr>
      <w:r>
        <w:rPr>
          <w:rFonts w:hint="eastAsia" w:ascii="黑体" w:eastAsia="黑体"/>
          <w:b w:val="0"/>
          <w:bCs/>
          <w:color w:val="auto"/>
          <w:sz w:val="44"/>
          <w:szCs w:val="44"/>
          <w:highlight w:val="none"/>
        </w:rPr>
        <w:t xml:space="preserve">第二部分 </w:t>
      </w:r>
      <w:r>
        <w:rPr>
          <w:rFonts w:hint="eastAsia" w:ascii="黑体" w:eastAsia="黑体"/>
          <w:b w:val="0"/>
          <w:bCs/>
          <w:color w:val="auto"/>
          <w:sz w:val="44"/>
          <w:szCs w:val="44"/>
          <w:highlight w:val="none"/>
          <w:lang w:val="en-US" w:eastAsia="zh-CN"/>
        </w:rPr>
        <w:t>2022年度</w:t>
      </w:r>
      <w:r>
        <w:rPr>
          <w:rStyle w:val="19"/>
          <w:rFonts w:hint="eastAsia" w:ascii="黑体" w:eastAsia="黑体"/>
          <w:b w:val="0"/>
          <w:bCs/>
          <w:color w:val="auto"/>
          <w:sz w:val="44"/>
          <w:szCs w:val="44"/>
          <w:highlight w:val="none"/>
          <w:lang w:eastAsia="zh-CN"/>
        </w:rPr>
        <w:t>单位</w:t>
      </w:r>
      <w:r>
        <w:rPr>
          <w:rStyle w:val="19"/>
          <w:rFonts w:hint="eastAsia" w:ascii="黑体" w:eastAsia="黑体"/>
          <w:b w:val="0"/>
          <w:bCs/>
          <w:color w:val="auto"/>
          <w:sz w:val="44"/>
          <w:szCs w:val="44"/>
          <w:highlight w:val="none"/>
        </w:rPr>
        <w:t>决算情况说明</w:t>
      </w:r>
      <w:bookmarkEnd w:id="24"/>
      <w:bookmarkEnd w:id="25"/>
    </w:p>
    <w:p>
      <w:pPr>
        <w:pStyle w:val="25"/>
        <w:numPr>
          <w:ilvl w:val="0"/>
          <w:numId w:val="1"/>
        </w:numPr>
        <w:spacing w:line="600" w:lineRule="exact"/>
        <w:ind w:firstLineChars="0"/>
        <w:outlineLvl w:val="1"/>
        <w:rPr>
          <w:rStyle w:val="20"/>
          <w:rFonts w:ascii="黑体" w:eastAsia="黑体"/>
          <w:b w:val="0"/>
          <w:color w:val="auto"/>
          <w:highlight w:val="none"/>
        </w:rPr>
      </w:pPr>
      <w:bookmarkStart w:id="26" w:name="_Toc15396603"/>
      <w:bookmarkStart w:id="27" w:name="_Toc15377205"/>
      <w:bookmarkStart w:id="28" w:name="_Toc21614"/>
      <w:r>
        <w:rPr>
          <w:rFonts w:hint="eastAsia" w:ascii="黑体" w:eastAsia="黑体"/>
          <w:color w:val="auto"/>
          <w:sz w:val="32"/>
          <w:szCs w:val="32"/>
          <w:highlight w:val="none"/>
        </w:rPr>
        <w:t>收</w:t>
      </w:r>
      <w:r>
        <w:rPr>
          <w:rStyle w:val="20"/>
          <w:rFonts w:hint="eastAsia" w:ascii="黑体" w:eastAsia="黑体"/>
          <w:b w:val="0"/>
          <w:color w:val="auto"/>
          <w:highlight w:val="none"/>
        </w:rPr>
        <w:t>入支出决算总体情况说明</w:t>
      </w:r>
      <w:bookmarkEnd w:id="26"/>
      <w:bookmarkEnd w:id="27"/>
      <w:bookmarkEnd w:id="28"/>
    </w:p>
    <w:p>
      <w:pPr>
        <w:spacing w:line="600" w:lineRule="exact"/>
        <w:ind w:firstLine="640" w:firstLineChars="200"/>
        <w:rPr>
          <w:rFonts w:hint="eastAsia" w:ascii="仿宋" w:eastAsia="仿宋"/>
          <w:sz w:val="32"/>
          <w:szCs w:val="32"/>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年度收、支总计</w:t>
      </w:r>
      <w:r>
        <w:rPr>
          <w:rFonts w:ascii="仿宋" w:eastAsia="仿宋"/>
          <w:color w:val="auto"/>
          <w:sz w:val="32"/>
          <w:szCs w:val="32"/>
          <w:highlight w:val="none"/>
        </w:rPr>
        <w:t>142</w:t>
      </w:r>
      <w:r>
        <w:rPr>
          <w:rFonts w:hint="eastAsia" w:ascii="仿宋" w:eastAsia="仿宋"/>
          <w:color w:val="auto"/>
          <w:sz w:val="32"/>
          <w:szCs w:val="32"/>
          <w:highlight w:val="none"/>
        </w:rPr>
        <w:t>万元。与20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年相比，收、支总计各</w:t>
      </w:r>
      <w:r>
        <w:rPr>
          <w:rFonts w:ascii="仿宋" w:eastAsia="仿宋"/>
          <w:color w:val="auto"/>
          <w:sz w:val="32"/>
          <w:szCs w:val="32"/>
          <w:highlight w:val="none"/>
        </w:rPr>
        <w:t>减少43.44</w:t>
      </w:r>
      <w:r>
        <w:rPr>
          <w:rFonts w:hint="eastAsia" w:ascii="仿宋" w:eastAsia="仿宋"/>
          <w:color w:val="auto"/>
          <w:sz w:val="32"/>
          <w:szCs w:val="32"/>
          <w:highlight w:val="none"/>
        </w:rPr>
        <w:t>万元，</w:t>
      </w:r>
      <w:r>
        <w:rPr>
          <w:rFonts w:ascii="仿宋" w:eastAsia="仿宋"/>
          <w:color w:val="auto"/>
          <w:sz w:val="32"/>
          <w:szCs w:val="32"/>
          <w:highlight w:val="none"/>
        </w:rPr>
        <w:t>下降23.43%</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乡镇合并人员减少，财政拨款减少</w:t>
      </w:r>
      <w:r>
        <w:rPr>
          <w:rFonts w:hint="eastAsia" w:ascii="仿宋" w:eastAsia="仿宋"/>
          <w:color w:val="auto"/>
          <w:sz w:val="32"/>
          <w:szCs w:val="32"/>
          <w:highlight w:val="none"/>
          <w:lang w:eastAsia="zh-CN"/>
        </w:rPr>
        <w:t>。</w:t>
      </w:r>
      <w:r>
        <w:rPr>
          <w:rFonts w:ascii="仿宋" w:eastAsia="仿宋"/>
          <w:color w:val="auto"/>
          <w:sz w:val="32"/>
          <w:szCs w:val="32"/>
          <w:highlight w:val="none"/>
          <w:lang w:eastAsia="zh-CN"/>
        </w:rPr>
        <w:t>业务收入</w:t>
      </w:r>
      <w:bookmarkStart w:id="29" w:name="_Toc15396604"/>
      <w:bookmarkStart w:id="30" w:name="_Toc15377206"/>
      <w:r>
        <w:rPr>
          <w:rFonts w:ascii="仿宋" w:eastAsia="仿宋"/>
          <w:color w:val="auto"/>
          <w:sz w:val="32"/>
          <w:szCs w:val="32"/>
          <w:highlight w:val="none"/>
          <w:lang w:eastAsia="zh-CN"/>
        </w:rPr>
        <w:t>减少。</w:t>
      </w:r>
    </w:p>
    <w:p>
      <w:pPr>
        <w:pStyle w:val="25"/>
        <w:spacing w:line="600" w:lineRule="exact"/>
        <w:ind w:firstLine="0" w:firstLineChars="0"/>
        <w:outlineLvl w:val="1"/>
        <w:rPr>
          <w:rFonts w:ascii="黑体" w:eastAsia="黑体"/>
          <w:color w:val="auto"/>
          <w:sz w:val="32"/>
          <w:szCs w:val="32"/>
          <w:highlight w:val="none"/>
        </w:rPr>
      </w:pPr>
      <w:r>
        <w:rPr>
          <w:rFonts w:ascii="黑体" w:eastAsia="黑体"/>
          <w:color w:val="auto"/>
          <w:sz w:val="32"/>
          <w:szCs w:val="32"/>
          <w:highlight w:val="none"/>
        </w:rPr>
        <w:drawing>
          <wp:anchor distT="0" distB="0" distL="67945" distR="67945" simplePos="0" relativeHeight="251659264" behindDoc="0" locked="0" layoutInCell="1" allowOverlap="1">
            <wp:simplePos x="0" y="0"/>
            <wp:positionH relativeFrom="column">
              <wp:posOffset>869315</wp:posOffset>
            </wp:positionH>
            <wp:positionV relativeFrom="paragraph">
              <wp:posOffset>131445</wp:posOffset>
            </wp:positionV>
            <wp:extent cx="3520440" cy="2167255"/>
            <wp:effectExtent l="0" t="0" r="3810" b="4445"/>
            <wp:wrapNone/>
            <wp:docPr id="51"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pic:cNvPicPr>
                      <a:picLocks noChangeAspect="1"/>
                    </pic:cNvPicPr>
                  </pic:nvPicPr>
                  <pic:blipFill>
                    <a:blip r:embed="rId8"/>
                    <a:srcRect t="10509" r="237"/>
                    <a:stretch>
                      <a:fillRect/>
                    </a:stretch>
                  </pic:blipFill>
                  <pic:spPr>
                    <a:xfrm>
                      <a:off x="0" y="0"/>
                      <a:ext cx="3520440" cy="2167255"/>
                    </a:xfrm>
                    <a:prstGeom prst="rect">
                      <a:avLst/>
                    </a:prstGeom>
                    <a:noFill/>
                    <a:ln>
                      <a:noFill/>
                    </a:ln>
                  </pic:spPr>
                </pic:pic>
              </a:graphicData>
            </a:graphic>
          </wp:anchor>
        </w:drawing>
      </w:r>
    </w:p>
    <w:p>
      <w:pPr>
        <w:pStyle w:val="25"/>
        <w:spacing w:line="600" w:lineRule="exact"/>
        <w:ind w:firstLine="0" w:firstLineChars="0"/>
        <w:outlineLvl w:val="1"/>
        <w:rPr>
          <w:rFonts w:ascii="黑体" w:eastAsia="黑体"/>
          <w:color w:val="auto"/>
          <w:sz w:val="32"/>
          <w:szCs w:val="32"/>
          <w:highlight w:val="none"/>
        </w:rPr>
      </w:pPr>
    </w:p>
    <w:p>
      <w:pPr>
        <w:pStyle w:val="25"/>
        <w:spacing w:line="600" w:lineRule="exact"/>
        <w:ind w:firstLine="0" w:firstLineChars="0"/>
        <w:outlineLvl w:val="1"/>
        <w:rPr>
          <w:rFonts w:ascii="黑体" w:eastAsia="黑体"/>
          <w:color w:val="auto"/>
          <w:sz w:val="32"/>
          <w:szCs w:val="32"/>
          <w:highlight w:val="none"/>
        </w:rPr>
      </w:pPr>
    </w:p>
    <w:bookmarkEnd w:id="29"/>
    <w:bookmarkEnd w:id="30"/>
    <w:p>
      <w:pPr>
        <w:pStyle w:val="25"/>
        <w:spacing w:line="600" w:lineRule="exact"/>
        <w:ind w:firstLine="0" w:firstLineChars="0"/>
        <w:outlineLvl w:val="1"/>
        <w:rPr>
          <w:rFonts w:ascii="黑体" w:eastAsia="黑体"/>
          <w:color w:val="auto"/>
          <w:sz w:val="32"/>
          <w:szCs w:val="32"/>
          <w:highlight w:val="none"/>
        </w:rPr>
      </w:pPr>
    </w:p>
    <w:p>
      <w:pPr>
        <w:pStyle w:val="2"/>
        <w:rPr>
          <w:rFonts w:ascii="黑体" w:eastAsia="黑体"/>
          <w:color w:val="auto"/>
          <w:sz w:val="32"/>
          <w:szCs w:val="32"/>
          <w:highlight w:val="none"/>
        </w:rPr>
      </w:pPr>
    </w:p>
    <w:p>
      <w:pPr>
        <w:pStyle w:val="2"/>
        <w:rPr>
          <w:rFonts w:ascii="黑体" w:eastAsia="黑体"/>
          <w:color w:val="auto"/>
          <w:sz w:val="32"/>
          <w:szCs w:val="32"/>
          <w:highlight w:val="none"/>
        </w:rPr>
      </w:pPr>
    </w:p>
    <w:p>
      <w:pPr>
        <w:spacing w:line="600" w:lineRule="exact"/>
        <w:ind w:firstLine="640" w:firstLineChars="200"/>
        <w:outlineLvl w:val="1"/>
        <w:rPr>
          <w:rFonts w:hint="eastAsia" w:ascii="黑体" w:eastAsia="黑体"/>
          <w:color w:val="auto"/>
          <w:sz w:val="32"/>
          <w:szCs w:val="32"/>
          <w:highlight w:val="none"/>
        </w:rPr>
      </w:pPr>
      <w:bookmarkStart w:id="31" w:name="_Toc2356"/>
      <w:r>
        <w:rPr>
          <w:rFonts w:hint="eastAsia" w:ascii="黑体" w:eastAsia="黑体"/>
          <w:color w:val="auto"/>
          <w:sz w:val="32"/>
          <w:szCs w:val="32"/>
          <w:highlight w:val="none"/>
        </w:rPr>
        <w:t>二、收入决算情况说明</w:t>
      </w:r>
      <w:bookmarkEnd w:id="31"/>
    </w:p>
    <w:p>
      <w:pPr>
        <w:spacing w:line="600" w:lineRule="exact"/>
        <w:ind w:firstLine="640" w:firstLineChars="200"/>
        <w:outlineLvl w:val="1"/>
        <w:rPr>
          <w:rFonts w:hint="eastAsia" w:ascii="仿宋" w:eastAsia="仿宋"/>
          <w:color w:val="auto"/>
          <w:sz w:val="32"/>
          <w:szCs w:val="32"/>
          <w:highlight w:val="none"/>
        </w:rPr>
      </w:pPr>
      <w:bookmarkStart w:id="32" w:name="_Toc30574"/>
      <w:bookmarkStart w:id="33" w:name="_Toc21462"/>
      <w:bookmarkStart w:id="34" w:name="_Toc2105"/>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年本年收入合计</w:t>
      </w:r>
      <w:r>
        <w:rPr>
          <w:rFonts w:ascii="仿宋" w:eastAsia="仿宋"/>
          <w:color w:val="auto"/>
          <w:sz w:val="32"/>
          <w:szCs w:val="32"/>
          <w:highlight w:val="none"/>
        </w:rPr>
        <w:t>142</w:t>
      </w:r>
      <w:r>
        <w:rPr>
          <w:rFonts w:hint="eastAsia" w:ascii="仿宋" w:eastAsia="仿宋"/>
          <w:color w:val="auto"/>
          <w:sz w:val="32"/>
          <w:szCs w:val="32"/>
          <w:highlight w:val="none"/>
        </w:rPr>
        <w:t>万元，其中：一般公共预算财政拨款收入</w:t>
      </w:r>
      <w:r>
        <w:rPr>
          <w:rFonts w:ascii="仿宋" w:eastAsia="仿宋"/>
          <w:color w:val="auto"/>
          <w:sz w:val="32"/>
          <w:szCs w:val="32"/>
          <w:highlight w:val="none"/>
        </w:rPr>
        <w:t>79.5</w:t>
      </w:r>
      <w:r>
        <w:rPr>
          <w:rFonts w:hint="eastAsia" w:ascii="仿宋" w:eastAsia="仿宋"/>
          <w:color w:val="auto"/>
          <w:sz w:val="32"/>
          <w:szCs w:val="32"/>
          <w:highlight w:val="none"/>
        </w:rPr>
        <w:t>元，占</w:t>
      </w:r>
      <w:r>
        <w:rPr>
          <w:rFonts w:ascii="仿宋" w:eastAsia="仿宋"/>
          <w:color w:val="auto"/>
          <w:sz w:val="32"/>
          <w:szCs w:val="32"/>
          <w:highlight w:val="none"/>
        </w:rPr>
        <w:t>55.99%</w:t>
      </w:r>
      <w:r>
        <w:rPr>
          <w:rFonts w:hint="eastAsia" w:ascii="仿宋" w:eastAsia="仿宋"/>
          <w:color w:val="auto"/>
          <w:sz w:val="32"/>
          <w:szCs w:val="32"/>
          <w:highlight w:val="none"/>
        </w:rPr>
        <w:t>；政府性基金预算财政拨款收入</w:t>
      </w:r>
      <w:r>
        <w:rPr>
          <w:rFonts w:ascii="仿宋" w:eastAsia="仿宋"/>
          <w:color w:val="auto"/>
          <w:sz w:val="32"/>
          <w:szCs w:val="32"/>
          <w:highlight w:val="none"/>
        </w:rPr>
        <w:t>1.72</w:t>
      </w:r>
      <w:r>
        <w:rPr>
          <w:rFonts w:hint="eastAsia" w:ascii="仿宋" w:eastAsia="仿宋"/>
          <w:color w:val="auto"/>
          <w:sz w:val="32"/>
          <w:szCs w:val="32"/>
          <w:highlight w:val="none"/>
        </w:rPr>
        <w:t>万元，占</w:t>
      </w:r>
      <w:r>
        <w:rPr>
          <w:rFonts w:ascii="仿宋" w:eastAsia="仿宋"/>
          <w:color w:val="auto"/>
          <w:sz w:val="32"/>
          <w:szCs w:val="32"/>
          <w:highlight w:val="none"/>
        </w:rPr>
        <w:t>1.21%</w:t>
      </w:r>
      <w:r>
        <w:rPr>
          <w:rFonts w:hint="eastAsia" w:ascii="仿宋" w:eastAsia="仿宋"/>
          <w:color w:val="auto"/>
          <w:sz w:val="32"/>
          <w:szCs w:val="32"/>
          <w:highlight w:val="none"/>
        </w:rPr>
        <w:t>；</w:t>
      </w:r>
      <w:r>
        <w:rPr>
          <w:rFonts w:hint="eastAsia" w:ascii="仿宋" w:eastAsia="仿宋"/>
          <w:color w:val="auto"/>
          <w:sz w:val="32"/>
          <w:szCs w:val="32"/>
          <w:highlight w:val="none"/>
          <w:lang w:eastAsia="zh-CN"/>
        </w:rPr>
        <w:t>国有资本经营预算财政拨款收入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；上级补助收入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；事业收入</w:t>
      </w:r>
      <w:r>
        <w:rPr>
          <w:rFonts w:ascii="仿宋" w:eastAsia="仿宋"/>
          <w:color w:val="auto"/>
          <w:sz w:val="32"/>
          <w:szCs w:val="32"/>
          <w:highlight w:val="none"/>
        </w:rPr>
        <w:t>60.78</w:t>
      </w:r>
      <w:r>
        <w:rPr>
          <w:rFonts w:hint="eastAsia" w:ascii="仿宋" w:eastAsia="仿宋"/>
          <w:color w:val="auto"/>
          <w:sz w:val="32"/>
          <w:szCs w:val="32"/>
          <w:highlight w:val="none"/>
        </w:rPr>
        <w:t>万元，占</w:t>
      </w:r>
      <w:r>
        <w:rPr>
          <w:rFonts w:ascii="仿宋" w:eastAsia="仿宋"/>
          <w:color w:val="auto"/>
          <w:sz w:val="32"/>
          <w:szCs w:val="32"/>
          <w:highlight w:val="none"/>
        </w:rPr>
        <w:t>42.8%</w:t>
      </w:r>
      <w:r>
        <w:rPr>
          <w:rFonts w:hint="eastAsia" w:ascii="仿宋" w:eastAsia="仿宋"/>
          <w:color w:val="auto"/>
          <w:sz w:val="32"/>
          <w:szCs w:val="32"/>
          <w:highlight w:val="none"/>
        </w:rPr>
        <w:t>；经营收入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；附属单位上缴收入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；其他收入</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w:t>
      </w:r>
      <w:bookmarkEnd w:id="32"/>
      <w:bookmarkEnd w:id="33"/>
      <w:bookmarkEnd w:id="34"/>
    </w:p>
    <w:p>
      <w:pPr>
        <w:pStyle w:val="2"/>
        <w:rPr>
          <w:rFonts w:hint="eastAsia" w:ascii="仿宋" w:eastAsia="仿宋"/>
          <w:color w:val="auto"/>
          <w:sz w:val="32"/>
          <w:szCs w:val="32"/>
          <w:highlight w:val="none"/>
        </w:rPr>
      </w:pPr>
    </w:p>
    <w:p/>
    <w:p>
      <w:pPr>
        <w:spacing w:line="600" w:lineRule="exact"/>
        <w:ind w:firstLine="640" w:firstLineChars="20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r>
        <w:rPr>
          <w:rFonts w:ascii="黑体" w:eastAsia="黑体"/>
          <w:color w:val="auto"/>
          <w:sz w:val="32"/>
          <w:szCs w:val="32"/>
          <w:highlight w:val="none"/>
        </w:rPr>
        <w:drawing>
          <wp:anchor distT="0" distB="0" distL="67945" distR="67945" simplePos="0" relativeHeight="251659264" behindDoc="0" locked="0" layoutInCell="1" allowOverlap="1">
            <wp:simplePos x="0" y="0"/>
            <wp:positionH relativeFrom="column">
              <wp:posOffset>818515</wp:posOffset>
            </wp:positionH>
            <wp:positionV relativeFrom="paragraph">
              <wp:posOffset>73025</wp:posOffset>
            </wp:positionV>
            <wp:extent cx="3618865" cy="1890395"/>
            <wp:effectExtent l="0" t="0" r="635" b="14605"/>
            <wp:wrapNone/>
            <wp:docPr id="52"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pic:cNvPicPr>
                      <a:picLocks noChangeAspect="1"/>
                    </pic:cNvPicPr>
                  </pic:nvPicPr>
                  <pic:blipFill>
                    <a:blip r:embed="rId9"/>
                    <a:srcRect t="13795" r="986"/>
                    <a:stretch>
                      <a:fillRect/>
                    </a:stretch>
                  </pic:blipFill>
                  <pic:spPr>
                    <a:xfrm>
                      <a:off x="0" y="0"/>
                      <a:ext cx="3618865" cy="1890395"/>
                    </a:xfrm>
                    <a:prstGeom prst="rect">
                      <a:avLst/>
                    </a:prstGeom>
                    <a:noFill/>
                    <a:ln>
                      <a:noFill/>
                    </a:ln>
                  </pic:spPr>
                </pic:pic>
              </a:graphicData>
            </a:graphic>
          </wp:anchor>
        </w:drawing>
      </w:r>
    </w:p>
    <w:p>
      <w:pPr>
        <w:pStyle w:val="25"/>
        <w:spacing w:line="600" w:lineRule="exact"/>
        <w:ind w:left="0" w:leftChars="0" w:firstLine="0" w:firstLineChars="0"/>
        <w:outlineLvl w:val="1"/>
        <w:rPr>
          <w:rFonts w:ascii="黑体" w:eastAsia="黑体"/>
          <w:color w:val="auto"/>
          <w:sz w:val="32"/>
          <w:szCs w:val="32"/>
          <w:highlight w:val="none"/>
        </w:rPr>
      </w:pPr>
      <w:bookmarkStart w:id="35" w:name="_Toc15396605"/>
      <w:bookmarkStart w:id="36" w:name="_Toc15377207"/>
    </w:p>
    <w:p>
      <w:pPr>
        <w:pStyle w:val="25"/>
        <w:spacing w:line="600" w:lineRule="exact"/>
        <w:ind w:left="0" w:firstLine="800" w:firstLineChars="250"/>
        <w:outlineLvl w:val="1"/>
        <w:rPr>
          <w:rFonts w:ascii="黑体" w:eastAsia="黑体"/>
          <w:color w:val="auto"/>
          <w:sz w:val="32"/>
          <w:szCs w:val="32"/>
          <w:highlight w:val="none"/>
        </w:rPr>
      </w:pPr>
      <w:bookmarkStart w:id="37" w:name="_Toc18052"/>
    </w:p>
    <w:p>
      <w:pPr>
        <w:pStyle w:val="25"/>
        <w:spacing w:line="600" w:lineRule="exact"/>
        <w:ind w:left="0" w:firstLine="800" w:firstLineChars="250"/>
        <w:outlineLvl w:val="1"/>
        <w:rPr>
          <w:rFonts w:ascii="黑体" w:eastAsia="黑体"/>
          <w:color w:val="auto"/>
          <w:sz w:val="32"/>
          <w:szCs w:val="32"/>
          <w:highlight w:val="none"/>
        </w:rPr>
      </w:pPr>
    </w:p>
    <w:p>
      <w:pPr>
        <w:pStyle w:val="25"/>
        <w:spacing w:line="600" w:lineRule="exact"/>
        <w:ind w:left="0" w:firstLine="800" w:firstLineChars="250"/>
        <w:outlineLvl w:val="1"/>
        <w:rPr>
          <w:rFonts w:ascii="黑体" w:eastAsia="黑体"/>
          <w:color w:val="auto"/>
          <w:sz w:val="32"/>
          <w:szCs w:val="32"/>
          <w:highlight w:val="none"/>
        </w:rPr>
      </w:pPr>
    </w:p>
    <w:p>
      <w:pPr>
        <w:pStyle w:val="25"/>
        <w:spacing w:line="600" w:lineRule="exact"/>
        <w:ind w:left="0" w:firstLine="800" w:firstLineChars="250"/>
        <w:outlineLvl w:val="1"/>
        <w:rPr>
          <w:rFonts w:ascii="黑体" w:eastAsia="黑体"/>
          <w:color w:val="auto"/>
          <w:sz w:val="32"/>
          <w:szCs w:val="32"/>
          <w:highlight w:val="none"/>
        </w:rPr>
      </w:pPr>
    </w:p>
    <w:p>
      <w:pPr>
        <w:pStyle w:val="25"/>
        <w:spacing w:line="600" w:lineRule="exact"/>
        <w:ind w:left="0" w:firstLine="800" w:firstLineChars="250"/>
        <w:outlineLvl w:val="1"/>
        <w:rPr>
          <w:rStyle w:val="20"/>
          <w:rFonts w:ascii="黑体" w:eastAsia="黑体"/>
          <w:b w:val="0"/>
        </w:rPr>
      </w:pPr>
      <w:r>
        <w:rPr>
          <w:rFonts w:ascii="黑体" w:eastAsia="黑体"/>
          <w:color w:val="auto"/>
          <w:sz w:val="32"/>
          <w:szCs w:val="32"/>
          <w:highlight w:val="none"/>
        </w:rPr>
        <w:t>三、</w:t>
      </w:r>
      <w:r>
        <w:rPr>
          <w:rFonts w:hint="eastAsia" w:ascii="黑体" w:eastAsia="黑体"/>
          <w:color w:val="auto"/>
          <w:sz w:val="32"/>
          <w:szCs w:val="32"/>
          <w:highlight w:val="none"/>
        </w:rPr>
        <w:t>支</w:t>
      </w:r>
      <w:r>
        <w:rPr>
          <w:rStyle w:val="20"/>
          <w:rFonts w:hint="eastAsia" w:ascii="黑体" w:eastAsia="黑体"/>
          <w:b w:val="0"/>
          <w:color w:val="auto"/>
          <w:highlight w:val="none"/>
        </w:rPr>
        <w:t>出决算情况说明</w:t>
      </w:r>
      <w:bookmarkEnd w:id="35"/>
      <w:bookmarkEnd w:id="36"/>
      <w:bookmarkEnd w:id="37"/>
    </w:p>
    <w:p>
      <w:pPr>
        <w:pStyle w:val="25"/>
        <w:spacing w:line="600" w:lineRule="exact"/>
        <w:ind w:firstLine="640" w:firstLineChars="200"/>
        <w:outlineLvl w:val="1"/>
        <w:rPr>
          <w:rStyle w:val="20"/>
          <w:rFonts w:ascii="黑体" w:eastAsia="黑体"/>
          <w:b w:val="0"/>
        </w:rPr>
      </w:pPr>
      <w:bookmarkStart w:id="38" w:name="_Toc21693"/>
      <w:bookmarkStart w:id="39" w:name="_Toc8416"/>
      <w:bookmarkStart w:id="40" w:name="_Toc23205"/>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年本年支出合计</w:t>
      </w:r>
      <w:r>
        <w:rPr>
          <w:rFonts w:ascii="仿宋" w:eastAsia="仿宋"/>
          <w:color w:val="auto"/>
          <w:sz w:val="32"/>
          <w:szCs w:val="32"/>
          <w:highlight w:val="none"/>
        </w:rPr>
        <w:t>142</w:t>
      </w:r>
      <w:r>
        <w:rPr>
          <w:rFonts w:hint="eastAsia" w:ascii="仿宋" w:eastAsia="仿宋"/>
          <w:color w:val="auto"/>
          <w:sz w:val="32"/>
          <w:szCs w:val="32"/>
          <w:highlight w:val="none"/>
        </w:rPr>
        <w:t>万元，其中：基本支出</w:t>
      </w:r>
      <w:r>
        <w:rPr>
          <w:rFonts w:ascii="仿宋" w:eastAsia="仿宋"/>
          <w:color w:val="auto"/>
          <w:sz w:val="32"/>
          <w:szCs w:val="32"/>
          <w:highlight w:val="none"/>
        </w:rPr>
        <w:t>79.5</w:t>
      </w:r>
      <w:r>
        <w:rPr>
          <w:rFonts w:hint="eastAsia" w:ascii="仿宋" w:eastAsia="仿宋"/>
          <w:color w:val="auto"/>
          <w:sz w:val="32"/>
          <w:szCs w:val="32"/>
          <w:highlight w:val="none"/>
        </w:rPr>
        <w:t>万元，占</w:t>
      </w:r>
      <w:r>
        <w:rPr>
          <w:rFonts w:ascii="仿宋" w:eastAsia="仿宋"/>
          <w:color w:val="auto"/>
          <w:sz w:val="32"/>
          <w:szCs w:val="32"/>
          <w:highlight w:val="none"/>
        </w:rPr>
        <w:t>100%</w:t>
      </w:r>
      <w:r>
        <w:rPr>
          <w:rFonts w:hint="eastAsia" w:ascii="仿宋" w:eastAsia="仿宋"/>
          <w:color w:val="auto"/>
          <w:sz w:val="32"/>
          <w:szCs w:val="32"/>
          <w:highlight w:val="none"/>
        </w:rPr>
        <w:t>；项目支出</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；上缴上级支出</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；经营支出</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r>
        <w:rPr>
          <w:rFonts w:hint="eastAsia" w:ascii="仿宋" w:eastAsia="仿宋"/>
          <w:color w:val="auto"/>
          <w:sz w:val="32"/>
          <w:szCs w:val="32"/>
          <w:highlight w:val="none"/>
        </w:rPr>
        <w:t>；对附属单位补助支出</w:t>
      </w:r>
      <w:r>
        <w:rPr>
          <w:rFonts w:ascii="仿宋" w:eastAsia="仿宋"/>
          <w:color w:val="auto"/>
          <w:sz w:val="32"/>
          <w:szCs w:val="32"/>
          <w:highlight w:val="none"/>
        </w:rPr>
        <w:t>0</w:t>
      </w:r>
      <w:r>
        <w:rPr>
          <w:rFonts w:hint="eastAsia" w:ascii="仿宋" w:eastAsia="仿宋"/>
          <w:color w:val="auto"/>
          <w:sz w:val="32"/>
          <w:szCs w:val="32"/>
          <w:highlight w:val="none"/>
        </w:rPr>
        <w:t>万元，占</w:t>
      </w:r>
      <w:r>
        <w:rPr>
          <w:rFonts w:ascii="仿宋" w:eastAsia="仿宋"/>
          <w:color w:val="auto"/>
          <w:sz w:val="32"/>
          <w:szCs w:val="32"/>
          <w:highlight w:val="none"/>
        </w:rPr>
        <w:t>0%</w:t>
      </w:r>
      <w:bookmarkStart w:id="41" w:name="_Toc15396606"/>
      <w:bookmarkStart w:id="42" w:name="_Toc15377208"/>
      <w:r>
        <w:rPr>
          <w:rFonts w:ascii="仿宋" w:eastAsia="仿宋"/>
          <w:color w:val="auto"/>
          <w:sz w:val="32"/>
          <w:szCs w:val="32"/>
          <w:highlight w:val="none"/>
        </w:rPr>
        <w:t>。</w:t>
      </w:r>
      <w:bookmarkEnd w:id="38"/>
      <w:bookmarkEnd w:id="39"/>
      <w:bookmarkEnd w:id="40"/>
    </w:p>
    <w:p>
      <w:pPr>
        <w:spacing w:line="600" w:lineRule="exact"/>
        <w:ind w:firstLine="640" w:firstLineChars="200"/>
        <w:outlineLvl w:val="1"/>
        <w:rPr>
          <w:rFonts w:ascii="黑体" w:eastAsia="黑体"/>
          <w:color w:val="auto"/>
          <w:sz w:val="32"/>
          <w:szCs w:val="32"/>
          <w:highlight w:val="none"/>
        </w:rPr>
      </w:pPr>
      <w:r>
        <w:rPr>
          <w:rFonts w:ascii="黑体" w:eastAsia="黑体"/>
          <w:color w:val="auto"/>
          <w:sz w:val="32"/>
          <w:szCs w:val="32"/>
          <w:highlight w:val="none"/>
        </w:rPr>
        <w:drawing>
          <wp:anchor distT="0" distB="0" distL="67945" distR="67945" simplePos="0" relativeHeight="251659264" behindDoc="0" locked="0" layoutInCell="1" allowOverlap="1">
            <wp:simplePos x="0" y="0"/>
            <wp:positionH relativeFrom="column">
              <wp:posOffset>894715</wp:posOffset>
            </wp:positionH>
            <wp:positionV relativeFrom="paragraph">
              <wp:posOffset>129540</wp:posOffset>
            </wp:positionV>
            <wp:extent cx="3554095" cy="2132965"/>
            <wp:effectExtent l="0" t="0" r="8255" b="635"/>
            <wp:wrapNone/>
            <wp:docPr id="53"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pic:cNvPicPr>
                      <a:picLocks noChangeAspect="1"/>
                    </pic:cNvPicPr>
                  </pic:nvPicPr>
                  <pic:blipFill>
                    <a:blip r:embed="rId10"/>
                    <a:stretch>
                      <a:fillRect/>
                    </a:stretch>
                  </pic:blipFill>
                  <pic:spPr>
                    <a:xfrm>
                      <a:off x="0" y="0"/>
                      <a:ext cx="3554095" cy="2132965"/>
                    </a:xfrm>
                    <a:prstGeom prst="rect">
                      <a:avLst/>
                    </a:prstGeom>
                    <a:noFill/>
                    <a:ln>
                      <a:noFill/>
                    </a:ln>
                  </pic:spPr>
                </pic:pic>
              </a:graphicData>
            </a:graphic>
          </wp:anchor>
        </w:drawing>
      </w:r>
    </w:p>
    <w:p>
      <w:pPr>
        <w:spacing w:line="600" w:lineRule="exact"/>
        <w:ind w:firstLine="640" w:firstLineChars="200"/>
        <w:outlineLvl w:val="1"/>
        <w:rPr>
          <w:rFonts w:ascii="黑体" w:eastAsia="黑体"/>
          <w:color w:val="auto"/>
          <w:sz w:val="32"/>
          <w:szCs w:val="32"/>
          <w:highlight w:val="none"/>
        </w:rPr>
      </w:pPr>
    </w:p>
    <w:p>
      <w:pPr>
        <w:spacing w:line="600" w:lineRule="exact"/>
        <w:ind w:firstLine="640" w:firstLineChars="200"/>
        <w:outlineLvl w:val="1"/>
        <w:rPr>
          <w:rFonts w:ascii="黑体" w:eastAsia="黑体"/>
          <w:color w:val="auto"/>
          <w:sz w:val="32"/>
          <w:szCs w:val="32"/>
          <w:highlight w:val="none"/>
        </w:rPr>
      </w:pPr>
    </w:p>
    <w:p>
      <w:pPr>
        <w:spacing w:line="600" w:lineRule="exact"/>
        <w:ind w:left="0"/>
        <w:outlineLvl w:val="1"/>
        <w:rPr>
          <w:rFonts w:ascii="黑体" w:eastAsia="黑体"/>
          <w:color w:val="auto"/>
          <w:sz w:val="32"/>
          <w:szCs w:val="32"/>
          <w:highlight w:val="none"/>
        </w:rPr>
      </w:pPr>
    </w:p>
    <w:p>
      <w:pPr>
        <w:spacing w:line="600" w:lineRule="exact"/>
        <w:ind w:firstLine="640" w:firstLineChars="200"/>
        <w:outlineLvl w:val="1"/>
        <w:rPr>
          <w:rFonts w:ascii="黑体" w:eastAsia="黑体"/>
          <w:color w:val="auto"/>
          <w:sz w:val="32"/>
          <w:szCs w:val="32"/>
          <w:highlight w:val="none"/>
        </w:rPr>
      </w:pPr>
    </w:p>
    <w:p>
      <w:pPr>
        <w:spacing w:line="600" w:lineRule="exact"/>
        <w:outlineLvl w:val="1"/>
        <w:rPr>
          <w:rFonts w:ascii="黑体" w:eastAsia="黑体"/>
          <w:color w:val="auto"/>
          <w:sz w:val="32"/>
          <w:szCs w:val="32"/>
          <w:highlight w:val="none"/>
        </w:rPr>
      </w:pPr>
    </w:p>
    <w:p>
      <w:pPr>
        <w:spacing w:line="600" w:lineRule="exact"/>
        <w:ind w:left="0" w:firstLine="640" w:firstLineChars="200"/>
        <w:outlineLvl w:val="1"/>
        <w:rPr>
          <w:rStyle w:val="20"/>
          <w:rFonts w:ascii="黑体" w:eastAsia="黑体"/>
          <w:b w:val="0"/>
          <w:color w:val="auto"/>
          <w:highlight w:val="none"/>
        </w:rPr>
      </w:pPr>
      <w:bookmarkStart w:id="43" w:name="_Toc2255"/>
      <w:r>
        <w:rPr>
          <w:rFonts w:hint="eastAsia" w:ascii="黑体" w:eastAsia="黑体"/>
          <w:color w:val="auto"/>
          <w:sz w:val="32"/>
          <w:szCs w:val="32"/>
          <w:highlight w:val="none"/>
        </w:rPr>
        <w:t>四、财</w:t>
      </w:r>
      <w:r>
        <w:rPr>
          <w:rStyle w:val="20"/>
          <w:rFonts w:hint="eastAsia" w:ascii="黑体" w:eastAsia="黑体"/>
          <w:b w:val="0"/>
          <w:color w:val="auto"/>
          <w:highlight w:val="none"/>
        </w:rPr>
        <w:t>政拨款收入支出决算总体情况说明</w:t>
      </w:r>
      <w:bookmarkEnd w:id="41"/>
      <w:bookmarkEnd w:id="42"/>
      <w:bookmarkEnd w:id="43"/>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年财政拨款收、支总计</w:t>
      </w:r>
      <w:r>
        <w:rPr>
          <w:rFonts w:ascii="仿宋" w:eastAsia="仿宋"/>
          <w:color w:val="auto"/>
          <w:sz w:val="32"/>
          <w:szCs w:val="32"/>
          <w:highlight w:val="none"/>
        </w:rPr>
        <w:t>79.5</w:t>
      </w:r>
      <w:r>
        <w:rPr>
          <w:rFonts w:hint="eastAsia" w:ascii="仿宋" w:eastAsia="仿宋"/>
          <w:color w:val="auto"/>
          <w:sz w:val="32"/>
          <w:szCs w:val="32"/>
          <w:highlight w:val="none"/>
        </w:rPr>
        <w:t>万元。与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年相比，财政拨款收、支总计各</w:t>
      </w:r>
      <w:r>
        <w:rPr>
          <w:rFonts w:ascii="仿宋" w:eastAsia="仿宋"/>
          <w:color w:val="auto"/>
          <w:sz w:val="32"/>
          <w:szCs w:val="32"/>
          <w:highlight w:val="none"/>
        </w:rPr>
        <w:t>减少53.487</w:t>
      </w:r>
      <w:r>
        <w:rPr>
          <w:rFonts w:hint="eastAsia" w:ascii="仿宋" w:eastAsia="仿宋"/>
          <w:color w:val="auto"/>
          <w:sz w:val="32"/>
          <w:szCs w:val="32"/>
          <w:highlight w:val="none"/>
        </w:rPr>
        <w:t>万元，</w:t>
      </w:r>
      <w:r>
        <w:rPr>
          <w:rFonts w:ascii="仿宋" w:eastAsia="仿宋"/>
          <w:color w:val="auto"/>
          <w:sz w:val="32"/>
          <w:szCs w:val="32"/>
          <w:highlight w:val="none"/>
        </w:rPr>
        <w:t>下降40.22%</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乡镇合并人员减少，财政拨款减少</w:t>
      </w:r>
      <w:r>
        <w:rPr>
          <w:rFonts w:hint="eastAsia" w:ascii="仿宋" w:eastAsia="仿宋"/>
          <w:color w:val="auto"/>
          <w:sz w:val="32"/>
          <w:szCs w:val="32"/>
          <w:highlight w:val="none"/>
          <w:lang w:eastAsia="zh-CN"/>
        </w:rPr>
        <w:t>。</w:t>
      </w:r>
    </w:p>
    <w:p>
      <w:pPr>
        <w:spacing w:line="600" w:lineRule="exact"/>
        <w:ind w:firstLine="640" w:firstLineChars="200"/>
        <w:rPr>
          <w:rFonts w:ascii="仿宋" w:eastAsia="仿宋"/>
          <w:color w:val="auto"/>
          <w:sz w:val="32"/>
          <w:szCs w:val="32"/>
          <w:highlight w:val="none"/>
        </w:rPr>
      </w:pPr>
    </w:p>
    <w:p>
      <w:pPr>
        <w:spacing w:line="600" w:lineRule="exact"/>
        <w:ind w:left="0"/>
        <w:rPr>
          <w:rFonts w:ascii="Times New Roman" w:hAnsi="Times New Roman" w:eastAsia="宋体"/>
          <w:sz w:val="24"/>
        </w:rPr>
      </w:pPr>
    </w:p>
    <w:p>
      <w:pPr>
        <w:spacing w:line="600" w:lineRule="exact"/>
        <w:ind w:left="0"/>
        <w:outlineLvl w:val="1"/>
        <w:rPr>
          <w:rFonts w:ascii="黑体" w:eastAsia="黑体"/>
          <w:color w:val="auto"/>
          <w:sz w:val="32"/>
          <w:szCs w:val="32"/>
          <w:highlight w:val="none"/>
        </w:rPr>
      </w:pPr>
      <w:bookmarkStart w:id="44" w:name="_Toc15377209"/>
      <w:bookmarkStart w:id="45" w:name="_Toc15396607"/>
      <w:r>
        <w:rPr>
          <w:rFonts w:ascii="黑体" w:eastAsia="黑体"/>
          <w:color w:val="auto"/>
          <w:sz w:val="32"/>
          <w:szCs w:val="32"/>
          <w:highlight w:val="none"/>
        </w:rPr>
        <w:drawing>
          <wp:anchor distT="0" distB="0" distL="67945" distR="67945" simplePos="0" relativeHeight="251659264" behindDoc="0" locked="0" layoutInCell="1" allowOverlap="1">
            <wp:simplePos x="0" y="0"/>
            <wp:positionH relativeFrom="column">
              <wp:posOffset>653415</wp:posOffset>
            </wp:positionH>
            <wp:positionV relativeFrom="paragraph">
              <wp:posOffset>29845</wp:posOffset>
            </wp:positionV>
            <wp:extent cx="4001770" cy="1996440"/>
            <wp:effectExtent l="0" t="0" r="0" b="0"/>
            <wp:wrapNone/>
            <wp:docPr id="54"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pic:cNvPicPr>
                      <a:picLocks noChangeAspect="1"/>
                    </pic:cNvPicPr>
                  </pic:nvPicPr>
                  <pic:blipFill>
                    <a:blip r:embed="rId11"/>
                    <a:stretch>
                      <a:fillRect/>
                    </a:stretch>
                  </pic:blipFill>
                  <pic:spPr>
                    <a:xfrm>
                      <a:off x="0" y="0"/>
                      <a:ext cx="4001770" cy="1996440"/>
                    </a:xfrm>
                    <a:prstGeom prst="rect">
                      <a:avLst/>
                    </a:prstGeom>
                    <a:noFill/>
                    <a:ln>
                      <a:noFill/>
                    </a:ln>
                  </pic:spPr>
                </pic:pic>
              </a:graphicData>
            </a:graphic>
          </wp:anchor>
        </w:drawing>
      </w:r>
    </w:p>
    <w:p>
      <w:pPr>
        <w:spacing w:line="600" w:lineRule="exact"/>
        <w:ind w:left="0"/>
        <w:outlineLvl w:val="1"/>
        <w:rPr>
          <w:rFonts w:ascii="黑体" w:eastAsia="黑体"/>
          <w:color w:val="auto"/>
          <w:sz w:val="32"/>
          <w:szCs w:val="32"/>
          <w:highlight w:val="none"/>
        </w:rPr>
      </w:pPr>
    </w:p>
    <w:p>
      <w:pPr>
        <w:spacing w:line="600" w:lineRule="exact"/>
        <w:ind w:left="0"/>
        <w:outlineLvl w:val="1"/>
        <w:rPr>
          <w:rFonts w:ascii="黑体" w:eastAsia="黑体"/>
          <w:color w:val="auto"/>
          <w:sz w:val="32"/>
          <w:szCs w:val="32"/>
          <w:highlight w:val="none"/>
        </w:rPr>
      </w:pPr>
    </w:p>
    <w:p>
      <w:pPr>
        <w:pStyle w:val="2"/>
      </w:pPr>
    </w:p>
    <w:p>
      <w:pPr>
        <w:spacing w:line="600" w:lineRule="exact"/>
        <w:outlineLvl w:val="1"/>
        <w:rPr>
          <w:rFonts w:hint="eastAsia" w:ascii="黑体" w:eastAsia="黑体"/>
          <w:color w:val="auto"/>
          <w:sz w:val="32"/>
          <w:szCs w:val="32"/>
          <w:highlight w:val="none"/>
        </w:rPr>
      </w:pPr>
      <w:bookmarkStart w:id="46" w:name="_Toc11564"/>
    </w:p>
    <w:p>
      <w:pPr>
        <w:spacing w:line="600" w:lineRule="exact"/>
        <w:ind w:left="0" w:firstLine="640" w:firstLineChars="200"/>
        <w:outlineLvl w:val="1"/>
        <w:rPr>
          <w:rFonts w:hint="eastAsia" w:ascii="黑体" w:eastAsia="黑体"/>
          <w:color w:val="auto"/>
          <w:sz w:val="32"/>
          <w:szCs w:val="32"/>
          <w:highlight w:val="none"/>
        </w:rPr>
      </w:pPr>
    </w:p>
    <w:p>
      <w:pPr>
        <w:spacing w:line="600" w:lineRule="exact"/>
        <w:ind w:left="0" w:firstLine="640" w:firstLineChars="200"/>
        <w:outlineLvl w:val="1"/>
        <w:rPr>
          <w:rStyle w:val="20"/>
          <w:rFonts w:ascii="黑体" w:eastAsia="黑体"/>
          <w:b w:val="0"/>
          <w:color w:val="auto"/>
          <w:highlight w:val="none"/>
        </w:rPr>
      </w:pPr>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20"/>
          <w:rFonts w:hint="eastAsia" w:ascii="黑体" w:eastAsia="黑体"/>
          <w:b w:val="0"/>
          <w:color w:val="auto"/>
          <w:highlight w:val="none"/>
        </w:rPr>
        <w:t>般公共预算财政拨款支出决算情况说明</w:t>
      </w:r>
      <w:bookmarkEnd w:id="44"/>
      <w:bookmarkEnd w:id="45"/>
      <w:bookmarkEnd w:id="46"/>
    </w:p>
    <w:p>
      <w:pPr>
        <w:spacing w:line="600" w:lineRule="exact"/>
        <w:ind w:firstLine="643" w:firstLineChars="200"/>
        <w:outlineLvl w:val="2"/>
        <w:rPr>
          <w:rFonts w:ascii="仿宋" w:eastAsia="仿宋"/>
          <w:b/>
          <w:color w:val="auto"/>
          <w:sz w:val="32"/>
          <w:szCs w:val="32"/>
          <w:highlight w:val="none"/>
        </w:rPr>
      </w:pPr>
      <w:bookmarkStart w:id="47" w:name="_Toc15377210"/>
      <w:bookmarkStart w:id="48" w:name="_Toc20987"/>
      <w:bookmarkStart w:id="49" w:name="_Toc846"/>
      <w:bookmarkStart w:id="50" w:name="_Toc18316"/>
      <w:r>
        <w:rPr>
          <w:rFonts w:hint="eastAsia" w:ascii="仿宋" w:eastAsia="仿宋"/>
          <w:b/>
          <w:color w:val="auto"/>
          <w:sz w:val="32"/>
          <w:szCs w:val="32"/>
          <w:highlight w:val="none"/>
        </w:rPr>
        <w:t>（一）一般公共预算财政拨款支出决算总体情况</w:t>
      </w:r>
      <w:bookmarkEnd w:id="47"/>
      <w:bookmarkEnd w:id="48"/>
      <w:bookmarkEnd w:id="49"/>
      <w:bookmarkEnd w:id="50"/>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rPr>
        <w:t>79.5</w:t>
      </w:r>
      <w:r>
        <w:rPr>
          <w:rFonts w:hint="eastAsia" w:ascii="仿宋" w:eastAsia="仿宋"/>
          <w:color w:val="auto"/>
          <w:sz w:val="32"/>
          <w:szCs w:val="32"/>
          <w:highlight w:val="none"/>
        </w:rPr>
        <w:t>万元，占本年支出合计的</w:t>
      </w:r>
      <w:r>
        <w:rPr>
          <w:rFonts w:ascii="仿宋" w:eastAsia="仿宋"/>
          <w:color w:val="auto"/>
          <w:sz w:val="32"/>
          <w:szCs w:val="32"/>
          <w:highlight w:val="none"/>
        </w:rPr>
        <w:t>55.99%</w:t>
      </w:r>
      <w:r>
        <w:rPr>
          <w:rFonts w:hint="eastAsia" w:ascii="仿宋" w:eastAsia="仿宋"/>
          <w:color w:val="auto"/>
          <w:sz w:val="32"/>
          <w:szCs w:val="32"/>
          <w:highlight w:val="none"/>
        </w:rPr>
        <w:t>。与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年相比，一般公共预算财政拨款</w:t>
      </w:r>
      <w:r>
        <w:rPr>
          <w:rFonts w:hint="eastAsia" w:ascii="仿宋" w:eastAsia="仿宋"/>
          <w:color w:val="auto"/>
          <w:sz w:val="32"/>
          <w:szCs w:val="32"/>
          <w:highlight w:val="none"/>
          <w:lang w:eastAsia="zh-CN"/>
        </w:rPr>
        <w:t>支出</w:t>
      </w:r>
      <w:r>
        <w:rPr>
          <w:rFonts w:ascii="仿宋" w:eastAsia="仿宋"/>
          <w:color w:val="auto"/>
          <w:sz w:val="32"/>
          <w:szCs w:val="32"/>
          <w:highlight w:val="none"/>
        </w:rPr>
        <w:t>减少53.48</w:t>
      </w:r>
      <w:r>
        <w:rPr>
          <w:rFonts w:hint="eastAsia" w:ascii="仿宋" w:eastAsia="仿宋"/>
          <w:color w:val="auto"/>
          <w:sz w:val="32"/>
          <w:szCs w:val="32"/>
          <w:highlight w:val="none"/>
        </w:rPr>
        <w:t>万元，</w:t>
      </w:r>
      <w:r>
        <w:rPr>
          <w:rFonts w:ascii="仿宋" w:eastAsia="仿宋"/>
          <w:color w:val="auto"/>
          <w:sz w:val="32"/>
          <w:szCs w:val="32"/>
          <w:highlight w:val="none"/>
        </w:rPr>
        <w:t>下降40.22%</w:t>
      </w:r>
      <w:r>
        <w:rPr>
          <w:rFonts w:hint="eastAsia" w:ascii="仿宋" w:eastAsia="仿宋"/>
          <w:color w:val="auto"/>
          <w:sz w:val="32"/>
          <w:szCs w:val="32"/>
          <w:highlight w:val="none"/>
        </w:rPr>
        <w:t>。主要变动原因是</w:t>
      </w:r>
      <w:r>
        <w:rPr>
          <w:rFonts w:ascii="仿宋" w:eastAsia="仿宋"/>
          <w:color w:val="auto"/>
          <w:sz w:val="32"/>
          <w:szCs w:val="32"/>
          <w:highlight w:val="none"/>
        </w:rPr>
        <w:t>乡镇合并人员减少，财政拨款减少</w:t>
      </w:r>
      <w:r>
        <w:rPr>
          <w:rFonts w:hint="eastAsia" w:ascii="仿宋" w:eastAsia="仿宋"/>
          <w:color w:val="auto"/>
          <w:sz w:val="32"/>
          <w:szCs w:val="32"/>
          <w:highlight w:val="none"/>
          <w:lang w:eastAsia="zh-CN"/>
        </w:rPr>
        <w:t>。</w:t>
      </w:r>
    </w:p>
    <w:p>
      <w:pPr>
        <w:spacing w:line="600" w:lineRule="exact"/>
        <w:ind w:firstLine="640" w:firstLineChars="20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spacing w:line="600" w:lineRule="exact"/>
        <w:ind w:left="0"/>
        <w:rPr>
          <w:rFonts w:ascii="仿宋" w:eastAsia="仿宋"/>
          <w:color w:val="auto"/>
          <w:sz w:val="32"/>
          <w:szCs w:val="32"/>
          <w:highlight w:val="none"/>
        </w:rPr>
      </w:pPr>
    </w:p>
    <w:p>
      <w:pPr>
        <w:spacing w:line="600" w:lineRule="exact"/>
        <w:ind w:firstLine="640" w:firstLineChars="200"/>
        <w:rPr>
          <w:rFonts w:ascii="仿宋" w:eastAsia="仿宋"/>
          <w:color w:val="auto"/>
          <w:sz w:val="32"/>
          <w:szCs w:val="32"/>
          <w:highlight w:val="none"/>
        </w:rPr>
      </w:pPr>
    </w:p>
    <w:p>
      <w:pPr>
        <w:spacing w:line="600" w:lineRule="exact"/>
        <w:ind w:firstLine="640" w:firstLineChars="200"/>
        <w:rPr>
          <w:rFonts w:ascii="仿宋" w:eastAsia="仿宋"/>
          <w:b/>
          <w:color w:val="auto"/>
          <w:sz w:val="32"/>
          <w:szCs w:val="32"/>
          <w:highlight w:val="none"/>
        </w:rPr>
      </w:pPr>
      <w:r>
        <w:rPr>
          <w:rFonts w:ascii="仿宋" w:eastAsia="仿宋"/>
          <w:color w:val="auto"/>
          <w:sz w:val="32"/>
          <w:szCs w:val="32"/>
          <w:highlight w:val="none"/>
        </w:rPr>
        <w:drawing>
          <wp:anchor distT="0" distB="0" distL="67945" distR="67945" simplePos="0" relativeHeight="251659264" behindDoc="0" locked="0" layoutInCell="1" allowOverlap="1">
            <wp:simplePos x="0" y="0"/>
            <wp:positionH relativeFrom="column">
              <wp:posOffset>406400</wp:posOffset>
            </wp:positionH>
            <wp:positionV relativeFrom="paragraph">
              <wp:posOffset>-1341120</wp:posOffset>
            </wp:positionV>
            <wp:extent cx="3909695" cy="1722755"/>
            <wp:effectExtent l="0" t="0" r="0" b="0"/>
            <wp:wrapNone/>
            <wp:docPr id="55"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pic:cNvPicPr>
                      <a:picLocks noChangeAspect="1"/>
                    </pic:cNvPicPr>
                  </pic:nvPicPr>
                  <pic:blipFill>
                    <a:blip r:embed="rId12"/>
                    <a:stretch>
                      <a:fillRect/>
                    </a:stretch>
                  </pic:blipFill>
                  <pic:spPr>
                    <a:xfrm>
                      <a:off x="0" y="0"/>
                      <a:ext cx="3909695" cy="1722755"/>
                    </a:xfrm>
                    <a:prstGeom prst="rect">
                      <a:avLst/>
                    </a:prstGeom>
                    <a:noFill/>
                    <a:ln>
                      <a:noFill/>
                    </a:ln>
                  </pic:spPr>
                </pic:pic>
              </a:graphicData>
            </a:graphic>
          </wp:anchor>
        </w:drawing>
      </w:r>
      <w:bookmarkStart w:id="51" w:name="_Toc15377211"/>
    </w:p>
    <w:p>
      <w:pPr>
        <w:spacing w:line="600" w:lineRule="exact"/>
        <w:ind w:left="0" w:firstLine="482" w:firstLineChars="150"/>
        <w:outlineLvl w:val="2"/>
        <w:rPr>
          <w:rFonts w:ascii="仿宋" w:eastAsia="仿宋"/>
          <w:b/>
          <w:color w:val="auto"/>
          <w:sz w:val="32"/>
          <w:szCs w:val="32"/>
          <w:highlight w:val="none"/>
        </w:rPr>
      </w:pPr>
      <w:bookmarkStart w:id="52" w:name="_Toc15245"/>
      <w:bookmarkStart w:id="53" w:name="_Toc22271"/>
      <w:bookmarkStart w:id="54" w:name="_Toc28920"/>
      <w:r>
        <w:rPr>
          <w:rFonts w:hint="eastAsia" w:ascii="仿宋" w:eastAsia="仿宋"/>
          <w:b/>
          <w:color w:val="auto"/>
          <w:sz w:val="32"/>
          <w:szCs w:val="32"/>
          <w:highlight w:val="none"/>
        </w:rPr>
        <w:t>（二）一般公共预算财政拨款支出决算结构</w:t>
      </w:r>
      <w:bookmarkEnd w:id="51"/>
      <w:bookmarkEnd w:id="52"/>
      <w:bookmarkEnd w:id="53"/>
      <w:bookmarkEnd w:id="54"/>
    </w:p>
    <w:p>
      <w:pPr>
        <w:spacing w:line="600" w:lineRule="exact"/>
        <w:ind w:firstLine="640"/>
        <w:rPr>
          <w:rFonts w:hint="eastAsia" w:ascii="仿宋" w:eastAsia="仿宋"/>
          <w:b/>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rPr>
        <w:t>79.5</w:t>
      </w:r>
      <w:r>
        <w:rPr>
          <w:rFonts w:hint="eastAsia" w:ascii="仿宋" w:eastAsia="仿宋"/>
          <w:color w:val="auto"/>
          <w:sz w:val="32"/>
          <w:szCs w:val="32"/>
          <w:highlight w:val="none"/>
        </w:rPr>
        <w:t>万元，主要用于以下方面</w:t>
      </w:r>
      <w:r>
        <w:rPr>
          <w:rFonts w:ascii="仿宋" w:eastAsia="仿宋"/>
          <w:color w:val="auto"/>
          <w:sz w:val="32"/>
          <w:szCs w:val="32"/>
          <w:highlight w:val="none"/>
        </w:rPr>
        <w:t>:</w:t>
      </w:r>
      <w:r>
        <w:rPr>
          <w:rFonts w:hint="eastAsia" w:ascii="仿宋" w:eastAsia="仿宋"/>
          <w:b/>
          <w:color w:val="auto"/>
          <w:sz w:val="32"/>
          <w:szCs w:val="32"/>
          <w:highlight w:val="none"/>
        </w:rPr>
        <w:t>社会保障和就业</w:t>
      </w:r>
      <w:r>
        <w:rPr>
          <w:rFonts w:hint="eastAsia" w:ascii="仿宋" w:eastAsia="仿宋"/>
          <w:b/>
          <w:bCs/>
          <w:color w:val="auto"/>
          <w:sz w:val="32"/>
          <w:szCs w:val="32"/>
          <w:highlight w:val="none"/>
        </w:rPr>
        <w:t>支出</w:t>
      </w:r>
      <w:r>
        <w:rPr>
          <w:rFonts w:ascii="仿宋" w:eastAsia="仿宋"/>
          <w:color w:val="auto"/>
          <w:sz w:val="32"/>
          <w:szCs w:val="32"/>
          <w:highlight w:val="none"/>
        </w:rPr>
        <w:t>9.61</w:t>
      </w:r>
      <w:r>
        <w:rPr>
          <w:rFonts w:hint="eastAsia" w:ascii="仿宋" w:eastAsia="仿宋"/>
          <w:color w:val="auto"/>
          <w:sz w:val="32"/>
          <w:szCs w:val="32"/>
          <w:highlight w:val="none"/>
        </w:rPr>
        <w:t>万元，占</w:t>
      </w:r>
      <w:r>
        <w:rPr>
          <w:rFonts w:ascii="仿宋" w:eastAsia="仿宋"/>
          <w:color w:val="auto"/>
          <w:sz w:val="32"/>
          <w:szCs w:val="32"/>
          <w:highlight w:val="none"/>
        </w:rPr>
        <w:t>12.09%</w:t>
      </w:r>
      <w:r>
        <w:rPr>
          <w:rFonts w:hint="eastAsia" w:ascii="仿宋" w:eastAsia="仿宋"/>
          <w:color w:val="auto"/>
          <w:sz w:val="32"/>
          <w:szCs w:val="32"/>
          <w:highlight w:val="none"/>
        </w:rPr>
        <w:t>；</w:t>
      </w:r>
      <w:r>
        <w:rPr>
          <w:rFonts w:hint="eastAsia" w:ascii="仿宋" w:eastAsia="仿宋"/>
          <w:b/>
          <w:bCs/>
          <w:color w:val="auto"/>
          <w:sz w:val="32"/>
          <w:szCs w:val="32"/>
          <w:highlight w:val="none"/>
        </w:rPr>
        <w:t>卫生健康支出</w:t>
      </w:r>
      <w:r>
        <w:rPr>
          <w:rFonts w:ascii="仿宋" w:eastAsia="仿宋"/>
          <w:color w:val="auto"/>
          <w:sz w:val="32"/>
          <w:szCs w:val="32"/>
          <w:highlight w:val="none"/>
        </w:rPr>
        <w:t>63.52</w:t>
      </w:r>
      <w:r>
        <w:rPr>
          <w:rFonts w:hint="eastAsia" w:ascii="仿宋" w:eastAsia="仿宋"/>
          <w:color w:val="auto"/>
          <w:sz w:val="32"/>
          <w:szCs w:val="32"/>
          <w:highlight w:val="none"/>
        </w:rPr>
        <w:t>万元，占</w:t>
      </w:r>
      <w:r>
        <w:rPr>
          <w:rFonts w:ascii="仿宋" w:eastAsia="仿宋"/>
          <w:color w:val="auto"/>
          <w:sz w:val="32"/>
          <w:szCs w:val="32"/>
          <w:highlight w:val="none"/>
        </w:rPr>
        <w:t>79.9%</w:t>
      </w:r>
      <w:r>
        <w:rPr>
          <w:rFonts w:hint="eastAsia" w:ascii="仿宋" w:eastAsia="仿宋"/>
          <w:color w:val="auto"/>
          <w:sz w:val="32"/>
          <w:szCs w:val="32"/>
          <w:highlight w:val="none"/>
        </w:rPr>
        <w:t>；</w:t>
      </w:r>
      <w:r>
        <w:rPr>
          <w:rFonts w:hint="eastAsia" w:ascii="仿宋" w:eastAsia="仿宋"/>
          <w:b/>
          <w:bCs/>
          <w:color w:val="auto"/>
          <w:sz w:val="32"/>
          <w:szCs w:val="32"/>
          <w:highlight w:val="none"/>
        </w:rPr>
        <w:t>住房保障支出</w:t>
      </w:r>
      <w:r>
        <w:rPr>
          <w:rFonts w:ascii="仿宋" w:eastAsia="仿宋"/>
          <w:color w:val="auto"/>
          <w:sz w:val="32"/>
          <w:szCs w:val="32"/>
          <w:highlight w:val="none"/>
        </w:rPr>
        <w:t>6.37</w:t>
      </w:r>
      <w:r>
        <w:rPr>
          <w:rFonts w:hint="eastAsia" w:ascii="仿宋" w:eastAsia="仿宋"/>
          <w:color w:val="auto"/>
          <w:sz w:val="32"/>
          <w:szCs w:val="32"/>
          <w:highlight w:val="none"/>
        </w:rPr>
        <w:t>万元，占</w:t>
      </w:r>
      <w:r>
        <w:rPr>
          <w:rFonts w:ascii="仿宋" w:eastAsia="仿宋"/>
          <w:color w:val="auto"/>
          <w:sz w:val="32"/>
          <w:szCs w:val="32"/>
          <w:highlight w:val="none"/>
        </w:rPr>
        <w:t>8.01%。</w:t>
      </w:r>
    </w:p>
    <w:p>
      <w:pPr>
        <w:spacing w:line="600" w:lineRule="exact"/>
        <w:ind w:firstLine="640"/>
        <w:rPr>
          <w:rFonts w:ascii="仿宋" w:eastAsia="仿宋"/>
          <w:b/>
          <w:color w:val="auto"/>
          <w:sz w:val="32"/>
          <w:szCs w:val="32"/>
          <w:highlight w:val="none"/>
        </w:rPr>
      </w:pPr>
    </w:p>
    <w:p>
      <w:pPr>
        <w:spacing w:line="600" w:lineRule="exact"/>
        <w:ind w:firstLine="640"/>
        <w:rPr>
          <w:rFonts w:ascii="仿宋" w:eastAsia="仿宋"/>
          <w:b/>
          <w:color w:val="auto"/>
          <w:sz w:val="32"/>
          <w:szCs w:val="32"/>
          <w:highlight w:val="none"/>
        </w:rPr>
      </w:pPr>
      <w:r>
        <w:rPr>
          <w:rFonts w:ascii="仿宋" w:eastAsia="仿宋"/>
          <w:b/>
          <w:color w:val="auto"/>
          <w:sz w:val="32"/>
          <w:szCs w:val="32"/>
          <w:highlight w:val="none"/>
        </w:rPr>
        <w:drawing>
          <wp:anchor distT="0" distB="0" distL="67945" distR="67945" simplePos="0" relativeHeight="251659264" behindDoc="0" locked="0" layoutInCell="1" allowOverlap="1">
            <wp:simplePos x="0" y="0"/>
            <wp:positionH relativeFrom="column">
              <wp:posOffset>473075</wp:posOffset>
            </wp:positionH>
            <wp:positionV relativeFrom="paragraph">
              <wp:posOffset>67310</wp:posOffset>
            </wp:positionV>
            <wp:extent cx="4333875" cy="2600325"/>
            <wp:effectExtent l="0" t="0" r="9525" b="9525"/>
            <wp:wrapNone/>
            <wp:docPr id="56"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pic:cNvPicPr>
                      <a:picLocks noChangeAspect="1"/>
                    </pic:cNvPicPr>
                  </pic:nvPicPr>
                  <pic:blipFill>
                    <a:blip r:embed="rId13"/>
                    <a:stretch>
                      <a:fillRect/>
                    </a:stretch>
                  </pic:blipFill>
                  <pic:spPr>
                    <a:xfrm>
                      <a:off x="0" y="0"/>
                      <a:ext cx="4333875" cy="2600325"/>
                    </a:xfrm>
                    <a:prstGeom prst="rect">
                      <a:avLst/>
                    </a:prstGeom>
                    <a:noFill/>
                    <a:ln>
                      <a:noFill/>
                    </a:ln>
                  </pic:spPr>
                </pic:pic>
              </a:graphicData>
            </a:graphic>
          </wp:anchor>
        </w:drawing>
      </w:r>
    </w:p>
    <w:p>
      <w:pPr>
        <w:spacing w:line="600" w:lineRule="exact"/>
        <w:ind w:firstLine="640"/>
        <w:rPr>
          <w:rFonts w:ascii="仿宋" w:eastAsia="仿宋"/>
          <w:b/>
          <w:color w:val="auto"/>
          <w:sz w:val="32"/>
          <w:szCs w:val="32"/>
          <w:highlight w:val="none"/>
        </w:rPr>
      </w:pPr>
    </w:p>
    <w:p>
      <w:pPr>
        <w:spacing w:line="600" w:lineRule="exact"/>
        <w:ind w:firstLine="640"/>
        <w:rPr>
          <w:rFonts w:ascii="仿宋" w:eastAsia="仿宋"/>
          <w:b/>
          <w:color w:val="auto"/>
          <w:sz w:val="32"/>
          <w:szCs w:val="32"/>
          <w:highlight w:val="none"/>
        </w:rPr>
      </w:pPr>
    </w:p>
    <w:p>
      <w:pPr>
        <w:spacing w:line="600" w:lineRule="exact"/>
        <w:ind w:firstLine="640"/>
        <w:rPr>
          <w:rFonts w:ascii="仿宋" w:eastAsia="仿宋"/>
          <w:b/>
          <w:color w:val="auto"/>
          <w:sz w:val="32"/>
          <w:szCs w:val="32"/>
          <w:highlight w:val="none"/>
        </w:rPr>
      </w:pPr>
    </w:p>
    <w:p>
      <w:pPr>
        <w:spacing w:line="600" w:lineRule="exact"/>
        <w:ind w:firstLine="640"/>
        <w:rPr>
          <w:rFonts w:ascii="仿宋" w:eastAsia="仿宋"/>
          <w:b/>
          <w:color w:val="auto"/>
          <w:sz w:val="32"/>
          <w:szCs w:val="32"/>
          <w:highlight w:val="none"/>
        </w:rPr>
      </w:pPr>
    </w:p>
    <w:p>
      <w:pPr>
        <w:spacing w:line="600" w:lineRule="exact"/>
        <w:ind w:firstLine="640"/>
        <w:rPr>
          <w:rFonts w:ascii="仿宋" w:eastAsia="仿宋"/>
          <w:b/>
          <w:color w:val="auto"/>
          <w:sz w:val="32"/>
          <w:szCs w:val="32"/>
          <w:highlight w:val="none"/>
        </w:rPr>
      </w:pPr>
    </w:p>
    <w:p>
      <w:pPr>
        <w:spacing w:line="600" w:lineRule="exact"/>
        <w:ind w:firstLine="640"/>
        <w:rPr>
          <w:rFonts w:ascii="仿宋" w:eastAsia="仿宋"/>
          <w:b/>
          <w:color w:val="auto"/>
          <w:sz w:val="32"/>
          <w:szCs w:val="32"/>
          <w:highlight w:val="none"/>
        </w:rPr>
      </w:pPr>
    </w:p>
    <w:p>
      <w:pPr>
        <w:spacing w:line="600" w:lineRule="exact"/>
        <w:ind w:firstLine="643" w:firstLineChars="200"/>
        <w:outlineLvl w:val="2"/>
        <w:rPr>
          <w:rFonts w:ascii="仿宋" w:eastAsia="仿宋"/>
          <w:b/>
          <w:color w:val="auto"/>
          <w:sz w:val="32"/>
          <w:szCs w:val="32"/>
          <w:highlight w:val="none"/>
        </w:rPr>
      </w:pPr>
      <w:bookmarkStart w:id="55" w:name="_Toc25939"/>
      <w:bookmarkStart w:id="56" w:name="_Toc12312"/>
      <w:bookmarkStart w:id="57" w:name="_Toc15377212"/>
      <w:bookmarkStart w:id="58" w:name="_Toc7746"/>
      <w:r>
        <w:rPr>
          <w:rFonts w:hint="eastAsia" w:ascii="仿宋" w:eastAsia="仿宋"/>
          <w:b/>
          <w:color w:val="auto"/>
          <w:sz w:val="32"/>
          <w:szCs w:val="32"/>
          <w:highlight w:val="none"/>
        </w:rPr>
        <w:t>（三）一般公共预算财政拨款支出决算具体情况</w:t>
      </w:r>
      <w:bookmarkEnd w:id="55"/>
      <w:bookmarkEnd w:id="56"/>
      <w:bookmarkEnd w:id="57"/>
      <w:bookmarkEnd w:id="58"/>
    </w:p>
    <w:p>
      <w:pPr>
        <w:spacing w:line="600" w:lineRule="exact"/>
        <w:ind w:firstLine="643" w:firstLineChars="200"/>
        <w:outlineLvl w:val="2"/>
        <w:rPr>
          <w:rFonts w:ascii="仿宋" w:eastAsia="仿宋"/>
          <w:color w:val="auto"/>
          <w:sz w:val="32"/>
          <w:szCs w:val="32"/>
          <w:highlight w:val="none"/>
        </w:rPr>
      </w:pPr>
      <w:bookmarkStart w:id="59" w:name="_Toc2077"/>
      <w:bookmarkStart w:id="60" w:name="_Toc20561"/>
      <w:bookmarkStart w:id="61" w:name="_Toc15377213"/>
      <w:bookmarkStart w:id="62" w:name="_Toc15377444"/>
      <w:bookmarkStart w:id="63" w:name="_Toc15378460"/>
      <w:bookmarkStart w:id="64" w:name="_Toc8229"/>
      <w:r>
        <w:rPr>
          <w:rFonts w:hint="eastAsia" w:ascii="仿宋" w:eastAsia="仿宋"/>
          <w:b/>
          <w:color w:val="auto"/>
          <w:sz w:val="32"/>
          <w:szCs w:val="32"/>
          <w:highlight w:val="none"/>
        </w:rPr>
        <w:t>20</w:t>
      </w:r>
      <w:r>
        <w:rPr>
          <w:rFonts w:hint="eastAsia" w:ascii="仿宋" w:eastAsia="仿宋"/>
          <w:b/>
          <w:color w:val="auto"/>
          <w:sz w:val="32"/>
          <w:szCs w:val="32"/>
          <w:highlight w:val="none"/>
          <w:lang w:val="en-US" w:eastAsia="zh-CN"/>
        </w:rPr>
        <w:t>22</w:t>
      </w:r>
      <w:r>
        <w:rPr>
          <w:rFonts w:hint="eastAsia" w:ascii="仿宋" w:eastAsia="仿宋"/>
          <w:b/>
          <w:color w:val="auto"/>
          <w:sz w:val="32"/>
          <w:szCs w:val="32"/>
          <w:highlight w:val="none"/>
        </w:rPr>
        <w:t>年</w:t>
      </w:r>
      <w:r>
        <w:rPr>
          <w:rFonts w:hint="eastAsia" w:ascii="仿宋" w:eastAsia="仿宋"/>
          <w:b/>
          <w:color w:val="auto"/>
          <w:sz w:val="32"/>
          <w:szCs w:val="32"/>
          <w:highlight w:val="none"/>
          <w:lang w:eastAsia="zh-CN"/>
        </w:rPr>
        <w:t>一</w:t>
      </w:r>
      <w:r>
        <w:rPr>
          <w:rFonts w:hint="eastAsia" w:ascii="仿宋" w:eastAsia="仿宋"/>
          <w:b/>
          <w:color w:val="auto"/>
          <w:sz w:val="32"/>
          <w:szCs w:val="32"/>
          <w:highlight w:val="none"/>
        </w:rPr>
        <w:t>般公共预算支出决算数为</w:t>
      </w:r>
      <w:r>
        <w:rPr>
          <w:rFonts w:ascii="仿宋" w:eastAsia="仿宋"/>
          <w:b/>
          <w:color w:val="auto"/>
          <w:sz w:val="32"/>
          <w:szCs w:val="32"/>
          <w:highlight w:val="none"/>
        </w:rPr>
        <w:t>79.5万元</w:t>
      </w:r>
      <w:r>
        <w:rPr>
          <w:rFonts w:hint="eastAsia" w:ascii="仿宋" w:eastAsia="仿宋"/>
          <w:color w:val="auto"/>
          <w:sz w:val="32"/>
          <w:szCs w:val="32"/>
          <w:highlight w:val="none"/>
        </w:rPr>
        <w:t>，</w:t>
      </w:r>
      <w:r>
        <w:rPr>
          <w:rStyle w:val="17"/>
          <w:rFonts w:hint="eastAsia" w:ascii="仿宋" w:eastAsia="仿宋"/>
          <w:bCs/>
          <w:color w:val="auto"/>
          <w:sz w:val="32"/>
          <w:szCs w:val="32"/>
          <w:highlight w:val="none"/>
        </w:rPr>
        <w:t>完成预算</w:t>
      </w:r>
      <w:r>
        <w:rPr>
          <w:rStyle w:val="17"/>
          <w:rFonts w:ascii="仿宋" w:eastAsia="仿宋"/>
          <w:bCs/>
          <w:color w:val="auto"/>
          <w:sz w:val="32"/>
          <w:szCs w:val="32"/>
          <w:highlight w:val="none"/>
        </w:rPr>
        <w:t>100%</w:t>
      </w:r>
      <w:r>
        <w:rPr>
          <w:rStyle w:val="17"/>
          <w:rFonts w:hint="eastAsia" w:ascii="仿宋" w:eastAsia="仿宋"/>
          <w:bCs/>
          <w:color w:val="auto"/>
          <w:sz w:val="32"/>
          <w:szCs w:val="32"/>
          <w:highlight w:val="none"/>
        </w:rPr>
        <w:t>。其中：</w:t>
      </w:r>
      <w:bookmarkEnd w:id="59"/>
      <w:bookmarkEnd w:id="60"/>
      <w:bookmarkEnd w:id="61"/>
      <w:bookmarkEnd w:id="62"/>
      <w:bookmarkEnd w:id="63"/>
      <w:bookmarkEnd w:id="64"/>
    </w:p>
    <w:p>
      <w:pPr>
        <w:spacing w:line="600" w:lineRule="exact"/>
        <w:ind w:firstLine="643" w:firstLineChars="200"/>
        <w:rPr>
          <w:rFonts w:ascii="仿宋" w:eastAsia="仿宋"/>
          <w:b/>
          <w:color w:val="auto"/>
          <w:sz w:val="32"/>
          <w:szCs w:val="32"/>
          <w:highlight w:val="none"/>
        </w:rPr>
      </w:pPr>
      <w:r>
        <w:rPr>
          <w:rStyle w:val="17"/>
          <w:rFonts w:ascii="仿宋" w:eastAsia="仿宋"/>
          <w:bCs/>
          <w:color w:val="auto"/>
          <w:sz w:val="32"/>
          <w:szCs w:val="32"/>
          <w:highlight w:val="none"/>
        </w:rPr>
        <w:t>1.</w:t>
      </w:r>
      <w:r>
        <w:rPr>
          <w:rStyle w:val="17"/>
          <w:rFonts w:hint="eastAsia" w:ascii="仿宋" w:eastAsia="仿宋"/>
          <w:bCs/>
          <w:color w:val="auto"/>
          <w:sz w:val="32"/>
          <w:szCs w:val="32"/>
          <w:highlight w:val="none"/>
        </w:rPr>
        <w:t>社会保障和就业（类）</w:t>
      </w:r>
      <w:r>
        <w:rPr>
          <w:rStyle w:val="17"/>
          <w:rFonts w:ascii="仿宋" w:eastAsia="仿宋"/>
          <w:bCs/>
          <w:color w:val="auto"/>
          <w:sz w:val="32"/>
          <w:szCs w:val="32"/>
          <w:highlight w:val="none"/>
        </w:rPr>
        <w:t>:</w:t>
      </w:r>
      <w:r>
        <w:rPr>
          <w:rStyle w:val="17"/>
          <w:rFonts w:ascii="仿宋" w:eastAsia="仿宋"/>
          <w:b w:val="0"/>
          <w:bCs/>
          <w:color w:val="auto"/>
          <w:sz w:val="32"/>
          <w:szCs w:val="32"/>
          <w:highlight w:val="none"/>
        </w:rPr>
        <w:t xml:space="preserve"> </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rPr>
        <w:t>9.61</w:t>
      </w:r>
      <w:r>
        <w:rPr>
          <w:rStyle w:val="17"/>
          <w:rFonts w:hint="eastAsia" w:ascii="仿宋" w:eastAsia="仿宋"/>
          <w:b w:val="0"/>
          <w:bCs/>
          <w:color w:val="auto"/>
          <w:sz w:val="32"/>
          <w:szCs w:val="32"/>
          <w:highlight w:val="none"/>
        </w:rPr>
        <w:t>万元，完成预算</w:t>
      </w:r>
      <w:r>
        <w:rPr>
          <w:rStyle w:val="17"/>
          <w:rFonts w:ascii="仿宋" w:eastAsia="仿宋"/>
          <w:b w:val="0"/>
          <w:bCs/>
          <w:color w:val="auto"/>
          <w:sz w:val="32"/>
          <w:szCs w:val="32"/>
          <w:highlight w:val="none"/>
        </w:rPr>
        <w:t>100%</w:t>
      </w:r>
      <w:r>
        <w:rPr>
          <w:rStyle w:val="17"/>
          <w:rFonts w:hint="eastAsia" w:ascii="仿宋" w:eastAsia="仿宋"/>
          <w:b w:val="0"/>
          <w:bCs/>
          <w:color w:val="auto"/>
          <w:sz w:val="32"/>
          <w:szCs w:val="32"/>
          <w:highlight w:val="none"/>
        </w:rPr>
        <w:t>，决算数等于预算数的主要原因是</w:t>
      </w:r>
      <w:r>
        <w:rPr>
          <w:rStyle w:val="17"/>
          <w:rFonts w:ascii="仿宋" w:eastAsia="仿宋"/>
          <w:b w:val="0"/>
          <w:bCs/>
          <w:color w:val="auto"/>
          <w:sz w:val="32"/>
          <w:szCs w:val="32"/>
          <w:highlight w:val="none"/>
        </w:rPr>
        <w:t>收支持平</w:t>
      </w:r>
      <w:r>
        <w:rPr>
          <w:rStyle w:val="17"/>
          <w:rFonts w:hint="eastAsia" w:ascii="仿宋" w:eastAsia="仿宋"/>
          <w:b w:val="0"/>
          <w:bCs/>
          <w:color w:val="auto"/>
          <w:sz w:val="32"/>
          <w:szCs w:val="32"/>
          <w:highlight w:val="none"/>
        </w:rPr>
        <w:t>。</w:t>
      </w:r>
    </w:p>
    <w:p>
      <w:pPr>
        <w:spacing w:line="600" w:lineRule="exact"/>
        <w:ind w:firstLine="643" w:firstLineChars="200"/>
        <w:rPr>
          <w:rFonts w:ascii="仿宋" w:eastAsia="仿宋"/>
          <w:b/>
          <w:color w:val="auto"/>
          <w:sz w:val="32"/>
          <w:szCs w:val="32"/>
          <w:highlight w:val="none"/>
        </w:rPr>
      </w:pPr>
      <w:r>
        <w:rPr>
          <w:rStyle w:val="17"/>
          <w:rFonts w:ascii="仿宋" w:eastAsia="仿宋"/>
          <w:bCs/>
          <w:color w:val="auto"/>
          <w:sz w:val="32"/>
          <w:szCs w:val="32"/>
          <w:highlight w:val="none"/>
        </w:rPr>
        <w:t>2.</w:t>
      </w:r>
      <w:r>
        <w:rPr>
          <w:rFonts w:hint="eastAsia" w:ascii="仿宋" w:eastAsia="仿宋"/>
          <w:b/>
          <w:bCs/>
          <w:color w:val="auto"/>
          <w:sz w:val="32"/>
          <w:szCs w:val="32"/>
          <w:highlight w:val="none"/>
        </w:rPr>
        <w:t>卫生健康</w:t>
      </w:r>
      <w:r>
        <w:rPr>
          <w:rStyle w:val="17"/>
          <w:rFonts w:hint="eastAsia" w:ascii="仿宋" w:eastAsia="仿宋"/>
          <w:bCs/>
          <w:color w:val="auto"/>
          <w:sz w:val="32"/>
          <w:szCs w:val="32"/>
          <w:highlight w:val="none"/>
        </w:rPr>
        <w:t>（类）</w:t>
      </w:r>
      <w:r>
        <w:rPr>
          <w:rStyle w:val="17"/>
          <w:rFonts w:ascii="仿宋" w:eastAsia="仿宋"/>
          <w:bCs/>
          <w:color w:val="auto"/>
          <w:sz w:val="32"/>
          <w:szCs w:val="32"/>
          <w:highlight w:val="none"/>
        </w:rPr>
        <w:t>:</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rPr>
        <w:t>63.52</w:t>
      </w:r>
      <w:r>
        <w:rPr>
          <w:rStyle w:val="17"/>
          <w:rFonts w:hint="eastAsia" w:ascii="仿宋" w:eastAsia="仿宋"/>
          <w:b w:val="0"/>
          <w:bCs/>
          <w:color w:val="auto"/>
          <w:sz w:val="32"/>
          <w:szCs w:val="32"/>
          <w:highlight w:val="none"/>
        </w:rPr>
        <w:t>万元，完成预算</w:t>
      </w:r>
      <w:r>
        <w:rPr>
          <w:rStyle w:val="17"/>
          <w:rFonts w:ascii="仿宋" w:eastAsia="仿宋"/>
          <w:b w:val="0"/>
          <w:bCs/>
          <w:color w:val="auto"/>
          <w:sz w:val="32"/>
          <w:szCs w:val="32"/>
          <w:highlight w:val="none"/>
        </w:rPr>
        <w:t>100%</w:t>
      </w:r>
      <w:r>
        <w:rPr>
          <w:rStyle w:val="17"/>
          <w:rFonts w:hint="eastAsia" w:ascii="仿宋" w:eastAsia="仿宋"/>
          <w:b w:val="0"/>
          <w:bCs/>
          <w:color w:val="auto"/>
          <w:sz w:val="32"/>
          <w:szCs w:val="32"/>
          <w:highlight w:val="none"/>
        </w:rPr>
        <w:t>，决算数等于预算数的主要原因是</w:t>
      </w:r>
      <w:r>
        <w:rPr>
          <w:rStyle w:val="17"/>
          <w:rFonts w:ascii="仿宋" w:eastAsia="仿宋"/>
          <w:b w:val="0"/>
          <w:bCs/>
          <w:color w:val="auto"/>
          <w:sz w:val="32"/>
          <w:szCs w:val="32"/>
          <w:highlight w:val="none"/>
        </w:rPr>
        <w:t>收支持平</w:t>
      </w:r>
      <w:r>
        <w:rPr>
          <w:rStyle w:val="17"/>
          <w:rFonts w:hint="eastAsia" w:ascii="仿宋" w:eastAsia="仿宋"/>
          <w:b w:val="0"/>
          <w:bCs/>
          <w:color w:val="auto"/>
          <w:sz w:val="32"/>
          <w:szCs w:val="32"/>
          <w:highlight w:val="none"/>
        </w:rPr>
        <w:t>。</w:t>
      </w:r>
    </w:p>
    <w:p>
      <w:pPr>
        <w:spacing w:line="600" w:lineRule="exact"/>
        <w:ind w:firstLine="643" w:firstLineChars="200"/>
        <w:rPr>
          <w:rFonts w:ascii="仿宋" w:eastAsia="仿宋"/>
          <w:b/>
          <w:color w:val="auto"/>
          <w:sz w:val="32"/>
          <w:szCs w:val="32"/>
          <w:highlight w:val="none"/>
        </w:rPr>
      </w:pPr>
      <w:bookmarkStart w:id="65" w:name="_Toc15377214"/>
      <w:bookmarkStart w:id="66" w:name="_Toc15396608"/>
      <w:r>
        <w:rPr>
          <w:rFonts w:ascii="仿宋" w:eastAsia="仿宋"/>
          <w:b/>
          <w:color w:val="auto"/>
          <w:sz w:val="32"/>
          <w:szCs w:val="32"/>
          <w:highlight w:val="none"/>
        </w:rPr>
        <w:t>3</w:t>
      </w:r>
      <w:r>
        <w:rPr>
          <w:rFonts w:hint="eastAsia" w:ascii="仿宋" w:eastAsia="仿宋"/>
          <w:b/>
          <w:color w:val="auto"/>
          <w:sz w:val="32"/>
          <w:szCs w:val="32"/>
          <w:highlight w:val="none"/>
          <w:lang w:val="en-US" w:eastAsia="zh-CN"/>
        </w:rPr>
        <w:t>.</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rPr>
        <w:t>6.37</w:t>
      </w:r>
      <w:r>
        <w:rPr>
          <w:rStyle w:val="17"/>
          <w:rFonts w:hint="eastAsia" w:ascii="仿宋" w:eastAsia="仿宋"/>
          <w:b w:val="0"/>
          <w:bCs/>
          <w:color w:val="auto"/>
          <w:sz w:val="32"/>
          <w:szCs w:val="32"/>
          <w:highlight w:val="none"/>
        </w:rPr>
        <w:t>万元，完成预算</w:t>
      </w:r>
      <w:r>
        <w:rPr>
          <w:rStyle w:val="17"/>
          <w:rFonts w:ascii="仿宋" w:eastAsia="仿宋"/>
          <w:b w:val="0"/>
          <w:bCs/>
          <w:color w:val="auto"/>
          <w:sz w:val="32"/>
          <w:szCs w:val="32"/>
          <w:highlight w:val="none"/>
        </w:rPr>
        <w:t>100%</w:t>
      </w:r>
      <w:r>
        <w:rPr>
          <w:rStyle w:val="17"/>
          <w:rFonts w:hint="eastAsia" w:ascii="仿宋" w:eastAsia="仿宋"/>
          <w:b w:val="0"/>
          <w:bCs/>
          <w:color w:val="auto"/>
          <w:sz w:val="32"/>
          <w:szCs w:val="32"/>
          <w:highlight w:val="none"/>
        </w:rPr>
        <w:t>，决算数等于预算数的主要原因是</w:t>
      </w:r>
      <w:r>
        <w:rPr>
          <w:rStyle w:val="17"/>
          <w:rFonts w:ascii="仿宋" w:eastAsia="仿宋"/>
          <w:b w:val="0"/>
          <w:bCs/>
          <w:color w:val="auto"/>
          <w:sz w:val="32"/>
          <w:szCs w:val="32"/>
          <w:highlight w:val="none"/>
        </w:rPr>
        <w:t>收支持平</w:t>
      </w:r>
      <w:r>
        <w:rPr>
          <w:rStyle w:val="17"/>
          <w:rFonts w:hint="eastAsia" w:ascii="仿宋" w:eastAsia="仿宋"/>
          <w:b w:val="0"/>
          <w:bCs/>
          <w:color w:val="auto"/>
          <w:sz w:val="32"/>
          <w:szCs w:val="32"/>
          <w:highlight w:val="none"/>
        </w:rPr>
        <w:t>。</w:t>
      </w:r>
    </w:p>
    <w:p>
      <w:pPr>
        <w:tabs>
          <w:tab w:val="right" w:pos="8306"/>
        </w:tabs>
        <w:spacing w:line="600" w:lineRule="exact"/>
        <w:ind w:firstLine="640"/>
        <w:outlineLvl w:val="1"/>
        <w:rPr>
          <w:rStyle w:val="20"/>
          <w:color w:val="auto"/>
          <w:highlight w:val="none"/>
        </w:rPr>
      </w:pPr>
      <w:bookmarkStart w:id="67" w:name="_Toc10723"/>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20"/>
          <w:rFonts w:hint="eastAsia" w:ascii="黑体" w:eastAsia="黑体"/>
          <w:b w:val="0"/>
          <w:color w:val="auto"/>
          <w:highlight w:val="none"/>
        </w:rPr>
        <w:t>般公共预算财政拨款基本支出决算情况说明</w:t>
      </w:r>
      <w:bookmarkEnd w:id="65"/>
      <w:bookmarkEnd w:id="66"/>
      <w:bookmarkEnd w:id="67"/>
      <w:r>
        <w:rPr>
          <w:rStyle w:val="20"/>
          <w:rFonts w:ascii="黑体" w:eastAsia="黑体"/>
          <w:b w:val="0"/>
          <w:color w:val="auto"/>
          <w:highlight w:val="none"/>
        </w:rPr>
        <w:tab/>
      </w:r>
    </w:p>
    <w:p>
      <w:pPr>
        <w:spacing w:line="600" w:lineRule="exact"/>
        <w:ind w:firstLine="645"/>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年一般公共预算财政拨款基本支出</w:t>
      </w:r>
      <w:r>
        <w:rPr>
          <w:rFonts w:ascii="仿宋" w:eastAsia="仿宋"/>
          <w:color w:val="auto"/>
          <w:sz w:val="32"/>
          <w:szCs w:val="32"/>
          <w:highlight w:val="none"/>
        </w:rPr>
        <w:t>79.5</w:t>
      </w:r>
      <w:r>
        <w:rPr>
          <w:rFonts w:hint="eastAsia" w:ascii="仿宋" w:eastAsia="仿宋"/>
          <w:color w:val="auto"/>
          <w:sz w:val="32"/>
          <w:szCs w:val="32"/>
          <w:highlight w:val="none"/>
        </w:rPr>
        <w:t>万元，其中：</w:t>
      </w:r>
    </w:p>
    <w:p>
      <w:pPr>
        <w:spacing w:line="600" w:lineRule="exact"/>
        <w:ind w:firstLine="645"/>
        <w:rPr>
          <w:rFonts w:ascii="仿宋" w:eastAsia="仿宋"/>
          <w:color w:val="auto"/>
          <w:sz w:val="32"/>
          <w:szCs w:val="32"/>
          <w:highlight w:val="none"/>
        </w:rPr>
      </w:pPr>
      <w:r>
        <w:rPr>
          <w:rFonts w:hint="eastAsia" w:ascii="仿宋" w:eastAsia="仿宋"/>
          <w:color w:val="auto"/>
          <w:sz w:val="32"/>
          <w:szCs w:val="32"/>
          <w:highlight w:val="none"/>
        </w:rPr>
        <w:t>人员经费</w:t>
      </w:r>
      <w:r>
        <w:rPr>
          <w:rFonts w:ascii="仿宋" w:eastAsia="仿宋"/>
          <w:color w:val="auto"/>
          <w:sz w:val="32"/>
          <w:szCs w:val="32"/>
          <w:highlight w:val="none"/>
        </w:rPr>
        <w:t>78.78</w:t>
      </w:r>
      <w:r>
        <w:rPr>
          <w:rFonts w:hint="eastAsia" w:ascii="仿宋" w:eastAsia="仿宋"/>
          <w:color w:val="auto"/>
          <w:sz w:val="32"/>
          <w:szCs w:val="32"/>
          <w:highlight w:val="none"/>
        </w:rPr>
        <w:t>万元，主要包括：基本工资23.75</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、津贴补贴5.63</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、奖金、伙食补助费、绩效工资30.45</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、机关事业单位基本养老保险缴费6.43</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、职业年金缴费3.17</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、职工基本医疗保险缴费3.68</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住房公积金6.37</w:t>
      </w:r>
      <w:r>
        <w:rPr>
          <w:rFonts w:hint="eastAsia" w:ascii="仿宋" w:eastAsia="仿宋"/>
          <w:color w:val="auto"/>
          <w:sz w:val="32"/>
          <w:szCs w:val="32"/>
          <w:highlight w:val="none"/>
          <w:lang w:eastAsia="zh-CN"/>
        </w:rPr>
        <w:t>万元</w:t>
      </w:r>
      <w:r>
        <w:rPr>
          <w:rFonts w:hint="eastAsia" w:ascii="仿宋" w:eastAsia="仿宋"/>
          <w:color w:val="auto"/>
          <w:sz w:val="32"/>
          <w:szCs w:val="32"/>
          <w:highlight w:val="none"/>
        </w:rPr>
        <w:t>。</w:t>
      </w:r>
    </w:p>
    <w:p>
      <w:pPr>
        <w:spacing w:line="600" w:lineRule="exact"/>
        <w:ind w:left="0" w:firstLine="640" w:firstLineChars="200"/>
        <w:outlineLvl w:val="1"/>
        <w:rPr>
          <w:rStyle w:val="20"/>
          <w:rFonts w:ascii="黑体" w:eastAsia="黑体"/>
          <w:b w:val="0"/>
          <w:color w:val="auto"/>
          <w:highlight w:val="none"/>
        </w:rPr>
      </w:pPr>
      <w:bookmarkStart w:id="68" w:name="_Toc15377215"/>
      <w:bookmarkStart w:id="69" w:name="_Toc15396609"/>
      <w:bookmarkStart w:id="70" w:name="_Toc6249"/>
      <w:r>
        <w:rPr>
          <w:rFonts w:hint="eastAsia" w:ascii="黑体" w:eastAsia="黑体"/>
          <w:color w:val="auto"/>
          <w:sz w:val="32"/>
          <w:szCs w:val="32"/>
          <w:highlight w:val="none"/>
        </w:rPr>
        <w:t>七、</w:t>
      </w:r>
      <w:r>
        <w:rPr>
          <w:rStyle w:val="20"/>
          <w:rFonts w:hint="eastAsia" w:ascii="黑体" w:eastAsia="黑体"/>
          <w:b w:val="0"/>
          <w:color w:val="auto"/>
          <w:highlight w:val="none"/>
        </w:rPr>
        <w:t>财政拨款</w:t>
      </w:r>
      <w:r>
        <w:rPr>
          <w:rStyle w:val="20"/>
          <w:rFonts w:hint="eastAsia" w:ascii="黑体" w:eastAsia="黑体"/>
          <w:color w:val="auto"/>
          <w:highlight w:val="none"/>
        </w:rPr>
        <w:t>“</w:t>
      </w:r>
      <w:r>
        <w:rPr>
          <w:rStyle w:val="20"/>
          <w:rFonts w:hint="eastAsia" w:ascii="黑体" w:eastAsia="黑体"/>
          <w:b w:val="0"/>
          <w:color w:val="auto"/>
          <w:highlight w:val="none"/>
        </w:rPr>
        <w:t>三公”经费支出决算情况说明</w:t>
      </w:r>
      <w:bookmarkEnd w:id="68"/>
      <w:bookmarkEnd w:id="69"/>
      <w:r>
        <w:rPr>
          <w:rStyle w:val="20"/>
          <w:rFonts w:ascii="黑体" w:eastAsia="黑体"/>
          <w:b w:val="0"/>
          <w:color w:val="auto"/>
          <w:highlight w:val="none"/>
        </w:rPr>
        <w:t>（无）</w:t>
      </w:r>
      <w:bookmarkEnd w:id="70"/>
    </w:p>
    <w:p>
      <w:pPr>
        <w:pageBreakBefore w:val="0"/>
        <w:wordWrap/>
        <w:overflowPunct/>
        <w:topLinePunct w:val="0"/>
        <w:bidi w:val="0"/>
        <w:spacing w:line="580" w:lineRule="exact"/>
        <w:ind w:firstLine="640"/>
        <w:outlineLvl w:val="2"/>
        <w:rPr>
          <w:rFonts w:hint="eastAsia" w:ascii="仿宋" w:hAnsi="仿宋" w:eastAsia="仿宋" w:cs="仿宋"/>
          <w:b/>
          <w:color w:val="000000"/>
          <w:sz w:val="32"/>
          <w:szCs w:val="32"/>
        </w:rPr>
      </w:pPr>
      <w:bookmarkStart w:id="71" w:name="_Toc13623"/>
      <w:bookmarkStart w:id="72" w:name="_Toc15305"/>
      <w:bookmarkStart w:id="73" w:name="_Toc15396610"/>
      <w:bookmarkStart w:id="74" w:name="_Toc15377218"/>
      <w:r>
        <w:rPr>
          <w:rFonts w:hint="eastAsia" w:ascii="仿宋" w:hAnsi="仿宋" w:eastAsia="仿宋" w:cs="仿宋"/>
          <w:b/>
          <w:color w:val="000000"/>
          <w:sz w:val="32"/>
          <w:szCs w:val="32"/>
        </w:rPr>
        <w:t>（一）“三公”经费财政拨款支出决算总体情况说明</w:t>
      </w:r>
      <w:bookmarkEnd w:id="71"/>
      <w:bookmarkEnd w:id="72"/>
    </w:p>
    <w:p>
      <w:pPr>
        <w:pageBreakBefore w:val="0"/>
        <w:wordWrap/>
        <w:overflowPunct/>
        <w:topLinePunct w:val="0"/>
        <w:bidi w:val="0"/>
        <w:spacing w:line="580" w:lineRule="exact"/>
        <w:ind w:firstLine="640"/>
        <w:rPr>
          <w:rFonts w:hint="eastAsia" w:ascii="仿宋" w:hAnsi="仿宋" w:eastAsia="仿宋" w:cs="仿宋"/>
          <w:color w:val="000000"/>
          <w:sz w:val="32"/>
          <w:szCs w:val="32"/>
        </w:rPr>
      </w:pPr>
      <w:r>
        <w:rPr>
          <w:rFonts w:hint="eastAsia" w:ascii="仿宋" w:hAnsi="仿宋" w:eastAsia="仿宋" w:cs="仿宋"/>
          <w:color w:val="000000"/>
          <w:sz w:val="32"/>
          <w:szCs w:val="32"/>
          <w:highlight w:val="none"/>
          <w:lang w:eastAsia="zh-CN"/>
        </w:rPr>
        <w:t>2021</w:t>
      </w:r>
      <w:r>
        <w:rPr>
          <w:rFonts w:hint="eastAsia" w:ascii="仿宋" w:hAnsi="仿宋" w:eastAsia="仿宋" w:cs="仿宋"/>
          <w:color w:val="000000"/>
          <w:sz w:val="32"/>
          <w:szCs w:val="32"/>
          <w:highlight w:val="none"/>
        </w:rPr>
        <w:t>年“三公”经费财政拨款支出决算为</w:t>
      </w:r>
      <w:r>
        <w:rPr>
          <w:rFonts w:hint="eastAsia" w:ascii="仿宋" w:hAnsi="仿宋" w:eastAsia="仿宋" w:cs="仿宋"/>
          <w:color w:val="000000"/>
          <w:sz w:val="32"/>
          <w:szCs w:val="32"/>
          <w:highlight w:val="none"/>
          <w:lang w:val="en-US" w:eastAsia="zh-CN"/>
        </w:rPr>
        <w:t>0</w:t>
      </w:r>
      <w:r>
        <w:rPr>
          <w:rFonts w:hint="eastAsia" w:ascii="仿宋" w:hAnsi="仿宋" w:eastAsia="仿宋" w:cs="仿宋"/>
          <w:color w:val="000000"/>
          <w:sz w:val="32"/>
          <w:szCs w:val="32"/>
          <w:highlight w:val="none"/>
        </w:rPr>
        <w:t>万元，</w:t>
      </w:r>
      <w:bookmarkStart w:id="75" w:name="_Toc15377217"/>
      <w:r>
        <w:rPr>
          <w:rFonts w:hint="eastAsia" w:ascii="仿宋" w:hAnsi="仿宋" w:eastAsia="仿宋" w:cs="仿宋"/>
          <w:color w:val="000000"/>
          <w:sz w:val="32"/>
          <w:szCs w:val="32"/>
        </w:rPr>
        <w:t>年初未安排预算。</w:t>
      </w:r>
    </w:p>
    <w:p>
      <w:pPr>
        <w:pageBreakBefore w:val="0"/>
        <w:wordWrap/>
        <w:overflowPunct/>
        <w:topLinePunct w:val="0"/>
        <w:bidi w:val="0"/>
        <w:spacing w:line="580" w:lineRule="exact"/>
        <w:ind w:firstLine="640"/>
        <w:outlineLvl w:val="2"/>
        <w:rPr>
          <w:rFonts w:hint="eastAsia" w:ascii="仿宋" w:hAnsi="仿宋" w:eastAsia="仿宋" w:cs="仿宋"/>
          <w:b/>
          <w:color w:val="000000"/>
          <w:sz w:val="32"/>
          <w:szCs w:val="32"/>
        </w:rPr>
      </w:pPr>
      <w:bookmarkStart w:id="76" w:name="_Toc30226"/>
      <w:bookmarkStart w:id="77" w:name="_Toc3646"/>
      <w:r>
        <w:rPr>
          <w:rFonts w:hint="eastAsia" w:ascii="仿宋" w:hAnsi="仿宋" w:eastAsia="仿宋" w:cs="仿宋"/>
          <w:b/>
          <w:color w:val="000000"/>
          <w:sz w:val="32"/>
          <w:szCs w:val="32"/>
        </w:rPr>
        <w:t>（二）“三公”经费财政拨款支出决算具体情况说明</w:t>
      </w:r>
      <w:bookmarkEnd w:id="75"/>
      <w:bookmarkEnd w:id="76"/>
      <w:bookmarkEnd w:id="77"/>
    </w:p>
    <w:p>
      <w:pPr>
        <w:pageBreakBefore w:val="0"/>
        <w:wordWrap/>
        <w:overflowPunct/>
        <w:topLinePunct w:val="0"/>
        <w:bidi w:val="0"/>
        <w:spacing w:line="580" w:lineRule="exact"/>
        <w:ind w:firstLine="640"/>
        <w:rPr>
          <w:rFonts w:hint="eastAsia" w:ascii="仿宋" w:hAnsi="仿宋" w:eastAsia="仿宋"/>
          <w:color w:val="000000"/>
          <w:sz w:val="32"/>
          <w:szCs w:val="32"/>
          <w:lang w:eastAsia="zh-CN"/>
        </w:rPr>
      </w:pPr>
      <w:r>
        <w:rPr>
          <w:rFonts w:hint="eastAsia" w:ascii="仿宋" w:hAnsi="仿宋" w:eastAsia="仿宋" w:cs="仿宋"/>
          <w:color w:val="000000"/>
          <w:sz w:val="32"/>
          <w:szCs w:val="32"/>
          <w:lang w:val="en-US" w:eastAsia="zh-CN"/>
        </w:rPr>
        <w:t>2021</w:t>
      </w:r>
      <w:r>
        <w:rPr>
          <w:rFonts w:hint="eastAsia" w:ascii="仿宋" w:hAnsi="仿宋" w:eastAsia="仿宋" w:cs="仿宋"/>
          <w:color w:val="000000"/>
          <w:sz w:val="32"/>
          <w:szCs w:val="32"/>
        </w:rPr>
        <w:t>年“三公”经费财政拨款支出决算中，因公出国（境）费支出决算0万元，年初未安排预算；公务用车购置及运行维护费支出决算</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万元，年初未安排预算，与上年数持平</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公务接待费总支出决算</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万元，年初未安排预算</w:t>
      </w:r>
      <w:r>
        <w:rPr>
          <w:rFonts w:hint="eastAsia" w:ascii="仿宋" w:hAnsi="仿宋" w:eastAsia="仿宋" w:cs="仿宋"/>
          <w:color w:val="000000"/>
          <w:sz w:val="32"/>
          <w:szCs w:val="32"/>
          <w:lang w:eastAsia="zh-CN"/>
        </w:rPr>
        <w:t>。</w:t>
      </w:r>
    </w:p>
    <w:p>
      <w:pPr>
        <w:pageBreakBefore w:val="0"/>
        <w:wordWrap/>
        <w:overflowPunct/>
        <w:topLinePunct w:val="0"/>
        <w:bidi w:val="0"/>
        <w:spacing w:line="580" w:lineRule="exact"/>
        <w:ind w:firstLine="640"/>
        <w:rPr>
          <w:rFonts w:hint="eastAsia" w:ascii="仿宋" w:hAnsi="仿宋" w:eastAsia="仿宋" w:cs="仿宋"/>
          <w:b/>
          <w:color w:val="000000"/>
          <w:sz w:val="32"/>
          <w:szCs w:val="32"/>
        </w:rPr>
      </w:pPr>
      <w:r>
        <w:rPr>
          <w:rFonts w:hint="eastAsia" w:ascii="仿宋" w:hAnsi="仿宋" w:eastAsia="仿宋" w:cs="仿宋"/>
          <w:b/>
          <w:color w:val="000000"/>
          <w:sz w:val="32"/>
          <w:szCs w:val="32"/>
        </w:rPr>
        <w:t>1.因公出国（境）经费支出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万元，年初未安排预算</w:t>
      </w:r>
      <w:r>
        <w:rPr>
          <w:rStyle w:val="17"/>
          <w:rFonts w:hint="eastAsia" w:ascii="仿宋" w:hAnsi="仿宋" w:eastAsia="仿宋" w:cs="仿宋"/>
          <w:b w:val="0"/>
          <w:bCs/>
          <w:color w:val="000000"/>
          <w:sz w:val="32"/>
          <w:szCs w:val="32"/>
        </w:rPr>
        <w:t>。</w:t>
      </w:r>
      <w:r>
        <w:rPr>
          <w:rFonts w:hint="eastAsia" w:ascii="仿宋" w:hAnsi="仿宋" w:eastAsia="仿宋" w:cs="仿宋"/>
          <w:color w:val="000000"/>
          <w:sz w:val="32"/>
          <w:szCs w:val="32"/>
        </w:rPr>
        <w:t>年初未安排预算</w:t>
      </w:r>
      <w:r>
        <w:rPr>
          <w:rFonts w:hint="eastAsia" w:ascii="仿宋" w:hAnsi="仿宋" w:eastAsia="仿宋" w:cs="仿宋"/>
          <w:color w:val="000000"/>
          <w:sz w:val="32"/>
          <w:szCs w:val="32"/>
          <w:lang w:eastAsia="zh-CN"/>
        </w:rPr>
        <w:t>，</w:t>
      </w:r>
      <w:r>
        <w:rPr>
          <w:rStyle w:val="17"/>
          <w:rFonts w:hint="eastAsia" w:ascii="仿宋" w:hAnsi="仿宋" w:eastAsia="仿宋" w:cs="仿宋"/>
          <w:b w:val="0"/>
          <w:bCs/>
          <w:color w:val="000000"/>
          <w:sz w:val="32"/>
          <w:szCs w:val="32"/>
        </w:rPr>
        <w:t>与上年数持平。</w:t>
      </w:r>
    </w:p>
    <w:p>
      <w:pPr>
        <w:pageBreakBefore w:val="0"/>
        <w:wordWrap/>
        <w:overflowPunct/>
        <w:topLinePunct w:val="0"/>
        <w:bidi w:val="0"/>
        <w:spacing w:line="580" w:lineRule="exact"/>
        <w:ind w:firstLine="640"/>
        <w:rPr>
          <w:rFonts w:hint="eastAsia" w:ascii="仿宋" w:hAnsi="仿宋" w:eastAsia="仿宋" w:cs="仿宋"/>
          <w:color w:val="000000"/>
          <w:sz w:val="32"/>
          <w:szCs w:val="32"/>
          <w:lang w:val="en-US" w:eastAsia="zh-CN"/>
        </w:rPr>
      </w:pPr>
      <w:r>
        <w:rPr>
          <w:rFonts w:hint="eastAsia" w:ascii="仿宋" w:hAnsi="仿宋" w:eastAsia="仿宋" w:cs="仿宋"/>
          <w:b/>
          <w:color w:val="000000"/>
          <w:sz w:val="32"/>
          <w:szCs w:val="32"/>
        </w:rPr>
        <w:t>2.公务用车购置及运行维护费支出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万元,年初未安排预算</w:t>
      </w:r>
      <w:r>
        <w:rPr>
          <w:rStyle w:val="17"/>
          <w:rFonts w:hint="eastAsia" w:ascii="仿宋" w:hAnsi="仿宋" w:eastAsia="仿宋" w:cs="仿宋"/>
          <w:b w:val="0"/>
          <w:bCs/>
          <w:color w:val="000000"/>
          <w:sz w:val="32"/>
          <w:szCs w:val="32"/>
        </w:rPr>
        <w:t>。</w:t>
      </w:r>
    </w:p>
    <w:p>
      <w:pPr>
        <w:pageBreakBefore w:val="0"/>
        <w:wordWrap/>
        <w:overflowPunct/>
        <w:topLinePunct w:val="0"/>
        <w:bidi w:val="0"/>
        <w:spacing w:line="580" w:lineRule="exact"/>
        <w:ind w:firstLine="640"/>
        <w:rPr>
          <w:rFonts w:hint="eastAsia" w:ascii="仿宋" w:hAnsi="仿宋" w:eastAsia="仿宋" w:cs="仿宋"/>
          <w:color w:val="000000"/>
          <w:sz w:val="32"/>
          <w:szCs w:val="32"/>
        </w:rPr>
      </w:pPr>
      <w:r>
        <w:rPr>
          <w:rFonts w:hint="eastAsia" w:ascii="仿宋" w:hAnsi="仿宋" w:eastAsia="仿宋" w:cs="仿宋"/>
          <w:b/>
          <w:color w:val="000000"/>
          <w:sz w:val="32"/>
          <w:szCs w:val="32"/>
          <w:lang w:val="en-US" w:eastAsia="zh-CN"/>
        </w:rPr>
        <w:t>3.</w:t>
      </w:r>
      <w:r>
        <w:rPr>
          <w:rFonts w:hint="eastAsia" w:ascii="仿宋" w:hAnsi="仿宋" w:eastAsia="仿宋" w:cs="仿宋"/>
          <w:b/>
          <w:color w:val="000000"/>
          <w:sz w:val="32"/>
          <w:szCs w:val="32"/>
        </w:rPr>
        <w:t>公务用车运行维护费支出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，年初未安排预算</w:t>
      </w:r>
      <w:r>
        <w:rPr>
          <w:rFonts w:hint="eastAsia" w:ascii="仿宋" w:hAnsi="仿宋" w:eastAsia="仿宋" w:cs="仿宋"/>
          <w:color w:val="000000"/>
          <w:sz w:val="32"/>
          <w:szCs w:val="32"/>
        </w:rPr>
        <w:t>。</w:t>
      </w:r>
    </w:p>
    <w:p>
      <w:pPr>
        <w:pageBreakBefore w:val="0"/>
        <w:wordWrap/>
        <w:overflowPunct/>
        <w:topLinePunct w:val="0"/>
        <w:bidi w:val="0"/>
        <w:spacing w:line="580" w:lineRule="exact"/>
        <w:ind w:firstLine="640"/>
        <w:rPr>
          <w:rFonts w:ascii="黑体" w:eastAsia="黑体"/>
          <w:color w:val="auto"/>
          <w:sz w:val="32"/>
          <w:szCs w:val="32"/>
          <w:highlight w:val="none"/>
        </w:rPr>
      </w:pPr>
      <w:r>
        <w:rPr>
          <w:rFonts w:hint="eastAsia" w:ascii="仿宋" w:hAnsi="仿宋" w:eastAsia="仿宋" w:cs="仿宋"/>
          <w:b/>
          <w:color w:val="000000"/>
          <w:sz w:val="32"/>
          <w:szCs w:val="32"/>
          <w:lang w:val="en-US" w:eastAsia="zh-CN"/>
        </w:rPr>
        <w:t>4</w:t>
      </w:r>
      <w:r>
        <w:rPr>
          <w:rFonts w:hint="eastAsia" w:ascii="仿宋" w:hAnsi="仿宋" w:eastAsia="仿宋" w:cs="仿宋"/>
          <w:b/>
          <w:color w:val="000000"/>
          <w:sz w:val="32"/>
          <w:szCs w:val="32"/>
        </w:rPr>
        <w:t>.公务接待费支出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万元，年初未安排预算</w:t>
      </w:r>
      <w:r>
        <w:rPr>
          <w:rStyle w:val="17"/>
          <w:rFonts w:hint="eastAsia" w:ascii="仿宋" w:hAnsi="仿宋" w:eastAsia="仿宋" w:cs="仿宋"/>
          <w:b w:val="0"/>
          <w:bCs/>
          <w:color w:val="000000"/>
          <w:sz w:val="32"/>
          <w:szCs w:val="32"/>
        </w:rPr>
        <w:t>。</w:t>
      </w:r>
    </w:p>
    <w:p>
      <w:pPr>
        <w:spacing w:line="600" w:lineRule="exact"/>
        <w:ind w:firstLine="640"/>
        <w:outlineLvl w:val="1"/>
        <w:rPr>
          <w:rStyle w:val="20"/>
          <w:rFonts w:ascii="黑体" w:eastAsia="黑体"/>
          <w:color w:val="auto"/>
          <w:highlight w:val="none"/>
        </w:rPr>
      </w:pPr>
      <w:bookmarkStart w:id="78" w:name="_Toc1231"/>
      <w:r>
        <w:rPr>
          <w:rFonts w:hint="eastAsia" w:ascii="黑体" w:eastAsia="黑体"/>
          <w:color w:val="auto"/>
          <w:sz w:val="32"/>
          <w:szCs w:val="32"/>
          <w:highlight w:val="none"/>
        </w:rPr>
        <w:t>八、</w:t>
      </w:r>
      <w:r>
        <w:rPr>
          <w:rStyle w:val="20"/>
          <w:rFonts w:hint="eastAsia" w:ascii="黑体" w:eastAsia="黑体"/>
          <w:b w:val="0"/>
          <w:color w:val="auto"/>
          <w:highlight w:val="none"/>
        </w:rPr>
        <w:t>政府性基金预算支出决算情况说明</w:t>
      </w:r>
      <w:bookmarkEnd w:id="73"/>
      <w:bookmarkEnd w:id="74"/>
      <w:bookmarkEnd w:id="78"/>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ascii="仿宋_GB2312" w:eastAsia="仿宋_GB2312"/>
          <w:color w:val="auto"/>
          <w:sz w:val="32"/>
          <w:szCs w:val="32"/>
          <w:highlight w:val="none"/>
        </w:rPr>
        <w:t>11.37</w:t>
      </w:r>
      <w:r>
        <w:rPr>
          <w:rFonts w:hint="eastAsia" w:ascii="仿宋_GB2312" w:eastAsia="仿宋_GB2312"/>
          <w:color w:val="auto"/>
          <w:sz w:val="32"/>
          <w:szCs w:val="32"/>
          <w:highlight w:val="none"/>
        </w:rPr>
        <w:t>万元。</w:t>
      </w:r>
    </w:p>
    <w:p>
      <w:pPr>
        <w:numPr>
          <w:ilvl w:val="0"/>
          <w:numId w:val="2"/>
        </w:numPr>
        <w:spacing w:line="600" w:lineRule="exact"/>
        <w:ind w:left="0" w:firstLine="640"/>
        <w:outlineLvl w:val="1"/>
        <w:rPr>
          <w:rStyle w:val="20"/>
          <w:rFonts w:ascii="黑体" w:eastAsia="黑体"/>
          <w:b w:val="0"/>
          <w:color w:val="auto"/>
          <w:highlight w:val="none"/>
        </w:rPr>
      </w:pPr>
      <w:bookmarkStart w:id="79" w:name="_Toc15377219"/>
      <w:bookmarkStart w:id="80" w:name="_Toc15396611"/>
      <w:bookmarkStart w:id="81" w:name="_Toc11325"/>
      <w:r>
        <w:rPr>
          <w:rStyle w:val="20"/>
          <w:rFonts w:hint="eastAsia" w:ascii="黑体" w:eastAsia="黑体"/>
          <w:b w:val="0"/>
          <w:color w:val="auto"/>
          <w:highlight w:val="none"/>
        </w:rPr>
        <w:t>国有资本经营预算支出决算情况说明</w:t>
      </w:r>
      <w:bookmarkEnd w:id="79"/>
      <w:bookmarkEnd w:id="80"/>
      <w:bookmarkEnd w:id="81"/>
    </w:p>
    <w:p>
      <w:pPr>
        <w:spacing w:line="600" w:lineRule="exact"/>
        <w:ind w:firstLine="640"/>
        <w:rPr>
          <w:rFonts w:asci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ascii="仿宋_GB2312" w:eastAsia="仿宋_GB2312"/>
          <w:color w:val="auto"/>
          <w:sz w:val="32"/>
          <w:szCs w:val="32"/>
          <w:highlight w:val="none"/>
        </w:rPr>
        <w:t>0</w:t>
      </w:r>
      <w:r>
        <w:rPr>
          <w:rFonts w:hint="eastAsia" w:ascii="仿宋_GB2312" w:eastAsia="仿宋_GB2312"/>
          <w:color w:val="auto"/>
          <w:sz w:val="32"/>
          <w:szCs w:val="32"/>
          <w:highlight w:val="none"/>
        </w:rPr>
        <w:t>万元。</w:t>
      </w:r>
    </w:p>
    <w:p>
      <w:pPr>
        <w:numPr>
          <w:ilvl w:val="0"/>
          <w:numId w:val="2"/>
        </w:numPr>
        <w:spacing w:line="600" w:lineRule="exact"/>
        <w:ind w:left="0" w:firstLine="640"/>
        <w:outlineLvl w:val="1"/>
        <w:rPr>
          <w:rStyle w:val="20"/>
          <w:rFonts w:hint="eastAsia" w:ascii="黑体" w:eastAsia="黑体"/>
          <w:b w:val="0"/>
          <w:color w:val="auto"/>
          <w:highlight w:val="none"/>
        </w:rPr>
      </w:pPr>
      <w:bookmarkStart w:id="82" w:name="_Toc15377221"/>
      <w:bookmarkStart w:id="83" w:name="_Toc15396612"/>
      <w:bookmarkStart w:id="84" w:name="_Toc21959"/>
      <w:r>
        <w:rPr>
          <w:rStyle w:val="20"/>
          <w:rFonts w:hint="eastAsia" w:ascii="黑体" w:eastAsia="黑体"/>
          <w:b w:val="0"/>
          <w:color w:val="auto"/>
          <w:highlight w:val="none"/>
        </w:rPr>
        <w:t>其他重要事项的情况说明</w:t>
      </w:r>
      <w:bookmarkEnd w:id="82"/>
      <w:bookmarkEnd w:id="83"/>
      <w:r>
        <w:rPr>
          <w:rStyle w:val="20"/>
          <w:rFonts w:ascii="黑体" w:eastAsia="黑体"/>
          <w:b w:val="0"/>
          <w:color w:val="auto"/>
          <w:highlight w:val="none"/>
        </w:rPr>
        <w:t>（无）</w:t>
      </w:r>
      <w:bookmarkEnd w:id="84"/>
    </w:p>
    <w:p>
      <w:pPr>
        <w:spacing w:line="600" w:lineRule="exact"/>
        <w:ind w:firstLine="643" w:firstLineChars="200"/>
        <w:outlineLvl w:val="2"/>
        <w:rPr>
          <w:rFonts w:hint="eastAsia" w:ascii="仿宋" w:hAnsi="仿宋" w:eastAsia="仿宋" w:cs="仿宋"/>
          <w:color w:val="auto"/>
          <w:sz w:val="32"/>
          <w:szCs w:val="32"/>
          <w:highlight w:val="none"/>
        </w:rPr>
      </w:pPr>
      <w:bookmarkStart w:id="85" w:name="_Toc11450"/>
      <w:bookmarkStart w:id="86" w:name="_Toc30234"/>
      <w:r>
        <w:rPr>
          <w:rFonts w:hint="eastAsia" w:ascii="仿宋" w:hAnsi="仿宋" w:eastAsia="仿宋" w:cs="仿宋"/>
          <w:b/>
          <w:color w:val="auto"/>
          <w:sz w:val="32"/>
          <w:szCs w:val="32"/>
          <w:highlight w:val="none"/>
        </w:rPr>
        <w:t>（一）</w:t>
      </w:r>
      <w:r>
        <w:rPr>
          <w:rFonts w:hint="eastAsia" w:ascii="仿宋" w:hAnsi="仿宋" w:eastAsia="仿宋" w:cs="仿宋"/>
          <w:b/>
          <w:color w:val="auto"/>
          <w:sz w:val="32"/>
          <w:szCs w:val="32"/>
          <w:highlight w:val="none"/>
          <w:lang w:eastAsia="zh-CN"/>
        </w:rPr>
        <w:t>单位</w:t>
      </w:r>
      <w:r>
        <w:rPr>
          <w:rFonts w:hint="eastAsia" w:ascii="仿宋" w:hAnsi="仿宋" w:eastAsia="仿宋" w:cs="仿宋"/>
          <w:b/>
          <w:color w:val="auto"/>
          <w:sz w:val="32"/>
          <w:szCs w:val="32"/>
          <w:highlight w:val="none"/>
        </w:rPr>
        <w:t>运行经费支出情况</w:t>
      </w:r>
      <w:bookmarkEnd w:id="85"/>
      <w:bookmarkEnd w:id="86"/>
    </w:p>
    <w:p>
      <w:pPr>
        <w:spacing w:line="60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未发生机关运行经费支出，与上年决算数持平。</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bookmarkStart w:id="87" w:name="_Toc29161"/>
      <w:bookmarkStart w:id="88" w:name="_Toc2298"/>
      <w:r>
        <w:rPr>
          <w:rFonts w:hint="eastAsia" w:ascii="仿宋" w:hAnsi="仿宋" w:eastAsia="仿宋" w:cs="仿宋"/>
          <w:b/>
          <w:color w:val="auto"/>
          <w:sz w:val="32"/>
          <w:szCs w:val="32"/>
          <w:highlight w:val="none"/>
        </w:rPr>
        <w:t>（二）政府采购支出情况</w:t>
      </w:r>
      <w:bookmarkEnd w:id="87"/>
      <w:bookmarkEnd w:id="88"/>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eastAsia="zh-CN"/>
        </w:rPr>
        <w:t>梅树卫生院采购</w:t>
      </w:r>
      <w:r>
        <w:rPr>
          <w:rFonts w:hint="eastAsia" w:ascii="仿宋" w:hAnsi="仿宋" w:eastAsia="仿宋" w:cs="仿宋"/>
          <w:color w:val="auto"/>
          <w:sz w:val="32"/>
          <w:szCs w:val="32"/>
          <w:highlight w:val="none"/>
          <w:lang w:val="en-US" w:eastAsia="zh-CN"/>
        </w:rPr>
        <w:t>0万元</w:t>
      </w:r>
      <w:r>
        <w:rPr>
          <w:rFonts w:hint="eastAsia" w:ascii="仿宋" w:hAnsi="仿宋" w:eastAsia="仿宋" w:cs="仿宋"/>
          <w:color w:val="auto"/>
          <w:sz w:val="32"/>
          <w:szCs w:val="32"/>
          <w:highlight w:val="none"/>
        </w:rPr>
        <w:t>。</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bookmarkStart w:id="89" w:name="_Toc27211"/>
      <w:bookmarkStart w:id="90" w:name="_Toc21699"/>
      <w:r>
        <w:rPr>
          <w:rFonts w:hint="eastAsia" w:ascii="仿宋" w:hAnsi="仿宋" w:eastAsia="仿宋" w:cs="仿宋"/>
          <w:b/>
          <w:color w:val="auto"/>
          <w:sz w:val="32"/>
          <w:szCs w:val="32"/>
          <w:highlight w:val="none"/>
        </w:rPr>
        <w:t>（三）国有资产占有使用情况</w:t>
      </w:r>
      <w:bookmarkEnd w:id="89"/>
      <w:bookmarkEnd w:id="90"/>
    </w:p>
    <w:p>
      <w:pPr>
        <w:autoSpaceDE w:val="0"/>
        <w:autoSpaceDN w:val="0"/>
        <w:adjustRightInd w:val="0"/>
        <w:spacing w:line="60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w:t>
      </w: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年12月31日，</w:t>
      </w:r>
      <w:r>
        <w:rPr>
          <w:rFonts w:hint="eastAsia" w:ascii="仿宋" w:hAnsi="仿宋" w:eastAsia="仿宋" w:cs="仿宋"/>
          <w:color w:val="auto"/>
          <w:sz w:val="32"/>
          <w:szCs w:val="32"/>
          <w:highlight w:val="none"/>
          <w:lang w:eastAsia="zh-CN"/>
        </w:rPr>
        <w:t>梅树卫生院</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eastAsia="仿宋"/>
          <w:b/>
          <w:color w:val="auto"/>
          <w:sz w:val="32"/>
          <w:szCs w:val="32"/>
          <w:highlight w:val="none"/>
          <w:lang w:eastAsia="zh-CN"/>
        </w:rPr>
      </w:pPr>
      <w:bookmarkStart w:id="91" w:name="_Toc1114"/>
      <w:r>
        <w:rPr>
          <w:rFonts w:hint="eastAsia" w:ascii="仿宋" w:eastAsia="仿宋"/>
          <w:b/>
          <w:color w:val="auto"/>
          <w:sz w:val="32"/>
          <w:szCs w:val="32"/>
          <w:highlight w:val="none"/>
        </w:rPr>
        <w:t>（四）预算绩效管理情况</w:t>
      </w:r>
      <w:bookmarkEnd w:id="91"/>
    </w:p>
    <w:p>
      <w:pPr>
        <w:pStyle w:val="2"/>
        <w:numPr>
          <w:ilvl w:val="0"/>
          <w:numId w:val="0"/>
        </w:numPr>
        <w:ind w:firstLine="640" w:firstLineChars="200"/>
        <w:rPr>
          <w:rFonts w:hint="eastAsia" w:ascii="仿宋" w:hAnsi="仿宋" w:eastAsia="仿宋" w:cs="仿宋"/>
          <w:color w:val="000000"/>
          <w:sz w:val="32"/>
          <w:szCs w:val="32"/>
          <w:lang w:eastAsia="zh-CN"/>
        </w:rPr>
      </w:pPr>
      <w:r>
        <w:rPr>
          <w:rFonts w:hint="eastAsia" w:ascii="仿宋_GB2312" w:eastAsia="仿宋_GB2312" w:cs="仿宋_GB2312"/>
          <w:color w:val="auto"/>
          <w:sz w:val="32"/>
          <w:szCs w:val="32"/>
          <w:highlight w:val="none"/>
        </w:rPr>
        <w:t>根据预算绩效管理要求，本单位在202</w:t>
      </w:r>
      <w:r>
        <w:rPr>
          <w:rFonts w:hint="eastAsia" w:cs="仿宋_GB2312"/>
          <w:color w:val="auto"/>
          <w:sz w:val="32"/>
          <w:szCs w:val="32"/>
          <w:highlight w:val="none"/>
          <w:lang w:val="en-US" w:eastAsia="zh-CN"/>
        </w:rPr>
        <w:t>2</w:t>
      </w:r>
      <w:r>
        <w:rPr>
          <w:rFonts w:hint="eastAsia" w:ascii="仿宋_GB2312" w:eastAsia="仿宋_GB2312" w:cs="仿宋_GB2312"/>
          <w:color w:val="auto"/>
          <w:sz w:val="32"/>
          <w:szCs w:val="32"/>
          <w:highlight w:val="none"/>
        </w:rPr>
        <w:t>年度预算编制阶段，组织对</w:t>
      </w:r>
      <w:r>
        <w:rPr>
          <w:rFonts w:ascii="仿宋_GB2312" w:eastAsia="仿宋_GB2312" w:cs="仿宋_GB2312"/>
          <w:color w:val="auto"/>
          <w:sz w:val="32"/>
          <w:szCs w:val="32"/>
          <w:highlight w:val="none"/>
        </w:rPr>
        <w:t>公卫、乡村医生补助</w:t>
      </w:r>
      <w:r>
        <w:rPr>
          <w:rFonts w:hint="eastAsia" w:ascii="仿宋_GB2312" w:eastAsia="仿宋_GB2312" w:cs="仿宋_GB2312"/>
          <w:color w:val="auto"/>
          <w:sz w:val="32"/>
          <w:szCs w:val="32"/>
          <w:highlight w:val="none"/>
        </w:rPr>
        <w:t>项目（项目名称）等</w:t>
      </w:r>
      <w:r>
        <w:rPr>
          <w:rFonts w:ascii="仿宋_GB2312" w:eastAsia="仿宋_GB2312" w:cs="仿宋_GB2312"/>
          <w:color w:val="auto"/>
          <w:sz w:val="32"/>
          <w:szCs w:val="32"/>
          <w:highlight w:val="none"/>
        </w:rPr>
        <w:t>2</w:t>
      </w:r>
      <w:r>
        <w:rPr>
          <w:rFonts w:hint="eastAsia" w:ascii="仿宋_GB2312" w:eastAsia="仿宋_GB2312" w:cs="仿宋_GB2312"/>
          <w:color w:val="auto"/>
          <w:sz w:val="32"/>
          <w:szCs w:val="32"/>
          <w:highlight w:val="none"/>
        </w:rPr>
        <w:t>个项目开展了预算事前绩效评估，对</w:t>
      </w:r>
      <w:r>
        <w:rPr>
          <w:rFonts w:ascii="仿宋_GB2312" w:eastAsia="仿宋_GB2312" w:cs="仿宋_GB2312"/>
          <w:color w:val="auto"/>
          <w:sz w:val="32"/>
          <w:szCs w:val="32"/>
          <w:highlight w:val="none"/>
        </w:rPr>
        <w:t>2</w:t>
      </w:r>
      <w:r>
        <w:rPr>
          <w:rFonts w:hint="eastAsia" w:ascii="仿宋_GB2312" w:eastAsia="仿宋_GB2312" w:cs="仿宋_GB2312"/>
          <w:color w:val="auto"/>
          <w:sz w:val="32"/>
          <w:szCs w:val="32"/>
          <w:highlight w:val="none"/>
        </w:rPr>
        <w:t>个项目编制了绩效目标，预算执行过程中，选取</w:t>
      </w:r>
      <w:r>
        <w:rPr>
          <w:rFonts w:ascii="仿宋_GB2312" w:eastAsia="仿宋_GB2312" w:cs="仿宋_GB2312"/>
          <w:color w:val="auto"/>
          <w:sz w:val="32"/>
          <w:szCs w:val="32"/>
          <w:highlight w:val="none"/>
        </w:rPr>
        <w:t>2</w:t>
      </w:r>
      <w:r>
        <w:rPr>
          <w:rFonts w:hint="eastAsia" w:ascii="仿宋_GB2312" w:eastAsia="仿宋_GB2312" w:cs="仿宋_GB2312"/>
          <w:color w:val="auto"/>
          <w:sz w:val="32"/>
          <w:szCs w:val="32"/>
          <w:highlight w:val="none"/>
        </w:rPr>
        <w:t>个项目开展绩效监控，组织对</w:t>
      </w:r>
      <w:r>
        <w:rPr>
          <w:rFonts w:ascii="仿宋_GB2312" w:eastAsia="仿宋_GB2312" w:cs="仿宋_GB2312"/>
          <w:color w:val="auto"/>
          <w:sz w:val="32"/>
          <w:szCs w:val="32"/>
          <w:highlight w:val="none"/>
        </w:rPr>
        <w:t>2</w:t>
      </w:r>
      <w:r>
        <w:rPr>
          <w:rFonts w:hint="eastAsia" w:ascii="仿宋_GB2312" w:eastAsia="仿宋_GB2312" w:cs="仿宋_GB2312"/>
          <w:color w:val="auto"/>
          <w:sz w:val="32"/>
          <w:szCs w:val="32"/>
          <w:highlight w:val="none"/>
        </w:rPr>
        <w:t>个项目开展绩效自评，绩效自评表详见</w:t>
      </w:r>
      <w:r>
        <w:rPr>
          <w:rFonts w:hint="eastAsia" w:cs="仿宋_GB2312"/>
          <w:color w:val="auto"/>
          <w:sz w:val="32"/>
          <w:szCs w:val="32"/>
          <w:highlight w:val="none"/>
          <w:lang w:eastAsia="zh-CN"/>
        </w:rPr>
        <w:t>第四部分</w:t>
      </w:r>
      <w:r>
        <w:rPr>
          <w:rFonts w:hint="eastAsia" w:ascii="仿宋_GB2312" w:eastAsia="仿宋_GB2312" w:cs="仿宋_GB2312"/>
          <w:color w:val="auto"/>
          <w:sz w:val="32"/>
          <w:szCs w:val="32"/>
          <w:highlight w:val="none"/>
        </w:rPr>
        <w:t>附件。</w:t>
      </w:r>
      <w:r>
        <w:rPr>
          <w:rFonts w:hint="eastAsia" w:ascii="仿宋" w:hAnsi="仿宋" w:eastAsia="仿宋" w:cs="仿宋"/>
          <w:color w:val="000000"/>
          <w:sz w:val="32"/>
          <w:szCs w:val="32"/>
          <w:lang w:val="en-US" w:eastAsia="zh-CN"/>
        </w:rPr>
        <w:t>（一）二类疫苗服务费绩效评价</w:t>
      </w:r>
      <w:r>
        <w:rPr>
          <w:rFonts w:hint="eastAsia" w:ascii="仿宋" w:hAnsi="仿宋" w:eastAsia="仿宋" w:cs="仿宋"/>
          <w:color w:val="000000"/>
          <w:sz w:val="32"/>
          <w:szCs w:val="32"/>
        </w:rPr>
        <w:t>《四川省发展和改革委员会四川省财政厅关于疫苗预防接种服务收费标准及有关问题的通知》（川发改价格〔2018〕331号）制定了我省非免疫规划疫苗预防接种服务费收费标准，试行期2年。从试行情况看，该收费政策对加强我省非免疫规划疫苗接种管理，规范收费行为起到了积极作用。结合试行期收支情况和国家相关文件精神</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非免疫规划疫苗预防接种服务费收费属行政事业性收费，</w:t>
      </w:r>
      <w:r>
        <w:rPr>
          <w:rFonts w:hint="eastAsia" w:ascii="仿宋" w:hAnsi="仿宋" w:eastAsia="仿宋" w:cs="仿宋"/>
          <w:color w:val="000000"/>
          <w:sz w:val="32"/>
          <w:szCs w:val="32"/>
          <w:lang w:eastAsia="zh-CN"/>
        </w:rPr>
        <w:t>我单位</w:t>
      </w:r>
      <w:r>
        <w:rPr>
          <w:rFonts w:hint="eastAsia" w:ascii="仿宋" w:hAnsi="仿宋" w:eastAsia="仿宋" w:cs="仿宋"/>
          <w:color w:val="000000"/>
          <w:sz w:val="32"/>
          <w:szCs w:val="32"/>
        </w:rPr>
        <w:t>按规定做好收费公示工作，在门户网站、收费场所醒目位置公示收费项目、收费性质、收费标准、收费依据和价格监督电话等信息，接受社会监督。</w:t>
      </w:r>
      <w:r>
        <w:rPr>
          <w:rFonts w:hint="eastAsia" w:ascii="仿宋" w:hAnsi="仿宋" w:eastAsia="仿宋" w:cs="仿宋"/>
          <w:color w:val="000000"/>
          <w:sz w:val="32"/>
          <w:szCs w:val="32"/>
          <w:lang w:eastAsia="zh-CN"/>
        </w:rPr>
        <w:t>我单位</w:t>
      </w:r>
      <w:r>
        <w:rPr>
          <w:rFonts w:hint="eastAsia" w:ascii="仿宋" w:hAnsi="仿宋" w:eastAsia="仿宋" w:cs="仿宋"/>
          <w:color w:val="000000"/>
          <w:sz w:val="32"/>
          <w:szCs w:val="32"/>
        </w:rPr>
        <w:t>使用省级财政监（印）制的财政票据，收费收入全额上缴地方国库，纳入财政预算管理。</w:t>
      </w:r>
      <w:r>
        <w:rPr>
          <w:rFonts w:hint="eastAsia" w:ascii="仿宋" w:hAnsi="仿宋" w:eastAsia="仿宋" w:cs="仿宋"/>
          <w:color w:val="000000"/>
          <w:sz w:val="32"/>
          <w:szCs w:val="32"/>
          <w:lang w:val="en-US" w:eastAsia="zh-CN"/>
        </w:rPr>
        <w:t>我单位</w:t>
      </w:r>
      <w:r>
        <w:rPr>
          <w:rFonts w:hint="eastAsia" w:ascii="仿宋" w:hAnsi="仿宋" w:eastAsia="仿宋" w:cs="仿宋"/>
          <w:color w:val="000000"/>
          <w:sz w:val="32"/>
          <w:szCs w:val="32"/>
        </w:rPr>
        <w:t>建立健全非免疫规划疫苗管理制度，明确行业系统内部管理职责和程序，完善期间成本资料，减少非必要成本支出，整合现有资源降低接种服务成本。要加强对疫苗接种管理，确保非免疫规划疫苗接种工作的顺利开展，有效维护公共卫生安全。</w:t>
      </w:r>
    </w:p>
    <w:p>
      <w:pPr>
        <w:pStyle w:val="2"/>
        <w:numPr>
          <w:ilvl w:val="0"/>
          <w:numId w:val="0"/>
        </w:num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单位</w:t>
      </w:r>
      <w:r>
        <w:rPr>
          <w:rFonts w:hint="eastAsia" w:ascii="仿宋" w:hAnsi="仿宋" w:eastAsia="仿宋" w:cs="仿宋"/>
          <w:color w:val="000000"/>
          <w:sz w:val="32"/>
          <w:szCs w:val="32"/>
        </w:rPr>
        <w:t>整体支出绩效自评开展情况。</w:t>
      </w: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按要求对</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eastAsia="zh-CN"/>
        </w:rPr>
        <w:t>单位</w:t>
      </w:r>
      <w:r>
        <w:rPr>
          <w:rFonts w:hint="eastAsia" w:ascii="仿宋" w:hAnsi="仿宋" w:eastAsia="仿宋" w:cs="仿宋"/>
          <w:sz w:val="32"/>
          <w:szCs w:val="32"/>
        </w:rPr>
        <w:t>整体支出开展绩效自评，</w:t>
      </w:r>
      <w:r>
        <w:rPr>
          <w:rFonts w:hint="eastAsia" w:ascii="仿宋" w:hAnsi="仿宋" w:eastAsia="仿宋" w:cs="仿宋"/>
          <w:color w:val="000000"/>
          <w:sz w:val="32"/>
          <w:szCs w:val="32"/>
        </w:rPr>
        <w:t>从评价情况来看未发现虚列支出，所有财政资金支出均履行了严格审批手续，未发现挤占、挪用、转移财政资金行为。基本支出严格执行国家有关政策及规定，无擅自扩大开支范围</w:t>
      </w:r>
      <w:r>
        <w:rPr>
          <w:rFonts w:hint="eastAsia" w:ascii="仿宋" w:hAnsi="仿宋" w:eastAsia="仿宋" w:cs="仿宋"/>
          <w:color w:val="000000"/>
          <w:sz w:val="32"/>
          <w:szCs w:val="32"/>
          <w:lang w:eastAsia="zh-CN"/>
        </w:rPr>
        <w:t>和</w:t>
      </w:r>
      <w:r>
        <w:rPr>
          <w:rFonts w:hint="eastAsia" w:ascii="仿宋" w:hAnsi="仿宋" w:eastAsia="仿宋" w:cs="仿宋"/>
          <w:color w:val="000000"/>
          <w:sz w:val="32"/>
          <w:szCs w:val="32"/>
        </w:rPr>
        <w:t>提高开支标准，单位津补贴、奖金和福利均按照国家或地方的规定发放，项目支出均按照批准的项目和用途以及项目实施方案执行，无自行改变项目内容，扩大支出范围现象。本</w:t>
      </w:r>
      <w:r>
        <w:rPr>
          <w:rFonts w:hint="eastAsia" w:ascii="仿宋" w:hAnsi="仿宋" w:eastAsia="仿宋" w:cs="仿宋"/>
          <w:color w:val="000000"/>
          <w:sz w:val="32"/>
          <w:szCs w:val="32"/>
          <w:lang w:eastAsia="zh-CN"/>
        </w:rPr>
        <w:t>单位</w:t>
      </w:r>
      <w:r>
        <w:rPr>
          <w:rFonts w:hint="eastAsia" w:ascii="仿宋" w:hAnsi="仿宋" w:eastAsia="仿宋" w:cs="仿宋"/>
          <w:color w:val="000000"/>
          <w:sz w:val="32"/>
          <w:szCs w:val="32"/>
        </w:rPr>
        <w:t>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pStyle w:val="2"/>
        <w:ind w:firstLine="600" w:firstLineChars="200"/>
        <w:rPr>
          <w:color w:val="auto"/>
          <w:highlight w:val="yellow"/>
        </w:rPr>
      </w:pPr>
    </w:p>
    <w:p>
      <w:pPr>
        <w:widowControl/>
        <w:jc w:val="left"/>
        <w:rPr>
          <w:rFonts w:ascii="仿宋_GB2312" w:eastAsia="仿宋_GB2312"/>
          <w:b/>
          <w:color w:val="auto"/>
          <w:sz w:val="32"/>
          <w:szCs w:val="32"/>
          <w:highlight w:val="none"/>
        </w:rPr>
      </w:pPr>
      <w:r>
        <w:br w:type="page"/>
      </w:r>
    </w:p>
    <w:p>
      <w:pPr>
        <w:numPr>
          <w:ilvl w:val="0"/>
          <w:numId w:val="3"/>
        </w:numPr>
        <w:spacing w:line="600" w:lineRule="exact"/>
        <w:ind w:left="0" w:firstLine="660" w:firstLineChars="150"/>
        <w:jc w:val="center"/>
        <w:outlineLvl w:val="0"/>
        <w:rPr>
          <w:rStyle w:val="19"/>
          <w:rFonts w:ascii="黑体" w:eastAsia="黑体"/>
          <w:b w:val="0"/>
          <w:color w:val="auto"/>
          <w:highlight w:val="none"/>
        </w:rPr>
      </w:pPr>
      <w:bookmarkStart w:id="92" w:name="_Toc15377225"/>
      <w:bookmarkStart w:id="93" w:name="_Toc15396613"/>
      <w:bookmarkStart w:id="94" w:name="_Toc7216"/>
      <w:r>
        <w:rPr>
          <w:rFonts w:hint="eastAsia" w:ascii="黑体" w:eastAsia="黑体"/>
          <w:color w:val="auto"/>
          <w:sz w:val="44"/>
          <w:szCs w:val="44"/>
          <w:highlight w:val="none"/>
        </w:rPr>
        <w:t>名</w:t>
      </w:r>
      <w:r>
        <w:rPr>
          <w:rStyle w:val="19"/>
          <w:rFonts w:hint="eastAsia" w:ascii="黑体" w:eastAsia="黑体"/>
          <w:b w:val="0"/>
          <w:color w:val="auto"/>
          <w:highlight w:val="none"/>
        </w:rPr>
        <w:t>词解释</w:t>
      </w:r>
      <w:bookmarkEnd w:id="92"/>
      <w:bookmarkEnd w:id="93"/>
      <w:bookmarkEnd w:id="94"/>
    </w:p>
    <w:p>
      <w:pPr>
        <w:pStyle w:val="24"/>
        <w:spacing w:line="560" w:lineRule="exact"/>
        <w:ind w:firstLine="640" w:firstLineChars="200"/>
        <w:rPr>
          <w:rFonts w:hint="eastAsia" w:ascii="仿宋" w:hAnsi="仿宋" w:eastAsia="仿宋" w:cs="仿宋"/>
          <w:sz w:val="32"/>
          <w:szCs w:val="32"/>
        </w:rPr>
      </w:pPr>
      <w:bookmarkStart w:id="95" w:name="_Toc15377226"/>
      <w:r>
        <w:rPr>
          <w:rFonts w:hint="eastAsia" w:ascii="仿宋" w:hAnsi="仿宋" w:eastAsia="仿宋" w:cs="仿宋"/>
          <w:sz w:val="32"/>
          <w:szCs w:val="32"/>
        </w:rPr>
        <w:t>1.财政拨款收入：指单位从同级财政</w:t>
      </w:r>
      <w:r>
        <w:rPr>
          <w:rFonts w:hint="eastAsia" w:ascii="仿宋" w:hAnsi="仿宋" w:eastAsia="仿宋" w:cs="仿宋"/>
          <w:sz w:val="32"/>
          <w:szCs w:val="32"/>
          <w:lang w:eastAsia="zh-CN"/>
        </w:rPr>
        <w:t>单位</w:t>
      </w:r>
      <w:r>
        <w:rPr>
          <w:rFonts w:hint="eastAsia" w:ascii="仿宋" w:hAnsi="仿宋" w:eastAsia="仿宋" w:cs="仿宋"/>
          <w:sz w:val="32"/>
          <w:szCs w:val="32"/>
        </w:rPr>
        <w:t>取得的</w:t>
      </w:r>
      <w:r>
        <w:rPr>
          <w:rFonts w:hint="eastAsia" w:ascii="仿宋" w:hAnsi="仿宋" w:eastAsia="仿宋" w:cs="仿宋"/>
          <w:sz w:val="32"/>
          <w:szCs w:val="32"/>
          <w:lang w:eastAsia="zh-CN"/>
        </w:rPr>
        <w:t>各类拨款</w:t>
      </w:r>
      <w:r>
        <w:rPr>
          <w:rFonts w:hint="eastAsia" w:ascii="仿宋" w:hAnsi="仿宋" w:eastAsia="仿宋" w:cs="仿宋"/>
          <w:sz w:val="32"/>
          <w:szCs w:val="32"/>
        </w:rPr>
        <w:t>。</w:t>
      </w:r>
    </w:p>
    <w:p>
      <w:pPr>
        <w:pStyle w:val="24"/>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2.事业收入：指事业单位开展专业业务活动及辅助活动取得的收入。如</w:t>
      </w:r>
      <w:r>
        <w:rPr>
          <w:rFonts w:hint="eastAsia" w:ascii="仿宋" w:hAnsi="仿宋" w:eastAsia="仿宋" w:cs="仿宋"/>
          <w:sz w:val="32"/>
          <w:szCs w:val="32"/>
          <w:lang w:eastAsia="zh-CN"/>
        </w:rPr>
        <w:t>区人民医院、</w:t>
      </w:r>
      <w:r>
        <w:rPr>
          <w:rFonts w:hint="eastAsia" w:hAnsi="仿宋" w:cs="仿宋"/>
          <w:sz w:val="32"/>
          <w:szCs w:val="32"/>
          <w:lang w:eastAsia="zh-CN"/>
        </w:rPr>
        <w:t>区</w:t>
      </w:r>
      <w:r>
        <w:rPr>
          <w:rFonts w:hint="eastAsia" w:ascii="仿宋" w:hAnsi="仿宋" w:eastAsia="仿宋" w:cs="仿宋"/>
          <w:sz w:val="32"/>
          <w:szCs w:val="32"/>
        </w:rPr>
        <w:t>妇幼保健计划生育服务中心</w:t>
      </w:r>
      <w:r>
        <w:rPr>
          <w:rFonts w:hint="eastAsia" w:ascii="仿宋" w:hAnsi="仿宋" w:eastAsia="仿宋" w:cs="仿宋"/>
          <w:sz w:val="32"/>
          <w:szCs w:val="32"/>
          <w:lang w:eastAsia="zh-CN"/>
        </w:rPr>
        <w:t>、区中医医院、乡镇卫生院医疗收入</w:t>
      </w:r>
      <w:r>
        <w:rPr>
          <w:rFonts w:hint="eastAsia" w:ascii="仿宋" w:hAnsi="仿宋" w:eastAsia="仿宋" w:cs="仿宋"/>
          <w:sz w:val="32"/>
          <w:szCs w:val="32"/>
        </w:rPr>
        <w:t>等。</w:t>
      </w:r>
    </w:p>
    <w:p>
      <w:pPr>
        <w:pStyle w:val="24"/>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.其他收入：指单位取得的除上述收入以外的各项收入。主要是</w:t>
      </w:r>
      <w:r>
        <w:rPr>
          <w:rFonts w:hint="eastAsia" w:ascii="仿宋" w:hAnsi="仿宋" w:eastAsia="仿宋" w:cs="仿宋"/>
          <w:sz w:val="32"/>
          <w:szCs w:val="32"/>
          <w:lang w:eastAsia="zh-CN"/>
        </w:rPr>
        <w:t>利息收入</w:t>
      </w:r>
      <w:r>
        <w:rPr>
          <w:rFonts w:hint="eastAsia" w:ascii="仿宋" w:hAnsi="仿宋" w:eastAsia="仿宋" w:cs="仿宋"/>
          <w:sz w:val="32"/>
          <w:szCs w:val="32"/>
        </w:rPr>
        <w:t>等。</w:t>
      </w:r>
    </w:p>
    <w:p>
      <w:pPr>
        <w:pStyle w:val="24"/>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4"/>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.年初结转和结余：指以前年度尚未完成、结转到本年按有关规定继续使用的资金。</w:t>
      </w:r>
    </w:p>
    <w:p>
      <w:pPr>
        <w:pStyle w:val="24"/>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w:t>
      </w:r>
      <w:r>
        <w:rPr>
          <w:rFonts w:hint="eastAsia" w:ascii="仿宋" w:hAnsi="仿宋" w:eastAsia="仿宋" w:cs="仿宋"/>
          <w:sz w:val="32"/>
          <w:szCs w:val="32"/>
          <w:lang w:eastAsia="zh-CN"/>
        </w:rPr>
        <w:t>本年盈余</w:t>
      </w:r>
      <w:r>
        <w:rPr>
          <w:rFonts w:hint="eastAsia" w:ascii="仿宋" w:hAnsi="仿宋" w:eastAsia="仿宋" w:cs="仿宋"/>
          <w:sz w:val="32"/>
          <w:szCs w:val="32"/>
        </w:rPr>
        <w:t>分配：指事业单位按照</w:t>
      </w:r>
      <w:r>
        <w:rPr>
          <w:rFonts w:hint="eastAsia" w:ascii="仿宋" w:hAnsi="仿宋" w:eastAsia="仿宋" w:cs="仿宋"/>
          <w:sz w:val="32"/>
          <w:szCs w:val="32"/>
          <w:lang w:eastAsia="zh-CN"/>
        </w:rPr>
        <w:t>政府</w:t>
      </w:r>
      <w:r>
        <w:rPr>
          <w:rFonts w:hint="eastAsia" w:ascii="仿宋" w:hAnsi="仿宋" w:eastAsia="仿宋" w:cs="仿宋"/>
          <w:sz w:val="32"/>
          <w:szCs w:val="32"/>
        </w:rPr>
        <w:t>会计制度的规定从非财政</w:t>
      </w:r>
      <w:r>
        <w:rPr>
          <w:rFonts w:hint="eastAsia" w:ascii="仿宋" w:hAnsi="仿宋" w:eastAsia="仿宋" w:cs="仿宋"/>
          <w:sz w:val="32"/>
          <w:szCs w:val="32"/>
          <w:lang w:eastAsia="zh-CN"/>
        </w:rPr>
        <w:t>拨款</w:t>
      </w:r>
      <w:r>
        <w:rPr>
          <w:rFonts w:hint="eastAsia" w:ascii="仿宋" w:hAnsi="仿宋" w:eastAsia="仿宋" w:cs="仿宋"/>
          <w:sz w:val="32"/>
          <w:szCs w:val="32"/>
        </w:rPr>
        <w:t>结余</w:t>
      </w:r>
      <w:r>
        <w:rPr>
          <w:rFonts w:hint="eastAsia" w:ascii="仿宋" w:hAnsi="仿宋" w:eastAsia="仿宋" w:cs="仿宋"/>
          <w:sz w:val="32"/>
          <w:szCs w:val="32"/>
          <w:lang w:eastAsia="zh-CN"/>
        </w:rPr>
        <w:t>或事业结余</w:t>
      </w:r>
      <w:r>
        <w:rPr>
          <w:rFonts w:hint="eastAsia" w:ascii="仿宋" w:hAnsi="仿宋" w:eastAsia="仿宋" w:cs="仿宋"/>
          <w:sz w:val="32"/>
          <w:szCs w:val="32"/>
        </w:rPr>
        <w:t>中</w:t>
      </w:r>
      <w:r>
        <w:rPr>
          <w:rFonts w:hint="eastAsia" w:ascii="仿宋" w:hAnsi="仿宋" w:eastAsia="仿宋" w:cs="仿宋"/>
          <w:sz w:val="32"/>
          <w:szCs w:val="32"/>
          <w:lang w:eastAsia="zh-CN"/>
        </w:rPr>
        <w:t>提取</w:t>
      </w:r>
      <w:r>
        <w:rPr>
          <w:rFonts w:hint="eastAsia" w:ascii="仿宋" w:hAnsi="仿宋" w:eastAsia="仿宋" w:cs="仿宋"/>
          <w:sz w:val="32"/>
          <w:szCs w:val="32"/>
        </w:rPr>
        <w:t>的</w:t>
      </w:r>
      <w:r>
        <w:rPr>
          <w:rFonts w:hint="eastAsia" w:ascii="仿宋" w:hAnsi="仿宋" w:eastAsia="仿宋" w:cs="仿宋"/>
          <w:sz w:val="32"/>
          <w:szCs w:val="32"/>
          <w:lang w:eastAsia="zh-CN"/>
        </w:rPr>
        <w:t>奖励</w:t>
      </w:r>
      <w:r>
        <w:rPr>
          <w:rFonts w:hint="eastAsia" w:ascii="仿宋" w:hAnsi="仿宋" w:eastAsia="仿宋" w:cs="仿宋"/>
          <w:sz w:val="32"/>
          <w:szCs w:val="32"/>
        </w:rPr>
        <w:t>基金和职工福利基金等。</w:t>
      </w:r>
    </w:p>
    <w:p>
      <w:pPr>
        <w:pStyle w:val="24"/>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年末结转和结余：指单位按有关规定结转到下年或以后年度继续使用的资金。</w:t>
      </w:r>
    </w:p>
    <w:p>
      <w:p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color w:val="000000"/>
          <w:sz w:val="32"/>
          <w:szCs w:val="32"/>
          <w:lang w:val="en-US" w:eastAsia="zh-CN"/>
        </w:rPr>
        <w:t>8</w:t>
      </w:r>
      <w:r>
        <w:rPr>
          <w:rFonts w:hint="eastAsia" w:ascii="仿宋" w:hAnsi="仿宋" w:eastAsia="仿宋" w:cs="仿宋"/>
          <w:b w:val="0"/>
          <w:bCs w:val="0"/>
          <w:color w:val="000000"/>
          <w:sz w:val="32"/>
          <w:szCs w:val="32"/>
        </w:rPr>
        <w:t>.卫生健康支出</w:t>
      </w:r>
      <w:r>
        <w:rPr>
          <w:rStyle w:val="17"/>
          <w:rFonts w:hint="eastAsia" w:ascii="仿宋" w:hAnsi="仿宋" w:eastAsia="仿宋" w:cs="仿宋"/>
          <w:b w:val="0"/>
          <w:bCs w:val="0"/>
          <w:color w:val="000000"/>
          <w:sz w:val="32"/>
          <w:szCs w:val="32"/>
        </w:rPr>
        <w:t>（类）卫生健康管理事务（款）行政运行（项）</w:t>
      </w:r>
      <w:r>
        <w:rPr>
          <w:rFonts w:hint="eastAsia" w:ascii="仿宋" w:hAnsi="仿宋" w:eastAsia="仿宋" w:cs="仿宋"/>
          <w:b w:val="0"/>
          <w:bCs w:val="0"/>
          <w:color w:val="000000"/>
          <w:sz w:val="32"/>
          <w:szCs w:val="32"/>
        </w:rPr>
        <w:t>：指反映行政单位的基本支出；卫生健康支出</w:t>
      </w:r>
      <w:r>
        <w:rPr>
          <w:rFonts w:hint="eastAsia" w:ascii="仿宋" w:hAnsi="仿宋" w:eastAsia="仿宋" w:cs="仿宋"/>
          <w:b w:val="0"/>
          <w:bCs w:val="0"/>
          <w:color w:val="000000"/>
          <w:sz w:val="32"/>
          <w:szCs w:val="32"/>
          <w:highlight w:val="none"/>
          <w:lang w:val="en-US" w:eastAsia="zh-CN"/>
        </w:rPr>
        <w:t>(类)</w:t>
      </w:r>
      <w:r>
        <w:rPr>
          <w:rFonts w:hint="eastAsia" w:ascii="仿宋" w:hAnsi="仿宋" w:eastAsia="仿宋" w:cs="仿宋"/>
          <w:b w:val="0"/>
          <w:bCs w:val="0"/>
          <w:color w:val="000000"/>
          <w:sz w:val="32"/>
          <w:szCs w:val="32"/>
          <w:highlight w:val="none"/>
        </w:rPr>
        <w:t>公立医院</w:t>
      </w:r>
      <w:r>
        <w:rPr>
          <w:rFonts w:hint="eastAsia" w:ascii="仿宋" w:hAnsi="仿宋" w:eastAsia="仿宋" w:cs="仿宋"/>
          <w:b w:val="0"/>
          <w:bCs w:val="0"/>
          <w:color w:val="000000"/>
          <w:sz w:val="32"/>
          <w:szCs w:val="32"/>
          <w:highlight w:val="none"/>
          <w:lang w:eastAsia="zh-CN"/>
        </w:rPr>
        <w:t>（款）</w:t>
      </w:r>
      <w:r>
        <w:rPr>
          <w:rStyle w:val="17"/>
          <w:rFonts w:hint="eastAsia" w:ascii="仿宋" w:hAnsi="仿宋" w:eastAsia="仿宋" w:cs="仿宋"/>
          <w:b w:val="0"/>
          <w:bCs w:val="0"/>
          <w:color w:val="000000"/>
          <w:sz w:val="32"/>
          <w:szCs w:val="32"/>
          <w:highlight w:val="none"/>
        </w:rPr>
        <w:t>中医（民族）医院（</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：指反映卫生健康</w:t>
      </w:r>
      <w:r>
        <w:rPr>
          <w:rFonts w:hint="eastAsia" w:ascii="仿宋" w:hAnsi="仿宋" w:eastAsia="仿宋" w:cs="仿宋"/>
          <w:b w:val="0"/>
          <w:bCs w:val="0"/>
          <w:color w:val="000000"/>
          <w:sz w:val="32"/>
          <w:szCs w:val="32"/>
          <w:lang w:eastAsia="zh-CN"/>
        </w:rPr>
        <w:t>单位</w:t>
      </w:r>
      <w:r>
        <w:rPr>
          <w:rFonts w:hint="eastAsia" w:ascii="仿宋" w:hAnsi="仿宋" w:eastAsia="仿宋" w:cs="仿宋"/>
          <w:b w:val="0"/>
          <w:bCs w:val="0"/>
          <w:color w:val="000000"/>
          <w:sz w:val="32"/>
          <w:szCs w:val="32"/>
        </w:rPr>
        <w:t>所属的中医院支出；卫生健康支出</w:t>
      </w:r>
      <w:r>
        <w:rPr>
          <w:rFonts w:hint="eastAsia" w:ascii="仿宋" w:hAnsi="仿宋" w:eastAsia="仿宋" w:cs="仿宋"/>
          <w:b w:val="0"/>
          <w:bCs w:val="0"/>
          <w:color w:val="000000"/>
          <w:sz w:val="32"/>
          <w:szCs w:val="32"/>
          <w:highlight w:val="none"/>
          <w:lang w:eastAsia="zh-CN"/>
        </w:rPr>
        <w:t>（类）</w:t>
      </w:r>
      <w:r>
        <w:rPr>
          <w:rFonts w:hint="eastAsia" w:ascii="仿宋" w:hAnsi="仿宋" w:eastAsia="仿宋" w:cs="仿宋"/>
          <w:b w:val="0"/>
          <w:bCs w:val="0"/>
          <w:color w:val="000000"/>
          <w:sz w:val="32"/>
          <w:szCs w:val="32"/>
          <w:highlight w:val="none"/>
        </w:rPr>
        <w:t>基层医疗卫生机构</w:t>
      </w:r>
      <w:r>
        <w:rPr>
          <w:rFonts w:hint="eastAsia" w:ascii="仿宋" w:hAnsi="仿宋" w:eastAsia="仿宋" w:cs="仿宋"/>
          <w:b w:val="0"/>
          <w:bCs w:val="0"/>
          <w:color w:val="000000"/>
          <w:sz w:val="32"/>
          <w:szCs w:val="32"/>
          <w:highlight w:val="none"/>
          <w:lang w:eastAsia="zh-CN"/>
        </w:rPr>
        <w:t>（款）</w:t>
      </w:r>
      <w:r>
        <w:rPr>
          <w:rStyle w:val="17"/>
          <w:rFonts w:hint="eastAsia" w:ascii="仿宋" w:hAnsi="仿宋" w:eastAsia="仿宋" w:cs="仿宋"/>
          <w:b w:val="0"/>
          <w:bCs w:val="0"/>
          <w:color w:val="000000"/>
          <w:sz w:val="32"/>
          <w:szCs w:val="32"/>
          <w:highlight w:val="none"/>
        </w:rPr>
        <w:t>乡镇卫生院（</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：反映乡镇卫生院的支出；卫生健康支出</w:t>
      </w:r>
      <w:r>
        <w:rPr>
          <w:rStyle w:val="17"/>
          <w:rFonts w:hint="eastAsia" w:ascii="仿宋" w:hAnsi="仿宋" w:eastAsia="仿宋" w:cs="仿宋"/>
          <w:b w:val="0"/>
          <w:bCs w:val="0"/>
          <w:color w:val="000000"/>
          <w:sz w:val="32"/>
          <w:szCs w:val="32"/>
          <w:highlight w:val="none"/>
          <w:lang w:eastAsia="zh-CN"/>
        </w:rPr>
        <w:t>（类）</w:t>
      </w:r>
      <w:r>
        <w:rPr>
          <w:rStyle w:val="17"/>
          <w:rFonts w:hint="eastAsia" w:ascii="仿宋" w:hAnsi="仿宋" w:eastAsia="仿宋" w:cs="仿宋"/>
          <w:b w:val="0"/>
          <w:bCs w:val="0"/>
          <w:color w:val="000000"/>
          <w:sz w:val="32"/>
          <w:szCs w:val="32"/>
          <w:highlight w:val="none"/>
        </w:rPr>
        <w:t>公共卫生</w:t>
      </w:r>
      <w:r>
        <w:rPr>
          <w:rStyle w:val="17"/>
          <w:rFonts w:hint="eastAsia" w:ascii="仿宋" w:hAnsi="仿宋" w:eastAsia="仿宋" w:cs="仿宋"/>
          <w:b w:val="0"/>
          <w:bCs w:val="0"/>
          <w:color w:val="000000"/>
          <w:sz w:val="32"/>
          <w:szCs w:val="32"/>
          <w:highlight w:val="none"/>
          <w:lang w:eastAsia="zh-CN"/>
        </w:rPr>
        <w:t>（款）</w:t>
      </w:r>
      <w:r>
        <w:rPr>
          <w:rStyle w:val="17"/>
          <w:rFonts w:hint="eastAsia" w:ascii="仿宋" w:hAnsi="仿宋" w:eastAsia="仿宋" w:cs="仿宋"/>
          <w:b w:val="0"/>
          <w:bCs w:val="0"/>
          <w:color w:val="000000"/>
          <w:sz w:val="32"/>
          <w:szCs w:val="32"/>
          <w:highlight w:val="none"/>
        </w:rPr>
        <w:t>疾病预防控制机构（</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：反映卫生健康</w:t>
      </w:r>
      <w:r>
        <w:rPr>
          <w:rFonts w:hint="eastAsia" w:ascii="仿宋" w:hAnsi="仿宋" w:eastAsia="仿宋" w:cs="仿宋"/>
          <w:b w:val="0"/>
          <w:bCs w:val="0"/>
          <w:color w:val="000000"/>
          <w:sz w:val="32"/>
          <w:szCs w:val="32"/>
          <w:lang w:eastAsia="zh-CN"/>
        </w:rPr>
        <w:t>单位</w:t>
      </w:r>
      <w:r>
        <w:rPr>
          <w:rFonts w:hint="eastAsia" w:ascii="仿宋" w:hAnsi="仿宋" w:eastAsia="仿宋" w:cs="仿宋"/>
          <w:b w:val="0"/>
          <w:bCs w:val="0"/>
          <w:color w:val="000000"/>
          <w:sz w:val="32"/>
          <w:szCs w:val="32"/>
        </w:rPr>
        <w:t>所属的疾病预防控制机构的支出；卫生健康支出</w:t>
      </w:r>
      <w:r>
        <w:rPr>
          <w:rStyle w:val="17"/>
          <w:rFonts w:hint="eastAsia" w:ascii="仿宋" w:hAnsi="仿宋" w:eastAsia="仿宋" w:cs="仿宋"/>
          <w:b w:val="0"/>
          <w:bCs w:val="0"/>
          <w:color w:val="000000"/>
          <w:sz w:val="32"/>
          <w:szCs w:val="32"/>
          <w:highlight w:val="none"/>
          <w:lang w:eastAsia="zh-CN"/>
        </w:rPr>
        <w:t>（类）</w:t>
      </w:r>
      <w:r>
        <w:rPr>
          <w:rStyle w:val="17"/>
          <w:rFonts w:hint="eastAsia" w:ascii="仿宋" w:hAnsi="仿宋" w:eastAsia="仿宋" w:cs="仿宋"/>
          <w:b w:val="0"/>
          <w:bCs w:val="0"/>
          <w:color w:val="000000"/>
          <w:sz w:val="32"/>
          <w:szCs w:val="32"/>
          <w:highlight w:val="none"/>
        </w:rPr>
        <w:t>公共卫生</w:t>
      </w:r>
      <w:r>
        <w:rPr>
          <w:rStyle w:val="17"/>
          <w:rFonts w:hint="eastAsia" w:ascii="仿宋" w:hAnsi="仿宋" w:eastAsia="仿宋" w:cs="仿宋"/>
          <w:b w:val="0"/>
          <w:bCs w:val="0"/>
          <w:color w:val="000000"/>
          <w:sz w:val="32"/>
          <w:szCs w:val="32"/>
          <w:highlight w:val="none"/>
          <w:lang w:eastAsia="zh-CN"/>
        </w:rPr>
        <w:t>（款）卫生监督机构</w:t>
      </w:r>
      <w:r>
        <w:rPr>
          <w:rStyle w:val="17"/>
          <w:rFonts w:hint="eastAsia" w:ascii="仿宋" w:hAnsi="仿宋" w:eastAsia="仿宋" w:cs="仿宋"/>
          <w:b w:val="0"/>
          <w:bCs w:val="0"/>
          <w:color w:val="000000"/>
          <w:sz w:val="32"/>
          <w:szCs w:val="32"/>
          <w:highlight w:val="none"/>
        </w:rPr>
        <w:t>（</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：反映卫生健康</w:t>
      </w:r>
      <w:r>
        <w:rPr>
          <w:rFonts w:hint="eastAsia" w:ascii="仿宋" w:hAnsi="仿宋" w:eastAsia="仿宋" w:cs="仿宋"/>
          <w:b w:val="0"/>
          <w:bCs w:val="0"/>
          <w:color w:val="000000"/>
          <w:sz w:val="32"/>
          <w:szCs w:val="32"/>
          <w:lang w:eastAsia="zh-CN"/>
        </w:rPr>
        <w:t>单位</w:t>
      </w:r>
      <w:r>
        <w:rPr>
          <w:rFonts w:hint="eastAsia" w:ascii="仿宋" w:hAnsi="仿宋" w:eastAsia="仿宋" w:cs="仿宋"/>
          <w:b w:val="0"/>
          <w:bCs w:val="0"/>
          <w:color w:val="000000"/>
          <w:sz w:val="32"/>
          <w:szCs w:val="32"/>
        </w:rPr>
        <w:t>所属卫生监督机构的支出；卫生健康支出</w:t>
      </w:r>
      <w:r>
        <w:rPr>
          <w:rStyle w:val="17"/>
          <w:rFonts w:hint="eastAsia" w:ascii="仿宋" w:hAnsi="仿宋" w:eastAsia="仿宋" w:cs="仿宋"/>
          <w:b w:val="0"/>
          <w:bCs w:val="0"/>
          <w:color w:val="000000"/>
          <w:sz w:val="32"/>
          <w:szCs w:val="32"/>
          <w:highlight w:val="none"/>
          <w:lang w:eastAsia="zh-CN"/>
        </w:rPr>
        <w:t>（类）</w:t>
      </w:r>
      <w:r>
        <w:rPr>
          <w:rStyle w:val="17"/>
          <w:rFonts w:hint="eastAsia" w:ascii="仿宋" w:hAnsi="仿宋" w:eastAsia="仿宋" w:cs="仿宋"/>
          <w:b w:val="0"/>
          <w:bCs w:val="0"/>
          <w:color w:val="000000"/>
          <w:sz w:val="32"/>
          <w:szCs w:val="32"/>
          <w:highlight w:val="none"/>
        </w:rPr>
        <w:t>公共卫生</w:t>
      </w:r>
      <w:r>
        <w:rPr>
          <w:rStyle w:val="17"/>
          <w:rFonts w:hint="eastAsia" w:ascii="仿宋" w:hAnsi="仿宋" w:eastAsia="仿宋" w:cs="仿宋"/>
          <w:b w:val="0"/>
          <w:bCs w:val="0"/>
          <w:color w:val="000000"/>
          <w:sz w:val="32"/>
          <w:szCs w:val="32"/>
          <w:highlight w:val="none"/>
          <w:lang w:eastAsia="zh-CN"/>
        </w:rPr>
        <w:t>（款）妇幼保健机构</w:t>
      </w:r>
      <w:r>
        <w:rPr>
          <w:rStyle w:val="17"/>
          <w:rFonts w:hint="eastAsia" w:ascii="仿宋" w:hAnsi="仿宋" w:eastAsia="仿宋" w:cs="仿宋"/>
          <w:b w:val="0"/>
          <w:bCs w:val="0"/>
          <w:color w:val="000000"/>
          <w:sz w:val="32"/>
          <w:szCs w:val="32"/>
          <w:highlight w:val="none"/>
        </w:rPr>
        <w:t>（</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：反映卫生健康</w:t>
      </w:r>
      <w:r>
        <w:rPr>
          <w:rFonts w:hint="eastAsia" w:ascii="仿宋" w:hAnsi="仿宋" w:eastAsia="仿宋" w:cs="仿宋"/>
          <w:b w:val="0"/>
          <w:bCs w:val="0"/>
          <w:color w:val="000000"/>
          <w:sz w:val="32"/>
          <w:szCs w:val="32"/>
          <w:lang w:eastAsia="zh-CN"/>
        </w:rPr>
        <w:t>单位</w:t>
      </w:r>
      <w:r>
        <w:rPr>
          <w:rFonts w:hint="eastAsia" w:ascii="仿宋" w:hAnsi="仿宋" w:eastAsia="仿宋" w:cs="仿宋"/>
          <w:b w:val="0"/>
          <w:bCs w:val="0"/>
          <w:color w:val="000000"/>
          <w:sz w:val="32"/>
          <w:szCs w:val="32"/>
        </w:rPr>
        <w:t>所属妇幼保健机构的支出；</w:t>
      </w:r>
      <w:r>
        <w:rPr>
          <w:rStyle w:val="17"/>
          <w:rFonts w:hint="eastAsia" w:ascii="仿宋" w:hAnsi="仿宋" w:eastAsia="仿宋" w:cs="仿宋"/>
          <w:b w:val="0"/>
          <w:bCs w:val="0"/>
          <w:color w:val="000000"/>
          <w:sz w:val="32"/>
          <w:szCs w:val="32"/>
          <w:highlight w:val="none"/>
          <w:lang w:eastAsia="zh-CN"/>
        </w:rPr>
        <w:t>卫生健康支出（类）</w:t>
      </w:r>
      <w:r>
        <w:rPr>
          <w:rStyle w:val="17"/>
          <w:rFonts w:hint="eastAsia" w:ascii="仿宋" w:hAnsi="仿宋" w:eastAsia="仿宋" w:cs="仿宋"/>
          <w:b w:val="0"/>
          <w:bCs w:val="0"/>
          <w:color w:val="000000"/>
          <w:sz w:val="32"/>
          <w:szCs w:val="32"/>
          <w:highlight w:val="none"/>
        </w:rPr>
        <w:t>公共卫生</w:t>
      </w:r>
      <w:r>
        <w:rPr>
          <w:rStyle w:val="17"/>
          <w:rFonts w:hint="eastAsia" w:ascii="仿宋" w:hAnsi="仿宋" w:eastAsia="仿宋" w:cs="仿宋"/>
          <w:b w:val="0"/>
          <w:bCs w:val="0"/>
          <w:color w:val="000000"/>
          <w:sz w:val="32"/>
          <w:szCs w:val="32"/>
          <w:highlight w:val="none"/>
          <w:lang w:eastAsia="zh-CN"/>
        </w:rPr>
        <w:t>（款）</w:t>
      </w:r>
      <w:r>
        <w:rPr>
          <w:rStyle w:val="17"/>
          <w:rFonts w:hint="eastAsia" w:ascii="仿宋" w:hAnsi="仿宋" w:eastAsia="仿宋" w:cs="仿宋"/>
          <w:b w:val="0"/>
          <w:bCs w:val="0"/>
          <w:color w:val="000000"/>
          <w:sz w:val="32"/>
          <w:szCs w:val="32"/>
          <w:highlight w:val="none"/>
        </w:rPr>
        <w:t>基本公共卫生服务（</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w:t>
      </w:r>
      <w:r>
        <w:rPr>
          <w:rFonts w:hint="eastAsia" w:ascii="仿宋" w:hAnsi="仿宋" w:eastAsia="仿宋" w:cs="仿宋"/>
          <w:b w:val="0"/>
          <w:bCs w:val="0"/>
          <w:color w:val="000000"/>
          <w:sz w:val="32"/>
          <w:szCs w:val="32"/>
          <w:lang w:eastAsia="zh-CN"/>
        </w:rPr>
        <w:t>乡镇卫生院、社区卫生机构开展</w:t>
      </w:r>
      <w:r>
        <w:rPr>
          <w:rFonts w:hint="eastAsia" w:ascii="仿宋" w:hAnsi="仿宋" w:eastAsia="仿宋" w:cs="仿宋"/>
          <w:b w:val="0"/>
          <w:bCs w:val="0"/>
          <w:color w:val="000000"/>
          <w:sz w:val="32"/>
          <w:szCs w:val="32"/>
        </w:rPr>
        <w:t>基本公共卫生服务</w:t>
      </w:r>
      <w:r>
        <w:rPr>
          <w:rFonts w:hint="eastAsia" w:ascii="仿宋" w:hAnsi="仿宋" w:eastAsia="仿宋" w:cs="仿宋"/>
          <w:b w:val="0"/>
          <w:bCs w:val="0"/>
          <w:color w:val="000000"/>
          <w:sz w:val="32"/>
          <w:szCs w:val="32"/>
          <w:lang w:eastAsia="zh-CN"/>
        </w:rPr>
        <w:t>的</w:t>
      </w:r>
      <w:r>
        <w:rPr>
          <w:rFonts w:hint="eastAsia" w:ascii="仿宋" w:hAnsi="仿宋" w:eastAsia="仿宋" w:cs="仿宋"/>
          <w:b w:val="0"/>
          <w:bCs w:val="0"/>
          <w:color w:val="000000"/>
          <w:sz w:val="32"/>
          <w:szCs w:val="32"/>
        </w:rPr>
        <w:t>支出；</w:t>
      </w:r>
      <w:r>
        <w:rPr>
          <w:rStyle w:val="17"/>
          <w:rFonts w:hint="eastAsia" w:ascii="仿宋" w:hAnsi="仿宋" w:eastAsia="仿宋" w:cs="仿宋"/>
          <w:b w:val="0"/>
          <w:bCs w:val="0"/>
          <w:color w:val="000000"/>
          <w:sz w:val="32"/>
          <w:szCs w:val="32"/>
          <w:highlight w:val="none"/>
          <w:lang w:eastAsia="zh-CN"/>
        </w:rPr>
        <w:t>卫生健康支出（类）</w:t>
      </w:r>
      <w:r>
        <w:rPr>
          <w:rStyle w:val="17"/>
          <w:rFonts w:hint="eastAsia" w:ascii="仿宋" w:hAnsi="仿宋" w:eastAsia="仿宋" w:cs="仿宋"/>
          <w:b w:val="0"/>
          <w:bCs w:val="0"/>
          <w:color w:val="000000"/>
          <w:sz w:val="32"/>
          <w:szCs w:val="32"/>
          <w:highlight w:val="none"/>
        </w:rPr>
        <w:t>公共卫生</w:t>
      </w:r>
      <w:r>
        <w:rPr>
          <w:rStyle w:val="17"/>
          <w:rFonts w:hint="eastAsia" w:ascii="仿宋" w:hAnsi="仿宋" w:eastAsia="仿宋" w:cs="仿宋"/>
          <w:b w:val="0"/>
          <w:bCs w:val="0"/>
          <w:color w:val="000000"/>
          <w:sz w:val="32"/>
          <w:szCs w:val="32"/>
          <w:highlight w:val="none"/>
          <w:lang w:eastAsia="zh-CN"/>
        </w:rPr>
        <w:t>（款）重大</w:t>
      </w:r>
      <w:r>
        <w:rPr>
          <w:rStyle w:val="17"/>
          <w:rFonts w:hint="eastAsia" w:ascii="仿宋" w:hAnsi="仿宋" w:eastAsia="仿宋" w:cs="仿宋"/>
          <w:b w:val="0"/>
          <w:bCs w:val="0"/>
          <w:color w:val="000000"/>
          <w:sz w:val="32"/>
          <w:szCs w:val="32"/>
          <w:highlight w:val="none"/>
        </w:rPr>
        <w:t>公共卫生</w:t>
      </w:r>
      <w:r>
        <w:rPr>
          <w:rStyle w:val="17"/>
          <w:rFonts w:hint="eastAsia" w:ascii="仿宋" w:hAnsi="仿宋" w:eastAsia="仿宋" w:cs="仿宋"/>
          <w:b w:val="0"/>
          <w:bCs w:val="0"/>
          <w:color w:val="000000"/>
          <w:sz w:val="32"/>
          <w:szCs w:val="32"/>
          <w:highlight w:val="none"/>
          <w:lang w:eastAsia="zh-CN"/>
        </w:rPr>
        <w:t>专项</w:t>
      </w:r>
      <w:r>
        <w:rPr>
          <w:rStyle w:val="17"/>
          <w:rFonts w:hint="eastAsia" w:ascii="仿宋" w:hAnsi="仿宋" w:eastAsia="仿宋" w:cs="仿宋"/>
          <w:b w:val="0"/>
          <w:bCs w:val="0"/>
          <w:color w:val="000000"/>
          <w:sz w:val="32"/>
          <w:szCs w:val="32"/>
          <w:highlight w:val="none"/>
        </w:rPr>
        <w:t>（</w:t>
      </w:r>
      <w:r>
        <w:rPr>
          <w:rStyle w:val="17"/>
          <w:rFonts w:hint="eastAsia" w:ascii="仿宋" w:hAnsi="仿宋" w:eastAsia="仿宋" w:cs="仿宋"/>
          <w:b w:val="0"/>
          <w:bCs w:val="0"/>
          <w:color w:val="000000"/>
          <w:sz w:val="32"/>
          <w:szCs w:val="32"/>
          <w:highlight w:val="none"/>
          <w:lang w:eastAsia="zh-CN"/>
        </w:rPr>
        <w:t>项</w:t>
      </w:r>
      <w:r>
        <w:rPr>
          <w:rStyle w:val="17"/>
          <w:rFonts w:hint="eastAsia" w:ascii="仿宋" w:hAnsi="仿宋" w:eastAsia="仿宋" w:cs="仿宋"/>
          <w:b w:val="0"/>
          <w:bCs w:val="0"/>
          <w:color w:val="000000"/>
          <w:sz w:val="32"/>
          <w:szCs w:val="32"/>
          <w:highlight w:val="none"/>
        </w:rPr>
        <w:t>）</w:t>
      </w:r>
      <w:r>
        <w:rPr>
          <w:rFonts w:hint="eastAsia" w:ascii="仿宋" w:hAnsi="仿宋" w:eastAsia="仿宋" w:cs="仿宋"/>
          <w:b w:val="0"/>
          <w:bCs w:val="0"/>
          <w:color w:val="000000"/>
          <w:sz w:val="32"/>
          <w:szCs w:val="32"/>
        </w:rPr>
        <w:t>：反映重大疾病预防控制等重大公共卫生服务项目支出；</w:t>
      </w:r>
      <w:r>
        <w:rPr>
          <w:rFonts w:hint="eastAsia" w:ascii="仿宋" w:hAnsi="仿宋" w:eastAsia="仿宋" w:cs="仿宋"/>
          <w:b w:val="0"/>
          <w:bCs/>
          <w:color w:val="000000"/>
          <w:sz w:val="32"/>
          <w:szCs w:val="32"/>
        </w:rPr>
        <w:t>卫生健康支出（类）中医药（款）中医药专项（项）</w:t>
      </w:r>
      <w:r>
        <w:rPr>
          <w:rFonts w:hint="eastAsia" w:ascii="仿宋" w:hAnsi="仿宋" w:eastAsia="仿宋" w:cs="仿宋"/>
          <w:color w:val="000000"/>
          <w:sz w:val="32"/>
          <w:szCs w:val="32"/>
        </w:rPr>
        <w:t>:主要用于</w:t>
      </w:r>
      <w:r>
        <w:rPr>
          <w:rFonts w:hint="eastAsia" w:ascii="仿宋" w:hAnsi="仿宋" w:eastAsia="仿宋" w:cs="仿宋"/>
          <w:color w:val="000000"/>
          <w:sz w:val="32"/>
          <w:szCs w:val="32"/>
          <w:lang w:eastAsia="zh-CN"/>
        </w:rPr>
        <w:t>中医专项支出：</w:t>
      </w:r>
      <w:r>
        <w:rPr>
          <w:rStyle w:val="17"/>
          <w:rFonts w:hint="eastAsia" w:ascii="仿宋" w:hAnsi="仿宋" w:eastAsia="仿宋" w:cs="仿宋"/>
          <w:b w:val="0"/>
          <w:bCs w:val="0"/>
          <w:color w:val="000000"/>
          <w:sz w:val="32"/>
          <w:szCs w:val="32"/>
          <w:highlight w:val="none"/>
          <w:lang w:eastAsia="zh-CN"/>
        </w:rPr>
        <w:t>卫生健康支出</w:t>
      </w:r>
      <w:r>
        <w:rPr>
          <w:rFonts w:hint="eastAsia" w:ascii="仿宋" w:hAnsi="仿宋" w:eastAsia="仿宋" w:cs="仿宋"/>
          <w:b w:val="0"/>
          <w:bCs w:val="0"/>
          <w:color w:val="000000"/>
          <w:sz w:val="32"/>
          <w:szCs w:val="32"/>
          <w:highlight w:val="none"/>
          <w:lang w:eastAsia="zh-CN"/>
        </w:rPr>
        <w:t>（类）</w:t>
      </w:r>
      <w:r>
        <w:rPr>
          <w:rFonts w:hint="eastAsia" w:ascii="仿宋" w:hAnsi="仿宋" w:eastAsia="仿宋" w:cs="仿宋"/>
          <w:b w:val="0"/>
          <w:bCs w:val="0"/>
          <w:color w:val="000000"/>
          <w:sz w:val="32"/>
          <w:szCs w:val="32"/>
          <w:highlight w:val="none"/>
        </w:rPr>
        <w:t>基层医疗卫生机构</w:t>
      </w:r>
      <w:r>
        <w:rPr>
          <w:rFonts w:hint="eastAsia" w:ascii="仿宋" w:hAnsi="仿宋" w:eastAsia="仿宋" w:cs="仿宋"/>
          <w:b w:val="0"/>
          <w:bCs w:val="0"/>
          <w:color w:val="000000"/>
          <w:sz w:val="32"/>
          <w:szCs w:val="32"/>
          <w:highlight w:val="none"/>
          <w:lang w:eastAsia="zh-CN"/>
        </w:rPr>
        <w:t>（款）</w:t>
      </w:r>
      <w:r>
        <w:rPr>
          <w:rFonts w:hint="eastAsia" w:ascii="仿宋" w:hAnsi="仿宋" w:eastAsia="仿宋" w:cs="仿宋"/>
          <w:b w:val="0"/>
          <w:bCs w:val="0"/>
          <w:color w:val="000000"/>
          <w:sz w:val="32"/>
          <w:szCs w:val="32"/>
          <w:highlight w:val="none"/>
        </w:rPr>
        <w:t>其他基层医疗卫生机构支出（</w:t>
      </w:r>
      <w:r>
        <w:rPr>
          <w:rFonts w:hint="eastAsia" w:ascii="仿宋" w:hAnsi="仿宋" w:eastAsia="仿宋" w:cs="仿宋"/>
          <w:b w:val="0"/>
          <w:bCs w:val="0"/>
          <w:color w:val="000000"/>
          <w:sz w:val="32"/>
          <w:szCs w:val="32"/>
          <w:highlight w:val="none"/>
          <w:lang w:eastAsia="zh-CN"/>
        </w:rPr>
        <w:t>项</w:t>
      </w:r>
      <w:r>
        <w:rPr>
          <w:rFonts w:hint="eastAsia" w:ascii="仿宋" w:hAnsi="仿宋" w:eastAsia="仿宋" w:cs="仿宋"/>
          <w:b w:val="0"/>
          <w:bCs w:val="0"/>
          <w:color w:val="000000"/>
          <w:sz w:val="32"/>
          <w:szCs w:val="32"/>
          <w:highlight w:val="none"/>
        </w:rPr>
        <w:t>）</w:t>
      </w:r>
      <w:r>
        <w:rPr>
          <w:rStyle w:val="17"/>
          <w:rFonts w:hint="eastAsia" w:ascii="仿宋" w:hAnsi="仿宋" w:eastAsia="仿宋" w:cs="仿宋"/>
          <w:b w:val="0"/>
          <w:bCs w:val="0"/>
          <w:color w:val="000000"/>
          <w:sz w:val="32"/>
          <w:szCs w:val="32"/>
        </w:rPr>
        <w:t>：反映除乡镇卫生院、城市社区卫生机构以外的其他用于基层医疗卫生机构的支出；</w:t>
      </w:r>
      <w:r>
        <w:rPr>
          <w:rStyle w:val="17"/>
          <w:rFonts w:hint="eastAsia" w:ascii="仿宋" w:hAnsi="仿宋" w:eastAsia="仿宋" w:cs="仿宋"/>
          <w:b w:val="0"/>
          <w:bCs w:val="0"/>
          <w:color w:val="000000"/>
          <w:sz w:val="32"/>
          <w:szCs w:val="32"/>
          <w:highlight w:val="none"/>
          <w:lang w:eastAsia="zh-CN"/>
        </w:rPr>
        <w:t>卫生健康支出</w:t>
      </w:r>
      <w:r>
        <w:rPr>
          <w:rStyle w:val="17"/>
          <w:rFonts w:hint="eastAsia" w:ascii="仿宋" w:hAnsi="仿宋" w:eastAsia="仿宋" w:cs="仿宋"/>
          <w:b w:val="0"/>
          <w:bCs w:val="0"/>
          <w:color w:val="000000"/>
          <w:sz w:val="32"/>
          <w:szCs w:val="32"/>
          <w:lang w:eastAsia="zh-CN"/>
        </w:rPr>
        <w:t>（类）</w:t>
      </w:r>
      <w:r>
        <w:rPr>
          <w:rStyle w:val="17"/>
          <w:rFonts w:hint="eastAsia" w:ascii="仿宋" w:hAnsi="仿宋" w:eastAsia="仿宋" w:cs="仿宋"/>
          <w:b w:val="0"/>
          <w:bCs w:val="0"/>
          <w:color w:val="000000"/>
          <w:sz w:val="32"/>
          <w:szCs w:val="32"/>
        </w:rPr>
        <w:t>计划生育事务</w:t>
      </w:r>
      <w:r>
        <w:rPr>
          <w:rFonts w:hint="eastAsia" w:ascii="仿宋" w:hAnsi="仿宋" w:eastAsia="仿宋" w:cs="仿宋"/>
          <w:b w:val="0"/>
          <w:bCs w:val="0"/>
          <w:color w:val="000000"/>
          <w:sz w:val="32"/>
          <w:szCs w:val="32"/>
          <w:highlight w:val="none"/>
          <w:lang w:eastAsia="zh-CN"/>
        </w:rPr>
        <w:t>（款）</w:t>
      </w:r>
      <w:r>
        <w:rPr>
          <w:rFonts w:hint="eastAsia" w:ascii="仿宋" w:hAnsi="仿宋" w:eastAsia="仿宋" w:cs="仿宋"/>
          <w:b w:val="0"/>
          <w:bCs w:val="0"/>
          <w:color w:val="000000"/>
          <w:sz w:val="32"/>
          <w:szCs w:val="32"/>
          <w:highlight w:val="none"/>
        </w:rPr>
        <w:t>其他计划生育事务支出（</w:t>
      </w:r>
      <w:r>
        <w:rPr>
          <w:rFonts w:hint="eastAsia" w:ascii="仿宋" w:hAnsi="仿宋" w:eastAsia="仿宋" w:cs="仿宋"/>
          <w:b w:val="0"/>
          <w:bCs w:val="0"/>
          <w:color w:val="000000"/>
          <w:sz w:val="32"/>
          <w:szCs w:val="32"/>
          <w:highlight w:val="none"/>
          <w:lang w:eastAsia="zh-CN"/>
        </w:rPr>
        <w:t>项</w:t>
      </w:r>
      <w:r>
        <w:rPr>
          <w:rFonts w:hint="eastAsia" w:ascii="仿宋" w:hAnsi="仿宋" w:eastAsia="仿宋" w:cs="仿宋"/>
          <w:b w:val="0"/>
          <w:bCs w:val="0"/>
          <w:color w:val="000000"/>
          <w:sz w:val="32"/>
          <w:szCs w:val="32"/>
          <w:highlight w:val="none"/>
        </w:rPr>
        <w:t>）</w:t>
      </w:r>
      <w:r>
        <w:rPr>
          <w:rStyle w:val="17"/>
          <w:rFonts w:hint="eastAsia" w:ascii="仿宋" w:hAnsi="仿宋" w:eastAsia="仿宋" w:cs="仿宋"/>
          <w:b w:val="0"/>
          <w:bCs w:val="0"/>
          <w:color w:val="000000"/>
          <w:sz w:val="32"/>
          <w:szCs w:val="32"/>
        </w:rPr>
        <w:t>:反映计划生育服务支出；</w:t>
      </w:r>
      <w:r>
        <w:rPr>
          <w:rStyle w:val="17"/>
          <w:rFonts w:hint="eastAsia" w:ascii="仿宋" w:hAnsi="仿宋" w:eastAsia="仿宋" w:cs="仿宋"/>
          <w:b w:val="0"/>
          <w:bCs w:val="0"/>
          <w:color w:val="000000"/>
          <w:sz w:val="32"/>
          <w:szCs w:val="32"/>
          <w:highlight w:val="none"/>
          <w:lang w:eastAsia="zh-CN"/>
        </w:rPr>
        <w:t>卫生健康支出</w:t>
      </w:r>
      <w:r>
        <w:rPr>
          <w:rStyle w:val="17"/>
          <w:rFonts w:hint="eastAsia" w:ascii="仿宋" w:hAnsi="仿宋" w:eastAsia="仿宋" w:cs="仿宋"/>
          <w:b w:val="0"/>
          <w:bCs w:val="0"/>
          <w:color w:val="000000"/>
          <w:sz w:val="32"/>
          <w:szCs w:val="32"/>
          <w:lang w:eastAsia="zh-CN"/>
        </w:rPr>
        <w:t>（类）</w:t>
      </w:r>
      <w:r>
        <w:rPr>
          <w:rStyle w:val="17"/>
          <w:rFonts w:hint="eastAsia" w:ascii="仿宋" w:hAnsi="仿宋" w:eastAsia="仿宋" w:cs="仿宋"/>
          <w:b w:val="0"/>
          <w:bCs w:val="0"/>
          <w:color w:val="000000"/>
          <w:sz w:val="32"/>
          <w:szCs w:val="32"/>
        </w:rPr>
        <w:t>行政事业单位医疗</w:t>
      </w:r>
      <w:r>
        <w:rPr>
          <w:rFonts w:hint="eastAsia" w:ascii="仿宋" w:hAnsi="仿宋" w:eastAsia="仿宋" w:cs="仿宋"/>
          <w:b w:val="0"/>
          <w:bCs w:val="0"/>
          <w:color w:val="000000"/>
          <w:sz w:val="32"/>
          <w:szCs w:val="32"/>
          <w:highlight w:val="none"/>
          <w:lang w:eastAsia="zh-CN"/>
        </w:rPr>
        <w:t>（款）</w:t>
      </w:r>
      <w:r>
        <w:rPr>
          <w:rFonts w:hint="eastAsia" w:ascii="仿宋" w:hAnsi="仿宋" w:eastAsia="仿宋" w:cs="仿宋"/>
          <w:b w:val="0"/>
          <w:bCs w:val="0"/>
          <w:color w:val="000000"/>
          <w:sz w:val="32"/>
          <w:szCs w:val="32"/>
          <w:highlight w:val="none"/>
        </w:rPr>
        <w:t xml:space="preserve">  事业单位医疗（</w:t>
      </w:r>
      <w:r>
        <w:rPr>
          <w:rFonts w:hint="eastAsia" w:ascii="仿宋" w:hAnsi="仿宋" w:eastAsia="仿宋" w:cs="仿宋"/>
          <w:b w:val="0"/>
          <w:bCs w:val="0"/>
          <w:color w:val="000000"/>
          <w:sz w:val="32"/>
          <w:szCs w:val="32"/>
          <w:highlight w:val="none"/>
          <w:lang w:eastAsia="zh-CN"/>
        </w:rPr>
        <w:t>项</w:t>
      </w:r>
      <w:r>
        <w:rPr>
          <w:rFonts w:hint="eastAsia" w:ascii="仿宋" w:hAnsi="仿宋" w:eastAsia="仿宋" w:cs="仿宋"/>
          <w:b w:val="0"/>
          <w:bCs w:val="0"/>
          <w:color w:val="000000"/>
          <w:sz w:val="32"/>
          <w:szCs w:val="32"/>
          <w:highlight w:val="none"/>
        </w:rPr>
        <w:t>）</w:t>
      </w:r>
      <w:r>
        <w:rPr>
          <w:rStyle w:val="17"/>
          <w:rFonts w:hint="eastAsia" w:ascii="仿宋" w:hAnsi="仿宋" w:eastAsia="仿宋" w:cs="仿宋"/>
          <w:b w:val="0"/>
          <w:bCs w:val="0"/>
          <w:color w:val="000000"/>
          <w:sz w:val="32"/>
          <w:szCs w:val="32"/>
        </w:rPr>
        <w:t>:</w:t>
      </w:r>
      <w:r>
        <w:rPr>
          <w:rStyle w:val="17"/>
          <w:rFonts w:hint="eastAsia" w:ascii="仿宋" w:hAnsi="仿宋" w:eastAsia="仿宋" w:cs="仿宋"/>
          <w:b w:val="0"/>
          <w:bCs w:val="0"/>
          <w:color w:val="auto"/>
          <w:sz w:val="32"/>
          <w:szCs w:val="32"/>
        </w:rPr>
        <w:t>反映</w:t>
      </w:r>
      <w:r>
        <w:rPr>
          <w:rStyle w:val="17"/>
          <w:rFonts w:hint="eastAsia" w:ascii="仿宋" w:hAnsi="仿宋" w:eastAsia="仿宋" w:cs="仿宋"/>
          <w:b w:val="0"/>
          <w:bCs w:val="0"/>
          <w:color w:val="000000"/>
          <w:sz w:val="32"/>
          <w:szCs w:val="32"/>
          <w:highlight w:val="none"/>
          <w:lang w:eastAsia="zh-CN"/>
        </w:rPr>
        <w:t>卫生健康支出中的在职人员医疗保险</w:t>
      </w:r>
      <w:r>
        <w:rPr>
          <w:rStyle w:val="17"/>
          <w:rFonts w:hint="eastAsia" w:ascii="仿宋" w:hAnsi="仿宋" w:eastAsia="仿宋" w:cs="仿宋"/>
          <w:b w:val="0"/>
          <w:bCs w:val="0"/>
          <w:color w:val="000000"/>
          <w:sz w:val="32"/>
          <w:szCs w:val="32"/>
        </w:rPr>
        <w:t>；</w:t>
      </w:r>
      <w:r>
        <w:rPr>
          <w:rStyle w:val="17"/>
          <w:rFonts w:hint="eastAsia" w:ascii="仿宋" w:hAnsi="仿宋" w:eastAsia="仿宋" w:cs="仿宋"/>
          <w:b w:val="0"/>
          <w:bCs w:val="0"/>
          <w:color w:val="000000"/>
          <w:sz w:val="32"/>
          <w:szCs w:val="32"/>
          <w:highlight w:val="none"/>
          <w:lang w:eastAsia="zh-CN"/>
        </w:rPr>
        <w:t>卫生健康支出</w:t>
      </w:r>
      <w:r>
        <w:rPr>
          <w:rStyle w:val="17"/>
          <w:rFonts w:hint="eastAsia" w:ascii="仿宋" w:hAnsi="仿宋" w:eastAsia="仿宋" w:cs="仿宋"/>
          <w:b w:val="0"/>
          <w:bCs w:val="0"/>
          <w:color w:val="000000"/>
          <w:sz w:val="32"/>
          <w:szCs w:val="32"/>
          <w:lang w:eastAsia="zh-CN"/>
        </w:rPr>
        <w:t>（类）</w:t>
      </w:r>
      <w:r>
        <w:rPr>
          <w:rStyle w:val="17"/>
          <w:rFonts w:hint="eastAsia" w:ascii="仿宋" w:hAnsi="仿宋" w:eastAsia="仿宋" w:cs="仿宋"/>
          <w:b w:val="0"/>
          <w:bCs w:val="0"/>
          <w:color w:val="000000"/>
          <w:sz w:val="32"/>
          <w:szCs w:val="32"/>
        </w:rPr>
        <w:t>行政事业单位医疗</w:t>
      </w:r>
      <w:r>
        <w:rPr>
          <w:rFonts w:hint="eastAsia" w:ascii="仿宋" w:hAnsi="仿宋" w:eastAsia="仿宋" w:cs="仿宋"/>
          <w:b w:val="0"/>
          <w:bCs w:val="0"/>
          <w:color w:val="000000"/>
          <w:sz w:val="32"/>
          <w:szCs w:val="32"/>
          <w:highlight w:val="none"/>
          <w:lang w:eastAsia="zh-CN"/>
        </w:rPr>
        <w:t>（款）其他卫生健康支出（项）反映基层医疗单位贫困人口体检支出：</w:t>
      </w:r>
      <w:r>
        <w:rPr>
          <w:rFonts w:hint="eastAsia" w:ascii="仿宋" w:hAnsi="仿宋" w:eastAsia="仿宋" w:cs="仿宋"/>
          <w:b w:val="0"/>
          <w:bCs w:val="0"/>
          <w:sz w:val="32"/>
          <w:szCs w:val="32"/>
        </w:rPr>
        <w:t>农林水支出（类）扶贫（款）其他扶贫支出（项）</w:t>
      </w:r>
      <w:r>
        <w:rPr>
          <w:rFonts w:hint="eastAsia" w:ascii="仿宋" w:hAnsi="仿宋" w:eastAsia="仿宋" w:cs="仿宋"/>
          <w:b w:val="0"/>
          <w:bCs w:val="0"/>
          <w:sz w:val="32"/>
          <w:szCs w:val="32"/>
          <w:lang w:eastAsia="zh-CN"/>
        </w:rPr>
        <w:t>主要反映健康扶贫支出。</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9.社会保障和就业支出：反映政府在社会保障和就业方面的支出。</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社会保障和就业支出-行政事业单位离退休-机关事业单位基本养老保险缴费支出：反映机关事业单位实施养老保险制度由单位缴纳的基本养老保险支出；</w:t>
      </w:r>
    </w:p>
    <w:p>
      <w:pPr>
        <w:ind w:firstLine="640" w:firstLineChars="200"/>
        <w:rPr>
          <w:rStyle w:val="17"/>
          <w:rFonts w:hint="eastAsia" w:ascii="仿宋" w:hAnsi="仿宋" w:eastAsia="仿宋" w:cs="仿宋"/>
          <w:b w:val="0"/>
          <w:bCs w:val="0"/>
          <w:color w:val="000000"/>
          <w:sz w:val="32"/>
          <w:szCs w:val="32"/>
          <w:lang w:eastAsia="zh-CN"/>
        </w:rPr>
      </w:pPr>
      <w:r>
        <w:rPr>
          <w:rFonts w:hint="eastAsia" w:ascii="仿宋" w:hAnsi="仿宋" w:eastAsia="仿宋" w:cs="仿宋"/>
          <w:sz w:val="32"/>
          <w:szCs w:val="32"/>
          <w:lang w:val="en-US" w:eastAsia="zh-CN"/>
        </w:rPr>
        <w:t>10.住房保障支出：住房保障支出-住房改革支出-住房公积金：反映行政事业单位按人力资源和社会保障部、财政部规定的基本工资和津贴补贴以及规定比例为职工缴纳的住房公积金。</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.基本支出：指为保障机构正常运转、完成日常工作任务而发生的人员支出和公用支出。</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12</w:t>
      </w:r>
      <w:r>
        <w:rPr>
          <w:rFonts w:hint="eastAsia" w:ascii="仿宋" w:hAnsi="仿宋" w:eastAsia="仿宋" w:cs="仿宋"/>
          <w:color w:val="000000"/>
          <w:sz w:val="32"/>
          <w:szCs w:val="32"/>
        </w:rPr>
        <w:t>.项目支出：指在基本支出之外为完成特定行政任务和事业发展目标所发生的支出。</w:t>
      </w:r>
      <w:bookmarkStart w:id="126" w:name="_GoBack"/>
      <w:bookmarkEnd w:id="126"/>
    </w:p>
    <w:p>
      <w:pPr>
        <w:pStyle w:val="24"/>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13</w:t>
      </w:r>
      <w:r>
        <w:rPr>
          <w:rFonts w:hint="eastAsia" w:ascii="仿宋" w:hAnsi="仿宋" w:eastAsia="仿宋" w:cs="仿宋"/>
          <w:sz w:val="32"/>
          <w:szCs w:val="32"/>
        </w:rPr>
        <w:t>.“三公”经费：指</w:t>
      </w:r>
      <w:r>
        <w:rPr>
          <w:rFonts w:hint="eastAsia" w:ascii="仿宋" w:hAnsi="仿宋" w:eastAsia="仿宋" w:cs="仿宋"/>
          <w:sz w:val="32"/>
          <w:szCs w:val="32"/>
          <w:lang w:eastAsia="zh-CN"/>
        </w:rPr>
        <w:t>单位</w:t>
      </w:r>
      <w:r>
        <w:rPr>
          <w:rFonts w:hint="eastAsia" w:ascii="仿宋" w:hAnsi="仿宋" w:eastAsia="仿宋" w:cs="仿宋"/>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19"/>
          <w:rFonts w:ascii="黑体" w:eastAsia="黑体"/>
          <w:b w:val="0"/>
          <w:color w:val="auto"/>
          <w:highlight w:val="none"/>
        </w:rPr>
      </w:pPr>
      <w:r>
        <w:br w:type="page"/>
      </w:r>
      <w:bookmarkStart w:id="96" w:name="_Toc650"/>
      <w:bookmarkStart w:id="97" w:name="_Toc15396614"/>
      <w:r>
        <w:rPr>
          <w:rFonts w:hint="eastAsia" w:ascii="黑体" w:eastAsia="黑体"/>
          <w:color w:val="auto"/>
          <w:sz w:val="44"/>
          <w:szCs w:val="44"/>
          <w:highlight w:val="none"/>
        </w:rPr>
        <w:t>第</w:t>
      </w:r>
      <w:r>
        <w:rPr>
          <w:rStyle w:val="19"/>
          <w:rFonts w:hint="eastAsia" w:ascii="黑体" w:eastAsia="黑体"/>
          <w:b w:val="0"/>
          <w:color w:val="auto"/>
          <w:highlight w:val="none"/>
        </w:rPr>
        <w:t>四部分 附件</w:t>
      </w:r>
      <w:bookmarkEnd w:id="96"/>
      <w:bookmarkEnd w:id="97"/>
    </w:p>
    <w:p>
      <w:pPr>
        <w:keepNext w:val="0"/>
        <w:keepLines w:val="0"/>
        <w:pageBreakBefore w:val="0"/>
        <w:widowControl w:val="0"/>
        <w:kinsoku/>
        <w:wordWrap/>
        <w:overflowPunct/>
        <w:topLinePunct w:val="0"/>
        <w:autoSpaceDE/>
        <w:autoSpaceDN/>
        <w:bidi w:val="0"/>
        <w:spacing w:line="572" w:lineRule="exact"/>
        <w:jc w:val="left"/>
        <w:textAlignment w:val="auto"/>
        <w:outlineLvl w:val="0"/>
        <w:rPr>
          <w:rFonts w:ascii="仿宋_GB2312" w:eastAsia="仿宋_GB2312" w:cs="仿宋_GB2312"/>
          <w:color w:val="auto"/>
          <w:sz w:val="32"/>
          <w:szCs w:val="32"/>
          <w:highlight w:val="none"/>
        </w:rPr>
      </w:pPr>
    </w:p>
    <w:tbl>
      <w:tblPr>
        <w:tblStyle w:val="14"/>
        <w:tblW w:w="903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20"/>
        <w:gridCol w:w="990"/>
        <w:gridCol w:w="990"/>
        <w:gridCol w:w="990"/>
        <w:gridCol w:w="810"/>
        <w:gridCol w:w="610"/>
        <w:gridCol w:w="440"/>
        <w:gridCol w:w="990"/>
        <w:gridCol w:w="990"/>
        <w:gridCol w:w="990"/>
        <w:gridCol w:w="5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rPr>
        <w:tc>
          <w:tcPr>
            <w:tcW w:w="9031" w:type="dxa"/>
            <w:gridSpan w:val="11"/>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黑体" w:eastAsia="黑体" w:cs="黑体"/>
                <w:b/>
                <w:i w:val="0"/>
                <w:color w:val="000000"/>
                <w:sz w:val="30"/>
                <w:szCs w:val="30"/>
                <w:u w:val="none"/>
              </w:rPr>
            </w:pPr>
            <w:bookmarkStart w:id="98" w:name="_Toc15396618"/>
            <w:r>
              <w:rPr>
                <w:rFonts w:hint="eastAsia" w:ascii="黑体" w:eastAsia="黑体" w:cs="黑体"/>
                <w:b/>
                <w:i w:val="0"/>
                <w:color w:val="000000"/>
                <w:kern w:val="0"/>
                <w:sz w:val="30"/>
                <w:szCs w:val="30"/>
                <w:u w:val="none"/>
                <w:lang w:val="en-US" w:eastAsia="zh-CN"/>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项目名称</w:t>
            </w:r>
          </w:p>
        </w:tc>
        <w:tc>
          <w:tcPr>
            <w:tcW w:w="7321"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51081122T000006832293-二类疫苗服务费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主管部门</w:t>
            </w:r>
          </w:p>
        </w:tc>
        <w:tc>
          <w:tcPr>
            <w:tcW w:w="384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广元市昭化区卫生健康局部门</w:t>
            </w:r>
          </w:p>
        </w:tc>
        <w:tc>
          <w:tcPr>
            <w:tcW w:w="990" w:type="dxa"/>
            <w:tcBorders>
              <w:top w:val="nil"/>
              <w:left w:val="nil"/>
              <w:bottom w:val="nil"/>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黑体" w:eastAsia="黑体" w:cs="黑体"/>
                <w:i w:val="0"/>
                <w:color w:val="000000"/>
                <w:sz w:val="18"/>
                <w:szCs w:val="18"/>
                <w:u w:val="none"/>
              </w:rPr>
            </w:pPr>
            <w:r>
              <w:rPr>
                <w:rFonts w:hint="eastAsia" w:ascii="黑体" w:eastAsia="黑体" w:cs="黑体"/>
                <w:i w:val="0"/>
                <w:color w:val="000000"/>
                <w:kern w:val="0"/>
                <w:sz w:val="18"/>
                <w:szCs w:val="18"/>
                <w:u w:val="none"/>
                <w:lang w:val="en-US" w:eastAsia="zh-CN"/>
              </w:rPr>
              <w:t>实施单位 （盖章）</w:t>
            </w:r>
          </w:p>
        </w:tc>
        <w:tc>
          <w:tcPr>
            <w:tcW w:w="249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梅树乡卫生院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项目基本情况</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1.项目年度目标完成情况</w:t>
            </w:r>
          </w:p>
        </w:tc>
        <w:tc>
          <w:tcPr>
            <w:tcW w:w="384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项目年度目标</w:t>
            </w:r>
          </w:p>
        </w:tc>
        <w:tc>
          <w:tcPr>
            <w:tcW w:w="348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eastAsia="黑体" w:cs="黑体"/>
                <w:i w:val="0"/>
                <w:color w:val="000000"/>
                <w:sz w:val="18"/>
                <w:szCs w:val="18"/>
                <w:u w:val="none"/>
              </w:rPr>
            </w:pPr>
            <w:r>
              <w:rPr>
                <w:rFonts w:hint="eastAsia" w:ascii="黑体" w:eastAsia="黑体" w:cs="黑体"/>
                <w:i w:val="0"/>
                <w:color w:val="000000"/>
                <w:kern w:val="0"/>
                <w:sz w:val="18"/>
                <w:szCs w:val="18"/>
                <w:u w:val="none"/>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384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rPr>
                <w:rFonts w:ascii="宋体" w:eastAsia="宋体" w:cs="宋体"/>
                <w:i w:val="0"/>
                <w:color w:val="000000"/>
                <w:sz w:val="18"/>
                <w:szCs w:val="18"/>
                <w:u w:val="none"/>
                <w:lang w:val="en-US" w:eastAsia="zh-CN"/>
              </w:rPr>
            </w:pPr>
            <w:r>
              <w:rPr>
                <w:rFonts w:hint="eastAsia" w:ascii="宋体" w:eastAsia="宋体" w:cs="宋体"/>
                <w:i w:val="0"/>
                <w:color w:val="000000"/>
                <w:sz w:val="18"/>
                <w:szCs w:val="18"/>
                <w:u w:val="none"/>
                <w:lang w:val="en-US" w:eastAsia="zh-CN"/>
              </w:rPr>
              <w:t xml:space="preserve">        </w:t>
            </w:r>
            <w:r>
              <w:rPr>
                <w:rFonts w:ascii="宋体" w:eastAsia="宋体" w:cs="宋体"/>
                <w:i w:val="0"/>
                <w:color w:val="000000"/>
                <w:sz w:val="18"/>
                <w:szCs w:val="18"/>
                <w:u w:val="none"/>
                <w:lang w:val="en-US" w:eastAsia="zh-CN"/>
              </w:rPr>
              <w:t>1.72</w:t>
            </w:r>
            <w:r>
              <w:rPr>
                <w:rFonts w:hint="eastAsia" w:ascii="宋体" w:eastAsia="宋体" w:cs="宋体"/>
                <w:i w:val="0"/>
                <w:color w:val="000000"/>
                <w:sz w:val="18"/>
                <w:szCs w:val="18"/>
                <w:u w:val="none"/>
                <w:lang w:val="en-US" w:eastAsia="zh-CN"/>
              </w:rPr>
              <w:t>万元</w:t>
            </w:r>
          </w:p>
        </w:tc>
        <w:tc>
          <w:tcPr>
            <w:tcW w:w="348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黑体" w:eastAsia="黑体" w:cs="黑体"/>
                <w:i w:val="0"/>
                <w:color w:val="000000"/>
                <w:sz w:val="18"/>
                <w:szCs w:val="18"/>
                <w:u w:val="none"/>
                <w:lang w:val="en-US"/>
              </w:rPr>
            </w:pPr>
            <w:r>
              <w:rPr>
                <w:rFonts w:hint="eastAsia" w:ascii="黑体" w:eastAsia="黑体" w:cs="黑体"/>
                <w:i w:val="0"/>
                <w:color w:val="000000"/>
                <w:kern w:val="0"/>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2.项目实施内容及过程概述</w:t>
            </w:r>
          </w:p>
        </w:tc>
        <w:tc>
          <w:tcPr>
            <w:tcW w:w="7321"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预算执行情况（10分）</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年度预算数（万元）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年初预算</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调整后预算数</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预算执行数</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预算执行率</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权重</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得分</w:t>
            </w:r>
          </w:p>
        </w:tc>
        <w:tc>
          <w:tcPr>
            <w:tcW w:w="511" w:type="dxa"/>
            <w:tcBorders>
              <w:top w:val="single" w:color="000000" w:sz="4" w:space="0"/>
              <w:left w:val="single" w:color="000000" w:sz="4" w:space="0"/>
              <w:bottom w:val="nil"/>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hint="eastAsia" w:ascii="宋体" w:eastAsia="宋体" w:cs="宋体"/>
                <w:i w:val="0"/>
                <w:color w:val="000000"/>
                <w:sz w:val="18"/>
                <w:szCs w:val="18"/>
                <w:u w:val="none"/>
                <w:lang w:val="en-US" w:eastAsia="zh-CN"/>
              </w:rPr>
              <w:t xml:space="preserve">  </w:t>
            </w:r>
            <w:r>
              <w:rPr>
                <w:rFonts w:ascii="宋体" w:eastAsia="宋体" w:cs="宋体"/>
                <w:i w:val="0"/>
                <w:color w:val="000000"/>
                <w:sz w:val="18"/>
                <w:szCs w:val="18"/>
                <w:u w:val="none"/>
                <w:lang w:val="en-US" w:eastAsia="zh-CN"/>
              </w:rPr>
              <w:t>1.72</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hint="eastAsia" w:ascii="宋体" w:eastAsia="宋体" w:cs="宋体"/>
                <w:i w:val="0"/>
                <w:color w:val="000000"/>
                <w:sz w:val="18"/>
                <w:szCs w:val="18"/>
                <w:u w:val="none"/>
                <w:lang w:val="en-US" w:eastAsia="zh-CN"/>
              </w:rPr>
              <w:t xml:space="preserve">  </w:t>
            </w:r>
            <w:r>
              <w:rPr>
                <w:rFonts w:ascii="宋体" w:eastAsia="宋体" w:cs="宋体"/>
                <w:i w:val="0"/>
                <w:color w:val="000000"/>
                <w:sz w:val="18"/>
                <w:szCs w:val="18"/>
                <w:u w:val="none"/>
                <w:lang w:val="en-US" w:eastAsia="zh-CN"/>
              </w:rPr>
              <w:t>1.72</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w:t>
            </w:r>
          </w:p>
        </w:tc>
        <w:tc>
          <w:tcPr>
            <w:tcW w:w="990"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其中：财政资金</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hint="eastAsia" w:ascii="宋体" w:eastAsia="宋体" w:cs="宋体"/>
                <w:i w:val="0"/>
                <w:color w:val="000000"/>
                <w:sz w:val="18"/>
                <w:szCs w:val="18"/>
                <w:u w:val="none"/>
                <w:lang w:val="en-US" w:eastAsia="zh-CN"/>
              </w:rPr>
              <w:t xml:space="preserve">  </w:t>
            </w:r>
            <w:r>
              <w:rPr>
                <w:rFonts w:ascii="宋体" w:eastAsia="宋体" w:cs="宋体"/>
                <w:i w:val="0"/>
                <w:color w:val="000000"/>
                <w:sz w:val="18"/>
                <w:szCs w:val="18"/>
                <w:u w:val="none"/>
                <w:lang w:val="en-US" w:eastAsia="zh-CN"/>
              </w:rPr>
              <w:t>1.72</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hint="eastAsia" w:ascii="宋体" w:eastAsia="宋体" w:cs="宋体"/>
                <w:i w:val="0"/>
                <w:color w:val="000000"/>
                <w:sz w:val="18"/>
                <w:szCs w:val="18"/>
                <w:u w:val="none"/>
                <w:lang w:val="en-US" w:eastAsia="zh-CN"/>
              </w:rPr>
              <w:t xml:space="preserve">  </w:t>
            </w:r>
            <w:r>
              <w:rPr>
                <w:rFonts w:ascii="宋体" w:eastAsia="宋体" w:cs="宋体"/>
                <w:i w:val="0"/>
                <w:color w:val="000000"/>
                <w:sz w:val="18"/>
                <w:szCs w:val="18"/>
                <w:u w:val="none"/>
                <w:lang w:val="en-US" w:eastAsia="zh-CN"/>
              </w:rPr>
              <w:t>1.72</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990"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财政专户管理资金</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990"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单位资金</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990"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其他资金</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18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990"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22"/>
                <w:szCs w:val="22"/>
                <w:u w:val="none"/>
              </w:rPr>
            </w:pPr>
            <w:r>
              <w:rPr>
                <w:rFonts w:hint="eastAsia" w:ascii="宋体" w:eastAsia="宋体" w:cs="宋体"/>
                <w:i w:val="0"/>
                <w:color w:val="000000"/>
                <w:kern w:val="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60" w:hRule="atLeast"/>
        </w:trPr>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绩效指标（90分）</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一级指标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二级指标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三级指标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指标性质</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指标值</w:t>
            </w:r>
          </w:p>
        </w:tc>
        <w:tc>
          <w:tcPr>
            <w:tcW w:w="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度量单位</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完成值</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权重</w:t>
            </w:r>
          </w:p>
        </w:tc>
        <w:tc>
          <w:tcPr>
            <w:tcW w:w="990" w:type="dxa"/>
            <w:tcBorders>
              <w:top w:val="single" w:color="000000" w:sz="4" w:space="0"/>
              <w:left w:val="single" w:color="000000" w:sz="4" w:space="0"/>
              <w:bottom w:val="single" w:color="000000" w:sz="4" w:space="0"/>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得分</w:t>
            </w: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宋体" w:eastAsia="宋体" w:cs="宋体"/>
                <w:i w:val="0"/>
                <w:color w:val="000000"/>
                <w:sz w:val="18"/>
                <w:szCs w:val="18"/>
                <w:u w:val="none"/>
              </w:rPr>
            </w:pPr>
          </w:p>
        </w:tc>
        <w:tc>
          <w:tcPr>
            <w:tcW w:w="511" w:type="dxa"/>
            <w:tcBorders>
              <w:top w:val="nil"/>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jc w:val="center"/>
              <w:rPr>
                <w:rFonts w:hint="eastAsia" w:asci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654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合计</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rPr>
                <w:rFonts w:hint="eastAsia" w:ascii="宋体" w:eastAsia="宋体" w:cs="宋体"/>
                <w:i w:val="0"/>
                <w:color w:val="000000"/>
                <w:sz w:val="18"/>
                <w:szCs w:val="18"/>
                <w:u w:val="none"/>
              </w:rPr>
            </w:pPr>
          </w:p>
        </w:tc>
        <w:tc>
          <w:tcPr>
            <w:tcW w:w="5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rPr>
                <w:rFonts w:hint="eastAsia" w:asci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评价结论</w:t>
            </w:r>
          </w:p>
        </w:tc>
        <w:tc>
          <w:tcPr>
            <w:tcW w:w="8311"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eastAsia="宋体" w:cs="宋体"/>
                <w:i w:val="0"/>
                <w:color w:val="000000"/>
                <w:sz w:val="18"/>
                <w:szCs w:val="18"/>
                <w:u w:val="none"/>
              </w:rPr>
            </w:pPr>
            <w:r>
              <w:rPr>
                <w:rFonts w:hint="eastAsia" w:ascii="宋体" w:eastAsia="宋体" w:cs="宋体"/>
                <w:i w:val="0"/>
                <w:color w:val="000000"/>
                <w:kern w:val="0"/>
                <w:sz w:val="18"/>
                <w:szCs w:val="18"/>
                <w:u w:val="none"/>
                <w:lang w:val="en-US" w:eastAsia="zh-CN"/>
              </w:rPr>
              <w:t>二类疫苗接种服务费收入全额上缴国库，纳入财政预算管理，实施效果较好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存在问题</w:t>
            </w:r>
          </w:p>
        </w:tc>
        <w:tc>
          <w:tcPr>
            <w:tcW w:w="8311"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eastAsia="宋体" w:cs="宋体"/>
                <w:i w:val="0"/>
                <w:color w:val="000000"/>
                <w:sz w:val="16"/>
                <w:szCs w:val="16"/>
                <w:u w:val="none"/>
              </w:rPr>
            </w:pPr>
            <w:r>
              <w:rPr>
                <w:rFonts w:hint="eastAsia" w:ascii="宋体" w:eastAsia="宋体" w:cs="宋体"/>
                <w:i w:val="0"/>
                <w:color w:val="000000"/>
                <w:kern w:val="0"/>
                <w:sz w:val="16"/>
                <w:szCs w:val="16"/>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ascii="宋体" w:eastAsia="宋体" w:cs="宋体"/>
                <w:i w:val="0"/>
                <w:color w:val="000000"/>
                <w:sz w:val="18"/>
                <w:szCs w:val="18"/>
                <w:u w:val="none"/>
              </w:rPr>
            </w:pPr>
            <w:r>
              <w:rPr>
                <w:rFonts w:ascii="宋体" w:eastAsia="宋体" w:cs="宋体"/>
                <w:i w:val="0"/>
                <w:color w:val="000000"/>
                <w:kern w:val="0"/>
                <w:sz w:val="18"/>
                <w:szCs w:val="18"/>
                <w:u w:val="none"/>
                <w:lang w:val="en-US" w:eastAsia="zh-CN"/>
              </w:rPr>
              <w:t>改进措施</w:t>
            </w:r>
          </w:p>
        </w:tc>
        <w:tc>
          <w:tcPr>
            <w:tcW w:w="8311"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eastAsia="宋体" w:cs="宋体"/>
                <w:i w:val="0"/>
                <w:color w:val="000000"/>
                <w:sz w:val="16"/>
                <w:szCs w:val="16"/>
                <w:u w:val="none"/>
              </w:rPr>
            </w:pPr>
            <w:r>
              <w:rPr>
                <w:rFonts w:hint="eastAsia" w:ascii="宋体" w:eastAsia="宋体" w:cs="宋体"/>
                <w:i w:val="0"/>
                <w:color w:val="000000"/>
                <w:kern w:val="0"/>
                <w:sz w:val="16"/>
                <w:szCs w:val="16"/>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5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eastAsia="黑体" w:cs="黑体"/>
                <w:i w:val="0"/>
                <w:color w:val="000000"/>
                <w:sz w:val="18"/>
                <w:szCs w:val="18"/>
                <w:u w:val="none"/>
              </w:rPr>
            </w:pPr>
            <w:r>
              <w:rPr>
                <w:rFonts w:hint="eastAsia" w:ascii="黑体" w:eastAsia="黑体" w:cs="黑体"/>
                <w:i w:val="0"/>
                <w:color w:val="000000"/>
                <w:kern w:val="0"/>
                <w:sz w:val="18"/>
                <w:szCs w:val="18"/>
                <w:u w:val="none"/>
                <w:lang w:val="en-US" w:eastAsia="zh-CN"/>
              </w:rPr>
              <w:t>项目负责人：</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eastAsia="黑体" w:cs="黑体"/>
                <w:i w:val="0"/>
                <w:color w:val="000000"/>
                <w:sz w:val="18"/>
                <w:szCs w:val="18"/>
                <w:u w:val="none"/>
              </w:rPr>
            </w:pPr>
            <w:r>
              <w:rPr>
                <w:rFonts w:hint="eastAsia" w:ascii="黑体" w:eastAsia="黑体" w:cs="黑体"/>
                <w:i w:val="0"/>
                <w:color w:val="000000"/>
                <w:kern w:val="0"/>
                <w:sz w:val="18"/>
                <w:szCs w:val="18"/>
                <w:u w:val="none"/>
                <w:lang w:val="en-US" w:eastAsia="zh-CN"/>
              </w:rPr>
              <w:t>财务负责人：</w:t>
            </w:r>
          </w:p>
        </w:tc>
      </w:tr>
    </w:tbl>
    <w:p>
      <w:pPr>
        <w:pStyle w:val="2"/>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spacing w:line="600" w:lineRule="exact"/>
        <w:jc w:val="center"/>
        <w:outlineLvl w:val="0"/>
        <w:rPr>
          <w:rFonts w:hint="eastAsia" w:ascii="仿宋" w:eastAsia="仿宋"/>
          <w:b w:val="0"/>
          <w:color w:val="auto"/>
          <w:highlight w:val="none"/>
        </w:rPr>
      </w:pPr>
      <w:bookmarkStart w:id="99" w:name="_Toc8414"/>
      <w:r>
        <w:rPr>
          <w:rFonts w:hint="eastAsia" w:ascii="黑体" w:eastAsia="黑体"/>
          <w:color w:val="auto"/>
          <w:sz w:val="44"/>
          <w:szCs w:val="44"/>
          <w:highlight w:val="none"/>
        </w:rPr>
        <w:t>第</w:t>
      </w:r>
      <w:r>
        <w:rPr>
          <w:rStyle w:val="19"/>
          <w:rFonts w:hint="eastAsia" w:ascii="黑体" w:eastAsia="黑体"/>
          <w:b w:val="0"/>
          <w:color w:val="auto"/>
          <w:highlight w:val="none"/>
        </w:rPr>
        <w:t>五部分 附表</w:t>
      </w:r>
      <w:bookmarkEnd w:id="95"/>
      <w:bookmarkEnd w:id="98"/>
      <w:bookmarkEnd w:id="99"/>
      <w:bookmarkStart w:id="100" w:name="_Toc15396619"/>
    </w:p>
    <w:p>
      <w:pPr>
        <w:pStyle w:val="4"/>
        <w:rPr>
          <w:rFonts w:ascii="仿宋" w:eastAsia="仿宋"/>
          <w:color w:val="auto"/>
          <w:highlight w:val="none"/>
        </w:rPr>
      </w:pPr>
      <w:bookmarkStart w:id="101" w:name="_Toc235"/>
      <w:r>
        <w:rPr>
          <w:rFonts w:hint="eastAsia" w:ascii="仿宋" w:eastAsia="仿宋"/>
          <w:b w:val="0"/>
          <w:color w:val="auto"/>
          <w:highlight w:val="none"/>
        </w:rPr>
        <w:t>一、收</w:t>
      </w:r>
      <w:r>
        <w:rPr>
          <w:rStyle w:val="20"/>
          <w:rFonts w:hint="eastAsia" w:ascii="仿宋" w:eastAsia="仿宋"/>
          <w:b w:val="0"/>
          <w:bCs w:val="0"/>
          <w:color w:val="auto"/>
          <w:highlight w:val="none"/>
        </w:rPr>
        <w:t>入支出决算总表</w:t>
      </w:r>
      <w:bookmarkEnd w:id="100"/>
      <w:bookmarkEnd w:id="101"/>
    </w:p>
    <w:p>
      <w:pPr>
        <w:pStyle w:val="4"/>
        <w:rPr>
          <w:rFonts w:ascii="仿宋" w:eastAsia="仿宋"/>
          <w:color w:val="auto"/>
          <w:highlight w:val="none"/>
        </w:rPr>
      </w:pPr>
      <w:bookmarkStart w:id="102" w:name="_Toc15396620"/>
      <w:bookmarkStart w:id="103" w:name="_Toc25109"/>
      <w:r>
        <w:rPr>
          <w:rFonts w:hint="eastAsia" w:ascii="仿宋" w:eastAsia="仿宋"/>
          <w:b w:val="0"/>
          <w:color w:val="auto"/>
          <w:highlight w:val="none"/>
        </w:rPr>
        <w:t>二、收</w:t>
      </w:r>
      <w:r>
        <w:rPr>
          <w:rStyle w:val="20"/>
          <w:rFonts w:hint="eastAsia" w:ascii="仿宋" w:eastAsia="仿宋"/>
          <w:b w:val="0"/>
          <w:bCs w:val="0"/>
          <w:color w:val="auto"/>
          <w:highlight w:val="none"/>
        </w:rPr>
        <w:t>入决算表</w:t>
      </w:r>
      <w:bookmarkEnd w:id="102"/>
      <w:bookmarkEnd w:id="103"/>
    </w:p>
    <w:p>
      <w:pPr>
        <w:pStyle w:val="4"/>
        <w:rPr>
          <w:rFonts w:ascii="仿宋" w:eastAsia="仿宋"/>
          <w:color w:val="auto"/>
          <w:highlight w:val="none"/>
        </w:rPr>
      </w:pPr>
      <w:bookmarkStart w:id="104" w:name="_Toc15396621"/>
      <w:bookmarkStart w:id="105" w:name="_Toc25424"/>
      <w:r>
        <w:rPr>
          <w:rStyle w:val="20"/>
          <w:rFonts w:hint="eastAsia" w:ascii="仿宋" w:eastAsia="仿宋"/>
          <w:b w:val="0"/>
          <w:bCs w:val="0"/>
          <w:color w:val="auto"/>
          <w:highlight w:val="none"/>
        </w:rPr>
        <w:t>三、</w:t>
      </w:r>
      <w:r>
        <w:rPr>
          <w:rFonts w:hint="eastAsia" w:ascii="仿宋" w:eastAsia="仿宋"/>
          <w:b w:val="0"/>
          <w:color w:val="auto"/>
          <w:highlight w:val="none"/>
        </w:rPr>
        <w:t>支</w:t>
      </w:r>
      <w:r>
        <w:rPr>
          <w:rStyle w:val="20"/>
          <w:rFonts w:hint="eastAsia" w:ascii="仿宋" w:eastAsia="仿宋"/>
          <w:b w:val="0"/>
          <w:bCs w:val="0"/>
          <w:color w:val="auto"/>
          <w:highlight w:val="none"/>
        </w:rPr>
        <w:t>出决算表</w:t>
      </w:r>
      <w:bookmarkEnd w:id="104"/>
      <w:bookmarkEnd w:id="105"/>
    </w:p>
    <w:p>
      <w:pPr>
        <w:pStyle w:val="4"/>
        <w:rPr>
          <w:rFonts w:ascii="仿宋" w:eastAsia="仿宋"/>
          <w:b w:val="0"/>
          <w:color w:val="auto"/>
          <w:highlight w:val="none"/>
        </w:rPr>
      </w:pPr>
      <w:bookmarkStart w:id="106" w:name="_Toc14182"/>
      <w:bookmarkStart w:id="107" w:name="_Toc15396622"/>
      <w:r>
        <w:rPr>
          <w:rStyle w:val="20"/>
          <w:rFonts w:hint="eastAsia" w:ascii="仿宋" w:eastAsia="仿宋"/>
          <w:b w:val="0"/>
          <w:bCs w:val="0"/>
          <w:color w:val="auto"/>
          <w:highlight w:val="none"/>
        </w:rPr>
        <w:t>四、</w:t>
      </w:r>
      <w:r>
        <w:rPr>
          <w:rFonts w:hint="eastAsia" w:ascii="仿宋" w:eastAsia="仿宋"/>
          <w:b w:val="0"/>
          <w:color w:val="auto"/>
          <w:highlight w:val="none"/>
        </w:rPr>
        <w:t>财</w:t>
      </w:r>
      <w:r>
        <w:rPr>
          <w:rStyle w:val="20"/>
          <w:rFonts w:hint="eastAsia" w:ascii="仿宋" w:eastAsia="仿宋"/>
          <w:b w:val="0"/>
          <w:bCs w:val="0"/>
          <w:color w:val="auto"/>
          <w:highlight w:val="none"/>
        </w:rPr>
        <w:t>政拨款收入支出决算总表</w:t>
      </w:r>
      <w:bookmarkEnd w:id="106"/>
      <w:bookmarkEnd w:id="107"/>
    </w:p>
    <w:p>
      <w:pPr>
        <w:pStyle w:val="4"/>
        <w:rPr>
          <w:rStyle w:val="20"/>
          <w:rFonts w:ascii="仿宋" w:eastAsia="仿宋"/>
          <w:b w:val="0"/>
          <w:bCs w:val="0"/>
          <w:color w:val="auto"/>
          <w:highlight w:val="none"/>
        </w:rPr>
      </w:pPr>
      <w:bookmarkStart w:id="108" w:name="_Toc15396623"/>
      <w:bookmarkStart w:id="109" w:name="_Toc8708"/>
      <w:r>
        <w:rPr>
          <w:rStyle w:val="20"/>
          <w:rFonts w:hint="eastAsia" w:ascii="仿宋" w:eastAsia="仿宋"/>
          <w:b w:val="0"/>
          <w:bCs w:val="0"/>
          <w:color w:val="auto"/>
          <w:highlight w:val="none"/>
        </w:rPr>
        <w:t>五、</w:t>
      </w:r>
      <w:r>
        <w:rPr>
          <w:rFonts w:hint="eastAsia" w:ascii="仿宋" w:eastAsia="仿宋"/>
          <w:b w:val="0"/>
          <w:color w:val="auto"/>
          <w:highlight w:val="none"/>
        </w:rPr>
        <w:t>财</w:t>
      </w:r>
      <w:r>
        <w:rPr>
          <w:rStyle w:val="20"/>
          <w:rFonts w:hint="eastAsia" w:ascii="仿宋" w:eastAsia="仿宋"/>
          <w:b w:val="0"/>
          <w:bCs w:val="0"/>
          <w:color w:val="auto"/>
          <w:highlight w:val="none"/>
        </w:rPr>
        <w:t>政拨款支出决算明细表</w:t>
      </w:r>
      <w:bookmarkEnd w:id="108"/>
      <w:bookmarkEnd w:id="109"/>
      <w:bookmarkStart w:id="110" w:name="_Toc15396624"/>
    </w:p>
    <w:p>
      <w:pPr>
        <w:pStyle w:val="4"/>
        <w:rPr>
          <w:rFonts w:ascii="仿宋" w:eastAsia="仿宋"/>
          <w:color w:val="auto"/>
          <w:highlight w:val="none"/>
        </w:rPr>
      </w:pPr>
      <w:bookmarkStart w:id="111" w:name="_Toc8958"/>
      <w:r>
        <w:rPr>
          <w:rStyle w:val="20"/>
          <w:rFonts w:hint="eastAsia" w:ascii="仿宋" w:eastAsia="仿宋"/>
          <w:b w:val="0"/>
          <w:bCs w:val="0"/>
          <w:color w:val="auto"/>
          <w:highlight w:val="none"/>
        </w:rPr>
        <w:t>六、</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般公共预算财政拨款支出决算表</w:t>
      </w:r>
      <w:bookmarkEnd w:id="110"/>
      <w:bookmarkEnd w:id="111"/>
    </w:p>
    <w:p>
      <w:pPr>
        <w:pStyle w:val="4"/>
        <w:rPr>
          <w:rFonts w:ascii="仿宋" w:eastAsia="仿宋"/>
          <w:color w:val="auto"/>
          <w:highlight w:val="none"/>
        </w:rPr>
      </w:pPr>
      <w:bookmarkStart w:id="112" w:name="_Toc15396625"/>
      <w:bookmarkStart w:id="113" w:name="_Toc15682"/>
      <w:r>
        <w:rPr>
          <w:rStyle w:val="20"/>
          <w:rFonts w:hint="eastAsia" w:ascii="仿宋" w:eastAsia="仿宋"/>
          <w:b w:val="0"/>
          <w:bCs w:val="0"/>
          <w:color w:val="auto"/>
          <w:highlight w:val="none"/>
        </w:rPr>
        <w:t>七、</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般公共预算财政拨款支出决算明细表</w:t>
      </w:r>
      <w:bookmarkEnd w:id="112"/>
      <w:bookmarkEnd w:id="113"/>
    </w:p>
    <w:p>
      <w:pPr>
        <w:pStyle w:val="4"/>
        <w:rPr>
          <w:rFonts w:ascii="仿宋" w:eastAsia="仿宋"/>
          <w:color w:val="auto"/>
          <w:highlight w:val="none"/>
        </w:rPr>
      </w:pPr>
      <w:bookmarkStart w:id="114" w:name="_Toc14283"/>
      <w:bookmarkStart w:id="115" w:name="_Toc15396626"/>
      <w:r>
        <w:rPr>
          <w:rStyle w:val="20"/>
          <w:rFonts w:hint="eastAsia" w:ascii="仿宋" w:eastAsia="仿宋"/>
          <w:b w:val="0"/>
          <w:bCs w:val="0"/>
          <w:color w:val="auto"/>
          <w:highlight w:val="none"/>
        </w:rPr>
        <w:t>八、</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般公共预算财政拨款基本支出决算表</w:t>
      </w:r>
      <w:bookmarkEnd w:id="114"/>
      <w:bookmarkEnd w:id="115"/>
    </w:p>
    <w:p>
      <w:pPr>
        <w:pStyle w:val="4"/>
        <w:rPr>
          <w:rFonts w:ascii="仿宋" w:eastAsia="仿宋"/>
          <w:color w:val="auto"/>
          <w:highlight w:val="none"/>
        </w:rPr>
      </w:pPr>
      <w:bookmarkStart w:id="116" w:name="_Toc15396627"/>
      <w:bookmarkStart w:id="117" w:name="_Toc18785"/>
      <w:r>
        <w:rPr>
          <w:rStyle w:val="20"/>
          <w:rFonts w:hint="eastAsia" w:ascii="仿宋" w:eastAsia="仿宋"/>
          <w:b w:val="0"/>
          <w:bCs w:val="0"/>
          <w:color w:val="auto"/>
          <w:highlight w:val="none"/>
        </w:rPr>
        <w:t>九、</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般公共预算财政拨款项目支出决算表</w:t>
      </w:r>
      <w:bookmarkEnd w:id="116"/>
      <w:bookmarkEnd w:id="117"/>
    </w:p>
    <w:p>
      <w:pPr>
        <w:pStyle w:val="4"/>
        <w:rPr>
          <w:rFonts w:ascii="仿宋" w:eastAsia="仿宋"/>
          <w:color w:val="auto"/>
          <w:highlight w:val="none"/>
        </w:rPr>
      </w:pPr>
      <w:bookmarkStart w:id="118" w:name="_Toc15396628"/>
      <w:bookmarkStart w:id="119" w:name="_Toc14721"/>
      <w:r>
        <w:rPr>
          <w:rStyle w:val="20"/>
          <w:rFonts w:hint="eastAsia" w:ascii="仿宋" w:eastAsia="仿宋"/>
          <w:b w:val="0"/>
          <w:bCs w:val="0"/>
          <w:color w:val="auto"/>
          <w:highlight w:val="none"/>
        </w:rPr>
        <w:t>十、</w:t>
      </w:r>
      <w:bookmarkEnd w:id="118"/>
      <w:r>
        <w:rPr>
          <w:rFonts w:hint="eastAsia" w:ascii="仿宋" w:eastAsia="仿宋"/>
          <w:b w:val="0"/>
          <w:color w:val="auto"/>
          <w:highlight w:val="none"/>
        </w:rPr>
        <w:t>政</w:t>
      </w:r>
      <w:r>
        <w:rPr>
          <w:rStyle w:val="20"/>
          <w:rFonts w:hint="eastAsia" w:ascii="仿宋" w:eastAsia="仿宋"/>
          <w:b w:val="0"/>
          <w:bCs w:val="0"/>
          <w:color w:val="auto"/>
          <w:highlight w:val="none"/>
        </w:rPr>
        <w:t>府性基金预算财政拨款收入支出决算表</w:t>
      </w:r>
      <w:bookmarkEnd w:id="119"/>
    </w:p>
    <w:p>
      <w:pPr>
        <w:pStyle w:val="4"/>
        <w:rPr>
          <w:rFonts w:ascii="仿宋" w:eastAsia="仿宋"/>
          <w:color w:val="auto"/>
          <w:highlight w:val="none"/>
        </w:rPr>
      </w:pPr>
      <w:bookmarkStart w:id="120" w:name="_Toc15396629"/>
      <w:bookmarkStart w:id="121" w:name="_Toc16684"/>
      <w:r>
        <w:rPr>
          <w:rStyle w:val="20"/>
          <w:rFonts w:hint="eastAsia" w:ascii="仿宋" w:eastAsia="仿宋"/>
          <w:b w:val="0"/>
          <w:bCs w:val="0"/>
          <w:color w:val="auto"/>
          <w:highlight w:val="none"/>
        </w:rPr>
        <w:t>十一、</w:t>
      </w:r>
      <w:bookmarkEnd w:id="120"/>
      <w:r>
        <w:rPr>
          <w:rFonts w:hint="eastAsia" w:ascii="仿宋" w:eastAsia="仿宋"/>
          <w:b w:val="0"/>
          <w:color w:val="auto"/>
          <w:highlight w:val="none"/>
        </w:rPr>
        <w:t>国</w:t>
      </w:r>
      <w:r>
        <w:rPr>
          <w:rStyle w:val="20"/>
          <w:rFonts w:hint="eastAsia" w:ascii="仿宋" w:eastAsia="仿宋"/>
          <w:b w:val="0"/>
          <w:bCs w:val="0"/>
          <w:color w:val="auto"/>
          <w:highlight w:val="none"/>
        </w:rPr>
        <w:t>有资本经营预算</w:t>
      </w:r>
      <w:r>
        <w:rPr>
          <w:rStyle w:val="20"/>
          <w:rFonts w:hint="eastAsia" w:ascii="仿宋" w:eastAsia="仿宋"/>
          <w:b w:val="0"/>
          <w:bCs w:val="0"/>
          <w:color w:val="auto"/>
          <w:highlight w:val="none"/>
          <w:lang w:eastAsia="zh-CN"/>
        </w:rPr>
        <w:t>财政拨款收入</w:t>
      </w:r>
      <w:r>
        <w:rPr>
          <w:rStyle w:val="20"/>
          <w:rFonts w:hint="eastAsia" w:ascii="仿宋" w:eastAsia="仿宋"/>
          <w:b w:val="0"/>
          <w:bCs w:val="0"/>
          <w:color w:val="auto"/>
          <w:highlight w:val="none"/>
        </w:rPr>
        <w:t>支出决算表</w:t>
      </w:r>
      <w:bookmarkEnd w:id="121"/>
    </w:p>
    <w:p>
      <w:pPr>
        <w:pStyle w:val="4"/>
        <w:rPr>
          <w:rFonts w:ascii="仿宋" w:eastAsia="仿宋"/>
          <w:color w:val="auto"/>
          <w:highlight w:val="none"/>
        </w:rPr>
      </w:pPr>
      <w:bookmarkStart w:id="122" w:name="_Toc15396630"/>
      <w:bookmarkStart w:id="123" w:name="_Toc3579"/>
      <w:r>
        <w:rPr>
          <w:rStyle w:val="20"/>
          <w:rFonts w:hint="eastAsia" w:ascii="仿宋" w:eastAsia="仿宋"/>
          <w:b w:val="0"/>
          <w:bCs w:val="0"/>
          <w:color w:val="auto"/>
          <w:highlight w:val="none"/>
        </w:rPr>
        <w:t>十二、</w:t>
      </w:r>
      <w:bookmarkEnd w:id="122"/>
      <w:r>
        <w:rPr>
          <w:rStyle w:val="20"/>
          <w:rFonts w:hint="eastAsia" w:ascii="仿宋" w:eastAsia="仿宋"/>
          <w:b w:val="0"/>
          <w:bCs w:val="0"/>
          <w:color w:val="auto"/>
          <w:highlight w:val="none"/>
          <w:lang w:eastAsia="zh-CN"/>
        </w:rPr>
        <w:t>国有资本经营预算财政拨款支出决算表</w:t>
      </w:r>
      <w:bookmarkEnd w:id="123"/>
    </w:p>
    <w:p>
      <w:pPr>
        <w:pStyle w:val="4"/>
        <w:rPr>
          <w:rFonts w:hint="eastAsia" w:eastAsia="仿宋"/>
          <w:color w:val="auto"/>
          <w:highlight w:val="none"/>
          <w:lang w:eastAsia="zh-CN"/>
        </w:rPr>
      </w:pPr>
      <w:bookmarkStart w:id="124" w:name="_Toc15396631"/>
      <w:bookmarkStart w:id="125" w:name="_Toc30793"/>
      <w:r>
        <w:rPr>
          <w:rStyle w:val="20"/>
          <w:rFonts w:hint="eastAsia" w:ascii="仿宋" w:eastAsia="仿宋"/>
          <w:b w:val="0"/>
          <w:bCs w:val="0"/>
          <w:color w:val="auto"/>
          <w:highlight w:val="none"/>
        </w:rPr>
        <w:t>十三、</w:t>
      </w:r>
      <w:bookmarkEnd w:id="124"/>
      <w:r>
        <w:rPr>
          <w:rStyle w:val="20"/>
          <w:rFonts w:hint="eastAsia" w:ascii="仿宋" w:eastAsia="仿宋"/>
          <w:b w:val="0"/>
          <w:bCs w:val="0"/>
          <w:color w:val="auto"/>
          <w:highlight w:val="none"/>
          <w:lang w:eastAsia="zh-CN"/>
        </w:rPr>
        <w:t>财政拨款“三公”经费支出决算表</w:t>
      </w:r>
      <w:bookmarkEnd w:id="125"/>
    </w:p>
    <w:sectPr>
      <w:footerReference r:id="rId6"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344030"/>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344030"/>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pPr>
        <w:ind w:left="0" w:firstLine="0"/>
      </w:pPr>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
  <w:docVars>
    <w:docVar w:name="commondata" w:val="eyJoZGlkIjoiZTBiNzA2ZjIyZTQwZmFmZGMwZjhhNjI3NTM3OGRmYjAifQ=="/>
  </w:docVars>
  <w:rsids>
    <w:rsidRoot w:val="00000000"/>
    <w:rsid w:val="48872B1F"/>
    <w:rsid w:val="6791623C"/>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link w:val="20"/>
    <w:autoRedefine/>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5">
    <w:name w:val="heading 3"/>
    <w:basedOn w:val="1"/>
    <w:next w:val="1"/>
    <w:autoRedefine/>
    <w:qFormat/>
    <w:uiPriority w:val="0"/>
    <w:pPr>
      <w:keepNext/>
      <w:keepLines/>
      <w:widowControl w:val="0"/>
      <w:spacing w:before="260" w:after="260" w:line="415" w:lineRule="auto"/>
      <w:outlineLvl w:val="2"/>
    </w:pPr>
    <w:rPr>
      <w:b/>
      <w:bCs/>
      <w:sz w:val="32"/>
      <w:szCs w:val="32"/>
    </w:rPr>
  </w:style>
  <w:style w:type="character" w:default="1" w:styleId="16">
    <w:name w:val="Default Paragraph Font"/>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30" w:beforeLines="30"/>
    </w:pPr>
    <w:rPr>
      <w:rFonts w:ascii="仿宋_GB2312" w:eastAsia="仿宋_GB2312"/>
      <w:kern w:val="0"/>
      <w:sz w:val="30"/>
    </w:rPr>
  </w:style>
  <w:style w:type="paragraph" w:styleId="6">
    <w:name w:val="index 8"/>
    <w:basedOn w:val="1"/>
    <w:next w:val="1"/>
    <w:qFormat/>
    <w:uiPriority w:val="0"/>
    <w:pPr>
      <w:ind w:left="2940"/>
    </w:pPr>
  </w:style>
  <w:style w:type="paragraph" w:styleId="7">
    <w:name w:val="toc 3"/>
    <w:basedOn w:val="1"/>
    <w:next w:val="1"/>
    <w:qFormat/>
    <w:uiPriority w:val="0"/>
    <w:pPr>
      <w:tabs>
        <w:tab w:val="right" w:leader="dot" w:pos="8296"/>
      </w:tabs>
      <w:ind w:left="400" w:leftChars="400"/>
    </w:p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qFormat/>
    <w:uiPriority w:val="0"/>
    <w:pPr>
      <w:tabs>
        <w:tab w:val="right" w:leader="dot" w:pos="8296"/>
      </w:tabs>
      <w:spacing w:before="93"/>
      <w:jc w:val="center"/>
    </w:pPr>
    <w:rPr>
      <w:rFonts w:ascii="仿宋" w:eastAsia="仿宋"/>
      <w:sz w:val="28"/>
      <w:szCs w:val="28"/>
    </w:rPr>
  </w:style>
  <w:style w:type="paragraph" w:styleId="12">
    <w:name w:val="toc 2"/>
    <w:basedOn w:val="1"/>
    <w:next w:val="1"/>
    <w:qFormat/>
    <w:uiPriority w:val="0"/>
    <w:pPr>
      <w:tabs>
        <w:tab w:val="right" w:leader="dot" w:pos="8296"/>
      </w:tabs>
      <w:ind w:left="200" w:leftChars="200"/>
    </w:pPr>
  </w:style>
  <w:style w:type="paragraph" w:styleId="13">
    <w:name w:val="Normal (Web)"/>
    <w:qFormat/>
    <w:uiPriority w:val="0"/>
    <w:pPr>
      <w:widowControl w:val="0"/>
      <w:spacing w:before="100" w:beforeAutospacing="1" w:after="100" w:afterAutospacing="1"/>
      <w:ind w:left="0" w:right="0"/>
      <w:jc w:val="left"/>
    </w:pPr>
    <w:rPr>
      <w:rFonts w:ascii="Times New Roman" w:hAnsi="Times New Roman" w:eastAsia="宋体" w:cs="Times New Roman"/>
      <w:kern w:val="0"/>
      <w:sz w:val="24"/>
      <w:szCs w:val="24"/>
      <w:lang w:val="en-US" w:eastAsia="zh-CN" w:bidi="ar-SA"/>
    </w:rPr>
  </w:style>
  <w:style w:type="table" w:styleId="15">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basedOn w:val="16"/>
    <w:qFormat/>
    <w:uiPriority w:val="0"/>
    <w:rPr>
      <w:b/>
    </w:rPr>
  </w:style>
  <w:style w:type="character" w:styleId="18">
    <w:name w:val="Hyperlink"/>
    <w:basedOn w:val="16"/>
    <w:qFormat/>
    <w:uiPriority w:val="0"/>
    <w:rPr>
      <w:color w:val="0000FF"/>
      <w:u w:val="single"/>
    </w:rPr>
  </w:style>
  <w:style w:type="character" w:customStyle="1" w:styleId="19">
    <w:name w:val="heading 1 Char"/>
    <w:basedOn w:val="16"/>
    <w:link w:val="3"/>
    <w:qFormat/>
    <w:uiPriority w:val="0"/>
    <w:rPr>
      <w:rFonts w:ascii="Times New Roman" w:hAnsi="Times New Roman" w:eastAsia="宋体" w:cs="Times New Roman"/>
      <w:b/>
      <w:bCs/>
      <w:kern w:val="44"/>
      <w:sz w:val="44"/>
      <w:szCs w:val="44"/>
      <w:lang w:val="en-US" w:eastAsia="zh-CN" w:bidi="ar-SA"/>
    </w:rPr>
  </w:style>
  <w:style w:type="character" w:customStyle="1" w:styleId="20">
    <w:name w:val="heading 2 Char"/>
    <w:basedOn w:val="16"/>
    <w:link w:val="4"/>
    <w:qFormat/>
    <w:uiPriority w:val="0"/>
    <w:rPr>
      <w:rFonts w:ascii="Cambria" w:hAnsi="Cambria" w:eastAsia="宋体" w:cs="Times New Roman"/>
      <w:b/>
      <w:bCs/>
      <w:kern w:val="2"/>
      <w:sz w:val="32"/>
      <w:szCs w:val="32"/>
      <w:lang w:val="en-US" w:eastAsia="zh-CN" w:bidi="ar-SA"/>
    </w:rPr>
  </w:style>
  <w:style w:type="character" w:customStyle="1" w:styleId="21">
    <w:name w:val="Header Char"/>
    <w:basedOn w:val="16"/>
    <w:autoRedefine/>
    <w:qFormat/>
    <w:uiPriority w:val="0"/>
    <w:rPr>
      <w:rFonts w:ascii="Times New Roman" w:hAnsi="Times New Roman"/>
      <w:sz w:val="18"/>
      <w:szCs w:val="18"/>
    </w:rPr>
  </w:style>
  <w:style w:type="character" w:customStyle="1" w:styleId="22">
    <w:name w:val="Footer Char"/>
    <w:basedOn w:val="16"/>
    <w:autoRedefine/>
    <w:qFormat/>
    <w:uiPriority w:val="0"/>
    <w:rPr>
      <w:rFonts w:ascii="Times New Roman" w:hAnsi="Times New Roman"/>
      <w:sz w:val="18"/>
      <w:szCs w:val="18"/>
    </w:rPr>
  </w:style>
  <w:style w:type="character" w:customStyle="1" w:styleId="23">
    <w:name w:val="Body Text Char"/>
    <w:basedOn w:val="16"/>
    <w:autoRedefine/>
    <w:qFormat/>
    <w:uiPriority w:val="0"/>
    <w:rPr>
      <w:rFonts w:ascii="Times New Roman" w:hAnsi="Times New Roman"/>
      <w:szCs w:val="24"/>
    </w:rPr>
  </w:style>
  <w:style w:type="paragraph" w:customStyle="1" w:styleId="24">
    <w:name w:val="Default"/>
    <w:autoRedefine/>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5">
    <w:name w:val="List Paragraph"/>
    <w:basedOn w:val="1"/>
    <w:autoRedefine/>
    <w:qFormat/>
    <w:uiPriority w:val="0"/>
    <w:pPr>
      <w:ind w:firstLine="200" w:firstLineChars="200"/>
    </w:pPr>
  </w:style>
  <w:style w:type="paragraph" w:customStyle="1" w:styleId="26">
    <w:name w:val="TOC 标题1"/>
    <w:basedOn w:val="3"/>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7">
    <w:name w:val="TOC Heading"/>
    <w:basedOn w:val="3"/>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character" w:customStyle="1" w:styleId="28">
    <w:name w:val="19"/>
    <w:qFormat/>
    <w:uiPriority w:val="0"/>
    <w:rPr>
      <w:rFonts w:ascii="Times New Roman" w:hAnsi="Times New Roman" w:eastAsia="楷体_GB2312" w:cs="楷体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image" Target="media/image1.bmp"/><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6.bmp"/><Relationship Id="rId12" Type="http://schemas.openxmlformats.org/officeDocument/2006/relationships/image" Target="media/image5.bmp"/><Relationship Id="rId11" Type="http://schemas.openxmlformats.org/officeDocument/2006/relationships/image" Target="media/image4.bmp"/><Relationship Id="rId10" Type="http://schemas.openxmlformats.org/officeDocument/2006/relationships/image" Target="media/image3.bmp"/><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EB5B1C51FE6647E3A67FE52D0582AB27_12</vt:lpwstr>
  </property>
</Properties>
</file>

<file path=customXml/item2.xml><?xml version="1.0" encoding="utf-8"?>
<Properties xmlns="http://schemas.openxmlformats.org/officeDocument/2006/extended-properties" xmlns:vt="http://schemas.openxmlformats.org/officeDocument/2006/docPropsVTypes">
  <Template>Normal.eit</Template>
  <Company>四川省财政厅</Company>
  <Pages>15</Pages>
  <Words>5285</Words>
  <Characters>5673</Characters>
  <Lines>0</Lines>
  <Paragraphs>208</Paragraphs>
  <TotalTime>9</TotalTime>
  <ScaleCrop>false</ScaleCrop>
  <LinksUpToDate>false</LinksUpToDate>
  <CharactersWithSpaces>7409</CharactersWithSpaces>
  <Application>WPS Office_12.1.0.16412_F1E327BC-269C-435d-A152-05C5408002CA</Application>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2024-07-29T03:22:44Z</dcterms:modified>
  <dc:title>四川省***</dc:title>
  <cp:revision>32</cp:revision>
</cp:coreProperties>
</file>

<file path=customXml/itemProps1.xml><?xml version="1.0" encoding="utf-8"?>
<ds:datastoreItem xmlns:ds="http://schemas.openxmlformats.org/officeDocument/2006/customXml" ds:itemID="{f528d9f8-2877-478e-8bc7-a15ccb4f2044}">
  <ds:schemaRefs/>
</ds:datastoreItem>
</file>

<file path=customXml/itemProps2.xml><?xml version="1.0" encoding="utf-8"?>
<ds:datastoreItem xmlns:ds="http://schemas.openxmlformats.org/officeDocument/2006/customXml" ds:itemID="{12c60cac-c6cd-4081-b9ad-42df264cedfd}">
  <ds:schemaRefs/>
</ds:datastoreItem>
</file>

<file path=customXml/itemProps3.xml><?xml version="1.0" encoding="utf-8"?>
<ds:datastoreItem xmlns:ds="http://schemas.openxmlformats.org/officeDocument/2006/customXml" ds:itemID="{be4e29e7-72ea-44d4-9852-64093413e7a1}">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15</Pages>
  <Words>5285</Words>
  <Characters>5673</Characters>
  <Lines>0</Lines>
  <Paragraphs>208</Paragraphs>
  <TotalTime>1</TotalTime>
  <ScaleCrop>false</ScaleCrop>
  <LinksUpToDate>false</LinksUpToDate>
  <CharactersWithSpaces>7409</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2024-08-12T07:04:44Z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EB5B1C51FE6647E3A67FE52D0582AB27_12</vt:lpwstr>
  </property>
</Properties>
</file>