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bidi w:val="0"/>
        <w:adjustRightInd w:val="0"/>
        <w:snapToGrid w:val="0"/>
        <w:spacing w:line="580" w:lineRule="exact"/>
        <w:jc w:val="center"/>
        <w:outlineLvl w:val="9"/>
        <w:rPr>
          <w:rFonts w:ascii="黑体" w:hAnsi="黑体" w:eastAsia="黑体"/>
          <w:color w:val="000000"/>
          <w:sz w:val="72"/>
          <w:szCs w:val="72"/>
        </w:rPr>
      </w:pPr>
      <w:bookmarkStart w:id="0" w:name="_Toc15396597"/>
      <w:bookmarkStart w:id="1" w:name="_Toc15377193"/>
      <w:bookmarkStart w:id="2" w:name="_Toc17059"/>
      <w:bookmarkStart w:id="3" w:name="_Toc15378441"/>
      <w:bookmarkStart w:id="4" w:name="_Toc15396475"/>
      <w:bookmarkStart w:id="5" w:name="_Toc15377425"/>
      <w:bookmarkStart w:id="6" w:name="_Toc15306267"/>
    </w:p>
    <w:p>
      <w:pPr>
        <w:pStyle w:val="17"/>
        <w:pageBreakBefore w:val="0"/>
        <w:kinsoku/>
        <w:wordWrap/>
        <w:overflowPunct/>
        <w:topLinePunct w:val="0"/>
        <w:bidi w:val="0"/>
        <w:spacing w:line="580" w:lineRule="exact"/>
        <w:ind w:firstLine="1440"/>
        <w:rPr>
          <w:rFonts w:ascii="黑体" w:hAnsi="黑体" w:eastAsia="黑体"/>
          <w:color w:val="000000"/>
          <w:sz w:val="72"/>
          <w:szCs w:val="72"/>
        </w:rPr>
      </w:pPr>
    </w:p>
    <w:p>
      <w:pPr>
        <w:pStyle w:val="17"/>
        <w:pageBreakBefore w:val="0"/>
        <w:kinsoku/>
        <w:wordWrap/>
        <w:overflowPunct/>
        <w:topLinePunct w:val="0"/>
        <w:bidi w:val="0"/>
        <w:spacing w:line="580" w:lineRule="exact"/>
        <w:ind w:firstLine="1440"/>
        <w:rPr>
          <w:rFonts w:ascii="黑体" w:hAnsi="黑体" w:eastAsia="黑体"/>
          <w:color w:val="000000"/>
          <w:sz w:val="72"/>
          <w:szCs w:val="72"/>
        </w:rPr>
      </w:pPr>
    </w:p>
    <w:p>
      <w:pPr>
        <w:pStyle w:val="17"/>
        <w:pageBreakBefore w:val="0"/>
        <w:kinsoku/>
        <w:wordWrap/>
        <w:overflowPunct/>
        <w:topLinePunct w:val="0"/>
        <w:bidi w:val="0"/>
        <w:spacing w:line="240" w:lineRule="auto"/>
        <w:ind w:firstLine="0" w:firstLineChars="0"/>
        <w:rPr>
          <w:rFonts w:ascii="黑体" w:hAnsi="黑体" w:eastAsia="黑体"/>
          <w:color w:val="000000"/>
          <w:sz w:val="72"/>
          <w:szCs w:val="72"/>
        </w:rPr>
      </w:pPr>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7" w:name="_Toc20100"/>
      <w:bookmarkStart w:id="8" w:name="_Toc19305"/>
      <w:bookmarkStart w:id="9" w:name="_Toc10552"/>
      <w:bookmarkStart w:id="10" w:name="_Toc26050"/>
      <w:r>
        <w:rPr>
          <w:rFonts w:hint="eastAsia" w:ascii="黑体" w:hAnsi="黑体" w:eastAsia="黑体"/>
          <w:color w:val="000000"/>
          <w:sz w:val="72"/>
          <w:szCs w:val="72"/>
          <w:lang w:eastAsia="zh-CN"/>
        </w:rPr>
        <w:t>202</w:t>
      </w:r>
      <w:r>
        <w:rPr>
          <w:rFonts w:hint="eastAsia" w:ascii="黑体" w:hAnsi="黑体" w:eastAsia="黑体"/>
          <w:color w:val="000000"/>
          <w:sz w:val="72"/>
          <w:szCs w:val="72"/>
          <w:lang w:val="en-US" w:eastAsia="zh-CN"/>
        </w:rPr>
        <w:t>2</w:t>
      </w:r>
      <w:r>
        <w:rPr>
          <w:rFonts w:hint="eastAsia" w:ascii="方正小标宋简体" w:hAnsi="宋体" w:eastAsia="方正小标宋简体"/>
          <w:color w:val="000000"/>
          <w:sz w:val="72"/>
          <w:szCs w:val="72"/>
        </w:rPr>
        <w:t>年度</w:t>
      </w:r>
      <w:bookmarkEnd w:id="0"/>
      <w:bookmarkEnd w:id="1"/>
      <w:bookmarkEnd w:id="2"/>
      <w:bookmarkEnd w:id="3"/>
      <w:bookmarkEnd w:id="4"/>
      <w:bookmarkEnd w:id="5"/>
      <w:bookmarkEnd w:id="7"/>
      <w:bookmarkEnd w:id="8"/>
      <w:bookmarkEnd w:id="9"/>
      <w:bookmarkEnd w:id="10"/>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11" w:name="_Toc15377426"/>
      <w:bookmarkStart w:id="12" w:name="_Toc22321"/>
      <w:bookmarkStart w:id="13" w:name="_Toc15378442"/>
      <w:bookmarkStart w:id="14" w:name="_Toc16845"/>
      <w:bookmarkStart w:id="15" w:name="_Toc6647"/>
      <w:bookmarkStart w:id="16" w:name="_Toc15396476"/>
      <w:bookmarkStart w:id="17" w:name="_Toc26531"/>
      <w:bookmarkStart w:id="18" w:name="_Toc15396598"/>
      <w:bookmarkStart w:id="19" w:name="_Toc2209"/>
      <w:bookmarkStart w:id="20" w:name="_Toc15377194"/>
      <w:bookmarkStart w:id="21" w:name="_Toc6381"/>
      <w:r>
        <w:rPr>
          <w:rFonts w:hint="eastAsia" w:ascii="方正小标宋简体" w:hAnsi="宋体" w:eastAsia="方正小标宋简体"/>
          <w:color w:val="000000"/>
          <w:sz w:val="72"/>
          <w:szCs w:val="72"/>
        </w:rPr>
        <w:t>四川省</w:t>
      </w:r>
      <w:bookmarkEnd w:id="6"/>
      <w:bookmarkStart w:id="22" w:name="_Toc15306268"/>
      <w:r>
        <w:rPr>
          <w:rFonts w:hint="eastAsia" w:ascii="方正小标宋简体" w:hAnsi="宋体" w:eastAsia="方正小标宋简体"/>
          <w:color w:val="000000"/>
          <w:sz w:val="72"/>
          <w:szCs w:val="72"/>
          <w:lang w:eastAsia="zh-CN"/>
        </w:rPr>
        <w:t>广元市昭化区</w:t>
      </w:r>
      <w:r>
        <w:rPr>
          <w:rFonts w:hint="eastAsia" w:ascii="方正小标宋简体" w:hAnsi="宋体" w:eastAsia="方正小标宋简体"/>
          <w:b/>
          <w:bCs/>
          <w:color w:val="000000"/>
          <w:sz w:val="72"/>
          <w:szCs w:val="72"/>
          <w:lang w:eastAsia="zh-CN"/>
        </w:rPr>
        <w:t>沙坝</w:t>
      </w:r>
      <w:r>
        <w:rPr>
          <w:rFonts w:hint="eastAsia" w:ascii="方正小标宋简体" w:hAnsi="宋体" w:eastAsia="方正小标宋简体"/>
          <w:color w:val="000000"/>
          <w:sz w:val="72"/>
          <w:szCs w:val="72"/>
          <w:lang w:eastAsia="zh-CN"/>
        </w:rPr>
        <w:t>卫生院单位</w:t>
      </w:r>
      <w:r>
        <w:rPr>
          <w:rFonts w:hint="eastAsia" w:ascii="方正小标宋简体" w:hAnsi="宋体" w:eastAsia="方正小标宋简体"/>
          <w:color w:val="000000"/>
          <w:sz w:val="72"/>
          <w:szCs w:val="72"/>
        </w:rPr>
        <w:t>决算</w:t>
      </w:r>
      <w:bookmarkEnd w:id="11"/>
      <w:bookmarkEnd w:id="12"/>
      <w:bookmarkEnd w:id="13"/>
      <w:bookmarkEnd w:id="14"/>
      <w:bookmarkEnd w:id="15"/>
      <w:bookmarkEnd w:id="16"/>
      <w:bookmarkEnd w:id="17"/>
      <w:bookmarkEnd w:id="18"/>
      <w:bookmarkEnd w:id="19"/>
      <w:bookmarkEnd w:id="20"/>
      <w:bookmarkEnd w:id="21"/>
      <w:bookmarkEnd w:id="22"/>
    </w:p>
    <w:p>
      <w:pPr>
        <w:pageBreakBefore w:val="0"/>
        <w:widowControl/>
        <w:kinsoku/>
        <w:wordWrap/>
        <w:overflowPunct/>
        <w:topLinePunct w:val="0"/>
        <w:bidi w:val="0"/>
        <w:spacing w:line="240" w:lineRule="auto"/>
        <w:jc w:val="center"/>
        <w:rPr>
          <w:rFonts w:hint="eastAsia" w:ascii="黑体" w:hAnsi="黑体" w:eastAsia="黑体"/>
          <w:color w:val="000000"/>
          <w:sz w:val="48"/>
          <w:szCs w:val="48"/>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pPr>
        <w:pageBreakBefore w:val="0"/>
        <w:widowControl/>
        <w:kinsoku/>
        <w:wordWrap/>
        <w:overflowPunct/>
        <w:topLinePunct w:val="0"/>
        <w:bidi w:val="0"/>
        <w:spacing w:line="580" w:lineRule="exact"/>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pStyle w:val="27"/>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Times New Roman"/>
          <w:bCs w:val="0"/>
          <w:kern w:val="2"/>
          <w:sz w:val="28"/>
          <w:szCs w:val="28"/>
          <w:lang w:val="en-US" w:eastAsia="zh-CN" w:bidi="ar-SA"/>
        </w:rPr>
      </w:pPr>
      <w:r>
        <w:rPr>
          <w:rFonts w:hint="eastAsia" w:ascii="仿宋" w:hAnsi="仿宋" w:eastAsia="仿宋" w:cs="Times New Roman"/>
          <w:bCs w:val="0"/>
          <w:kern w:val="2"/>
          <w:sz w:val="24"/>
          <w:szCs w:val="24"/>
          <w:lang w:val="en-US" w:eastAsia="zh-CN" w:bidi="ar-SA"/>
        </w:rPr>
        <w:t>公开时间：2023年 9月28日</w:t>
      </w:r>
      <w:r>
        <w:rPr>
          <w:rFonts w:hint="eastAsia" w:ascii="仿宋" w:hAnsi="仿宋" w:eastAsia="仿宋" w:cs="Times New Roman"/>
          <w:bCs w:val="0"/>
          <w:kern w:val="2"/>
          <w:sz w:val="28"/>
          <w:szCs w:val="28"/>
          <w:lang w:val="en-US" w:eastAsia="zh-CN" w:bidi="ar-SA"/>
        </w:rPr>
        <w:fldChar w:fldCharType="begin"/>
      </w:r>
      <w:r>
        <w:rPr>
          <w:rFonts w:hint="eastAsia" w:ascii="仿宋" w:hAnsi="仿宋" w:eastAsia="仿宋" w:cs="Times New Roman"/>
          <w:bCs w:val="0"/>
          <w:kern w:val="2"/>
          <w:sz w:val="28"/>
          <w:szCs w:val="28"/>
          <w:lang w:val="en-US" w:eastAsia="zh-CN" w:bidi="ar-SA"/>
        </w:rPr>
        <w:instrText xml:space="preserve">TOC \o "1-2" \h \u</w:instrText>
      </w:r>
      <w:r>
        <w:rPr>
          <w:rFonts w:hint="eastAsia" w:ascii="仿宋" w:hAnsi="仿宋" w:eastAsia="仿宋" w:cs="Times New Roman"/>
          <w:bCs w:val="0"/>
          <w:kern w:val="2"/>
          <w:sz w:val="28"/>
          <w:szCs w:val="28"/>
          <w:lang w:val="en-US" w:eastAsia="zh-CN" w:bidi="ar-SA"/>
        </w:rPr>
        <w:fldChar w:fldCharType="separate"/>
      </w:r>
    </w:p>
    <w:p/>
    <w:p>
      <w:pPr>
        <w:spacing w:before="0" w:beforeLines="0" w:after="0" w:afterLines="0" w:line="240" w:lineRule="auto"/>
        <w:ind w:left="0" w:leftChars="0" w:right="0" w:rightChars="0" w:firstLine="0" w:firstLineChars="0"/>
        <w:jc w:val="center"/>
      </w:pPr>
      <w:r>
        <w:rPr>
          <w:rFonts w:hint="eastAsia" w:ascii="仿宋" w:hAnsi="仿宋" w:eastAsia="仿宋" w:cs="Times New Roman"/>
          <w:bCs w:val="0"/>
          <w:kern w:val="2"/>
          <w:sz w:val="28"/>
          <w:szCs w:val="28"/>
          <w:lang w:val="en-US" w:eastAsia="zh-CN" w:bidi="ar-SA"/>
        </w:rPr>
        <w:fldChar w:fldCharType="begin"/>
      </w:r>
      <w:r>
        <w:rPr>
          <w:rFonts w:hint="eastAsia" w:ascii="仿宋" w:hAnsi="仿宋" w:eastAsia="仿宋" w:cs="Times New Roman"/>
          <w:bCs w:val="0"/>
          <w:kern w:val="2"/>
          <w:sz w:val="28"/>
          <w:szCs w:val="28"/>
          <w:lang w:val="en-US" w:eastAsia="zh-CN" w:bidi="ar-SA"/>
        </w:rPr>
        <w:instrText xml:space="preserve"> HYPERLINK \l _Toc7837 </w:instrText>
      </w:r>
      <w:r>
        <w:rPr>
          <w:rFonts w:hint="eastAsia" w:ascii="仿宋" w:hAnsi="仿宋" w:eastAsia="仿宋" w:cs="Times New Roman"/>
          <w:bCs w:val="0"/>
          <w:kern w:val="2"/>
          <w:sz w:val="28"/>
          <w:szCs w:val="28"/>
          <w:lang w:val="en-US" w:eastAsia="zh-CN" w:bidi="ar-SA"/>
        </w:rPr>
        <w:fldChar w:fldCharType="separate"/>
      </w:r>
      <w:r>
        <w:fldChar w:fldCharType="begin"/>
      </w:r>
      <w:r>
        <w:instrText xml:space="preserve">TOC \o "1-3" \h \u</w:instrText>
      </w:r>
      <w:r>
        <w:fldChar w:fldCharType="separate"/>
      </w:r>
    </w:p>
    <w:p>
      <w:pPr>
        <w:pStyle w:val="42"/>
        <w:tabs>
          <w:tab w:val="right" w:leader="dot" w:pos="8306"/>
        </w:tabs>
      </w:pPr>
      <w:r>
        <w:fldChar w:fldCharType="begin"/>
      </w:r>
      <w:r>
        <w:instrText xml:space="preserve"> HYPERLINK \l "_Toc21501" </w:instrText>
      </w:r>
      <w:r>
        <w:fldChar w:fldCharType="separate"/>
      </w:r>
      <w:r>
        <w:rPr>
          <w:rFonts w:hint="eastAsia" w:ascii="黑体" w:hAnsi="黑体" w:eastAsia="黑体"/>
        </w:rPr>
        <w:t>第一部分</w:t>
      </w:r>
      <w:r>
        <w:rPr>
          <w:rFonts w:ascii="黑体" w:hAnsi="黑体" w:eastAsia="黑体"/>
        </w:rPr>
        <w:t xml:space="preserve"> </w:t>
      </w:r>
      <w:r>
        <w:rPr>
          <w:rFonts w:hint="eastAsia" w:ascii="黑体" w:hAnsi="黑体" w:eastAsia="黑体"/>
          <w:lang w:eastAsia="zh-CN"/>
        </w:rPr>
        <w:t>单位</w:t>
      </w:r>
      <w:r>
        <w:rPr>
          <w:rFonts w:hint="eastAsia" w:ascii="黑体" w:hAnsi="黑体" w:eastAsia="黑体"/>
        </w:rPr>
        <w:t>概况</w:t>
      </w:r>
      <w:r>
        <w:tab/>
      </w:r>
      <w:r>
        <w:fldChar w:fldCharType="begin"/>
      </w:r>
      <w:r>
        <w:instrText xml:space="preserve"> PAGEREF _Toc21501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"_Toc30833"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_Toc30833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"_Toc28063" </w:instrText>
      </w:r>
      <w:r>
        <w:fldChar w:fldCharType="separate"/>
      </w:r>
      <w:r>
        <w:rPr>
          <w:rFonts w:hint="eastAsia" w:ascii="黑体" w:hAnsi="黑体" w:eastAsia="黑体" w:cs="Times New Roman"/>
          <w:bCs w:val="0"/>
          <w:lang w:val="en-US" w:eastAsia="zh-CN" w:bidi="ar-SA"/>
        </w:rPr>
        <w:t>二、</w:t>
      </w:r>
      <w:r>
        <w:rPr>
          <w:rFonts w:hint="eastAsia" w:ascii="黑体" w:hAnsi="黑体" w:eastAsia="黑体" w:cs="Times New Roman"/>
          <w:bCs w:val="0"/>
          <w:highlight w:val="none"/>
          <w:lang w:val="en-US" w:eastAsia="zh-CN" w:bidi="ar-SA"/>
        </w:rPr>
        <w:t>机构设置</w:t>
      </w:r>
      <w:r>
        <w:tab/>
      </w:r>
      <w:r>
        <w:fldChar w:fldCharType="begin"/>
      </w:r>
      <w:r>
        <w:instrText xml:space="preserve"> PAGEREF _Toc28063 \h </w:instrText>
      </w:r>
      <w:r>
        <w:fldChar w:fldCharType="separate"/>
      </w:r>
      <w:r>
        <w:t>2</w:t>
      </w:r>
      <w:r>
        <w:fldChar w:fldCharType="end"/>
      </w:r>
      <w:r>
        <w:fldChar w:fldCharType="end"/>
      </w:r>
    </w:p>
    <w:p>
      <w:pPr>
        <w:pStyle w:val="42"/>
        <w:tabs>
          <w:tab w:val="right" w:leader="dot" w:pos="8306"/>
        </w:tabs>
      </w:pPr>
      <w:r>
        <w:fldChar w:fldCharType="begin"/>
      </w:r>
      <w:r>
        <w:instrText xml:space="preserve"> HYPERLINK \l "_Toc31784"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_Toc31784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"_Toc1348" </w:instrText>
      </w:r>
      <w:r>
        <w:fldChar w:fldCharType="separate"/>
      </w:r>
      <w:r>
        <w:rPr>
          <w:rFonts w:hint="default" w:ascii="黑体" w:hAnsi="黑体" w:eastAsia="黑体" w:cs="Times New Roma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_Toc1348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"_Toc3833" </w:instrText>
      </w:r>
      <w:r>
        <w:fldChar w:fldCharType="separate"/>
      </w:r>
      <w:r>
        <w:rPr>
          <w:rFonts w:hint="default" w:ascii="黑体" w:hAnsi="黑体" w:eastAsia="黑体" w:cs="Times New Roma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_Toc3833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"_Toc345" </w:instrText>
      </w:r>
      <w:r>
        <w:fldChar w:fldCharType="separate"/>
      </w:r>
      <w:r>
        <w:rPr>
          <w:rFonts w:hint="default" w:ascii="黑体" w:hAnsi="黑体" w:eastAsia="黑体" w:cs="Times New Roma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_Toc345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"_Toc18509" </w:instrText>
      </w:r>
      <w:r>
        <w:fldChar w:fldCharType="separate"/>
      </w:r>
      <w:r>
        <w:rPr>
          <w:rFonts w:hint="eastAsia" w:ascii="黑体" w:hAnsi="黑体" w:eastAsia="黑体"/>
          <w:szCs w:val="32"/>
        </w:rPr>
        <w:t>四、</w:t>
      </w:r>
      <w:r>
        <w:rPr>
          <w:rFonts w:hint="eastAsia" w:ascii="黑体" w:hAnsi="黑体" w:eastAsia="黑体"/>
          <w:szCs w:val="32"/>
          <w:highlight w:val="none"/>
        </w:rPr>
        <w:t>财</w:t>
      </w:r>
      <w:r>
        <w:rPr>
          <w:rFonts w:hint="eastAsia" w:ascii="黑体" w:hAnsi="黑体" w:eastAsia="黑体"/>
          <w:highlight w:val="none"/>
        </w:rPr>
        <w:t>政拨款收入支出决算总体情况说明</w:t>
      </w:r>
      <w:r>
        <w:tab/>
      </w:r>
      <w:r>
        <w:fldChar w:fldCharType="begin"/>
      </w:r>
      <w:r>
        <w:instrText xml:space="preserve"> PAGEREF _Toc18509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"_Toc24748" </w:instrText>
      </w:r>
      <w:r>
        <w:fldChar w:fldCharType="separate"/>
      </w:r>
      <w:r>
        <w:rPr>
          <w:rFonts w:hint="eastAsia" w:ascii="黑体" w:hAnsi="黑体" w:eastAsia="黑体"/>
          <w:szCs w:val="32"/>
        </w:rPr>
        <w:t>五、</w:t>
      </w:r>
      <w:r>
        <w:rPr>
          <w:rFonts w:hint="eastAsia" w:ascii="黑体" w:hAnsi="黑体" w:eastAsia="黑体"/>
          <w:szCs w:val="32"/>
          <w:highlight w:val="none"/>
        </w:rPr>
        <w:t>一</w:t>
      </w:r>
      <w:r>
        <w:rPr>
          <w:rFonts w:hint="eastAsia" w:ascii="黑体" w:hAnsi="黑体" w:eastAsia="黑体"/>
          <w:highlight w:val="none"/>
        </w:rPr>
        <w:t>般公共预算财政拨款支出决算情况说明</w:t>
      </w:r>
      <w:r>
        <w:tab/>
      </w:r>
      <w:r>
        <w:fldChar w:fldCharType="begin"/>
      </w:r>
      <w:r>
        <w:instrText xml:space="preserve"> PAGEREF _Toc24748 \h </w:instrText>
      </w:r>
      <w:r>
        <w:fldChar w:fldCharType="separate"/>
      </w:r>
      <w:r>
        <w:t>5</w:t>
      </w:r>
      <w:r>
        <w:fldChar w:fldCharType="end"/>
      </w:r>
      <w:r>
        <w:fldChar w:fldCharType="end"/>
      </w:r>
    </w:p>
    <w:p>
      <w:pPr>
        <w:pStyle w:val="40"/>
        <w:tabs>
          <w:tab w:val="right" w:leader="dot" w:pos="8306"/>
        </w:tabs>
      </w:pPr>
      <w:r>
        <w:fldChar w:fldCharType="begin"/>
      </w:r>
      <w:r>
        <w:instrText xml:space="preserve"> HYPERLINK \l "_Toc16328"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_Toc16328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"_Toc19562" </w:instrText>
      </w:r>
      <w:r>
        <w:fldChar w:fldCharType="separate"/>
      </w:r>
      <w:r>
        <w:rPr>
          <w:rFonts w:hint="eastAsia" w:ascii="黑体" w:eastAsia="黑体"/>
          <w:szCs w:val="32"/>
        </w:rPr>
        <w:t>七、</w:t>
      </w:r>
      <w:r>
        <w:rPr>
          <w:rFonts w:hint="eastAsia" w:ascii="黑体" w:hAnsi="黑体" w:eastAsia="黑体"/>
          <w:highlight w:val="none"/>
        </w:rPr>
        <w:t>财政拨款“三公”经费支出决算情况说明</w:t>
      </w:r>
      <w:r>
        <w:tab/>
      </w:r>
      <w:r>
        <w:fldChar w:fldCharType="begin"/>
      </w:r>
      <w:r>
        <w:instrText xml:space="preserve"> PAGEREF _Toc19562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"_Toc23165" </w:instrText>
      </w:r>
      <w:r>
        <w:fldChar w:fldCharType="separate"/>
      </w:r>
      <w:r>
        <w:rPr>
          <w:rFonts w:hint="eastAsia" w:ascii="黑体" w:eastAsia="黑体"/>
          <w:szCs w:val="32"/>
        </w:rPr>
        <w:t>八、</w:t>
      </w:r>
      <w:r>
        <w:rPr>
          <w:rFonts w:hint="eastAsia" w:ascii="黑体" w:hAnsi="黑体" w:eastAsia="黑体"/>
          <w:highlight w:val="none"/>
        </w:rPr>
        <w:t>政府性基金预算支出决算情况说明</w:t>
      </w:r>
      <w:r>
        <w:tab/>
      </w:r>
      <w:r>
        <w:fldChar w:fldCharType="begin"/>
      </w:r>
      <w:r>
        <w:instrText xml:space="preserve"> PAGEREF _Toc23165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"_Toc19046" </w:instrText>
      </w:r>
      <w:r>
        <w:fldChar w:fldCharType="separate"/>
      </w:r>
      <w:r>
        <w:rPr>
          <w:rFonts w:hint="eastAsia" w:ascii="黑体" w:hAnsi="黑体" w:eastAsia="黑体" w:cs="Times New Roman"/>
        </w:rPr>
        <w:t>九、</w:t>
      </w:r>
      <w:r>
        <w:rPr>
          <w:rFonts w:hint="eastAsia" w:ascii="黑体" w:hAnsi="黑体" w:eastAsia="黑体"/>
          <w:highlight w:val="none"/>
        </w:rPr>
        <w:t>国有资本经营预算支出决算情况说明</w:t>
      </w:r>
      <w:r>
        <w:tab/>
      </w:r>
      <w:r>
        <w:fldChar w:fldCharType="begin"/>
      </w:r>
      <w:r>
        <w:instrText xml:space="preserve"> PAGEREF _Toc19046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"_Toc13359" </w:instrText>
      </w:r>
      <w:r>
        <w:fldChar w:fldCharType="separate"/>
      </w:r>
      <w:r>
        <w:rPr>
          <w:rFonts w:hint="eastAsia" w:ascii="黑体" w:hAnsi="黑体" w:eastAsia="黑体" w:cs="Times New Roman"/>
        </w:rPr>
        <w:t>十、</w:t>
      </w:r>
      <w:r>
        <w:rPr>
          <w:rFonts w:hint="eastAsia" w:ascii="黑体" w:hAnsi="黑体" w:eastAsia="黑体"/>
          <w:highlight w:val="none"/>
        </w:rPr>
        <w:t>其他重要事项的情况说明</w:t>
      </w:r>
      <w:r>
        <w:tab/>
      </w:r>
      <w:r>
        <w:fldChar w:fldCharType="begin"/>
      </w:r>
      <w:r>
        <w:instrText xml:space="preserve"> PAGEREF _Toc13359 \h </w:instrText>
      </w:r>
      <w:r>
        <w:fldChar w:fldCharType="separate"/>
      </w:r>
      <w:r>
        <w:t>8</w:t>
      </w:r>
      <w:r>
        <w:fldChar w:fldCharType="end"/>
      </w:r>
      <w:r>
        <w:fldChar w:fldCharType="end"/>
      </w:r>
    </w:p>
    <w:p>
      <w:pPr>
        <w:pStyle w:val="49"/>
        <w:tabs>
          <w:tab w:val="right" w:leader="dot" w:pos="8306"/>
        </w:tabs>
      </w:pPr>
      <w:r>
        <w:fldChar w:fldCharType="begin"/>
      </w:r>
      <w:r>
        <w:instrText xml:space="preserve"> HYPERLINK \l "_Toc27826" </w:instrText>
      </w:r>
      <w:r>
        <w:fldChar w:fldCharType="separate"/>
      </w:r>
      <w:r>
        <w:rPr>
          <w:rFonts w:hint="eastAsia" w:ascii="仿宋" w:hAnsi="仿宋" w:eastAsia="仿宋"/>
          <w:szCs w:val="32"/>
        </w:rPr>
        <w:t>（一）</w:t>
      </w:r>
      <w:r>
        <w:rPr>
          <w:rFonts w:hint="eastAsia" w:ascii="仿宋" w:hAnsi="仿宋" w:eastAsia="仿宋"/>
          <w:szCs w:val="32"/>
          <w:lang w:eastAsia="zh-CN"/>
        </w:rPr>
        <w:t>机关</w:t>
      </w:r>
      <w:r>
        <w:rPr>
          <w:rFonts w:hint="eastAsia" w:ascii="仿宋" w:hAnsi="仿宋" w:eastAsia="仿宋"/>
          <w:szCs w:val="32"/>
        </w:rPr>
        <w:t>运行经费支出情况</w:t>
      </w:r>
      <w:r>
        <w:tab/>
      </w:r>
      <w:r>
        <w:fldChar w:fldCharType="begin"/>
      </w:r>
      <w:r>
        <w:instrText xml:space="preserve"> PAGEREF _Toc27826 \h </w:instrText>
      </w:r>
      <w:r>
        <w:fldChar w:fldCharType="separate"/>
      </w:r>
      <w:r>
        <w:t>8</w:t>
      </w:r>
      <w:r>
        <w:fldChar w:fldCharType="end"/>
      </w:r>
      <w:r>
        <w:fldChar w:fldCharType="end"/>
      </w:r>
    </w:p>
    <w:p>
      <w:pPr>
        <w:pStyle w:val="49"/>
        <w:tabs>
          <w:tab w:val="right" w:leader="dot" w:pos="8306"/>
        </w:tabs>
      </w:pPr>
      <w:r>
        <w:fldChar w:fldCharType="begin"/>
      </w:r>
      <w:r>
        <w:instrText xml:space="preserve"> HYPERLINK \l "_Toc14910" </w:instrText>
      </w:r>
      <w:r>
        <w:fldChar w:fldCharType="separate"/>
      </w:r>
      <w:r>
        <w:rPr>
          <w:rFonts w:hint="eastAsia" w:ascii="仿宋" w:hAnsi="仿宋" w:eastAsia="仿宋"/>
          <w:szCs w:val="32"/>
        </w:rPr>
        <w:t>（二）政府采购支出情况</w:t>
      </w:r>
      <w:r>
        <w:tab/>
      </w:r>
      <w:r>
        <w:fldChar w:fldCharType="begin"/>
      </w:r>
      <w:r>
        <w:instrText xml:space="preserve"> PAGEREF _Toc14910 \h </w:instrText>
      </w:r>
      <w:r>
        <w:fldChar w:fldCharType="separate"/>
      </w:r>
      <w:r>
        <w:t>8</w:t>
      </w:r>
      <w:r>
        <w:fldChar w:fldCharType="end"/>
      </w:r>
      <w:r>
        <w:fldChar w:fldCharType="end"/>
      </w:r>
    </w:p>
    <w:p>
      <w:pPr>
        <w:pStyle w:val="49"/>
        <w:tabs>
          <w:tab w:val="right" w:leader="dot" w:pos="8306"/>
        </w:tabs>
      </w:pPr>
      <w:r>
        <w:fldChar w:fldCharType="begin"/>
      </w:r>
      <w:r>
        <w:instrText xml:space="preserve"> HYPERLINK \l "_Toc8780" </w:instrText>
      </w:r>
      <w:r>
        <w:fldChar w:fldCharType="separate"/>
      </w:r>
      <w:r>
        <w:rPr>
          <w:rFonts w:hint="eastAsia" w:ascii="仿宋" w:hAnsi="仿宋" w:eastAsia="仿宋"/>
          <w:szCs w:val="32"/>
        </w:rPr>
        <w:t>（三）国有资产占有使用情况</w:t>
      </w:r>
      <w:r>
        <w:tab/>
      </w:r>
      <w:r>
        <w:fldChar w:fldCharType="begin"/>
      </w:r>
      <w:r>
        <w:instrText xml:space="preserve"> PAGEREF _Toc8780 \h </w:instrText>
      </w:r>
      <w:r>
        <w:fldChar w:fldCharType="separate"/>
      </w:r>
      <w:r>
        <w:t>8</w:t>
      </w:r>
      <w:r>
        <w:fldChar w:fldCharType="end"/>
      </w:r>
      <w:r>
        <w:fldChar w:fldCharType="end"/>
      </w:r>
    </w:p>
    <w:p>
      <w:pPr>
        <w:pStyle w:val="49"/>
        <w:tabs>
          <w:tab w:val="right" w:leader="dot" w:pos="8306"/>
        </w:tabs>
      </w:pPr>
      <w:r>
        <w:fldChar w:fldCharType="begin"/>
      </w:r>
      <w:r>
        <w:instrText xml:space="preserve"> HYPERLINK \l "_Toc5694"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_Toc5694 \h </w:instrText>
      </w:r>
      <w:r>
        <w:fldChar w:fldCharType="separate"/>
      </w:r>
      <w:r>
        <w:t>8</w:t>
      </w:r>
      <w:r>
        <w:fldChar w:fldCharType="end"/>
      </w:r>
      <w:r>
        <w:fldChar w:fldCharType="end"/>
      </w:r>
    </w:p>
    <w:p>
      <w:pPr>
        <w:pStyle w:val="42"/>
        <w:tabs>
          <w:tab w:val="right" w:leader="dot" w:pos="8306"/>
        </w:tabs>
      </w:pPr>
      <w:r>
        <w:fldChar w:fldCharType="begin"/>
      </w:r>
      <w:r>
        <w:instrText xml:space="preserve"> HYPERLINK \l "_Toc11952" </w:instrText>
      </w:r>
      <w:r>
        <w:fldChar w:fldCharType="separate"/>
      </w:r>
      <w:r>
        <w:rPr>
          <w:rFonts w:hint="eastAsia" w:ascii="黑体" w:hAnsi="黑体" w:eastAsia="黑体" w:cs="Times New Roman"/>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_Toc11952 \h </w:instrText>
      </w:r>
      <w:r>
        <w:fldChar w:fldCharType="separate"/>
      </w:r>
      <w:r>
        <w:t>11</w:t>
      </w:r>
      <w:r>
        <w:fldChar w:fldCharType="end"/>
      </w:r>
      <w:r>
        <w:fldChar w:fldCharType="end"/>
      </w:r>
    </w:p>
    <w:p>
      <w:pPr>
        <w:pStyle w:val="42"/>
        <w:tabs>
          <w:tab w:val="right" w:leader="dot" w:pos="8306"/>
        </w:tabs>
      </w:pPr>
      <w:r>
        <w:fldChar w:fldCharType="begin"/>
      </w:r>
      <w:r>
        <w:instrText xml:space="preserve"> HYPERLINK \l "_Toc13229" </w:instrText>
      </w:r>
      <w:r>
        <w:fldChar w:fldCharType="separate"/>
      </w:r>
      <w:r>
        <w:rPr>
          <w:rFonts w:hint="eastAsia" w:ascii="黑体" w:hAnsi="黑体" w:eastAsia="黑体"/>
          <w:szCs w:val="44"/>
        </w:rPr>
        <w:t>第</w:t>
      </w:r>
      <w:r>
        <w:rPr>
          <w:rFonts w:hint="eastAsia" w:ascii="黑体" w:hAnsi="黑体" w:eastAsia="黑体"/>
          <w:szCs w:val="44"/>
          <w:lang w:eastAsia="zh-CN"/>
        </w:rPr>
        <w:t>四</w:t>
      </w:r>
      <w:r>
        <w:rPr>
          <w:rFonts w:hint="eastAsia" w:ascii="黑体" w:hAnsi="黑体" w:eastAsia="黑体"/>
        </w:rPr>
        <w:t>部分</w:t>
      </w:r>
      <w:r>
        <w:rPr>
          <w:rFonts w:ascii="黑体" w:hAnsi="黑体" w:eastAsia="黑体"/>
        </w:rPr>
        <w:t xml:space="preserve"> </w:t>
      </w:r>
      <w:r>
        <w:rPr>
          <w:rFonts w:hint="eastAsia" w:ascii="黑体" w:hAnsi="黑体" w:eastAsia="黑体"/>
        </w:rPr>
        <w:t>附件</w:t>
      </w:r>
      <w:r>
        <w:tab/>
      </w:r>
      <w:r>
        <w:fldChar w:fldCharType="begin"/>
      </w:r>
      <w:r>
        <w:instrText xml:space="preserve"> PAGEREF _Toc13229 \h </w:instrText>
      </w:r>
      <w:r>
        <w:fldChar w:fldCharType="separate"/>
      </w:r>
      <w:r>
        <w:t>14</w:t>
      </w:r>
      <w:r>
        <w:fldChar w:fldCharType="end"/>
      </w:r>
      <w:r>
        <w:fldChar w:fldCharType="end"/>
      </w:r>
    </w:p>
    <w:p>
      <w:pPr>
        <w:pStyle w:val="42"/>
        <w:tabs>
          <w:tab w:val="right" w:leader="dot" w:pos="8306"/>
        </w:tabs>
      </w:pPr>
      <w:r>
        <w:fldChar w:fldCharType="begin"/>
      </w:r>
      <w:r>
        <w:instrText xml:space="preserve"> HYPERLINK \l "_Toc14243" </w:instrText>
      </w:r>
      <w:r>
        <w:fldChar w:fldCharType="separate"/>
      </w:r>
      <w:r>
        <w:rPr>
          <w:rFonts w:hint="eastAsia" w:ascii="黑体" w:hAnsi="黑体" w:eastAsia="黑体"/>
          <w:lang w:eastAsia="zh-CN"/>
        </w:rPr>
        <w:t>第五部分</w:t>
      </w:r>
      <w:r>
        <w:rPr>
          <w:rFonts w:hint="eastAsia" w:ascii="黑体" w:hAnsi="黑体" w:eastAsia="黑体"/>
          <w:lang w:val="en-US" w:eastAsia="zh-CN"/>
        </w:rPr>
        <w:t xml:space="preserve"> </w:t>
      </w:r>
      <w:r>
        <w:rPr>
          <w:rFonts w:hint="eastAsia" w:ascii="黑体" w:hAnsi="黑体" w:eastAsia="黑体"/>
        </w:rPr>
        <w:t>附表</w:t>
      </w:r>
      <w:r>
        <w:tab/>
      </w:r>
      <w:r>
        <w:fldChar w:fldCharType="begin"/>
      </w:r>
      <w:r>
        <w:instrText xml:space="preserve"> PAGEREF _Toc14243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"_Toc20965" </w:instrText>
      </w:r>
      <w:r>
        <w:fldChar w:fldCharType="separate"/>
      </w:r>
      <w:r>
        <w:rPr>
          <w:rFonts w:hint="eastAsia" w:ascii="仿宋" w:hAnsi="仿宋" w:eastAsia="仿宋"/>
          <w:bCs w:val="0"/>
        </w:rPr>
        <w:t>一、收入支出决算总表</w:t>
      </w:r>
      <w:r>
        <w:tab/>
      </w:r>
      <w:r>
        <w:fldChar w:fldCharType="begin"/>
      </w:r>
      <w:r>
        <w:instrText xml:space="preserve"> PAGEREF _Toc20965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"_Toc15000" </w:instrText>
      </w:r>
      <w:r>
        <w:fldChar w:fldCharType="separate"/>
      </w:r>
      <w:r>
        <w:rPr>
          <w:rFonts w:hint="eastAsia" w:ascii="仿宋" w:hAnsi="仿宋" w:eastAsia="仿宋"/>
          <w:bCs w:val="0"/>
        </w:rPr>
        <w:t>二、收入决算表</w:t>
      </w:r>
      <w:r>
        <w:tab/>
      </w:r>
      <w:r>
        <w:fldChar w:fldCharType="begin"/>
      </w:r>
      <w:r>
        <w:instrText xml:space="preserve"> PAGEREF _Toc15000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"_Toc5512" </w:instrText>
      </w:r>
      <w:r>
        <w:fldChar w:fldCharType="separate"/>
      </w:r>
      <w:r>
        <w:rPr>
          <w:rFonts w:hint="eastAsia" w:ascii="仿宋" w:hAnsi="仿宋" w:eastAsia="仿宋"/>
          <w:bCs w:val="0"/>
        </w:rPr>
        <w:t>三、支出决算表</w:t>
      </w:r>
      <w:r>
        <w:tab/>
      </w:r>
      <w:r>
        <w:fldChar w:fldCharType="begin"/>
      </w:r>
      <w:r>
        <w:instrText xml:space="preserve"> PAGEREF _Toc5512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"_Toc21328" </w:instrText>
      </w:r>
      <w:r>
        <w:fldChar w:fldCharType="separate"/>
      </w:r>
      <w:r>
        <w:rPr>
          <w:rFonts w:hint="eastAsia" w:ascii="仿宋" w:hAnsi="仿宋" w:eastAsia="仿宋"/>
          <w:bCs w:val="0"/>
        </w:rPr>
        <w:t>四、财政拨款收入支出决算总表</w:t>
      </w:r>
      <w:r>
        <w:tab/>
      </w:r>
      <w:r>
        <w:fldChar w:fldCharType="begin"/>
      </w:r>
      <w:r>
        <w:instrText xml:space="preserve"> PAGEREF _Toc21328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"_Toc17694" </w:instrText>
      </w:r>
      <w:r>
        <w:fldChar w:fldCharType="separate"/>
      </w:r>
      <w:r>
        <w:rPr>
          <w:rFonts w:hint="eastAsia" w:ascii="仿宋" w:hAnsi="仿宋" w:eastAsia="仿宋"/>
          <w:bCs w:val="0"/>
        </w:rPr>
        <w:t>五、财政拨款支出决算明细表</w:t>
      </w:r>
      <w:r>
        <w:tab/>
      </w:r>
      <w:r>
        <w:fldChar w:fldCharType="begin"/>
      </w:r>
      <w:r>
        <w:instrText xml:space="preserve"> PAGEREF _Toc17694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"_Toc26996" </w:instrText>
      </w:r>
      <w:r>
        <w:fldChar w:fldCharType="separate"/>
      </w:r>
      <w:r>
        <w:rPr>
          <w:rFonts w:hint="eastAsia" w:ascii="仿宋" w:hAnsi="仿宋" w:eastAsia="仿宋"/>
          <w:bCs w:val="0"/>
        </w:rPr>
        <w:t>六、一般公共预算财政拨款支出决算表</w:t>
      </w:r>
      <w:r>
        <w:tab/>
      </w:r>
      <w:r>
        <w:fldChar w:fldCharType="begin"/>
      </w:r>
      <w:r>
        <w:instrText xml:space="preserve"> PAGEREF _Toc26996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"_Toc23968" </w:instrText>
      </w:r>
      <w:r>
        <w:fldChar w:fldCharType="separate"/>
      </w:r>
      <w:r>
        <w:rPr>
          <w:rFonts w:hint="eastAsia" w:ascii="仿宋" w:hAnsi="仿宋" w:eastAsia="仿宋"/>
          <w:bCs w:val="0"/>
        </w:rPr>
        <w:t>七、一般公共预算财政拨款支出决算明细表</w:t>
      </w:r>
      <w:r>
        <w:tab/>
      </w:r>
      <w:r>
        <w:fldChar w:fldCharType="begin"/>
      </w:r>
      <w:r>
        <w:instrText xml:space="preserve"> PAGEREF _Toc23968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"_Toc12867" </w:instrText>
      </w:r>
      <w:r>
        <w:fldChar w:fldCharType="separate"/>
      </w:r>
      <w:r>
        <w:rPr>
          <w:rFonts w:hint="eastAsia" w:ascii="仿宋" w:hAnsi="仿宋" w:eastAsia="仿宋"/>
          <w:bCs w:val="0"/>
        </w:rPr>
        <w:t>八、一般公共预算财政拨款基本支出决算表</w:t>
      </w:r>
      <w:r>
        <w:tab/>
      </w:r>
      <w:r>
        <w:fldChar w:fldCharType="begin"/>
      </w:r>
      <w:r>
        <w:instrText xml:space="preserve"> PAGEREF _Toc12867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"_Toc25299" </w:instrText>
      </w:r>
      <w:r>
        <w:fldChar w:fldCharType="separate"/>
      </w:r>
      <w:r>
        <w:rPr>
          <w:rFonts w:hint="eastAsia" w:ascii="仿宋" w:hAnsi="仿宋" w:eastAsia="仿宋"/>
          <w:bCs w:val="0"/>
        </w:rPr>
        <w:t>九、一般公共预算财政拨款项目支出决算表</w:t>
      </w:r>
      <w:r>
        <w:tab/>
      </w:r>
      <w:r>
        <w:fldChar w:fldCharType="begin"/>
      </w:r>
      <w:r>
        <w:instrText xml:space="preserve"> PAGEREF _Toc25299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"_Toc16360"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_Toc16360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"_Toc11722"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_Toc11722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"_Toc8311"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_Toc8311 \h </w:instrText>
      </w:r>
      <w:r>
        <w:fldChar w:fldCharType="separate"/>
      </w:r>
      <w:r>
        <w:t>15</w:t>
      </w:r>
      <w:r>
        <w:fldChar w:fldCharType="end"/>
      </w:r>
      <w:r>
        <w:fldChar w:fldCharType="end"/>
      </w:r>
    </w:p>
    <w:p>
      <w:pPr>
        <w:pStyle w:val="40"/>
        <w:tabs>
          <w:tab w:val="right" w:leader="dot" w:pos="8306"/>
        </w:tabs>
      </w:pPr>
      <w:r>
        <w:fldChar w:fldCharType="begin"/>
      </w:r>
      <w:r>
        <w:instrText xml:space="preserve"> HYPERLINK \l "_Toc28775"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_Toc28775 \h </w:instrText>
      </w:r>
      <w:r>
        <w:fldChar w:fldCharType="separate"/>
      </w:r>
      <w:r>
        <w:t>15</w:t>
      </w:r>
      <w:r>
        <w:fldChar w:fldCharType="end"/>
      </w:r>
      <w:r>
        <w:fldChar w:fldCharType="end"/>
      </w:r>
    </w:p>
    <w:p>
      <w:r>
        <w:fldChar w:fldCharType="end"/>
      </w:r>
    </w:p>
    <w:p>
      <w:pPr>
        <w:pStyle w:val="25"/>
        <w:tabs>
          <w:tab w:val="right" w:leader="dot" w:pos="8306"/>
          <w:tab w:val="clear" w:pos="8296"/>
        </w:tabs>
        <w:jc w:val="both"/>
        <w:rPr>
          <w:rFonts w:hint="eastAsia" w:ascii="仿宋" w:hAnsi="仿宋" w:eastAsia="仿宋" w:cs="Times New Roman"/>
          <w:bCs w:val="0"/>
          <w:kern w:val="2"/>
          <w:sz w:val="28"/>
          <w:szCs w:val="28"/>
          <w:lang w:val="en-US" w:eastAsia="zh-CN" w:bidi="ar-SA"/>
        </w:rPr>
      </w:pPr>
      <w:r>
        <w:rPr>
          <w:rFonts w:hint="eastAsia" w:ascii="仿宋" w:hAnsi="仿宋" w:eastAsia="仿宋" w:cs="Times New Roman"/>
          <w:bCs w:val="0"/>
          <w:kern w:val="2"/>
          <w:sz w:val="28"/>
          <w:szCs w:val="28"/>
          <w:lang w:val="en-US" w:eastAsia="zh-CN" w:bidi="ar-SA"/>
        </w:rPr>
        <w:fldChar w:fldCharType="end"/>
      </w:r>
    </w:p>
    <w:p>
      <w:pPr>
        <w:pStyle w:val="27"/>
        <w:tabs>
          <w:tab w:val="right" w:leader="dot" w:pos="8306"/>
          <w:tab w:val="clear" w:pos="8296"/>
        </w:tabs>
        <w:rPr>
          <w:rFonts w:hint="eastAsia" w:ascii="仿宋" w:hAnsi="仿宋" w:eastAsia="仿宋" w:cs="Times New Roman"/>
          <w:bCs w:val="0"/>
          <w:kern w:val="2"/>
          <w:sz w:val="28"/>
          <w:szCs w:val="28"/>
          <w:lang w:val="en-US" w:eastAsia="zh-CN" w:bidi="ar-SA"/>
        </w:rPr>
      </w:pPr>
    </w:p>
    <w:p>
      <w:pPr>
        <w:pStyle w:val="25"/>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仿宋" w:hAnsi="仿宋" w:eastAsia="仿宋" w:cs="仿宋"/>
          <w:sz w:val="30"/>
          <w:szCs w:val="30"/>
        </w:rPr>
        <w:sectPr>
          <w:footerReference r:id="rId7"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s="Times New Roman"/>
          <w:bCs w:val="0"/>
          <w:kern w:val="2"/>
          <w:sz w:val="28"/>
          <w:szCs w:val="28"/>
          <w:lang w:val="en-US" w:eastAsia="zh-CN" w:bidi="ar-SA"/>
        </w:rPr>
        <w:fldChar w:fldCharType="end"/>
      </w:r>
      <w:bookmarkStart w:id="23" w:name="_Toc15396599"/>
      <w:bookmarkStart w:id="24" w:name="_Toc15377196"/>
    </w:p>
    <w:p>
      <w:pPr>
        <w:pStyle w:val="5"/>
        <w:pageBreakBefore w:val="0"/>
        <w:kinsoku/>
        <w:wordWrap/>
        <w:overflowPunct/>
        <w:topLinePunct w:val="0"/>
        <w:bidi w:val="0"/>
        <w:spacing w:before="0" w:beforeAutospacing="0" w:after="0" w:afterAutospacing="0" w:line="580" w:lineRule="exact"/>
        <w:jc w:val="center"/>
        <w:rPr>
          <w:rFonts w:ascii="黑体" w:eastAsia="黑体"/>
          <w:color w:val="000000"/>
          <w:sz w:val="32"/>
          <w:szCs w:val="32"/>
        </w:rPr>
      </w:pPr>
      <w:bookmarkStart w:id="25" w:name="_Toc21501"/>
      <w:bookmarkStart w:id="26" w:name="_Toc29983"/>
      <w:r>
        <w:rPr>
          <w:rFonts w:hint="eastAsia" w:ascii="黑体" w:hAnsi="黑体" w:eastAsia="黑体"/>
          <w:b w:val="0"/>
        </w:rPr>
        <w:t>第一部分</w:t>
      </w:r>
      <w:r>
        <w:rPr>
          <w:rFonts w:ascii="黑体" w:hAnsi="黑体" w:eastAsia="黑体"/>
          <w:b w:val="0"/>
        </w:rPr>
        <w:t xml:space="preserve"> </w:t>
      </w:r>
      <w:r>
        <w:rPr>
          <w:rStyle w:val="31"/>
          <w:rFonts w:hint="eastAsia" w:ascii="黑体" w:hAnsi="黑体" w:eastAsia="黑体"/>
          <w:b w:val="0"/>
          <w:bCs w:val="0"/>
          <w:lang w:eastAsia="zh-CN"/>
        </w:rPr>
        <w:t>单位</w:t>
      </w:r>
      <w:r>
        <w:rPr>
          <w:rStyle w:val="31"/>
          <w:rFonts w:hint="eastAsia" w:ascii="黑体" w:hAnsi="黑体" w:eastAsia="黑体"/>
          <w:b w:val="0"/>
          <w:bCs w:val="0"/>
        </w:rPr>
        <w:t>概况</w:t>
      </w:r>
      <w:bookmarkEnd w:id="23"/>
      <w:bookmarkEnd w:id="24"/>
      <w:bookmarkEnd w:id="25"/>
      <w:bookmarkEnd w:id="26"/>
    </w:p>
    <w:p>
      <w:pPr>
        <w:pStyle w:val="6"/>
        <w:pageBreakBefore w:val="0"/>
        <w:numPr>
          <w:ilvl w:val="0"/>
          <w:numId w:val="0"/>
        </w:numPr>
        <w:kinsoku/>
        <w:wordWrap/>
        <w:overflowPunct/>
        <w:topLinePunct w:val="0"/>
        <w:bidi w:val="0"/>
        <w:spacing w:before="0" w:beforeAutospacing="0" w:after="0" w:afterAutospacing="0" w:line="580" w:lineRule="exact"/>
        <w:ind w:firstLine="640" w:firstLineChars="200"/>
        <w:rPr>
          <w:rStyle w:val="32"/>
          <w:rFonts w:hint="eastAsia" w:ascii="黑体" w:hAnsi="黑体" w:eastAsia="黑体"/>
          <w:b w:val="0"/>
          <w:bCs w:val="0"/>
          <w:color w:val="auto"/>
          <w:highlight w:val="none"/>
          <w:lang w:eastAsia="zh-CN"/>
        </w:rPr>
      </w:pPr>
      <w:bookmarkStart w:id="27" w:name="_Toc15378445"/>
      <w:bookmarkStart w:id="28" w:name="_Toc15377198"/>
      <w:bookmarkStart w:id="29" w:name="_Toc20002"/>
      <w:bookmarkStart w:id="30" w:name="_Toc30833"/>
      <w:r>
        <w:rPr>
          <w:rStyle w:val="32"/>
          <w:rFonts w:hint="eastAsia" w:ascii="黑体" w:hAnsi="黑体" w:eastAsia="黑体"/>
          <w:b w:val="0"/>
          <w:bCs w:val="0"/>
          <w:color w:val="auto"/>
          <w:highlight w:val="none"/>
          <w:lang w:eastAsia="zh-CN"/>
        </w:rPr>
        <w:t>一、</w:t>
      </w:r>
      <w:bookmarkEnd w:id="27"/>
      <w:bookmarkEnd w:id="28"/>
      <w:r>
        <w:rPr>
          <w:rStyle w:val="32"/>
          <w:rFonts w:hint="eastAsia" w:ascii="黑体" w:hAnsi="黑体" w:eastAsia="黑体"/>
          <w:b w:val="0"/>
          <w:bCs w:val="0"/>
          <w:color w:val="auto"/>
          <w:highlight w:val="none"/>
          <w:lang w:eastAsia="zh-CN"/>
        </w:rPr>
        <w:t>主要职责</w:t>
      </w:r>
      <w:bookmarkEnd w:id="29"/>
      <w:bookmarkEnd w:id="30"/>
    </w:p>
    <w:p>
      <w:pPr>
        <w:pageBreakBefore w:val="0"/>
        <w:numPr>
          <w:ilvl w:val="0"/>
          <w:numId w:val="0"/>
        </w:numPr>
        <w:kinsoku/>
        <w:wordWrap/>
        <w:overflowPunct/>
        <w:topLinePunct w:val="0"/>
        <w:bidi w:val="0"/>
        <w:spacing w:beforeAutospacing="0"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严格医疗质量管理，保障医疗安全。一是严格落实医疗核心制度和各项诊疗常规，从诊疗流程、首诊负责制、医疗质量督查、减轻患者负担、降低患者药费、合理检查、合理用药等方面进行规范的落实下手。通过医院各种会议，业务培训、病案分析总结等方式反复强化制度落实，自觉遵守诊疗常规，天天强调，月月考核，年底总结，每周召开一次医疗质量总结会，总结上周存在的问题，安排本周的具体工作，力求将医疗核心制度和各项诊疗常规贯穿于医疗活动中，严格处方书写、病历点评、合理用药制度。使医务人员将制度和常规内化于心</w:t>
      </w:r>
      <w:r>
        <w:rPr>
          <w:rFonts w:hint="eastAsia" w:ascii="仿宋" w:hAnsi="仿宋" w:eastAsia="仿宋" w:cs="仿宋"/>
          <w:sz w:val="32"/>
          <w:szCs w:val="32"/>
          <w:lang w:eastAsia="zh-CN"/>
        </w:rPr>
        <w:t>、</w:t>
      </w:r>
      <w:r>
        <w:rPr>
          <w:rFonts w:hint="eastAsia" w:ascii="仿宋" w:hAnsi="仿宋" w:eastAsia="仿宋" w:cs="仿宋"/>
          <w:sz w:val="32"/>
          <w:szCs w:val="32"/>
        </w:rPr>
        <w:t>外化于行。实行多劳多得，坚持绩效考核制度，确保了业务骨干的积极性，打破了吃大锅饭的现象。二是加强继续学习，凡属医护人员必须加强业务专业知识学习，轮流派专业技术人员到上级医院进修学习，每年按规定完成</w:t>
      </w:r>
      <w:r>
        <w:rPr>
          <w:rFonts w:hint="eastAsia" w:ascii="仿宋" w:hAnsi="仿宋" w:eastAsia="仿宋" w:cs="仿宋"/>
          <w:sz w:val="32"/>
          <w:szCs w:val="32"/>
          <w:lang w:eastAsia="zh-CN"/>
        </w:rPr>
        <w:t>继续教育</w:t>
      </w:r>
      <w:r>
        <w:rPr>
          <w:rFonts w:hint="eastAsia" w:ascii="仿宋" w:hAnsi="仿宋" w:eastAsia="仿宋" w:cs="仿宋"/>
          <w:sz w:val="32"/>
          <w:szCs w:val="32"/>
        </w:rPr>
        <w:t>学分，今年全院医护人员继续教育学习达100%。三是加强医院就医环境建设，合理规范流程。根据《医疗废物管理条例》的要求，新建立了完善的医疗废弃物暂存间和医疗废水处置间，杜绝了医源性感染。</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不断提高护理质量，增强服务能力。医院护理工作紧紧围绕《关于进一步深化优质护理、改善护理服务的通知》精神，结合自身实际，落实《护士条例》，不断夯实护理基础，持续提高综合护理水平。一是继续深化“优质护理服务”活动，树立主动服务意识，扩大优质护理服务的影响力。实行老同志带新招人员使他们不断学习掌握常规操作知识，积极开展延伸服务，严格医疗废物处置，严格护理操作常规。二是切实开展“三好一满意”的活动。注重护理水平提升，开展技术练兵，积极参加卫计局组织的各项活动。三是不断总结穿刺中存在的问题，积极开展护理新技术、新项目、新要求</w:t>
      </w:r>
      <w:r>
        <w:rPr>
          <w:rFonts w:hint="eastAsia" w:ascii="仿宋" w:hAnsi="仿宋" w:eastAsia="仿宋" w:cs="仿宋"/>
          <w:sz w:val="32"/>
          <w:szCs w:val="32"/>
          <w:lang w:eastAsia="zh-CN"/>
        </w:rPr>
        <w:t>。</w:t>
      </w:r>
    </w:p>
    <w:p>
      <w:pPr>
        <w:pageBreakBefore w:val="0"/>
        <w:kinsoku/>
        <w:wordWrap/>
        <w:overflowPunct/>
        <w:topLinePunct w:val="0"/>
        <w:bidi w:val="0"/>
        <w:spacing w:afterAutospacing="0" w:line="58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狠抓安全管理，规范化网络信息化建设。成立安全生产领导小组，由院长任组长，制定符合本院实际的安全生产实施方案，建立安全生产台账，并对我院安全生产隐患进行5次大排查，对于查出的安全隐患落实到责任人并明确整改时限，全年无安全责任事故的发生。强化信息网络建设。医院网络年久失修，</w:t>
      </w:r>
      <w:r>
        <w:rPr>
          <w:rFonts w:hint="eastAsia" w:ascii="仿宋" w:hAnsi="仿宋" w:eastAsia="仿宋" w:cs="仿宋"/>
          <w:sz w:val="32"/>
          <w:szCs w:val="32"/>
          <w:lang w:eastAsia="zh-CN"/>
        </w:rPr>
        <w:t>网络</w:t>
      </w:r>
      <w:r>
        <w:rPr>
          <w:rFonts w:hint="eastAsia" w:ascii="仿宋" w:hAnsi="仿宋" w:eastAsia="仿宋" w:cs="仿宋"/>
          <w:sz w:val="32"/>
          <w:szCs w:val="32"/>
        </w:rPr>
        <w:t>线路严重老化，网络运行不畅，聘请网络专职人员设计、替换老化线路并为机房更换新的网络设备，保证网络畅通并安排专人负责维护、维修网络建设，对医院连接互联网的计算机预装密保软件，以促进医院信息安全，多次</w:t>
      </w:r>
      <w:r>
        <w:rPr>
          <w:rFonts w:hint="eastAsia" w:ascii="仿宋" w:hAnsi="仿宋" w:eastAsia="仿宋" w:cs="仿宋"/>
          <w:sz w:val="32"/>
          <w:szCs w:val="32"/>
          <w:lang w:eastAsia="zh-CN"/>
        </w:rPr>
        <w:t>调派</w:t>
      </w:r>
      <w:r>
        <w:rPr>
          <w:rFonts w:hint="eastAsia" w:ascii="仿宋" w:hAnsi="仿宋" w:eastAsia="仿宋" w:cs="仿宋"/>
          <w:sz w:val="32"/>
          <w:szCs w:val="32"/>
        </w:rPr>
        <w:t>网络信息人员到上级学习，把学习的知识运用到实际网络建设中来</w:t>
      </w:r>
      <w:r>
        <w:rPr>
          <w:rFonts w:hint="eastAsia" w:ascii="仿宋" w:hAnsi="仿宋" w:eastAsia="仿宋" w:cs="仿宋"/>
          <w:sz w:val="32"/>
          <w:szCs w:val="32"/>
          <w:lang w:eastAsia="zh-CN"/>
        </w:rPr>
        <w:t>。</w:t>
      </w:r>
    </w:p>
    <w:p>
      <w:pPr>
        <w:pageBreakBefore w:val="0"/>
        <w:numPr>
          <w:ilvl w:val="0"/>
          <w:numId w:val="1"/>
        </w:numPr>
        <w:kinsoku/>
        <w:wordWrap/>
        <w:overflowPunct/>
        <w:topLinePunct w:val="0"/>
        <w:bidi w:val="0"/>
        <w:spacing w:afterAutospacing="0" w:line="580" w:lineRule="exact"/>
        <w:ind w:firstLine="640"/>
        <w:outlineLvl w:val="1"/>
        <w:rPr>
          <w:rStyle w:val="32"/>
          <w:rFonts w:hint="eastAsia" w:ascii="黑体" w:hAnsi="黑体" w:eastAsia="黑体" w:cs="Times New Roman"/>
          <w:b w:val="0"/>
          <w:bCs w:val="0"/>
          <w:color w:val="auto"/>
          <w:highlight w:val="none"/>
          <w:lang w:val="en-US" w:eastAsia="zh-CN" w:bidi="ar-SA"/>
        </w:rPr>
      </w:pPr>
      <w:bookmarkStart w:id="31" w:name="_Toc28063"/>
      <w:bookmarkStart w:id="32" w:name="_Toc23207"/>
      <w:r>
        <w:rPr>
          <w:rStyle w:val="32"/>
          <w:rFonts w:hint="eastAsia" w:ascii="黑体" w:hAnsi="黑体" w:eastAsia="黑体" w:cs="Times New Roman"/>
          <w:b w:val="0"/>
          <w:bCs w:val="0"/>
          <w:color w:val="auto"/>
          <w:highlight w:val="none"/>
          <w:lang w:val="en-US" w:eastAsia="zh-CN" w:bidi="ar-SA"/>
        </w:rPr>
        <w:t>机构设置</w:t>
      </w:r>
      <w:bookmarkEnd w:id="31"/>
    </w:p>
    <w:bookmarkEnd w:id="32"/>
    <w:p>
      <w:pPr>
        <w:pageBreakBefore w:val="0"/>
        <w:numPr>
          <w:ilvl w:val="0"/>
          <w:numId w:val="0"/>
        </w:numPr>
        <w:kinsoku/>
        <w:wordWrap/>
        <w:overflowPunct/>
        <w:topLinePunct w:val="0"/>
        <w:bidi w:val="0"/>
        <w:spacing w:afterAutospacing="0" w:line="580" w:lineRule="exact"/>
        <w:ind w:firstLine="640" w:firstLineChars="2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沙坝卫生院属于主管部门下属单位，属于二级预算单位，无下属机构。</w:t>
      </w:r>
    </w:p>
    <w:p>
      <w:pPr>
        <w:rPr>
          <w:rFonts w:hint="eastAsia" w:ascii="仿宋" w:hAnsi="仿宋" w:eastAsia="仿宋"/>
          <w:b w:val="0"/>
          <w:bCs w:val="0"/>
          <w:color w:val="auto"/>
          <w:sz w:val="32"/>
          <w:szCs w:val="32"/>
          <w:highlight w:val="none"/>
          <w:lang w:eastAsia="zh-CN"/>
        </w:rPr>
      </w:pPr>
    </w:p>
    <w:p>
      <w:pPr>
        <w:pStyle w:val="10"/>
        <w:rPr>
          <w:rFonts w:hint="eastAsia"/>
        </w:rPr>
      </w:pPr>
    </w:p>
    <w:p>
      <w:pPr>
        <w:pStyle w:val="5"/>
        <w:spacing w:after="51" w:afterAutospacing="0"/>
        <w:ind w:right="440"/>
        <w:jc w:val="center"/>
        <w:rPr>
          <w:rStyle w:val="12"/>
          <w:rFonts w:ascii="黑体" w:hAnsi="黑体" w:eastAsia="黑体"/>
          <w:b w:val="0"/>
          <w:bCs/>
          <w:color w:val="auto"/>
          <w:highlight w:val="none"/>
        </w:rPr>
      </w:pPr>
      <w:bookmarkStart w:id="33" w:name="_Toc31784"/>
      <w:bookmarkStart w:id="34" w:name="_Toc15377205"/>
      <w:bookmarkStart w:id="35" w:name="_Toc15396603"/>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2"/>
          <w:rFonts w:hint="eastAsia" w:ascii="黑体" w:hAnsi="黑体" w:eastAsia="黑体"/>
          <w:b w:val="0"/>
          <w:bCs/>
          <w:color w:val="auto"/>
          <w:highlight w:val="none"/>
          <w:lang w:eastAsia="zh-CN"/>
        </w:rPr>
        <w:t>单位</w:t>
      </w:r>
      <w:r>
        <w:rPr>
          <w:rStyle w:val="12"/>
          <w:rFonts w:hint="eastAsia" w:ascii="黑体" w:hAnsi="黑体" w:eastAsia="黑体"/>
          <w:b w:val="0"/>
          <w:bCs/>
          <w:color w:val="auto"/>
          <w:highlight w:val="none"/>
        </w:rPr>
        <w:t>决算情况说明</w:t>
      </w:r>
      <w:bookmarkEnd w:id="33"/>
    </w:p>
    <w:bookmarkEnd w:id="34"/>
    <w:bookmarkEnd w:id="35"/>
    <w:p>
      <w:pPr>
        <w:pStyle w:val="39"/>
        <w:numPr>
          <w:ilvl w:val="0"/>
          <w:numId w:val="2"/>
        </w:numPr>
        <w:spacing w:beforeAutospacing="0" w:line="600" w:lineRule="exact"/>
        <w:ind w:firstLineChars="0"/>
        <w:outlineLvl w:val="1"/>
        <w:rPr>
          <w:rStyle w:val="32"/>
          <w:rFonts w:ascii="黑体" w:hAnsi="黑体" w:eastAsia="黑体"/>
          <w:b w:val="0"/>
          <w:color w:val="auto"/>
          <w:highlight w:val="none"/>
        </w:rPr>
      </w:pPr>
      <w:bookmarkStart w:id="36" w:name="_Toc17820"/>
      <w:bookmarkStart w:id="37" w:name="_Toc1348"/>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入支出决算总体情况说明</w:t>
      </w:r>
      <w:bookmarkEnd w:id="36"/>
      <w:bookmarkEnd w:id="37"/>
    </w:p>
    <w:p>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沙坝卫生院</w:t>
      </w:r>
      <w:r>
        <w:rPr>
          <w:rFonts w:hint="eastAsia" w:ascii="仿宋" w:hAnsi="仿宋" w:eastAsia="仿宋" w:cs="仿宋"/>
          <w:color w:val="000000"/>
          <w:sz w:val="32"/>
          <w:szCs w:val="32"/>
        </w:rPr>
        <w:t>收</w:t>
      </w:r>
      <w:r>
        <w:rPr>
          <w:rFonts w:hint="eastAsia" w:ascii="仿宋" w:hAnsi="仿宋" w:eastAsia="仿宋" w:cs="仿宋"/>
          <w:color w:val="000000"/>
          <w:sz w:val="32"/>
          <w:szCs w:val="32"/>
          <w:lang w:eastAsia="zh-CN"/>
        </w:rPr>
        <w:t>支</w:t>
      </w:r>
      <w:r>
        <w:rPr>
          <w:rFonts w:hint="eastAsia" w:ascii="仿宋" w:hAnsi="仿宋" w:eastAsia="仿宋" w:cs="仿宋"/>
          <w:color w:val="000000"/>
          <w:sz w:val="32"/>
          <w:szCs w:val="32"/>
        </w:rPr>
        <w:t>总计</w:t>
      </w:r>
      <w:r>
        <w:rPr>
          <w:rFonts w:hint="eastAsia" w:ascii="仿宋" w:hAnsi="仿宋" w:eastAsia="仿宋" w:cs="仿宋"/>
          <w:color w:val="000000"/>
          <w:sz w:val="32"/>
          <w:szCs w:val="32"/>
          <w:lang w:val="en-US" w:eastAsia="zh-CN"/>
        </w:rPr>
        <w:t>168.6</w:t>
      </w:r>
      <w:r>
        <w:rPr>
          <w:rFonts w:hint="eastAsia" w:ascii="仿宋" w:hAnsi="仿宋" w:eastAsia="仿宋" w:cs="仿宋"/>
          <w:color w:val="000000"/>
          <w:sz w:val="32"/>
          <w:szCs w:val="32"/>
        </w:rPr>
        <w:t>万元，与</w:t>
      </w: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年相比</w:t>
      </w:r>
      <w:r>
        <w:rPr>
          <w:rFonts w:hint="eastAsia" w:ascii="仿宋" w:hAnsi="仿宋" w:eastAsia="仿宋" w:cs="仿宋"/>
          <w:color w:val="000000"/>
          <w:sz w:val="32"/>
          <w:szCs w:val="32"/>
          <w:lang w:eastAsia="zh-CN"/>
        </w:rPr>
        <w:t>收、支总计各减少</w:t>
      </w:r>
      <w:r>
        <w:rPr>
          <w:rFonts w:hint="eastAsia" w:ascii="仿宋" w:hAnsi="仿宋" w:eastAsia="仿宋" w:cs="仿宋"/>
          <w:color w:val="000000"/>
          <w:sz w:val="32"/>
          <w:szCs w:val="32"/>
        </w:rPr>
        <w:t>了</w:t>
      </w:r>
      <w:r>
        <w:rPr>
          <w:rFonts w:hint="eastAsia" w:ascii="仿宋" w:hAnsi="仿宋" w:eastAsia="仿宋" w:cs="仿宋"/>
          <w:color w:val="000000"/>
          <w:sz w:val="32"/>
          <w:szCs w:val="32"/>
          <w:lang w:val="en-US" w:eastAsia="zh-CN"/>
        </w:rPr>
        <w:t>0.1</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，减少</w:t>
      </w:r>
      <w:r>
        <w:rPr>
          <w:rFonts w:hint="eastAsia" w:ascii="仿宋" w:hAnsi="仿宋" w:eastAsia="仿宋" w:cs="仿宋"/>
          <w:color w:val="auto"/>
          <w:sz w:val="32"/>
          <w:szCs w:val="32"/>
          <w:lang w:val="en-US" w:eastAsia="zh-CN"/>
        </w:rPr>
        <w:t>0.06</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olor w:val="auto"/>
          <w:sz w:val="32"/>
          <w:szCs w:val="32"/>
          <w:highlight w:val="none"/>
          <w:lang w:eastAsia="zh-CN"/>
        </w:rPr>
        <w:t>收入</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2022年医疗收入相比上年增加了20.78万元，政府性基金增加2.19万元；政府性基金预算财政拨款减少了23.06万元，减少20.16%。2022年支出主要变动的原因是：医院合并预算减少，财政拨款减少。</w:t>
      </w:r>
    </w:p>
    <w:p>
      <w:pPr>
        <w:pageBreakBefore w:val="0"/>
        <w:kinsoku/>
        <w:wordWrap/>
        <w:overflowPunct/>
        <w:topLinePunct w:val="0"/>
        <w:bidi w:val="0"/>
        <w:spacing w:line="580" w:lineRule="exact"/>
        <w:ind w:firstLine="640" w:firstLineChars="200"/>
        <w:rPr>
          <w:rFonts w:hint="default" w:ascii="仿宋" w:hAnsi="仿宋" w:eastAsia="仿宋" w:cs="仿宋"/>
          <w:color w:val="auto"/>
          <w:sz w:val="32"/>
          <w:szCs w:val="32"/>
          <w:lang w:val="en-US" w:eastAsia="zh-CN"/>
        </w:rPr>
      </w:pPr>
    </w:p>
    <w:p>
      <w:pPr>
        <w:pStyle w:val="17"/>
        <w:pageBreakBefore w:val="0"/>
        <w:kinsoku/>
        <w:wordWrap/>
        <w:overflowPunct/>
        <w:topLinePunct w:val="0"/>
        <w:bidi w:val="0"/>
        <w:spacing w:line="240" w:lineRule="auto"/>
        <w:ind w:firstLine="0" w:firstLineChars="0"/>
        <w:jc w:val="center"/>
        <w:rPr>
          <w:rFonts w:hint="eastAsia"/>
          <w:lang w:val="en-US" w:eastAsia="zh-CN"/>
        </w:rPr>
      </w:pPr>
      <w:r>
        <w:pict>
          <v:shape id="_x0000_i1025" o:spt="75" type="#_x0000_t75" style="height:151.5pt;width:319.5pt;" filled="f" stroked="f" coordsize="21600,21600">
            <v:path/>
            <v:fill on="f" focussize="0,0"/>
            <v:stroke on="f"/>
            <v:imagedata r:id="rId10" o:title=""/>
            <o:lock v:ext="edit" aspectratio="t"/>
            <w10:wrap type="none"/>
            <w10:anchorlock/>
          </v:shape>
        </w:pict>
      </w:r>
    </w:p>
    <w:p>
      <w:pPr>
        <w:pageBreakBefore w:val="0"/>
        <w:kinsoku/>
        <w:wordWrap/>
        <w:overflowPunct/>
        <w:topLinePunct w:val="0"/>
        <w:bidi w:val="0"/>
        <w:spacing w:line="580" w:lineRule="exact"/>
        <w:jc w:val="center"/>
        <w:rPr>
          <w:rFonts w:ascii="仿宋_GB2312" w:eastAsia="仿宋_GB2312"/>
          <w:color w:val="000000"/>
          <w:sz w:val="32"/>
          <w:szCs w:val="32"/>
        </w:rPr>
      </w:pPr>
      <w:r>
        <w:rPr>
          <w:rFonts w:hint="eastAsia" w:ascii="仿宋" w:hAnsi="仿宋" w:eastAsia="仿宋" w:cs="Times New Roman"/>
          <w:color w:val="auto"/>
          <w:sz w:val="28"/>
          <w:szCs w:val="28"/>
          <w:highlight w:val="none"/>
        </w:rPr>
        <w:t>（图1：收、支决算总计变动情况图）（柱状图）</w:t>
      </w:r>
    </w:p>
    <w:p>
      <w:pPr>
        <w:pStyle w:val="39"/>
        <w:numPr>
          <w:ilvl w:val="0"/>
          <w:numId w:val="2"/>
        </w:numPr>
        <w:spacing w:line="600" w:lineRule="exact"/>
        <w:ind w:firstLineChars="0"/>
        <w:outlineLvl w:val="1"/>
        <w:rPr>
          <w:rStyle w:val="32"/>
          <w:rFonts w:ascii="黑体" w:hAnsi="黑体" w:eastAsia="黑体"/>
          <w:b w:val="0"/>
          <w:color w:val="auto"/>
          <w:highlight w:val="none"/>
        </w:rPr>
      </w:pPr>
      <w:bookmarkStart w:id="38" w:name="_Toc10670"/>
      <w:bookmarkStart w:id="39" w:name="_Toc15396604"/>
      <w:bookmarkStart w:id="40" w:name="_Toc3833"/>
      <w:bookmarkStart w:id="41" w:name="_Toc15377206"/>
      <w:bookmarkStart w:id="42" w:name="_Toc2165"/>
      <w:bookmarkStart w:id="43" w:name="_Toc7231"/>
      <w:bookmarkStart w:id="44" w:name="_Toc30664"/>
      <w:bookmarkStart w:id="45" w:name="_Toc394"/>
      <w:bookmarkStart w:id="46" w:name="_Toc14956"/>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入决算情况说明</w:t>
      </w:r>
      <w:bookmarkEnd w:id="38"/>
      <w:bookmarkEnd w:id="39"/>
      <w:bookmarkEnd w:id="40"/>
      <w:bookmarkEnd w:id="41"/>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lang w:val="en-US" w:eastAsia="zh-CN"/>
        </w:rPr>
      </w:pPr>
      <w:bookmarkStart w:id="47" w:name="_Toc7485"/>
      <w:bookmarkStart w:id="48" w:name="_Toc31018"/>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 xml:space="preserve"> 168.6</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91.33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54.17</w:t>
      </w:r>
      <w:r>
        <w:rPr>
          <w:rFonts w:ascii="仿宋" w:hAnsi="仿宋" w:eastAsia="仿宋"/>
          <w:color w:val="000000"/>
          <w:sz w:val="32"/>
          <w:szCs w:val="32"/>
        </w:rPr>
        <w:t>%</w:t>
      </w:r>
      <w:r>
        <w:rPr>
          <w:rFonts w:hint="eastAsia" w:ascii="仿宋" w:hAnsi="仿宋" w:eastAsia="仿宋"/>
          <w:color w:val="000000"/>
          <w:sz w:val="32"/>
          <w:szCs w:val="32"/>
        </w:rPr>
        <w:t>；国有资本经营预算财政拨款收入0万元，占0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75.08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44.53</w:t>
      </w:r>
      <w:r>
        <w:rPr>
          <w:rFonts w:ascii="仿宋" w:hAnsi="仿宋" w:eastAsia="仿宋"/>
          <w:color w:val="000000"/>
          <w:sz w:val="32"/>
          <w:szCs w:val="32"/>
        </w:rPr>
        <w:t>%</w:t>
      </w:r>
      <w:r>
        <w:rPr>
          <w:rFonts w:hint="eastAsia" w:ascii="仿宋" w:hAnsi="仿宋" w:eastAsia="仿宋"/>
          <w:color w:val="000000"/>
          <w:sz w:val="32"/>
          <w:szCs w:val="32"/>
        </w:rPr>
        <w:t>；经营收入0万元，占0</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2.19万元，占1.3%；</w:t>
      </w:r>
      <w:r>
        <w:rPr>
          <w:rFonts w:hint="eastAsia" w:ascii="仿宋" w:hAnsi="仿宋" w:eastAsia="仿宋"/>
          <w:color w:val="000000"/>
          <w:sz w:val="32"/>
          <w:szCs w:val="32"/>
        </w:rPr>
        <w:t>附属单位上缴收入0万元，占0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bookmarkEnd w:id="42"/>
      <w:bookmarkEnd w:id="43"/>
      <w:bookmarkEnd w:id="44"/>
      <w:bookmarkEnd w:id="45"/>
      <w:bookmarkEnd w:id="46"/>
      <w:bookmarkEnd w:id="47"/>
      <w:bookmarkEnd w:id="48"/>
    </w:p>
    <w:p>
      <w:pPr>
        <w:pStyle w:val="17"/>
        <w:pageBreakBefore w:val="0"/>
        <w:kinsoku/>
        <w:wordWrap/>
        <w:overflowPunct/>
        <w:topLinePunct w:val="0"/>
        <w:bidi w:val="0"/>
        <w:spacing w:line="240" w:lineRule="auto"/>
        <w:ind w:firstLine="0" w:firstLineChars="0"/>
        <w:jc w:val="center"/>
      </w:pPr>
      <w:r>
        <w:pict>
          <v:shape id="_x0000_i1026" o:spt="75" type="#_x0000_t75" style="height:139.5pt;width:334.5pt;" filled="f" o:preferrelative="t" stroked="f" coordsize="21600,21600">
            <v:path/>
            <v:fill on="f" focussize="0,0"/>
            <v:stroke on="f"/>
            <v:imagedata r:id="rId11"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（图2：收入决算结构图）（饼状图）</w:t>
      </w:r>
    </w:p>
    <w:p>
      <w:pPr>
        <w:pStyle w:val="39"/>
        <w:numPr>
          <w:ilvl w:val="0"/>
          <w:numId w:val="2"/>
        </w:numPr>
        <w:spacing w:line="600" w:lineRule="exact"/>
        <w:ind w:firstLineChars="0"/>
        <w:outlineLvl w:val="1"/>
        <w:rPr>
          <w:rStyle w:val="32"/>
          <w:rFonts w:ascii="黑体" w:hAnsi="黑体" w:eastAsia="黑体"/>
          <w:b w:val="0"/>
          <w:color w:val="auto"/>
          <w:highlight w:val="none"/>
        </w:rPr>
      </w:pPr>
      <w:bookmarkStart w:id="49" w:name="_Toc8813"/>
      <w:bookmarkStart w:id="50" w:name="_Toc15377207"/>
      <w:bookmarkStart w:id="51" w:name="_Toc15396605"/>
      <w:bookmarkStart w:id="52" w:name="_Toc345"/>
      <w:bookmarkStart w:id="53" w:name="_Toc3096"/>
      <w:bookmarkStart w:id="54" w:name="_Toc32489"/>
      <w:bookmarkStart w:id="55" w:name="_Toc2047"/>
      <w:bookmarkStart w:id="56" w:name="_Toc19720"/>
      <w:bookmarkStart w:id="57" w:name="_Toc25976"/>
      <w:r>
        <w:rPr>
          <w:rFonts w:hint="eastAsia" w:ascii="黑体" w:hAnsi="黑体" w:eastAsia="黑体"/>
          <w:color w:val="auto"/>
          <w:sz w:val="32"/>
          <w:szCs w:val="32"/>
          <w:highlight w:val="none"/>
        </w:rPr>
        <w:t>支</w:t>
      </w:r>
      <w:r>
        <w:rPr>
          <w:rStyle w:val="32"/>
          <w:rFonts w:hint="eastAsia" w:ascii="黑体" w:hAnsi="黑体" w:eastAsia="黑体"/>
          <w:b w:val="0"/>
          <w:color w:val="auto"/>
          <w:highlight w:val="none"/>
        </w:rPr>
        <w:t>出决算情况说明</w:t>
      </w:r>
      <w:bookmarkEnd w:id="49"/>
      <w:bookmarkEnd w:id="50"/>
      <w:bookmarkEnd w:id="51"/>
      <w:bookmarkEnd w:id="52"/>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rPr>
      </w:pPr>
      <w:bookmarkStart w:id="58" w:name="_Toc15991"/>
      <w:bookmarkStart w:id="59" w:name="_Toc30131"/>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168.6</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166.41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98.7</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2.19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1.3</w:t>
      </w:r>
      <w:r>
        <w:rPr>
          <w:rFonts w:ascii="仿宋" w:hAnsi="仿宋" w:eastAsia="仿宋"/>
          <w:color w:val="000000"/>
          <w:sz w:val="32"/>
          <w:szCs w:val="32"/>
        </w:rPr>
        <w:t>%</w:t>
      </w:r>
      <w:r>
        <w:rPr>
          <w:rFonts w:hint="eastAsia" w:ascii="仿宋" w:hAnsi="仿宋" w:eastAsia="仿宋"/>
          <w:color w:val="000000"/>
          <w:sz w:val="32"/>
          <w:szCs w:val="32"/>
        </w:rPr>
        <w:t>；上缴上级支出0万元，占0</w:t>
      </w:r>
      <w:r>
        <w:rPr>
          <w:rFonts w:ascii="仿宋" w:hAnsi="仿宋" w:eastAsia="仿宋"/>
          <w:color w:val="000000"/>
          <w:sz w:val="32"/>
          <w:szCs w:val="32"/>
        </w:rPr>
        <w:t>%</w:t>
      </w:r>
      <w:r>
        <w:rPr>
          <w:rFonts w:hint="eastAsia" w:ascii="仿宋" w:hAnsi="仿宋" w:eastAsia="仿宋"/>
          <w:color w:val="000000"/>
          <w:sz w:val="32"/>
          <w:szCs w:val="32"/>
        </w:rPr>
        <w:t>；经营支出0万元，占0</w:t>
      </w:r>
      <w:r>
        <w:rPr>
          <w:rFonts w:ascii="仿宋" w:hAnsi="仿宋" w:eastAsia="仿宋"/>
          <w:color w:val="000000"/>
          <w:sz w:val="32"/>
          <w:szCs w:val="32"/>
        </w:rPr>
        <w:t>%</w:t>
      </w:r>
      <w:r>
        <w:rPr>
          <w:rFonts w:hint="eastAsia" w:ascii="仿宋" w:hAnsi="仿宋" w:eastAsia="仿宋"/>
          <w:color w:val="000000"/>
          <w:sz w:val="32"/>
          <w:szCs w:val="32"/>
        </w:rPr>
        <w:t>；对附属单位补助支出0万元，占0</w:t>
      </w:r>
      <w:r>
        <w:rPr>
          <w:rFonts w:ascii="仿宋" w:hAnsi="仿宋" w:eastAsia="仿宋"/>
          <w:color w:val="000000"/>
          <w:sz w:val="32"/>
          <w:szCs w:val="32"/>
        </w:rPr>
        <w:t>%</w:t>
      </w:r>
      <w:r>
        <w:rPr>
          <w:rFonts w:hint="eastAsia" w:ascii="仿宋" w:hAnsi="仿宋" w:eastAsia="仿宋"/>
          <w:color w:val="000000"/>
          <w:sz w:val="32"/>
          <w:szCs w:val="32"/>
        </w:rPr>
        <w:t>。</w:t>
      </w:r>
      <w:bookmarkEnd w:id="53"/>
      <w:bookmarkEnd w:id="54"/>
      <w:bookmarkEnd w:id="55"/>
      <w:bookmarkEnd w:id="56"/>
      <w:bookmarkEnd w:id="57"/>
      <w:bookmarkEnd w:id="58"/>
      <w:bookmarkEnd w:id="59"/>
    </w:p>
    <w:p>
      <w:pPr>
        <w:pStyle w:val="17"/>
        <w:pageBreakBefore w:val="0"/>
        <w:kinsoku/>
        <w:wordWrap/>
        <w:overflowPunct/>
        <w:topLinePunct w:val="0"/>
        <w:bidi w:val="0"/>
        <w:spacing w:line="240" w:lineRule="auto"/>
        <w:ind w:left="0" w:leftChars="0" w:firstLine="0" w:firstLineChars="0"/>
        <w:jc w:val="center"/>
        <w:rPr>
          <w:rFonts w:hint="eastAsia" w:ascii="黑体" w:hAnsi="黑体" w:eastAsia="黑体"/>
          <w:color w:val="000000"/>
          <w:sz w:val="32"/>
          <w:szCs w:val="32"/>
        </w:rPr>
      </w:pPr>
      <w:bookmarkStart w:id="60" w:name="_Toc15377208"/>
      <w:bookmarkStart w:id="61" w:name="_Toc15396606"/>
      <w:r>
        <w:pict>
          <v:shape id="_x0000_i1027" o:spt="75" type="#_x0000_t75" style="height:150pt;width:331.5pt;" filled="f" stroked="f" coordsize="21600,21600">
            <v:path/>
            <v:fill on="f" focussize="0,0"/>
            <v:stroke on="f"/>
            <v:imagedata r:id="rId12"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（图3：支出决算结构图）（饼状图）</w:t>
      </w:r>
    </w:p>
    <w:p>
      <w:pPr>
        <w:pageBreakBefore w:val="0"/>
        <w:kinsoku/>
        <w:wordWrap/>
        <w:overflowPunct/>
        <w:topLinePunct w:val="0"/>
        <w:bidi w:val="0"/>
        <w:spacing w:line="580" w:lineRule="exact"/>
        <w:ind w:left="0" w:leftChars="0" w:firstLine="640" w:firstLineChars="200"/>
        <w:outlineLvl w:val="1"/>
        <w:rPr>
          <w:rStyle w:val="13"/>
          <w:rFonts w:ascii="黑体" w:hAnsi="黑体" w:eastAsia="黑体"/>
          <w:b w:val="0"/>
        </w:rPr>
      </w:pPr>
      <w:bookmarkStart w:id="62" w:name="_Toc3085"/>
      <w:bookmarkStart w:id="63" w:name="_Toc18509"/>
      <w:r>
        <w:rPr>
          <w:rFonts w:hint="eastAsia" w:ascii="黑体" w:hAnsi="黑体" w:eastAsia="黑体"/>
          <w:color w:val="000000"/>
          <w:sz w:val="32"/>
          <w:szCs w:val="32"/>
        </w:rPr>
        <w:t>四、</w:t>
      </w:r>
      <w:bookmarkEnd w:id="60"/>
      <w:bookmarkEnd w:id="61"/>
      <w:r>
        <w:rPr>
          <w:rFonts w:hint="eastAsia" w:ascii="黑体" w:hAnsi="黑体" w:eastAsia="黑体"/>
          <w:color w:val="auto"/>
          <w:sz w:val="32"/>
          <w:szCs w:val="32"/>
          <w:highlight w:val="none"/>
        </w:rPr>
        <w:t>财</w:t>
      </w:r>
      <w:r>
        <w:rPr>
          <w:rStyle w:val="32"/>
          <w:rFonts w:hint="eastAsia" w:ascii="黑体" w:hAnsi="黑体" w:eastAsia="黑体"/>
          <w:b w:val="0"/>
          <w:color w:val="auto"/>
          <w:highlight w:val="none"/>
        </w:rPr>
        <w:t>政拨款收入支出决算总体情况说明</w:t>
      </w:r>
      <w:bookmarkEnd w:id="62"/>
      <w:bookmarkEnd w:id="63"/>
    </w:p>
    <w:p>
      <w:pPr>
        <w:pageBreakBefore w:val="0"/>
        <w:kinsoku/>
        <w:wordWrap/>
        <w:overflowPunct/>
        <w:topLinePunct w:val="0"/>
        <w:bidi w:val="0"/>
        <w:spacing w:line="58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93.52</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2021</w:t>
      </w:r>
      <w:r>
        <w:rPr>
          <w:rFonts w:hint="eastAsia" w:ascii="仿宋" w:hAnsi="仿宋" w:eastAsia="仿宋"/>
          <w:color w:val="000000"/>
          <w:sz w:val="32"/>
          <w:szCs w:val="32"/>
          <w:lang w:val="en-US" w:eastAsia="zh-CN"/>
        </w:rPr>
        <w:t>年</w:t>
      </w:r>
    </w:p>
    <w:p>
      <w:pPr>
        <w:spacing w:line="600" w:lineRule="exact"/>
        <w:rPr>
          <w:rStyle w:val="29"/>
          <w:rFonts w:hint="default" w:ascii="仿宋_GB2312" w:eastAsia="仿宋"/>
          <w:b w:val="0"/>
          <w:color w:val="000000"/>
          <w:sz w:val="32"/>
          <w:szCs w:val="32"/>
          <w:lang w:val="en-US" w:eastAsia="zh-CN"/>
        </w:rPr>
      </w:pPr>
      <w:r>
        <w:rPr>
          <w:rFonts w:hint="eastAsia" w:ascii="仿宋" w:hAnsi="仿宋" w:eastAsia="仿宋"/>
          <w:color w:val="000000"/>
          <w:sz w:val="32"/>
          <w:szCs w:val="32"/>
        </w:rPr>
        <w:t>相比，财政拨款收、支总计各</w:t>
      </w:r>
      <w:r>
        <w:rPr>
          <w:rFonts w:hint="eastAsia" w:ascii="仿宋" w:hAnsi="仿宋" w:eastAsia="仿宋"/>
          <w:color w:val="000000"/>
          <w:sz w:val="32"/>
          <w:szCs w:val="32"/>
          <w:lang w:eastAsia="zh-CN"/>
        </w:rPr>
        <w:t>减少了</w:t>
      </w:r>
      <w:r>
        <w:rPr>
          <w:rFonts w:hint="eastAsia" w:ascii="仿宋" w:hAnsi="仿宋" w:eastAsia="仿宋"/>
          <w:color w:val="000000"/>
          <w:sz w:val="32"/>
          <w:szCs w:val="32"/>
          <w:lang w:val="en-US" w:eastAsia="zh-CN"/>
        </w:rPr>
        <w:t>20.87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减少了</w:t>
      </w:r>
      <w:r>
        <w:rPr>
          <w:rFonts w:hint="eastAsia" w:ascii="仿宋" w:hAnsi="仿宋" w:eastAsia="仿宋"/>
          <w:color w:val="000000"/>
          <w:sz w:val="32"/>
          <w:szCs w:val="32"/>
          <w:lang w:val="en-US" w:eastAsia="zh-CN"/>
        </w:rPr>
        <w:t>18.24%。</w:t>
      </w:r>
      <w:r>
        <w:rPr>
          <w:rFonts w:hint="eastAsia" w:ascii="仿宋" w:hAnsi="仿宋" w:eastAsia="仿宋"/>
          <w:color w:val="auto"/>
          <w:sz w:val="32"/>
          <w:szCs w:val="32"/>
          <w:highlight w:val="none"/>
          <w:lang w:val="en-US" w:eastAsia="zh-CN"/>
        </w:rPr>
        <w:t>2022年收入</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是政府性基金增加了</w:t>
      </w:r>
      <w:r>
        <w:rPr>
          <w:rFonts w:hint="eastAsia" w:ascii="仿宋" w:hAnsi="仿宋" w:eastAsia="仿宋"/>
          <w:color w:val="auto"/>
          <w:sz w:val="32"/>
          <w:szCs w:val="32"/>
          <w:highlight w:val="none"/>
          <w:lang w:val="en-US" w:eastAsia="zh-CN"/>
        </w:rPr>
        <w:t>2.19万元，</w:t>
      </w:r>
      <w:r>
        <w:rPr>
          <w:rFonts w:hint="eastAsia" w:ascii="仿宋" w:hAnsi="仿宋" w:eastAsia="仿宋"/>
          <w:color w:val="auto"/>
          <w:sz w:val="32"/>
          <w:szCs w:val="32"/>
          <w:highlight w:val="none"/>
          <w:lang w:eastAsia="zh-CN"/>
        </w:rPr>
        <w:t>一般公共预算拨款减少</w:t>
      </w:r>
      <w:r>
        <w:rPr>
          <w:rFonts w:hint="eastAsia" w:ascii="仿宋" w:hAnsi="仿宋" w:eastAsia="仿宋" w:cs="仿宋"/>
          <w:color w:val="auto"/>
          <w:sz w:val="32"/>
          <w:szCs w:val="32"/>
          <w:lang w:val="en-US" w:eastAsia="zh-CN"/>
        </w:rPr>
        <w:t>了20.87万元。2022年支出变动的主要原因是社会保障和就业支出减少了2.29万元，卫生健康支出减少了21.69万元，住房保障支出增加了0.91万元。</w:t>
      </w:r>
    </w:p>
    <w:p>
      <w:pPr>
        <w:keepNext w:val="0"/>
        <w:keepLines w:val="0"/>
        <w:pageBreakBefore w:val="0"/>
        <w:widowControl/>
        <w:suppressLineNumbers w:val="0"/>
        <w:kinsoku/>
        <w:wordWrap/>
        <w:overflowPunct/>
        <w:topLinePunct w:val="0"/>
        <w:bidi w:val="0"/>
        <w:spacing w:line="240" w:lineRule="auto"/>
        <w:jc w:val="center"/>
      </w:pPr>
      <w:r>
        <w:pict>
          <v:shape id="_x0000_i1028" o:spt="75" type="#_x0000_t75" style="height:132pt;width:312pt;" filled="f" stroked="f" coordsize="21600,21600">
            <v:path/>
            <v:fill on="f" focussize="0,0"/>
            <v:stroke on="f"/>
            <v:imagedata r:id="rId13"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（图4：财政拨款收、支决算总计变动情况）（柱状图）</w:t>
      </w:r>
    </w:p>
    <w:p>
      <w:pPr>
        <w:pageBreakBefore w:val="0"/>
        <w:kinsoku/>
        <w:wordWrap/>
        <w:overflowPunct/>
        <w:topLinePunct w:val="0"/>
        <w:bidi w:val="0"/>
        <w:spacing w:line="580" w:lineRule="exact"/>
        <w:ind w:left="0" w:leftChars="0" w:firstLine="640" w:firstLineChars="200"/>
        <w:outlineLvl w:val="1"/>
        <w:rPr>
          <w:rStyle w:val="13"/>
          <w:rFonts w:ascii="黑体" w:hAnsi="黑体" w:eastAsia="黑体"/>
          <w:b w:val="0"/>
        </w:rPr>
      </w:pPr>
      <w:bookmarkStart w:id="64" w:name="_Toc15377209"/>
      <w:bookmarkStart w:id="65" w:name="_Toc15396607"/>
      <w:bookmarkStart w:id="66" w:name="_Toc11881"/>
      <w:bookmarkStart w:id="67" w:name="_Toc24748"/>
      <w:r>
        <w:rPr>
          <w:rFonts w:hint="eastAsia" w:ascii="黑体" w:hAnsi="黑体" w:eastAsia="黑体"/>
          <w:color w:val="000000"/>
          <w:sz w:val="32"/>
          <w:szCs w:val="32"/>
        </w:rPr>
        <w:t>五、</w:t>
      </w:r>
      <w:bookmarkEnd w:id="64"/>
      <w:bookmarkEnd w:id="65"/>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般公共预算财政拨款支出决算情况说明</w:t>
      </w:r>
      <w:bookmarkEnd w:id="66"/>
      <w:bookmarkEnd w:id="67"/>
    </w:p>
    <w:p>
      <w:pPr>
        <w:spacing w:line="600" w:lineRule="exact"/>
        <w:ind w:firstLine="643" w:firstLineChars="200"/>
        <w:outlineLvl w:val="2"/>
        <w:rPr>
          <w:rFonts w:ascii="仿宋" w:hAnsi="仿宋" w:eastAsia="仿宋"/>
          <w:b/>
          <w:color w:val="auto"/>
          <w:sz w:val="32"/>
          <w:szCs w:val="32"/>
          <w:highlight w:val="none"/>
        </w:rPr>
      </w:pPr>
      <w:bookmarkStart w:id="68" w:name="_Toc15377210"/>
      <w:bookmarkStart w:id="69" w:name="_Toc18842"/>
      <w:r>
        <w:rPr>
          <w:rFonts w:hint="eastAsia" w:ascii="仿宋" w:hAnsi="仿宋" w:eastAsia="仿宋"/>
          <w:b/>
          <w:color w:val="auto"/>
          <w:sz w:val="32"/>
          <w:szCs w:val="32"/>
          <w:highlight w:val="none"/>
        </w:rPr>
        <w:t>（一）一般公共预算财政拨款支出决算总体情况</w:t>
      </w:r>
      <w:bookmarkEnd w:id="68"/>
      <w:bookmarkEnd w:id="69"/>
    </w:p>
    <w:p>
      <w:pPr>
        <w:pageBreakBefore w:val="0"/>
        <w:kinsoku/>
        <w:wordWrap/>
        <w:overflowPunct/>
        <w:topLinePunct w:val="0"/>
        <w:bidi w:val="0"/>
        <w:spacing w:line="58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91.33</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54.17</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年相比，一般公共预算财政拨款</w:t>
      </w:r>
      <w:r>
        <w:rPr>
          <w:rFonts w:hint="eastAsia" w:ascii="仿宋" w:hAnsi="仿宋" w:eastAsia="仿宋"/>
          <w:color w:val="000000"/>
          <w:sz w:val="32"/>
          <w:szCs w:val="32"/>
          <w:lang w:eastAsia="zh-CN"/>
        </w:rPr>
        <w:t>支出减少</w:t>
      </w:r>
      <w:r>
        <w:rPr>
          <w:rFonts w:hint="eastAsia" w:ascii="仿宋" w:hAnsi="仿宋" w:eastAsia="仿宋"/>
          <w:color w:val="000000"/>
          <w:sz w:val="32"/>
          <w:szCs w:val="32"/>
          <w:lang w:val="en-US" w:eastAsia="zh-CN"/>
        </w:rPr>
        <w:t>23.06</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20.16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基本因区划调整，财政拨款减少。</w:t>
      </w:r>
    </w:p>
    <w:p>
      <w:pPr>
        <w:keepNext w:val="0"/>
        <w:keepLines w:val="0"/>
        <w:pageBreakBefore w:val="0"/>
        <w:widowControl/>
        <w:suppressLineNumbers w:val="0"/>
        <w:kinsoku/>
        <w:wordWrap/>
        <w:overflowPunct/>
        <w:topLinePunct w:val="0"/>
        <w:bidi w:val="0"/>
        <w:spacing w:line="240" w:lineRule="auto"/>
        <w:jc w:val="center"/>
      </w:pPr>
      <w:r>
        <w:pict>
          <v:shape id="_x0000_i1029" o:spt="75" type="#_x0000_t75" style="height:136.5pt;width:277.5pt;" filled="f" stroked="f" coordsize="21600,21600">
            <v:path/>
            <v:fill on="f" focussize="0,0"/>
            <v:stroke on="f"/>
            <v:imagedata r:id="rId14" o:title=""/>
            <o:lock v:ext="edit" aspectratio="t"/>
            <w10:wrap type="none"/>
            <w10:anchorlock/>
          </v:shape>
        </w:pict>
      </w:r>
    </w:p>
    <w:p>
      <w:pPr>
        <w:pageBreakBefore w:val="0"/>
        <w:kinsoku/>
        <w:wordWrap/>
        <w:overflowPunct/>
        <w:topLinePunct w:val="0"/>
        <w:bidi w:val="0"/>
        <w:spacing w:line="580" w:lineRule="exact"/>
        <w:rPr>
          <w:rFonts w:hint="default"/>
          <w:sz w:val="28"/>
          <w:szCs w:val="28"/>
          <w:lang w:val="en-US" w:eastAsia="zh-CN"/>
        </w:rPr>
      </w:pPr>
      <w:r>
        <w:rPr>
          <w:rFonts w:hint="eastAsia" w:ascii="仿宋" w:hAnsi="仿宋" w:eastAsia="仿宋"/>
          <w:color w:val="auto"/>
          <w:sz w:val="28"/>
          <w:szCs w:val="28"/>
          <w:highlight w:val="none"/>
        </w:rPr>
        <w:t>（图5：一般公共预算财政拨款支出决算变动情况）（柱状图）</w:t>
      </w:r>
    </w:p>
    <w:p>
      <w:pPr>
        <w:pageBreakBefore w:val="0"/>
        <w:numPr>
          <w:ilvl w:val="0"/>
          <w:numId w:val="3"/>
        </w:numPr>
        <w:kinsoku/>
        <w:wordWrap/>
        <w:overflowPunct/>
        <w:topLinePunct w:val="0"/>
        <w:bidi w:val="0"/>
        <w:spacing w:line="580" w:lineRule="exact"/>
        <w:ind w:firstLine="643" w:firstLineChars="200"/>
        <w:outlineLvl w:val="2"/>
        <w:rPr>
          <w:rFonts w:hint="eastAsia" w:ascii="仿宋" w:hAnsi="仿宋" w:eastAsia="仿宋"/>
          <w:b/>
          <w:color w:val="auto"/>
          <w:sz w:val="32"/>
          <w:szCs w:val="32"/>
          <w:highlight w:val="none"/>
        </w:rPr>
      </w:pPr>
      <w:bookmarkStart w:id="70" w:name="_Toc15377211"/>
      <w:bookmarkStart w:id="71" w:name="_Toc15773"/>
      <w:r>
        <w:rPr>
          <w:rFonts w:hint="eastAsia" w:ascii="仿宋" w:hAnsi="仿宋" w:eastAsia="仿宋"/>
          <w:b/>
          <w:color w:val="auto"/>
          <w:sz w:val="32"/>
          <w:szCs w:val="32"/>
          <w:highlight w:val="none"/>
        </w:rPr>
        <w:t>一般公共预算财政拨款支出决算结构情况</w:t>
      </w:r>
      <w:bookmarkEnd w:id="70"/>
      <w:bookmarkEnd w:id="71"/>
    </w:p>
    <w:p>
      <w:pPr>
        <w:pageBreakBefore w:val="0"/>
        <w:numPr>
          <w:ilvl w:val="0"/>
          <w:numId w:val="0"/>
        </w:numPr>
        <w:kinsoku/>
        <w:wordWrap/>
        <w:overflowPunct/>
        <w:topLinePunct w:val="0"/>
        <w:bidi w:val="0"/>
        <w:spacing w:line="58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91.33</w:t>
      </w:r>
      <w:r>
        <w:rPr>
          <w:rFonts w:hint="eastAsia" w:ascii="仿宋" w:hAnsi="仿宋" w:eastAsia="仿宋"/>
          <w:color w:val="000000"/>
          <w:sz w:val="32"/>
          <w:szCs w:val="32"/>
        </w:rPr>
        <w:t>万元，主要用</w:t>
      </w:r>
      <w:r>
        <w:rPr>
          <w:rFonts w:hint="eastAsia" w:ascii="仿宋" w:hAnsi="仿宋" w:eastAsia="仿宋"/>
          <w:color w:val="000000"/>
          <w:sz w:val="32"/>
          <w:szCs w:val="32"/>
          <w:lang w:eastAsia="zh-CN"/>
        </w:rPr>
        <w:t>于</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9.74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10.66</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73.32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80.27</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住房保障支出</w:t>
      </w:r>
      <w:r>
        <w:rPr>
          <w:rFonts w:hint="eastAsia" w:ascii="仿宋" w:hAnsi="仿宋" w:eastAsia="仿宋"/>
          <w:color w:val="000000"/>
          <w:sz w:val="32"/>
          <w:szCs w:val="32"/>
          <w:lang w:val="en-US" w:eastAsia="zh-CN"/>
        </w:rPr>
        <w:t>8.28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9.07</w:t>
      </w:r>
      <w:r>
        <w:rPr>
          <w:rFonts w:ascii="仿宋" w:hAnsi="仿宋" w:eastAsia="仿宋"/>
          <w:color w:val="000000"/>
          <w:sz w:val="32"/>
          <w:szCs w:val="32"/>
        </w:rPr>
        <w:t>%</w:t>
      </w:r>
      <w:r>
        <w:rPr>
          <w:rFonts w:hint="eastAsia" w:ascii="仿宋" w:hAnsi="仿宋" w:eastAsia="仿宋"/>
          <w:color w:val="000000"/>
          <w:sz w:val="32"/>
          <w:szCs w:val="32"/>
          <w:lang w:val="en-US" w:eastAsia="zh-CN"/>
        </w:rPr>
        <w:t>.</w:t>
      </w:r>
    </w:p>
    <w:p>
      <w:pPr>
        <w:pStyle w:val="17"/>
        <w:pageBreakBefore w:val="0"/>
        <w:kinsoku/>
        <w:wordWrap/>
        <w:overflowPunct/>
        <w:topLinePunct w:val="0"/>
        <w:bidi w:val="0"/>
        <w:spacing w:line="240" w:lineRule="auto"/>
        <w:ind w:firstLine="0" w:firstLineChars="0"/>
        <w:jc w:val="center"/>
        <w:rPr>
          <w:rFonts w:hint="eastAsia"/>
        </w:rPr>
      </w:pPr>
      <w:r>
        <w:pict>
          <v:shape id="_x0000_i1030" o:spt="75" type="#_x0000_t75" style="height:163.5pt;width:319.5pt;" filled="f" stroked="f" coordsize="21600,21600">
            <v:path/>
            <v:fill on="f" focussize="0,0"/>
            <v:stroke on="f"/>
            <v:imagedata r:id="rId15" o:title=""/>
            <o:lock v:ext="edit" aspectratio="t"/>
            <w10:wrap type="none"/>
            <w10:anchorlock/>
          </v:shape>
        </w:pict>
      </w:r>
    </w:p>
    <w:p>
      <w:pPr>
        <w:pageBreakBefore w:val="0"/>
        <w:kinsoku/>
        <w:wordWrap/>
        <w:overflowPunct/>
        <w:topLinePunct w:val="0"/>
        <w:bidi w:val="0"/>
        <w:spacing w:line="580" w:lineRule="exact"/>
        <w:jc w:val="center"/>
        <w:rPr>
          <w:rFonts w:ascii="仿宋" w:hAnsi="仿宋" w:eastAsia="仿宋"/>
          <w:color w:val="000000"/>
          <w:sz w:val="24"/>
          <w:szCs w:val="24"/>
        </w:rPr>
      </w:pPr>
      <w:r>
        <w:rPr>
          <w:rFonts w:hint="eastAsia" w:ascii="仿宋" w:hAnsi="仿宋" w:eastAsia="仿宋"/>
          <w:color w:val="auto"/>
          <w:sz w:val="24"/>
          <w:szCs w:val="24"/>
          <w:highlight w:val="none"/>
        </w:rPr>
        <w:t>（图6：一般公共预算财政拨款支出决算结构）（饼状图）</w:t>
      </w:r>
    </w:p>
    <w:p>
      <w:pPr>
        <w:pageBreakBefore w:val="0"/>
        <w:kinsoku/>
        <w:wordWrap/>
        <w:overflowPunct/>
        <w:topLinePunct w:val="0"/>
        <w:bidi w:val="0"/>
        <w:spacing w:line="580" w:lineRule="exact"/>
        <w:ind w:left="0" w:leftChars="0" w:firstLine="643" w:firstLineChars="200"/>
        <w:outlineLvl w:val="2"/>
        <w:rPr>
          <w:rFonts w:hint="eastAsia" w:ascii="仿宋" w:hAnsi="仿宋" w:eastAsia="仿宋" w:cs="仿宋"/>
          <w:b/>
          <w:color w:val="000000"/>
          <w:sz w:val="32"/>
          <w:szCs w:val="32"/>
        </w:rPr>
      </w:pPr>
      <w:bookmarkStart w:id="72" w:name="_Toc15377212"/>
      <w:bookmarkStart w:id="73" w:name="_Toc18020"/>
      <w:r>
        <w:rPr>
          <w:rFonts w:hint="eastAsia" w:ascii="仿宋" w:hAnsi="仿宋" w:eastAsia="仿宋" w:cs="仿宋"/>
          <w:b/>
          <w:color w:val="auto"/>
          <w:sz w:val="32"/>
          <w:szCs w:val="32"/>
          <w:highlight w:val="none"/>
        </w:rPr>
        <w:t>（三）一般公共预算财政拨款支出决算具体情况</w:t>
      </w:r>
      <w:bookmarkEnd w:id="72"/>
      <w:bookmarkEnd w:id="73"/>
    </w:p>
    <w:p>
      <w:pPr>
        <w:pageBreakBefore w:val="0"/>
        <w:kinsoku/>
        <w:wordWrap/>
        <w:overflowPunct/>
        <w:topLinePunct w:val="0"/>
        <w:bidi w:val="0"/>
        <w:spacing w:line="580" w:lineRule="exact"/>
        <w:ind w:firstLine="643" w:firstLineChars="200"/>
        <w:outlineLvl w:val="1"/>
        <w:rPr>
          <w:rStyle w:val="29"/>
          <w:rFonts w:hint="eastAsia" w:ascii="仿宋" w:hAnsi="仿宋" w:eastAsia="仿宋" w:cs="仿宋"/>
          <w:bCs/>
          <w:color w:val="000000"/>
          <w:sz w:val="32"/>
          <w:szCs w:val="32"/>
        </w:rPr>
      </w:pPr>
      <w:bookmarkStart w:id="74" w:name="_Toc15377444"/>
      <w:bookmarkStart w:id="75" w:name="_Toc15377213"/>
      <w:bookmarkStart w:id="76" w:name="_Toc15378460"/>
      <w:bookmarkStart w:id="77" w:name="_Toc27148"/>
      <w:r>
        <w:rPr>
          <w:rFonts w:hint="eastAsia" w:ascii="仿宋" w:hAnsi="仿宋" w:eastAsia="仿宋" w:cs="仿宋"/>
          <w:b/>
          <w:color w:val="000000"/>
          <w:sz w:val="32"/>
          <w:szCs w:val="32"/>
          <w:lang w:eastAsia="zh-CN"/>
        </w:rPr>
        <w:t>2022</w:t>
      </w:r>
      <w:r>
        <w:rPr>
          <w:rFonts w:hint="eastAsia" w:ascii="仿宋" w:hAnsi="仿宋" w:eastAsia="仿宋" w:cs="仿宋"/>
          <w:b/>
          <w:color w:val="000000"/>
          <w:sz w:val="32"/>
          <w:szCs w:val="32"/>
        </w:rPr>
        <w:t>年一般公共预算支出决算数为</w:t>
      </w:r>
      <w:r>
        <w:rPr>
          <w:rFonts w:hint="eastAsia" w:ascii="仿宋" w:hAnsi="仿宋" w:eastAsia="仿宋" w:cs="仿宋"/>
          <w:b/>
          <w:color w:val="000000"/>
          <w:sz w:val="32"/>
          <w:szCs w:val="32"/>
          <w:lang w:val="en-US" w:eastAsia="zh-CN"/>
        </w:rPr>
        <w:t>91.33万元</w:t>
      </w:r>
      <w:r>
        <w:rPr>
          <w:rFonts w:hint="eastAsia" w:ascii="仿宋" w:hAnsi="仿宋" w:eastAsia="仿宋" w:cs="仿宋"/>
          <w:color w:val="000000"/>
          <w:sz w:val="32"/>
          <w:szCs w:val="32"/>
        </w:rPr>
        <w:t>，</w:t>
      </w:r>
      <w:r>
        <w:rPr>
          <w:rStyle w:val="29"/>
          <w:rFonts w:hint="eastAsia" w:ascii="仿宋" w:hAnsi="仿宋" w:eastAsia="仿宋" w:cs="仿宋"/>
          <w:bCs/>
          <w:color w:val="000000"/>
          <w:sz w:val="32"/>
          <w:szCs w:val="32"/>
        </w:rPr>
        <w:t>完成预算</w:t>
      </w:r>
      <w:r>
        <w:rPr>
          <w:rStyle w:val="29"/>
          <w:rFonts w:hint="eastAsia" w:ascii="仿宋" w:hAnsi="仿宋" w:eastAsia="仿宋" w:cs="仿宋"/>
          <w:bCs/>
          <w:color w:val="000000"/>
          <w:sz w:val="32"/>
          <w:szCs w:val="32"/>
          <w:lang w:val="en-US" w:eastAsia="zh-CN"/>
        </w:rPr>
        <w:t>100</w:t>
      </w:r>
      <w:r>
        <w:rPr>
          <w:rStyle w:val="29"/>
          <w:rFonts w:hint="eastAsia" w:ascii="仿宋" w:hAnsi="仿宋" w:eastAsia="仿宋" w:cs="仿宋"/>
          <w:bCs/>
          <w:color w:val="000000"/>
          <w:sz w:val="32"/>
          <w:szCs w:val="32"/>
        </w:rPr>
        <w:t>%。其中：</w:t>
      </w:r>
      <w:bookmarkEnd w:id="74"/>
      <w:bookmarkEnd w:id="75"/>
      <w:bookmarkEnd w:id="76"/>
      <w:bookmarkEnd w:id="77"/>
    </w:p>
    <w:p>
      <w:pPr>
        <w:pageBreakBefore w:val="0"/>
        <w:kinsoku/>
        <w:wordWrap/>
        <w:overflowPunct/>
        <w:topLinePunct w:val="0"/>
        <w:bidi w:val="0"/>
        <w:spacing w:line="580" w:lineRule="exact"/>
        <w:ind w:firstLine="643"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（类）基层医疗卫生机构（款）</w:t>
      </w:r>
      <w:r>
        <w:rPr>
          <w:rStyle w:val="29"/>
          <w:rFonts w:hint="eastAsia" w:ascii="仿宋" w:hAnsi="仿宋" w:eastAsia="仿宋" w:cs="仿宋"/>
          <w:color w:val="000000"/>
          <w:sz w:val="32"/>
          <w:szCs w:val="32"/>
        </w:rPr>
        <w:t>乡镇卫生院（项）</w:t>
      </w:r>
      <w:r>
        <w:rPr>
          <w:rStyle w:val="29"/>
          <w:rFonts w:hint="eastAsia" w:ascii="仿宋" w:hAnsi="仿宋" w:eastAsia="仿宋" w:cs="仿宋"/>
          <w:color w:val="000000"/>
          <w:sz w:val="32"/>
          <w:szCs w:val="32"/>
          <w:lang w:eastAsia="zh-CN"/>
        </w:rPr>
        <w:t>：</w:t>
      </w:r>
      <w:r>
        <w:rPr>
          <w:rStyle w:val="29"/>
          <w:rFonts w:hint="eastAsia" w:ascii="仿宋" w:hAnsi="仿宋" w:eastAsia="仿宋" w:cs="仿宋"/>
          <w:b w:val="0"/>
          <w:color w:val="000000"/>
          <w:sz w:val="32"/>
          <w:szCs w:val="32"/>
        </w:rPr>
        <w:t>主要</w:t>
      </w:r>
      <w:r>
        <w:rPr>
          <w:rStyle w:val="29"/>
          <w:rFonts w:hint="eastAsia" w:ascii="仿宋" w:hAnsi="仿宋" w:eastAsia="仿宋" w:cs="仿宋"/>
          <w:b w:val="0"/>
          <w:color w:val="000000"/>
          <w:sz w:val="32"/>
          <w:szCs w:val="32"/>
          <w:lang w:eastAsia="zh-CN"/>
        </w:rPr>
        <w:t>用于乡镇</w:t>
      </w:r>
      <w:r>
        <w:rPr>
          <w:rStyle w:val="29"/>
          <w:rFonts w:hint="eastAsia" w:ascii="仿宋" w:hAnsi="仿宋" w:eastAsia="仿宋" w:cs="仿宋"/>
          <w:b w:val="0"/>
          <w:color w:val="000000"/>
          <w:sz w:val="32"/>
          <w:szCs w:val="32"/>
        </w:rPr>
        <w:t>卫生院人员经费</w:t>
      </w:r>
      <w:r>
        <w:rPr>
          <w:rStyle w:val="29"/>
          <w:rFonts w:hint="eastAsia" w:ascii="仿宋" w:hAnsi="仿宋" w:eastAsia="仿宋" w:cs="仿宋"/>
          <w:b w:val="0"/>
          <w:color w:val="000000"/>
          <w:sz w:val="32"/>
          <w:szCs w:val="32"/>
          <w:lang w:eastAsia="zh-CN"/>
        </w:rPr>
        <w:t>，</w:t>
      </w:r>
      <w:r>
        <w:rPr>
          <w:rStyle w:val="29"/>
          <w:rFonts w:hint="eastAsia" w:ascii="仿宋" w:hAnsi="仿宋" w:eastAsia="仿宋" w:cs="仿宋"/>
          <w:b w:val="0"/>
          <w:bCs/>
          <w:color w:val="000000"/>
          <w:sz w:val="32"/>
          <w:szCs w:val="32"/>
        </w:rPr>
        <w:t>决算数</w:t>
      </w:r>
      <w:r>
        <w:rPr>
          <w:rStyle w:val="29"/>
          <w:rFonts w:hint="eastAsia" w:ascii="仿宋" w:hAnsi="仿宋" w:eastAsia="仿宋" w:cs="仿宋"/>
          <w:b w:val="0"/>
          <w:bCs/>
          <w:color w:val="000000"/>
          <w:sz w:val="32"/>
          <w:szCs w:val="32"/>
          <w:lang w:val="en-US" w:eastAsia="zh-CN"/>
        </w:rPr>
        <w:t>70.45</w:t>
      </w:r>
      <w:r>
        <w:rPr>
          <w:rStyle w:val="29"/>
          <w:rFonts w:hint="eastAsia" w:ascii="仿宋" w:hAnsi="仿宋" w:eastAsia="仿宋" w:cs="仿宋"/>
          <w:b w:val="0"/>
          <w:bCs/>
          <w:color w:val="000000"/>
          <w:sz w:val="32"/>
          <w:szCs w:val="32"/>
        </w:rPr>
        <w:t>万元</w:t>
      </w:r>
      <w:r>
        <w:rPr>
          <w:rStyle w:val="29"/>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pageBreakBefore w:val="0"/>
        <w:kinsoku/>
        <w:wordWrap/>
        <w:overflowPunct/>
        <w:topLinePunct w:val="0"/>
        <w:bidi w:val="0"/>
        <w:spacing w:line="580" w:lineRule="exact"/>
        <w:ind w:firstLine="643" w:firstLineChars="200"/>
        <w:rPr>
          <w:rFonts w:hint="eastAsia" w:ascii="仿宋" w:hAnsi="仿宋" w:eastAsia="仿宋" w:cs="仿宋"/>
          <w:color w:val="000000"/>
          <w:sz w:val="32"/>
          <w:szCs w:val="32"/>
        </w:rPr>
      </w:pPr>
      <w:r>
        <w:rPr>
          <w:rStyle w:val="29"/>
          <w:rFonts w:hint="eastAsia" w:ascii="仿宋" w:hAnsi="仿宋" w:eastAsia="仿宋" w:cs="仿宋"/>
          <w:bCs/>
          <w:color w:val="000000"/>
          <w:sz w:val="32"/>
          <w:szCs w:val="32"/>
        </w:rPr>
        <w:t>卫生健康支出（类）行政事业单位（款）事业单位医疗（项）</w:t>
      </w:r>
      <w:r>
        <w:rPr>
          <w:rStyle w:val="29"/>
          <w:rFonts w:hint="eastAsia" w:ascii="仿宋" w:hAnsi="仿宋" w:eastAsia="仿宋" w:cs="仿宋"/>
          <w:b w:val="0"/>
          <w:color w:val="000000"/>
          <w:sz w:val="32"/>
          <w:szCs w:val="32"/>
        </w:rPr>
        <w:t>：用于在职</w:t>
      </w:r>
      <w:r>
        <w:rPr>
          <w:rStyle w:val="29"/>
          <w:rFonts w:hint="eastAsia" w:ascii="仿宋" w:hAnsi="仿宋" w:eastAsia="仿宋" w:cs="仿宋"/>
          <w:b w:val="0"/>
          <w:color w:val="000000"/>
          <w:sz w:val="32"/>
          <w:szCs w:val="32"/>
          <w:lang w:eastAsia="zh-CN"/>
        </w:rPr>
        <w:t>在编人员</w:t>
      </w:r>
      <w:r>
        <w:rPr>
          <w:rStyle w:val="29"/>
          <w:rFonts w:hint="eastAsia" w:ascii="仿宋" w:hAnsi="仿宋" w:eastAsia="仿宋" w:cs="仿宋"/>
          <w:b w:val="0"/>
          <w:color w:val="000000"/>
          <w:sz w:val="32"/>
          <w:szCs w:val="32"/>
        </w:rPr>
        <w:t>医疗保险支出，</w:t>
      </w:r>
      <w:r>
        <w:rPr>
          <w:rStyle w:val="29"/>
          <w:rFonts w:hint="eastAsia" w:ascii="仿宋" w:hAnsi="仿宋" w:eastAsia="仿宋" w:cs="仿宋"/>
          <w:b w:val="0"/>
          <w:color w:val="000000"/>
          <w:sz w:val="32"/>
          <w:szCs w:val="32"/>
          <w:lang w:val="en-US" w:eastAsia="zh-CN"/>
        </w:rPr>
        <w:t>2022</w:t>
      </w:r>
      <w:r>
        <w:rPr>
          <w:rStyle w:val="29"/>
          <w:rFonts w:hint="eastAsia" w:ascii="仿宋" w:hAnsi="仿宋" w:eastAsia="仿宋" w:cs="仿宋"/>
          <w:b w:val="0"/>
          <w:color w:val="000000"/>
          <w:sz w:val="32"/>
          <w:szCs w:val="32"/>
        </w:rPr>
        <w:t>年决算数</w:t>
      </w:r>
      <w:r>
        <w:rPr>
          <w:rStyle w:val="29"/>
          <w:rFonts w:hint="eastAsia" w:ascii="仿宋" w:hAnsi="仿宋" w:eastAsia="仿宋" w:cs="仿宋"/>
          <w:b w:val="0"/>
          <w:color w:val="000000"/>
          <w:sz w:val="32"/>
          <w:szCs w:val="32"/>
          <w:lang w:val="en-US" w:eastAsia="zh-CN"/>
        </w:rPr>
        <w:t>2.87</w:t>
      </w:r>
      <w:r>
        <w:rPr>
          <w:rStyle w:val="29"/>
          <w:rFonts w:hint="eastAsia" w:ascii="仿宋" w:hAnsi="仿宋" w:eastAsia="仿宋" w:cs="仿宋"/>
          <w:b w:val="0"/>
          <w:color w:val="000000"/>
          <w:sz w:val="32"/>
          <w:szCs w:val="32"/>
        </w:rPr>
        <w:t>万元，</w:t>
      </w:r>
      <w:r>
        <w:rPr>
          <w:rFonts w:hint="eastAsia" w:ascii="仿宋" w:hAnsi="仿宋" w:eastAsia="仿宋" w:cs="仿宋"/>
          <w:color w:val="000000"/>
          <w:sz w:val="32"/>
          <w:szCs w:val="32"/>
        </w:rPr>
        <w:t>完成预算100%。</w:t>
      </w:r>
    </w:p>
    <w:p>
      <w:pPr>
        <w:pageBreakBefore w:val="0"/>
        <w:kinsoku/>
        <w:wordWrap/>
        <w:overflowPunct/>
        <w:topLinePunct w:val="0"/>
        <w:bidi w:val="0"/>
        <w:spacing w:line="580" w:lineRule="exact"/>
        <w:ind w:firstLine="643" w:firstLineChars="200"/>
        <w:rPr>
          <w:rStyle w:val="29"/>
          <w:rFonts w:hint="eastAsia" w:ascii="仿宋" w:hAnsi="仿宋" w:eastAsia="仿宋" w:cs="仿宋"/>
          <w:b w:val="0"/>
          <w:color w:val="000000"/>
          <w:sz w:val="32"/>
          <w:szCs w:val="32"/>
          <w:lang w:eastAsia="zh-CN"/>
        </w:rPr>
      </w:pPr>
      <w:r>
        <w:rPr>
          <w:rStyle w:val="29"/>
          <w:rFonts w:hint="eastAsia" w:ascii="仿宋" w:hAnsi="仿宋" w:eastAsia="仿宋" w:cs="仿宋"/>
          <w:color w:val="000000"/>
          <w:sz w:val="32"/>
          <w:szCs w:val="32"/>
        </w:rPr>
        <w:t>住房保障支出（类）住房改革支出（款）</w:t>
      </w:r>
      <w:r>
        <w:rPr>
          <w:rStyle w:val="29"/>
          <w:rFonts w:hint="eastAsia" w:ascii="仿宋" w:hAnsi="仿宋" w:eastAsia="仿宋" w:cs="仿宋"/>
          <w:bCs/>
          <w:color w:val="000000"/>
          <w:sz w:val="32"/>
          <w:szCs w:val="32"/>
        </w:rPr>
        <w:t>住房公积金支出（项）</w:t>
      </w:r>
      <w:r>
        <w:rPr>
          <w:rStyle w:val="29"/>
          <w:rFonts w:hint="eastAsia" w:ascii="仿宋" w:hAnsi="仿宋" w:eastAsia="仿宋" w:cs="仿宋"/>
          <w:b w:val="0"/>
          <w:color w:val="000000"/>
          <w:sz w:val="32"/>
          <w:szCs w:val="32"/>
        </w:rPr>
        <w:t>:主要用于</w:t>
      </w:r>
      <w:r>
        <w:rPr>
          <w:rStyle w:val="29"/>
          <w:rFonts w:hint="eastAsia" w:ascii="仿宋" w:hAnsi="仿宋" w:eastAsia="仿宋" w:cs="仿宋"/>
          <w:b w:val="0"/>
          <w:color w:val="000000"/>
          <w:sz w:val="32"/>
          <w:szCs w:val="32"/>
          <w:lang w:eastAsia="zh-CN"/>
        </w:rPr>
        <w:t>在职在编人员</w:t>
      </w:r>
      <w:r>
        <w:rPr>
          <w:rStyle w:val="29"/>
          <w:rFonts w:hint="eastAsia" w:ascii="仿宋" w:hAnsi="仿宋" w:eastAsia="仿宋" w:cs="仿宋"/>
          <w:b w:val="0"/>
          <w:color w:val="000000"/>
          <w:sz w:val="32"/>
          <w:szCs w:val="32"/>
        </w:rPr>
        <w:t>缴纳住房公积金支出。</w:t>
      </w:r>
      <w:r>
        <w:rPr>
          <w:rStyle w:val="29"/>
          <w:rFonts w:hint="eastAsia" w:ascii="仿宋" w:hAnsi="仿宋" w:eastAsia="仿宋" w:cs="仿宋"/>
          <w:b w:val="0"/>
          <w:color w:val="000000"/>
          <w:sz w:val="32"/>
          <w:szCs w:val="32"/>
          <w:lang w:val="en-US" w:eastAsia="zh-CN"/>
        </w:rPr>
        <w:t>2022</w:t>
      </w:r>
      <w:r>
        <w:rPr>
          <w:rStyle w:val="29"/>
          <w:rFonts w:hint="eastAsia" w:ascii="仿宋" w:hAnsi="仿宋" w:eastAsia="仿宋" w:cs="仿宋"/>
          <w:b w:val="0"/>
          <w:color w:val="000000"/>
          <w:sz w:val="32"/>
          <w:szCs w:val="32"/>
        </w:rPr>
        <w:t>年决算数为</w:t>
      </w:r>
      <w:r>
        <w:rPr>
          <w:rStyle w:val="29"/>
          <w:rFonts w:hint="eastAsia" w:ascii="仿宋" w:hAnsi="仿宋" w:eastAsia="仿宋" w:cs="仿宋"/>
          <w:b w:val="0"/>
          <w:color w:val="000000"/>
          <w:sz w:val="32"/>
          <w:szCs w:val="32"/>
          <w:lang w:val="en-US" w:eastAsia="zh-CN"/>
        </w:rPr>
        <w:t>8.28</w:t>
      </w:r>
      <w:r>
        <w:rPr>
          <w:rStyle w:val="29"/>
          <w:rFonts w:hint="eastAsia" w:ascii="仿宋" w:hAnsi="仿宋" w:eastAsia="仿宋" w:cs="仿宋"/>
          <w:b w:val="0"/>
          <w:color w:val="000000"/>
          <w:sz w:val="32"/>
          <w:szCs w:val="32"/>
        </w:rPr>
        <w:t>万元，完成预算</w:t>
      </w:r>
      <w:r>
        <w:rPr>
          <w:rStyle w:val="29"/>
          <w:rFonts w:hint="eastAsia" w:ascii="仿宋" w:hAnsi="仿宋" w:eastAsia="仿宋" w:cs="仿宋"/>
          <w:b w:val="0"/>
          <w:color w:val="000000"/>
          <w:sz w:val="32"/>
          <w:szCs w:val="32"/>
          <w:lang w:val="en-US" w:eastAsia="zh-CN"/>
        </w:rPr>
        <w:t>100</w:t>
      </w:r>
      <w:r>
        <w:rPr>
          <w:rStyle w:val="29"/>
          <w:rFonts w:hint="eastAsia" w:ascii="仿宋" w:hAnsi="仿宋" w:eastAsia="仿宋" w:cs="仿宋"/>
          <w:b w:val="0"/>
          <w:color w:val="000000"/>
          <w:sz w:val="32"/>
          <w:szCs w:val="32"/>
        </w:rPr>
        <w:t>%</w:t>
      </w:r>
      <w:r>
        <w:rPr>
          <w:rStyle w:val="29"/>
          <w:rFonts w:hint="eastAsia" w:ascii="仿宋" w:hAnsi="仿宋" w:eastAsia="仿宋" w:cs="仿宋"/>
          <w:b w:val="0"/>
          <w:color w:val="000000"/>
          <w:sz w:val="32"/>
          <w:szCs w:val="32"/>
          <w:lang w:eastAsia="zh-CN"/>
        </w:rPr>
        <w:t>。</w:t>
      </w:r>
    </w:p>
    <w:p>
      <w:pPr>
        <w:pageBreakBefore w:val="0"/>
        <w:kinsoku/>
        <w:wordWrap/>
        <w:overflowPunct/>
        <w:topLinePunct w:val="0"/>
        <w:bidi w:val="0"/>
        <w:spacing w:line="580" w:lineRule="exact"/>
        <w:ind w:firstLine="643" w:firstLineChars="200"/>
        <w:rPr>
          <w:rFonts w:hint="eastAsia" w:ascii="仿宋" w:hAnsi="仿宋" w:eastAsia="仿宋" w:cs="仿宋"/>
          <w:sz w:val="32"/>
          <w:szCs w:val="32"/>
        </w:rPr>
      </w:pPr>
      <w:r>
        <w:rPr>
          <w:rStyle w:val="29"/>
          <w:rFonts w:hint="eastAsia" w:ascii="仿宋" w:hAnsi="仿宋" w:eastAsia="仿宋" w:cs="仿宋"/>
          <w:color w:val="000000"/>
          <w:sz w:val="32"/>
          <w:szCs w:val="32"/>
        </w:rPr>
        <w:t>社会保障和就业支出(类)行政事业单位离退休（款）</w:t>
      </w:r>
      <w:r>
        <w:rPr>
          <w:rFonts w:hint="eastAsia" w:ascii="仿宋" w:hAnsi="仿宋" w:eastAsia="仿宋" w:cs="仿宋"/>
          <w:b/>
          <w:color w:val="000000"/>
          <w:sz w:val="32"/>
          <w:szCs w:val="32"/>
        </w:rPr>
        <w:t>机关事业单位基本养老保险缴费支出（项）：</w:t>
      </w:r>
      <w:r>
        <w:rPr>
          <w:rFonts w:hint="eastAsia" w:ascii="仿宋" w:hAnsi="仿宋" w:eastAsia="仿宋" w:cs="仿宋"/>
          <w:b w:val="0"/>
          <w:bCs/>
          <w:color w:val="000000"/>
          <w:sz w:val="32"/>
          <w:szCs w:val="32"/>
          <w:lang w:eastAsia="zh-CN"/>
        </w:rPr>
        <w:t>主要用于在职在编人员基本养老保险支出，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6.79</w:t>
      </w:r>
      <w:r>
        <w:rPr>
          <w:rFonts w:hint="eastAsia" w:ascii="仿宋" w:hAnsi="仿宋" w:eastAsia="仿宋" w:cs="仿宋"/>
          <w:sz w:val="32"/>
          <w:szCs w:val="32"/>
        </w:rPr>
        <w:t>万元，完成预算100 %。</w:t>
      </w:r>
    </w:p>
    <w:p>
      <w:pPr>
        <w:pageBreakBefore w:val="0"/>
        <w:kinsoku/>
        <w:wordWrap/>
        <w:overflowPunct/>
        <w:topLinePunct w:val="0"/>
        <w:bidi w:val="0"/>
        <w:spacing w:line="580" w:lineRule="exact"/>
        <w:ind w:firstLine="643" w:firstLineChars="200"/>
        <w:rPr>
          <w:rFonts w:hint="eastAsia" w:ascii="仿宋" w:hAnsi="仿宋" w:eastAsia="仿宋" w:cs="仿宋"/>
          <w:sz w:val="32"/>
          <w:szCs w:val="32"/>
          <w:lang w:eastAsia="zh-CN"/>
        </w:rPr>
      </w:pPr>
      <w:r>
        <w:rPr>
          <w:rStyle w:val="29"/>
          <w:rFonts w:hint="eastAsia" w:ascii="仿宋" w:hAnsi="仿宋" w:eastAsia="仿宋" w:cs="仿宋"/>
          <w:color w:val="000000"/>
          <w:sz w:val="32"/>
          <w:szCs w:val="32"/>
        </w:rPr>
        <w:t>社会保障和就业支出(类)行政事业单位离退休（款）</w:t>
      </w:r>
      <w:r>
        <w:rPr>
          <w:rFonts w:hint="eastAsia" w:ascii="仿宋" w:hAnsi="仿宋" w:eastAsia="仿宋" w:cs="仿宋"/>
          <w:b/>
          <w:sz w:val="32"/>
          <w:szCs w:val="32"/>
        </w:rPr>
        <w:t>机关事业单位职业年金缴费支出（项）：</w:t>
      </w:r>
      <w:r>
        <w:rPr>
          <w:rFonts w:hint="eastAsia" w:ascii="仿宋" w:hAnsi="仿宋" w:eastAsia="仿宋" w:cs="仿宋"/>
          <w:b w:val="0"/>
          <w:bCs/>
          <w:color w:val="000000"/>
          <w:sz w:val="32"/>
          <w:szCs w:val="32"/>
          <w:lang w:eastAsia="zh-CN"/>
        </w:rPr>
        <w:t>主要用于在职在编人员职业年金支出，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2.95</w:t>
      </w:r>
      <w:r>
        <w:rPr>
          <w:rFonts w:hint="eastAsia" w:ascii="仿宋" w:hAnsi="仿宋" w:eastAsia="仿宋" w:cs="仿宋"/>
          <w:sz w:val="32"/>
          <w:szCs w:val="32"/>
        </w:rPr>
        <w:t>万元，完成预算100%</w:t>
      </w:r>
      <w:r>
        <w:rPr>
          <w:rFonts w:hint="eastAsia" w:ascii="仿宋" w:hAnsi="仿宋" w:eastAsia="仿宋" w:cs="仿宋"/>
          <w:sz w:val="32"/>
          <w:szCs w:val="32"/>
          <w:lang w:eastAsia="zh-CN"/>
        </w:rPr>
        <w:t>。</w:t>
      </w:r>
    </w:p>
    <w:p>
      <w:pPr>
        <w:pageBreakBefore w:val="0"/>
        <w:tabs>
          <w:tab w:val="right" w:pos="8306"/>
        </w:tabs>
        <w:kinsoku/>
        <w:wordWrap/>
        <w:overflowPunct/>
        <w:topLinePunct w:val="0"/>
        <w:bidi w:val="0"/>
        <w:spacing w:line="580" w:lineRule="exact"/>
        <w:ind w:firstLine="640" w:firstLineChars="200"/>
        <w:outlineLvl w:val="1"/>
        <w:rPr>
          <w:rStyle w:val="13"/>
        </w:rPr>
      </w:pPr>
      <w:bookmarkStart w:id="78" w:name="_Toc15377214"/>
      <w:bookmarkStart w:id="79" w:name="_Toc5447"/>
      <w:bookmarkStart w:id="80" w:name="_Toc15396608"/>
      <w:bookmarkStart w:id="81" w:name="_Toc1632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般公共预算财政拨款基本支出决算情况说明</w:t>
      </w:r>
      <w:bookmarkEnd w:id="78"/>
      <w:bookmarkEnd w:id="79"/>
      <w:bookmarkEnd w:id="80"/>
      <w:bookmarkEnd w:id="81"/>
      <w:r>
        <w:rPr>
          <w:rStyle w:val="13"/>
          <w:rFonts w:ascii="黑体" w:hAnsi="黑体" w:eastAsia="黑体"/>
          <w:b w:val="0"/>
        </w:rPr>
        <w:tab/>
      </w:r>
    </w:p>
    <w:p>
      <w:pPr>
        <w:pageBreakBefore w:val="0"/>
        <w:kinsoku/>
        <w:wordWrap/>
        <w:overflowPunct/>
        <w:topLinePunct w:val="0"/>
        <w:bidi w:val="0"/>
        <w:spacing w:line="58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91.33</w:t>
      </w:r>
      <w:r>
        <w:rPr>
          <w:rFonts w:hint="eastAsia" w:ascii="仿宋" w:hAnsi="仿宋" w:eastAsia="仿宋"/>
          <w:color w:val="000000"/>
          <w:sz w:val="32"/>
          <w:szCs w:val="32"/>
        </w:rPr>
        <w:t>万元，其中：人员经费</w:t>
      </w:r>
      <w:r>
        <w:rPr>
          <w:rFonts w:hint="eastAsia" w:ascii="仿宋" w:hAnsi="仿宋" w:eastAsia="仿宋"/>
          <w:color w:val="000000"/>
          <w:sz w:val="32"/>
          <w:szCs w:val="32"/>
          <w:lang w:val="en-US" w:eastAsia="zh-CN"/>
        </w:rPr>
        <w:t>91.33</w:t>
      </w:r>
      <w:r>
        <w:rPr>
          <w:rFonts w:hint="eastAsia" w:ascii="仿宋" w:hAnsi="仿宋" w:eastAsia="仿宋"/>
          <w:color w:val="000000"/>
          <w:sz w:val="32"/>
          <w:szCs w:val="32"/>
        </w:rPr>
        <w:t>万元，主要包括：基本工资</w:t>
      </w:r>
      <w:r>
        <w:rPr>
          <w:rFonts w:hint="eastAsia" w:ascii="仿宋" w:hAnsi="仿宋" w:eastAsia="仿宋"/>
          <w:color w:val="000000"/>
          <w:sz w:val="32"/>
          <w:szCs w:val="32"/>
          <w:lang w:val="en-US" w:eastAsia="zh-CN"/>
        </w:rPr>
        <w:t>20.15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、津贴补贴</w:t>
      </w:r>
      <w:r>
        <w:rPr>
          <w:rFonts w:hint="eastAsia" w:ascii="仿宋" w:hAnsi="仿宋" w:eastAsia="仿宋"/>
          <w:color w:val="000000"/>
          <w:sz w:val="32"/>
          <w:szCs w:val="32"/>
          <w:lang w:val="en-US" w:eastAsia="zh-CN"/>
        </w:rPr>
        <w:t>10.25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、绩效工资</w:t>
      </w:r>
      <w:r>
        <w:rPr>
          <w:rFonts w:hint="eastAsia" w:ascii="仿宋" w:hAnsi="仿宋" w:eastAsia="仿宋"/>
          <w:color w:val="000000"/>
          <w:sz w:val="32"/>
          <w:szCs w:val="32"/>
          <w:lang w:val="en-US" w:eastAsia="zh-CN"/>
        </w:rPr>
        <w:t>44.04</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、机关事业单位基本养老保险缴费</w:t>
      </w:r>
      <w:r>
        <w:rPr>
          <w:rFonts w:hint="eastAsia" w:ascii="仿宋" w:hAnsi="仿宋" w:eastAsia="仿宋"/>
          <w:color w:val="000000"/>
          <w:sz w:val="32"/>
          <w:szCs w:val="32"/>
          <w:lang w:val="en-US" w:eastAsia="zh-CN"/>
        </w:rPr>
        <w:t>6.79</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、职业年金缴费</w:t>
      </w:r>
      <w:r>
        <w:rPr>
          <w:rFonts w:hint="eastAsia" w:ascii="仿宋" w:hAnsi="仿宋" w:eastAsia="仿宋"/>
          <w:color w:val="000000"/>
          <w:sz w:val="32"/>
          <w:szCs w:val="32"/>
          <w:lang w:val="en-US" w:eastAsia="zh-CN"/>
        </w:rPr>
        <w:t>2.95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基本医疗保险</w:t>
      </w:r>
      <w:r>
        <w:rPr>
          <w:rFonts w:hint="eastAsia" w:ascii="仿宋" w:hAnsi="仿宋" w:eastAsia="仿宋"/>
          <w:color w:val="000000"/>
          <w:sz w:val="32"/>
          <w:szCs w:val="32"/>
        </w:rPr>
        <w:t>缴费</w:t>
      </w:r>
      <w:r>
        <w:rPr>
          <w:rFonts w:hint="eastAsia" w:ascii="仿宋" w:hAnsi="仿宋" w:eastAsia="仿宋"/>
          <w:color w:val="000000"/>
          <w:sz w:val="32"/>
          <w:szCs w:val="32"/>
          <w:lang w:val="en-US" w:eastAsia="zh-CN"/>
        </w:rPr>
        <w:t>2.87</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、住房公积金</w:t>
      </w:r>
      <w:r>
        <w:rPr>
          <w:rFonts w:hint="eastAsia" w:ascii="仿宋" w:hAnsi="仿宋" w:eastAsia="仿宋"/>
          <w:color w:val="000000"/>
          <w:sz w:val="32"/>
          <w:szCs w:val="32"/>
          <w:lang w:val="en-US" w:eastAsia="zh-CN"/>
        </w:rPr>
        <w:t>8.28万元</w:t>
      </w:r>
      <w:r>
        <w:rPr>
          <w:rFonts w:hint="eastAsia" w:ascii="仿宋" w:hAnsi="仿宋" w:eastAsia="仿宋"/>
          <w:color w:val="000000"/>
          <w:sz w:val="32"/>
          <w:szCs w:val="32"/>
          <w:lang w:eastAsia="zh-CN"/>
        </w:rPr>
        <w:t>。</w:t>
      </w:r>
    </w:p>
    <w:p>
      <w:pPr>
        <w:pageBreakBefore w:val="0"/>
        <w:kinsoku/>
        <w:wordWrap/>
        <w:overflowPunct/>
        <w:topLinePunct w:val="0"/>
        <w:bidi w:val="0"/>
        <w:spacing w:line="580" w:lineRule="exact"/>
        <w:ind w:firstLine="640"/>
        <w:outlineLvl w:val="1"/>
        <w:rPr>
          <w:rStyle w:val="13"/>
          <w:rFonts w:ascii="黑体" w:hAnsi="黑体" w:eastAsia="黑体"/>
          <w:b w:val="0"/>
        </w:rPr>
      </w:pPr>
      <w:bookmarkStart w:id="82" w:name="_Toc15377215"/>
      <w:bookmarkStart w:id="83" w:name="_Toc15396609"/>
      <w:bookmarkStart w:id="84" w:name="_Toc19562"/>
      <w:bookmarkStart w:id="85" w:name="_Toc15430"/>
      <w:r>
        <w:rPr>
          <w:rFonts w:hint="eastAsia" w:ascii="黑体" w:eastAsia="黑体"/>
          <w:color w:val="000000"/>
          <w:sz w:val="32"/>
          <w:szCs w:val="32"/>
        </w:rPr>
        <w:t>七、</w:t>
      </w:r>
      <w:bookmarkEnd w:id="82"/>
      <w:bookmarkEnd w:id="83"/>
      <w:r>
        <w:rPr>
          <w:rStyle w:val="32"/>
          <w:rFonts w:hint="eastAsia" w:ascii="黑体" w:hAnsi="黑体" w:eastAsia="黑体"/>
          <w:b w:val="0"/>
          <w:color w:val="auto"/>
          <w:highlight w:val="none"/>
        </w:rPr>
        <w:t>财政拨款</w:t>
      </w:r>
      <w:r>
        <w:rPr>
          <w:rStyle w:val="32"/>
          <w:rFonts w:hint="eastAsia" w:ascii="黑体" w:hAnsi="黑体" w:eastAsia="黑体"/>
          <w:color w:val="auto"/>
          <w:highlight w:val="none"/>
        </w:rPr>
        <w:t>“</w:t>
      </w:r>
      <w:r>
        <w:rPr>
          <w:rStyle w:val="32"/>
          <w:rFonts w:hint="eastAsia" w:ascii="黑体" w:hAnsi="黑体" w:eastAsia="黑体"/>
          <w:b w:val="0"/>
          <w:color w:val="auto"/>
          <w:highlight w:val="none"/>
        </w:rPr>
        <w:t>三公”经费支出决算情况说明</w:t>
      </w:r>
      <w:bookmarkEnd w:id="84"/>
      <w:bookmarkEnd w:id="85"/>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86" w:name="_Toc15377216"/>
      <w:bookmarkStart w:id="87" w:name="_Toc19761"/>
      <w:r>
        <w:rPr>
          <w:rFonts w:hint="eastAsia" w:ascii="仿宋" w:hAnsi="仿宋" w:eastAsia="仿宋"/>
          <w:b/>
          <w:color w:val="000000"/>
          <w:sz w:val="32"/>
          <w:szCs w:val="32"/>
        </w:rPr>
        <w:t>（一）</w:t>
      </w:r>
      <w:bookmarkEnd w:id="86"/>
      <w:r>
        <w:rPr>
          <w:rFonts w:hint="eastAsia" w:ascii="仿宋" w:hAnsi="仿宋" w:eastAsia="仿宋"/>
          <w:b/>
          <w:color w:val="auto"/>
          <w:sz w:val="32"/>
          <w:szCs w:val="32"/>
          <w:highlight w:val="none"/>
        </w:rPr>
        <w:t>“三公”经费财政拨款支出决算总体情况说明</w:t>
      </w:r>
      <w:bookmarkEnd w:id="87"/>
    </w:p>
    <w:p>
      <w:pPr>
        <w:pageBreakBefore w:val="0"/>
        <w:kinsoku/>
        <w:wordWrap/>
        <w:overflowPunct/>
        <w:topLinePunct w:val="0"/>
        <w:bidi w:val="0"/>
        <w:spacing w:line="580" w:lineRule="exact"/>
        <w:ind w:firstLine="640"/>
        <w:rPr>
          <w:rFonts w:hint="eastAsia" w:ascii="仿宋" w:eastAsia="仿宋"/>
          <w:color w:val="000000"/>
          <w:sz w:val="32"/>
          <w:szCs w:val="32"/>
        </w:rPr>
      </w:pPr>
      <w:r>
        <w:rPr>
          <w:rFonts w:hint="eastAsia" w:ascii="仿宋" w:hAnsi="仿宋" w:eastAsia="仿宋"/>
          <w:color w:val="000000"/>
          <w:sz w:val="32"/>
          <w:szCs w:val="32"/>
          <w:highlight w:val="none"/>
          <w:lang w:eastAsia="zh-CN"/>
        </w:rPr>
        <w:t>2022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bookmarkStart w:id="88" w:name="_Toc15377217"/>
      <w:r>
        <w:rPr>
          <w:rFonts w:hint="eastAsia" w:ascii="仿宋" w:eastAsia="仿宋"/>
          <w:color w:val="000000"/>
          <w:sz w:val="32"/>
          <w:szCs w:val="32"/>
        </w:rPr>
        <w:t>年初未安排预算。</w:t>
      </w:r>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89" w:name="_Toc9798"/>
      <w:r>
        <w:rPr>
          <w:rFonts w:hint="eastAsia" w:ascii="仿宋" w:hAnsi="仿宋" w:eastAsia="仿宋"/>
          <w:b/>
          <w:color w:val="000000"/>
          <w:sz w:val="32"/>
          <w:szCs w:val="32"/>
        </w:rPr>
        <w:t>（二）</w:t>
      </w:r>
      <w:bookmarkEnd w:id="88"/>
      <w:r>
        <w:rPr>
          <w:rFonts w:hint="eastAsia" w:ascii="仿宋" w:hAnsi="仿宋" w:eastAsia="仿宋"/>
          <w:b/>
          <w:color w:val="auto"/>
          <w:sz w:val="32"/>
          <w:szCs w:val="32"/>
          <w:highlight w:val="none"/>
        </w:rPr>
        <w:t>“三公”经费财政拨款支出决算具体情况说明</w:t>
      </w:r>
      <w:bookmarkEnd w:id="89"/>
    </w:p>
    <w:p>
      <w:pPr>
        <w:pageBreakBefore w:val="0"/>
        <w:kinsoku/>
        <w:wordWrap/>
        <w:overflowPunct/>
        <w:topLinePunct w:val="0"/>
        <w:bidi w:val="0"/>
        <w:spacing w:line="58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年“三公”经费财政拨款支出决算中，因公出国（境）费支出决算0万元，</w:t>
      </w:r>
      <w:r>
        <w:rPr>
          <w:rFonts w:hint="eastAsia" w:ascii="仿宋" w:eastAsia="仿宋"/>
          <w:color w:val="000000"/>
          <w:sz w:val="32"/>
          <w:szCs w:val="32"/>
        </w:rPr>
        <w:t>年初未安排预算</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_GB2312" w:eastAsia="仿宋_GB2312"/>
          <w:color w:val="000000"/>
          <w:sz w:val="32"/>
          <w:szCs w:val="32"/>
        </w:rPr>
        <w:t>年初未安排预算，与上年数持平</w:t>
      </w:r>
      <w:r>
        <w:rPr>
          <w:rFonts w:hint="eastAsia" w:ascii="仿宋" w:eastAsia="仿宋"/>
          <w:color w:val="000000"/>
          <w:sz w:val="32"/>
          <w:szCs w:val="32"/>
          <w:lang w:eastAsia="zh-CN"/>
        </w:rPr>
        <w:t>；</w:t>
      </w:r>
      <w:r>
        <w:rPr>
          <w:rFonts w:hint="eastAsia" w:ascii="仿宋" w:hAnsi="仿宋" w:eastAsia="仿宋"/>
          <w:color w:val="000000"/>
          <w:sz w:val="32"/>
          <w:szCs w:val="32"/>
        </w:rPr>
        <w:t>公务接待费总支出决算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p>
    <w:p>
      <w:pPr>
        <w:pageBreakBefore w:val="0"/>
        <w:kinsoku/>
        <w:wordWrap/>
        <w:overflowPunct/>
        <w:topLinePunct w:val="0"/>
        <w:bidi w:val="0"/>
        <w:spacing w:line="58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29"/>
          <w:rFonts w:hint="eastAsia" w:ascii="仿宋" w:hAnsi="仿宋" w:eastAsia="仿宋" w:cs="仿宋"/>
          <w:b w:val="0"/>
          <w:bCs/>
          <w:color w:val="000000"/>
          <w:sz w:val="32"/>
          <w:szCs w:val="32"/>
        </w:rPr>
        <w:t>。</w:t>
      </w:r>
      <w:r>
        <w:rPr>
          <w:rFonts w:hint="eastAsia" w:ascii="仿宋" w:hAnsi="仿宋" w:eastAsia="仿宋" w:cs="仿宋"/>
          <w:color w:val="000000"/>
          <w:sz w:val="32"/>
          <w:szCs w:val="32"/>
        </w:rPr>
        <w:t>年初未安排预算</w:t>
      </w:r>
      <w:r>
        <w:rPr>
          <w:rFonts w:hint="eastAsia" w:ascii="仿宋" w:hAnsi="仿宋" w:eastAsia="仿宋" w:cs="仿宋"/>
          <w:color w:val="000000"/>
          <w:sz w:val="32"/>
          <w:szCs w:val="32"/>
          <w:lang w:eastAsia="zh-CN"/>
        </w:rPr>
        <w:t>，</w:t>
      </w:r>
      <w:r>
        <w:rPr>
          <w:rStyle w:val="29"/>
          <w:rFonts w:hint="eastAsia" w:ascii="仿宋" w:hAnsi="仿宋" w:eastAsia="仿宋" w:cs="仿宋"/>
          <w:b w:val="0"/>
          <w:bCs/>
          <w:color w:val="000000"/>
          <w:sz w:val="32"/>
          <w:szCs w:val="32"/>
        </w:rPr>
        <w:t>与上年数持平。</w:t>
      </w:r>
    </w:p>
    <w:p>
      <w:pPr>
        <w:pageBreakBefore w:val="0"/>
        <w:kinsoku/>
        <w:wordWrap/>
        <w:overflowPunct/>
        <w:topLinePunct w:val="0"/>
        <w:bidi w:val="0"/>
        <w:spacing w:line="580" w:lineRule="exact"/>
        <w:ind w:firstLine="640"/>
        <w:rPr>
          <w:rFonts w:hint="default" w:ascii="仿宋" w:hAnsi="仿宋" w:eastAsia="仿宋" w:cs="仿宋"/>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 w:hAnsi="仿宋" w:eastAsia="仿宋" w:cs="仿宋"/>
          <w:color w:val="000000"/>
          <w:sz w:val="32"/>
          <w:szCs w:val="32"/>
          <w:lang w:val="en-US" w:eastAsia="zh-CN"/>
        </w:rPr>
        <w:t>0万元,年初未安排预算。</w:t>
      </w:r>
    </w:p>
    <w:p>
      <w:pPr>
        <w:pageBreakBefore w:val="0"/>
        <w:kinsoku/>
        <w:wordWrap/>
        <w:overflowPunct/>
        <w:topLinePunct w:val="0"/>
        <w:bidi w:val="0"/>
        <w:spacing w:line="580" w:lineRule="exact"/>
        <w:ind w:firstLine="640"/>
        <w:rPr>
          <w:rFonts w:hint="eastAsia" w:ascii="仿宋_GB2312" w:eastAsia="仿宋_GB2312"/>
          <w:color w:val="000000"/>
          <w:sz w:val="32"/>
          <w:szCs w:val="32"/>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Fonts w:hint="eastAsia" w:ascii="仿宋" w:hAnsi="仿宋" w:eastAsia="仿宋" w:cs="仿宋"/>
          <w:color w:val="000000"/>
          <w:sz w:val="32"/>
          <w:szCs w:val="32"/>
          <w:lang w:val="en-US" w:eastAsia="zh-CN"/>
        </w:rPr>
        <w:t>0万元。</w:t>
      </w:r>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 w:hAnsi="仿宋" w:eastAsia="仿宋" w:cs="仿宋"/>
          <w:color w:val="000000"/>
          <w:sz w:val="32"/>
          <w:szCs w:val="32"/>
          <w:lang w:val="en-US" w:eastAsia="zh-CN"/>
        </w:rPr>
        <w:t>0万元，年初未安排预算。</w:t>
      </w:r>
    </w:p>
    <w:p>
      <w:pPr>
        <w:pageBreakBefore w:val="0"/>
        <w:kinsoku/>
        <w:wordWrap/>
        <w:overflowPunct/>
        <w:topLinePunct w:val="0"/>
        <w:bidi w:val="0"/>
        <w:spacing w:line="580" w:lineRule="exact"/>
        <w:ind w:firstLine="640" w:firstLineChars="200"/>
        <w:outlineLvl w:val="1"/>
        <w:rPr>
          <w:rStyle w:val="13"/>
          <w:rFonts w:ascii="黑体" w:hAnsi="黑体" w:eastAsia="黑体"/>
        </w:rPr>
      </w:pPr>
      <w:bookmarkStart w:id="90" w:name="_Toc3880"/>
      <w:bookmarkStart w:id="91" w:name="_Toc25241"/>
      <w:bookmarkStart w:id="92" w:name="_Toc9265"/>
      <w:bookmarkStart w:id="93" w:name="_Toc23165"/>
      <w:r>
        <w:rPr>
          <w:rFonts w:hint="eastAsia" w:ascii="黑体" w:eastAsia="黑体"/>
          <w:color w:val="000000"/>
          <w:sz w:val="32"/>
          <w:szCs w:val="32"/>
        </w:rPr>
        <w:t>八、</w:t>
      </w:r>
      <w:bookmarkEnd w:id="90"/>
      <w:bookmarkEnd w:id="91"/>
      <w:r>
        <w:rPr>
          <w:rStyle w:val="32"/>
          <w:rFonts w:hint="eastAsia" w:ascii="黑体" w:hAnsi="黑体" w:eastAsia="黑体"/>
          <w:b w:val="0"/>
          <w:color w:val="auto"/>
          <w:highlight w:val="none"/>
        </w:rPr>
        <w:t>政府性基金预算支出决算情况说明</w:t>
      </w:r>
      <w:bookmarkEnd w:id="92"/>
      <w:bookmarkEnd w:id="93"/>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rPr>
      </w:pPr>
      <w:r>
        <w:rPr>
          <w:rFonts w:hint="eastAsia" w:ascii="仿宋" w:hAnsi="仿宋" w:eastAsia="仿宋" w:cs="仿宋"/>
          <w:color w:val="000000"/>
          <w:sz w:val="32"/>
          <w:szCs w:val="32"/>
          <w:lang w:eastAsia="zh-CN"/>
        </w:rPr>
        <w:t>2022</w:t>
      </w:r>
      <w:r>
        <w:rPr>
          <w:rFonts w:hint="eastAsia" w:ascii="仿宋" w:hAnsi="仿宋" w:eastAsia="仿宋" w:cs="仿宋"/>
          <w:color w:val="000000"/>
          <w:sz w:val="32"/>
          <w:szCs w:val="32"/>
        </w:rPr>
        <w:t>年政府性基金预算拨款支出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，决算支出</w:t>
      </w:r>
      <w:r>
        <w:rPr>
          <w:rFonts w:hint="eastAsia" w:ascii="仿宋" w:hAnsi="仿宋" w:eastAsia="仿宋" w:cs="仿宋"/>
          <w:color w:val="000000"/>
          <w:sz w:val="32"/>
          <w:szCs w:val="32"/>
          <w:lang w:val="en-US" w:eastAsia="zh-CN"/>
        </w:rPr>
        <w:t>0万元，年初未安排预算。</w:t>
      </w:r>
    </w:p>
    <w:p>
      <w:pPr>
        <w:numPr>
          <w:ilvl w:val="0"/>
          <w:numId w:val="4"/>
        </w:numPr>
        <w:spacing w:line="600" w:lineRule="exact"/>
        <w:ind w:firstLine="640"/>
        <w:outlineLvl w:val="1"/>
        <w:rPr>
          <w:rStyle w:val="32"/>
          <w:rFonts w:ascii="黑体" w:hAnsi="黑体" w:eastAsia="黑体"/>
          <w:b w:val="0"/>
          <w:color w:val="auto"/>
          <w:highlight w:val="none"/>
        </w:rPr>
      </w:pPr>
      <w:bookmarkStart w:id="94" w:name="_Toc18089"/>
      <w:bookmarkStart w:id="95" w:name="_Toc19046"/>
      <w:r>
        <w:rPr>
          <w:rStyle w:val="32"/>
          <w:rFonts w:hint="eastAsia" w:ascii="黑体" w:hAnsi="黑体" w:eastAsia="黑体"/>
          <w:b w:val="0"/>
          <w:color w:val="auto"/>
          <w:highlight w:val="none"/>
        </w:rPr>
        <w:t>国有资本经营预算支出决算情况说明</w:t>
      </w:r>
      <w:bookmarkEnd w:id="94"/>
      <w:bookmarkEnd w:id="95"/>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2022</w:t>
      </w:r>
      <w:r>
        <w:rPr>
          <w:rFonts w:hint="eastAsia" w:ascii="仿宋" w:hAnsi="仿宋" w:eastAsia="仿宋" w:cs="仿宋"/>
          <w:color w:val="000000"/>
          <w:sz w:val="32"/>
          <w:szCs w:val="32"/>
        </w:rPr>
        <w:t>年国有资本经营预算拨款支出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numPr>
          <w:ilvl w:val="0"/>
          <w:numId w:val="4"/>
        </w:numPr>
        <w:spacing w:line="600" w:lineRule="exact"/>
        <w:ind w:firstLine="640"/>
        <w:outlineLvl w:val="1"/>
        <w:rPr>
          <w:rStyle w:val="13"/>
          <w:rFonts w:ascii="黑体" w:hAnsi="黑体" w:eastAsia="黑体"/>
        </w:rPr>
      </w:pPr>
      <w:bookmarkStart w:id="96" w:name="_Toc13359"/>
      <w:bookmarkStart w:id="97" w:name="_Toc15813"/>
      <w:r>
        <w:rPr>
          <w:rStyle w:val="32"/>
          <w:rFonts w:hint="eastAsia" w:ascii="黑体" w:hAnsi="黑体" w:eastAsia="黑体"/>
          <w:b w:val="0"/>
          <w:color w:val="auto"/>
          <w:highlight w:val="none"/>
        </w:rPr>
        <w:t>其他重要事项的情况说明</w:t>
      </w:r>
      <w:bookmarkEnd w:id="96"/>
      <w:bookmarkEnd w:id="97"/>
    </w:p>
    <w:p>
      <w:pPr>
        <w:pageBreakBefore w:val="0"/>
        <w:kinsoku/>
        <w:wordWrap/>
        <w:overflowPunct/>
        <w:topLinePunct w:val="0"/>
        <w:bidi w:val="0"/>
        <w:spacing w:line="580" w:lineRule="exact"/>
        <w:ind w:firstLine="643" w:firstLineChars="200"/>
        <w:outlineLvl w:val="2"/>
        <w:rPr>
          <w:rFonts w:hint="eastAsia" w:ascii="仿宋" w:hAnsi="仿宋" w:eastAsia="仿宋"/>
          <w:b/>
          <w:color w:val="000000"/>
          <w:sz w:val="32"/>
          <w:szCs w:val="32"/>
        </w:rPr>
      </w:pPr>
      <w:bookmarkStart w:id="98" w:name="_Toc27826"/>
      <w:bookmarkStart w:id="99" w:name="_Toc15377222"/>
      <w:r>
        <w:rPr>
          <w:rFonts w:hint="eastAsia" w:ascii="仿宋" w:hAnsi="仿宋" w:eastAsia="仿宋"/>
          <w:b/>
          <w:color w:val="000000"/>
          <w:sz w:val="32"/>
          <w:szCs w:val="32"/>
        </w:rPr>
        <w:t>（一）</w:t>
      </w:r>
      <w:r>
        <w:rPr>
          <w:rFonts w:hint="eastAsia" w:ascii="仿宋" w:hAnsi="仿宋" w:eastAsia="仿宋"/>
          <w:b/>
          <w:color w:val="000000"/>
          <w:sz w:val="32"/>
          <w:szCs w:val="32"/>
          <w:lang w:eastAsia="zh-CN"/>
        </w:rPr>
        <w:t>机关</w:t>
      </w:r>
      <w:r>
        <w:rPr>
          <w:rFonts w:hint="eastAsia" w:ascii="仿宋" w:hAnsi="仿宋" w:eastAsia="仿宋"/>
          <w:b/>
          <w:color w:val="000000"/>
          <w:sz w:val="32"/>
          <w:szCs w:val="32"/>
        </w:rPr>
        <w:t>运行经费支出情况</w:t>
      </w:r>
      <w:bookmarkEnd w:id="98"/>
      <w:bookmarkEnd w:id="99"/>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2022年</w:t>
      </w:r>
      <w:r>
        <w:rPr>
          <w:rFonts w:hint="eastAsia" w:ascii="仿宋" w:hAnsi="仿宋" w:eastAsia="仿宋" w:cs="仿宋"/>
          <w:color w:val="000000"/>
          <w:sz w:val="32"/>
          <w:szCs w:val="32"/>
          <w:lang w:eastAsia="zh-CN"/>
        </w:rPr>
        <w:t>未发生机关运行经费支出，</w:t>
      </w:r>
      <w:r>
        <w:rPr>
          <w:rFonts w:hint="eastAsia" w:ascii="仿宋" w:hAnsi="仿宋" w:eastAsia="仿宋" w:cs="仿宋"/>
          <w:color w:val="000000"/>
          <w:sz w:val="32"/>
          <w:szCs w:val="32"/>
          <w:lang w:val="en-US" w:eastAsia="zh-CN"/>
        </w:rPr>
        <w:t>与上年决算数持平。</w:t>
      </w:r>
    </w:p>
    <w:p>
      <w:pPr>
        <w:pageBreakBefore w:val="0"/>
        <w:kinsoku/>
        <w:wordWrap/>
        <w:overflowPunct/>
        <w:topLinePunct w:val="0"/>
        <w:autoSpaceDE w:val="0"/>
        <w:autoSpaceDN w:val="0"/>
        <w:bidi w:val="0"/>
        <w:adjustRightInd w:val="0"/>
        <w:spacing w:line="580" w:lineRule="exact"/>
        <w:ind w:firstLine="643" w:firstLineChars="200"/>
        <w:jc w:val="left"/>
        <w:outlineLvl w:val="2"/>
        <w:rPr>
          <w:rFonts w:ascii="仿宋" w:hAnsi="仿宋" w:eastAsia="仿宋"/>
          <w:b/>
          <w:color w:val="000000"/>
          <w:sz w:val="32"/>
          <w:szCs w:val="32"/>
        </w:rPr>
      </w:pPr>
      <w:bookmarkStart w:id="100" w:name="_Toc14910"/>
      <w:bookmarkStart w:id="101" w:name="_Toc15377223"/>
      <w:r>
        <w:rPr>
          <w:rFonts w:hint="eastAsia" w:ascii="仿宋" w:hAnsi="仿宋" w:eastAsia="仿宋"/>
          <w:b/>
          <w:color w:val="000000"/>
          <w:sz w:val="32"/>
          <w:szCs w:val="32"/>
        </w:rPr>
        <w:t>（二）政府采购支出情况</w:t>
      </w:r>
      <w:bookmarkEnd w:id="100"/>
      <w:bookmarkEnd w:id="101"/>
    </w:p>
    <w:p>
      <w:pPr>
        <w:pageBreakBefore w:val="0"/>
        <w:kinsoku/>
        <w:wordWrap/>
        <w:overflowPunct/>
        <w:topLinePunct w:val="0"/>
        <w:bidi w:val="0"/>
        <w:spacing w:line="580" w:lineRule="exact"/>
        <w:ind w:firstLine="64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2022年，沙坝卫生院政府采购0万元。</w:t>
      </w:r>
    </w:p>
    <w:p>
      <w:pPr>
        <w:pageBreakBefore w:val="0"/>
        <w:kinsoku/>
        <w:wordWrap/>
        <w:overflowPunct/>
        <w:topLinePunct w:val="0"/>
        <w:autoSpaceDE w:val="0"/>
        <w:autoSpaceDN w:val="0"/>
        <w:bidi w:val="0"/>
        <w:adjustRightInd w:val="0"/>
        <w:spacing w:line="580" w:lineRule="exact"/>
        <w:ind w:firstLine="643" w:firstLineChars="200"/>
        <w:jc w:val="left"/>
        <w:outlineLvl w:val="2"/>
        <w:rPr>
          <w:rFonts w:ascii="仿宋" w:hAnsi="仿宋" w:eastAsia="仿宋"/>
          <w:b/>
          <w:color w:val="000000"/>
          <w:sz w:val="32"/>
          <w:szCs w:val="32"/>
        </w:rPr>
      </w:pPr>
      <w:bookmarkStart w:id="102" w:name="_Toc8780"/>
      <w:bookmarkStart w:id="103" w:name="_Toc15377224"/>
      <w:r>
        <w:rPr>
          <w:rFonts w:hint="eastAsia" w:ascii="仿宋" w:hAnsi="仿宋" w:eastAsia="仿宋"/>
          <w:b/>
          <w:color w:val="000000"/>
          <w:sz w:val="32"/>
          <w:szCs w:val="32"/>
        </w:rPr>
        <w:t>（三）国有资产占有使用情况</w:t>
      </w:r>
      <w:bookmarkEnd w:id="102"/>
      <w:bookmarkEnd w:id="103"/>
    </w:p>
    <w:p>
      <w:pPr>
        <w:pageBreakBefore w:val="0"/>
        <w:kinsoku/>
        <w:wordWrap/>
        <w:overflowPunct/>
        <w:topLinePunct w:val="0"/>
        <w:autoSpaceDE w:val="0"/>
        <w:autoSpaceDN w:val="0"/>
        <w:bidi w:val="0"/>
        <w:adjustRightInd w:val="0"/>
        <w:spacing w:line="580" w:lineRule="exact"/>
        <w:ind w:firstLine="640" w:firstLineChars="200"/>
        <w:jc w:val="left"/>
        <w:rPr>
          <w:rFonts w:hint="eastAsia" w:ascii="仿宋_GB2312" w:eastAsia="仿宋_GB2312"/>
          <w:color w:val="000000"/>
          <w:sz w:val="32"/>
          <w:szCs w:val="32"/>
        </w:rPr>
      </w:pPr>
      <w:r>
        <w:rPr>
          <w:rFonts w:hint="eastAsia" w:ascii="仿宋" w:hAnsi="仿宋" w:eastAsia="仿宋" w:cs="仿宋"/>
          <w:color w:val="000000"/>
          <w:sz w:val="32"/>
          <w:szCs w:val="32"/>
          <w:lang w:val="en-US" w:eastAsia="zh-CN"/>
        </w:rPr>
        <w:t>截至2022年12月31日，沙坝卫生院共有车辆0辆，单价50万元以上通用设备0台（套），单价100万元以上专用设备0台（套）。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04" w:name="_Toc5694"/>
      <w:r>
        <w:rPr>
          <w:rFonts w:hint="eastAsia" w:ascii="仿宋" w:hAnsi="仿宋" w:eastAsia="仿宋"/>
          <w:b/>
          <w:color w:val="auto"/>
          <w:sz w:val="32"/>
          <w:szCs w:val="32"/>
          <w:highlight w:val="none"/>
        </w:rPr>
        <w:t>（四）预算绩效管理情况</w:t>
      </w:r>
      <w:bookmarkEnd w:id="104"/>
    </w:p>
    <w:p>
      <w:pPr>
        <w:pStyle w:val="10"/>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根据预算绩效管理要求，本单位在2022年度预算编制阶段，组织对1个项目二类疫苗服务费开展了预算事前绩效评估，并对这个项目编制了绩效目标，开展绩效监控，组织对该项目绩效自评，绩效自评表详见第四部分附件。</w:t>
      </w:r>
    </w:p>
    <w:p>
      <w:pPr>
        <w:pStyle w:val="10"/>
        <w:numPr>
          <w:ilvl w:val="0"/>
          <w:numId w:val="5"/>
        </w:numPr>
        <w:ind w:firstLine="320" w:firstLineChars="100"/>
        <w:outlineLvl w:val="2"/>
        <w:rPr>
          <w:rFonts w:hint="eastAsia" w:ascii="仿宋" w:hAnsi="仿宋" w:eastAsia="仿宋" w:cs="仿宋"/>
          <w:color w:val="000000"/>
          <w:kern w:val="2"/>
          <w:sz w:val="32"/>
          <w:szCs w:val="32"/>
          <w:lang w:val="en-US" w:eastAsia="zh-CN" w:bidi="ar-SA"/>
        </w:rPr>
      </w:pPr>
      <w:bookmarkStart w:id="105" w:name="_Toc7049"/>
      <w:r>
        <w:rPr>
          <w:rFonts w:hint="eastAsia" w:ascii="仿宋" w:hAnsi="仿宋" w:eastAsia="仿宋" w:cs="仿宋"/>
          <w:color w:val="000000"/>
          <w:kern w:val="2"/>
          <w:sz w:val="32"/>
          <w:szCs w:val="32"/>
          <w:lang w:val="en-US" w:eastAsia="zh-CN" w:bidi="ar-SA"/>
        </w:rPr>
        <w:t>二类疫苗服务费绩效评价</w:t>
      </w:r>
      <w:bookmarkEnd w:id="105"/>
    </w:p>
    <w:p>
      <w:pPr>
        <w:pStyle w:val="10"/>
        <w:numPr>
          <w:ilvl w:val="0"/>
          <w:numId w:val="0"/>
        </w:numPr>
        <w:ind w:firstLine="640" w:firstLineChars="200"/>
        <w:outlineLvl w:val="2"/>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非免疫规划疫苗预防接种服务费收费属行政事业性收费，我单位按规定做好收费公示工作，在门户网站、收费场所醒目位置公示收费项目、收费性质、收费标准、收费依据和价格监督电话等信息，接受社会监督。我单位使用省级财政监（印）制的财政票据，收费收入全额上缴地方国库，纳入财政预算管理。</w:t>
      </w:r>
    </w:p>
    <w:p>
      <w:pPr>
        <w:pStyle w:val="10"/>
        <w:numPr>
          <w:ilvl w:val="0"/>
          <w:numId w:val="0"/>
        </w:numPr>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我单位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pStyle w:val="10"/>
        <w:numPr>
          <w:ilvl w:val="0"/>
          <w:numId w:val="0"/>
        </w:numPr>
        <w:ind w:firstLine="640" w:firstLineChars="200"/>
        <w:outlineLvl w:val="2"/>
        <w:rPr>
          <w:rFonts w:hint="eastAsia" w:ascii="仿宋" w:hAnsi="仿宋" w:eastAsia="仿宋" w:cs="仿宋"/>
          <w:color w:val="000000"/>
          <w:kern w:val="2"/>
          <w:sz w:val="32"/>
          <w:szCs w:val="32"/>
          <w:lang w:val="en-US" w:eastAsia="zh-CN" w:bidi="ar-SA"/>
        </w:rPr>
      </w:pPr>
      <w:bookmarkStart w:id="106" w:name="_Toc30710"/>
      <w:r>
        <w:rPr>
          <w:rFonts w:hint="eastAsia" w:ascii="仿宋" w:hAnsi="仿宋" w:eastAsia="仿宋" w:cs="仿宋"/>
          <w:color w:val="000000"/>
          <w:kern w:val="2"/>
          <w:sz w:val="32"/>
          <w:szCs w:val="32"/>
          <w:lang w:val="en-US" w:eastAsia="zh-CN" w:bidi="ar-SA"/>
        </w:rPr>
        <w:t>（二）单位整体支出绩效自评开展情况。</w:t>
      </w:r>
      <w:bookmarkEnd w:id="106"/>
    </w:p>
    <w:p>
      <w:pPr>
        <w:pStyle w:val="10"/>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本单位按要求对2022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Style w:val="10"/>
      </w:pPr>
    </w:p>
    <w:p>
      <w:pPr>
        <w:pStyle w:val="10"/>
      </w:pPr>
    </w:p>
    <w:p/>
    <w:p>
      <w:pPr>
        <w:pStyle w:val="10"/>
      </w:pPr>
    </w:p>
    <w:p>
      <w:pPr>
        <w:pageBreakBefore w:val="0"/>
        <w:numPr>
          <w:ilvl w:val="0"/>
          <w:numId w:val="6"/>
        </w:numPr>
        <w:kinsoku/>
        <w:wordWrap/>
        <w:overflowPunct/>
        <w:topLinePunct w:val="0"/>
        <w:bidi w:val="0"/>
        <w:spacing w:line="580" w:lineRule="exact"/>
        <w:ind w:firstLine="660" w:firstLineChars="150"/>
        <w:jc w:val="center"/>
        <w:outlineLvl w:val="0"/>
        <w:rPr>
          <w:rFonts w:ascii="宋体"/>
          <w:b/>
          <w:color w:val="000000"/>
          <w:sz w:val="44"/>
          <w:szCs w:val="44"/>
        </w:rPr>
      </w:pPr>
      <w:bookmarkStart w:id="107" w:name="_Toc11952"/>
      <w:bookmarkStart w:id="108" w:name="_Toc13654"/>
      <w:bookmarkStart w:id="109" w:name="_Toc15377225"/>
      <w:bookmarkStart w:id="110" w:name="_Toc15396613"/>
      <w:r>
        <w:rPr>
          <w:rFonts w:hint="eastAsia" w:ascii="黑体" w:hAnsi="黑体" w:eastAsia="黑体"/>
          <w:color w:val="000000"/>
          <w:sz w:val="44"/>
          <w:szCs w:val="44"/>
        </w:rPr>
        <w:t>名</w:t>
      </w:r>
      <w:r>
        <w:rPr>
          <w:rStyle w:val="31"/>
          <w:rFonts w:hint="eastAsia" w:ascii="黑体" w:hAnsi="黑体" w:eastAsia="黑体"/>
          <w:b w:val="0"/>
        </w:rPr>
        <w:t>词解释</w:t>
      </w:r>
      <w:bookmarkEnd w:id="107"/>
      <w:bookmarkEnd w:id="108"/>
      <w:bookmarkEnd w:id="109"/>
      <w:bookmarkEnd w:id="110"/>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bookmarkStart w:id="155" w:name="_GoBack"/>
      <w:bookmarkEnd w:id="155"/>
      <w:r>
        <w:rPr>
          <w:rFonts w:hint="eastAsia" w:ascii="仿宋_GB2312" w:eastAsia="仿宋_GB2312"/>
          <w:sz w:val="32"/>
          <w:szCs w:val="32"/>
          <w:lang w:eastAsia="zh-CN"/>
        </w:rPr>
        <w:t>划</w:t>
      </w:r>
      <w:r>
        <w:rPr>
          <w:rFonts w:hint="eastAsia" w:ascii="仿宋_GB2312" w:eastAsia="仿宋_GB2312"/>
          <w:sz w:val="32"/>
          <w:szCs w:val="32"/>
        </w:rPr>
        <w:t>生育服务中心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r>
        <w:rPr>
          <w:rFonts w:ascii="仿宋_GB2312" w:eastAsia="仿宋_GB2312"/>
          <w:sz w:val="32"/>
          <w:szCs w:val="32"/>
        </w:rPr>
        <w:t xml:space="preserve"> </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pageBreakBefore w:val="0"/>
        <w:kinsoku/>
        <w:wordWrap/>
        <w:overflowPunct/>
        <w:topLinePunct w:val="0"/>
        <w:bidi w:val="0"/>
        <w:spacing w:line="580" w:lineRule="exact"/>
        <w:ind w:firstLine="640" w:firstLineChars="200"/>
        <w:rPr>
          <w:rStyle w:val="29"/>
          <w:rFonts w:hint="eastAsia" w:ascii="仿宋_GB2312" w:eastAsia="仿宋_GB2312"/>
          <w:b w:val="0"/>
          <w:color w:val="000000"/>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29"/>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29"/>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29"/>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29"/>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29"/>
          <w:rFonts w:hint="eastAsia" w:ascii="仿宋_GB2312" w:eastAsia="仿宋_GB2312"/>
          <w:b w:val="0"/>
          <w:color w:val="000000"/>
          <w:sz w:val="32"/>
          <w:szCs w:val="32"/>
        </w:rPr>
        <w:t>:</w:t>
      </w:r>
      <w:r>
        <w:rPr>
          <w:rStyle w:val="29"/>
          <w:rFonts w:hint="eastAsia" w:ascii="仿宋_GB2312" w:eastAsia="仿宋_GB2312"/>
          <w:b w:val="0"/>
          <w:sz w:val="32"/>
          <w:szCs w:val="32"/>
        </w:rPr>
        <w:t>反映</w:t>
      </w:r>
      <w:r>
        <w:rPr>
          <w:rStyle w:val="29"/>
          <w:rFonts w:hint="eastAsia" w:ascii="仿宋_GB2312" w:eastAsia="仿宋_GB2312"/>
          <w:b w:val="0"/>
          <w:color w:val="000000"/>
          <w:sz w:val="32"/>
          <w:szCs w:val="32"/>
        </w:rPr>
        <w:t>卫生健康支出中的在职人员医疗保险。</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9.社会保障和就业支出：反映政府在社会保障和就业方面的支出。</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社会保障和就业支出-行政事业单位离退休-机关事业单位基本养老保险缴费支出：反映机关事业单位实施养老保险制度由单位缴纳的基本养老保险支出；</w:t>
      </w:r>
    </w:p>
    <w:p>
      <w:pPr>
        <w:pageBreakBefore w:val="0"/>
        <w:kinsoku/>
        <w:wordWrap/>
        <w:overflowPunct/>
        <w:topLinePunct w:val="0"/>
        <w:bidi w:val="0"/>
        <w:spacing w:line="580" w:lineRule="exact"/>
        <w:ind w:firstLine="640" w:firstLineChars="200"/>
        <w:rPr>
          <w:rStyle w:val="29"/>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bidi="en-AU"/>
        </w:rPr>
        <w:t>10.住房保障支出：住房保障支出-住房改革支出-住房公积金：反映行政事业单位按人力资源和社会保障部、财政部规定的基本工资和津贴补贴以及规定比例为职工缴纳的住房公积金。</w:t>
      </w:r>
    </w:p>
    <w:p>
      <w:pPr>
        <w:pageBreakBefore w:val="0"/>
        <w:kinsoku/>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pageBreakBefore w:val="0"/>
        <w:kinsoku/>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37"/>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7"/>
        <w:pageBreakBefore w:val="0"/>
        <w:kinsoku/>
        <w:wordWrap/>
        <w:overflowPunct/>
        <w:topLinePunct w:val="0"/>
        <w:bidi w:val="0"/>
        <w:spacing w:line="580" w:lineRule="exact"/>
        <w:ind w:firstLine="640" w:firstLineChars="200"/>
        <w:rPr>
          <w:rFonts w:hint="eastAsia" w:ascii="黑体" w:hAnsi="黑体" w:eastAsia="黑体"/>
          <w:color w:val="000000"/>
          <w:sz w:val="44"/>
          <w:szCs w:val="44"/>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11" w:name="_Toc15396614"/>
      <w:bookmarkStart w:id="112" w:name="_Toc15377226"/>
    </w:p>
    <w:p>
      <w:pPr>
        <w:pageBreakBefore w:val="0"/>
        <w:kinsoku/>
        <w:wordWrap/>
        <w:overflowPunct/>
        <w:topLinePunct w:val="0"/>
        <w:bidi w:val="0"/>
        <w:spacing w:line="580" w:lineRule="exact"/>
        <w:jc w:val="center"/>
        <w:outlineLvl w:val="9"/>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pStyle w:val="10"/>
        <w:rPr>
          <w:rFonts w:hint="eastAsia" w:ascii="黑体" w:hAnsi="黑体" w:eastAsia="黑体"/>
          <w:color w:val="000000"/>
          <w:sz w:val="44"/>
          <w:szCs w:val="44"/>
        </w:rPr>
      </w:pPr>
    </w:p>
    <w:p>
      <w:pPr>
        <w:rPr>
          <w:rFonts w:hint="eastAsia" w:ascii="黑体" w:hAnsi="黑体" w:eastAsia="黑体"/>
          <w:color w:val="000000"/>
          <w:sz w:val="44"/>
          <w:szCs w:val="44"/>
        </w:rPr>
      </w:pPr>
    </w:p>
    <w:p>
      <w:pPr>
        <w:rPr>
          <w:rFonts w:hint="eastAsia"/>
        </w:rPr>
      </w:pPr>
    </w:p>
    <w:p>
      <w:pPr>
        <w:pageBreakBefore w:val="0"/>
        <w:kinsoku/>
        <w:wordWrap/>
        <w:overflowPunct/>
        <w:topLinePunct w:val="0"/>
        <w:bidi w:val="0"/>
        <w:spacing w:line="580" w:lineRule="exact"/>
        <w:jc w:val="center"/>
        <w:outlineLvl w:val="0"/>
        <w:rPr>
          <w:rStyle w:val="31"/>
          <w:rFonts w:hint="eastAsia" w:ascii="黑体" w:hAnsi="黑体" w:eastAsia="黑体"/>
          <w:b w:val="0"/>
        </w:rPr>
      </w:pPr>
      <w:bookmarkStart w:id="113" w:name="_Toc3745"/>
      <w:bookmarkStart w:id="114" w:name="_Toc13229"/>
      <w:r>
        <w:rPr>
          <w:rFonts w:hint="eastAsia" w:ascii="黑体" w:hAnsi="黑体" w:eastAsia="黑体"/>
          <w:color w:val="000000"/>
          <w:sz w:val="44"/>
          <w:szCs w:val="44"/>
        </w:rPr>
        <w:t>第</w:t>
      </w:r>
      <w:r>
        <w:rPr>
          <w:rFonts w:hint="eastAsia" w:ascii="黑体" w:hAnsi="黑体" w:eastAsia="黑体"/>
          <w:color w:val="000000"/>
          <w:sz w:val="44"/>
          <w:szCs w:val="44"/>
          <w:lang w:eastAsia="zh-CN"/>
        </w:rPr>
        <w:t>四</w:t>
      </w:r>
      <w:r>
        <w:rPr>
          <w:rStyle w:val="31"/>
          <w:rFonts w:hint="eastAsia" w:ascii="黑体" w:hAnsi="黑体" w:eastAsia="黑体"/>
          <w:b w:val="0"/>
        </w:rPr>
        <w:t>部分</w:t>
      </w:r>
      <w:r>
        <w:rPr>
          <w:rStyle w:val="31"/>
          <w:rFonts w:ascii="黑体" w:hAnsi="黑体" w:eastAsia="黑体"/>
          <w:b w:val="0"/>
        </w:rPr>
        <w:t xml:space="preserve"> </w:t>
      </w:r>
      <w:r>
        <w:rPr>
          <w:rStyle w:val="31"/>
          <w:rFonts w:hint="eastAsia" w:ascii="黑体" w:hAnsi="黑体" w:eastAsia="黑体"/>
          <w:b w:val="0"/>
        </w:rPr>
        <w:t>附件</w:t>
      </w:r>
      <w:bookmarkEnd w:id="111"/>
      <w:bookmarkEnd w:id="113"/>
      <w:bookmarkEnd w:id="114"/>
    </w:p>
    <w:p>
      <w:pPr>
        <w:pStyle w:val="17"/>
        <w:snapToGrid/>
        <w:spacing w:line="360" w:lineRule="auto"/>
        <w:ind w:left="0" w:leftChars="0" w:firstLine="0" w:firstLineChars="0"/>
        <w:jc w:val="left"/>
        <w:outlineLvl w:val="1"/>
        <w:rPr>
          <w:rFonts w:hint="eastAsia" w:ascii="仿宋_GB2312" w:hAnsi="Times New Roman" w:eastAsia="仿宋_GB2312" w:cs="仿宋"/>
          <w:color w:val="000000"/>
          <w:sz w:val="32"/>
          <w:szCs w:val="32"/>
          <w:lang w:val="en-US" w:eastAsia="zh-CN" w:bidi="ar-SA"/>
        </w:rPr>
      </w:pPr>
      <w:bookmarkStart w:id="115" w:name="_Toc16805"/>
      <w:r>
        <w:rPr>
          <w:rFonts w:hint="eastAsia" w:ascii="仿宋_GB2312" w:hAnsi="Times New Roman" w:eastAsia="仿宋_GB2312" w:cs="仿宋"/>
          <w:color w:val="000000"/>
          <w:sz w:val="32"/>
          <w:szCs w:val="32"/>
          <w:lang w:val="en-US" w:eastAsia="zh-CN" w:bidi="ar-SA"/>
        </w:rPr>
        <w:t>附件1</w:t>
      </w:r>
      <w:bookmarkEnd w:id="115"/>
    </w:p>
    <w:tbl>
      <w:tblPr>
        <w:tblStyle w:val="9"/>
        <w:tblW w:w="8320" w:type="dxa"/>
        <w:jc w:val="center"/>
        <w:shd w:val="clear" w:color="auto" w:fill="auto"/>
        <w:tblLayout w:type="fixed"/>
        <w:tblCellMar>
          <w:top w:w="0" w:type="dxa"/>
          <w:left w:w="0" w:type="dxa"/>
          <w:bottom w:w="0" w:type="dxa"/>
          <w:right w:w="0" w:type="dxa"/>
        </w:tblCellMar>
      </w:tblPr>
      <w:tblGrid>
        <w:gridCol w:w="494"/>
        <w:gridCol w:w="1976"/>
        <w:gridCol w:w="587"/>
        <w:gridCol w:w="493"/>
        <w:gridCol w:w="459"/>
        <w:gridCol w:w="351"/>
        <w:gridCol w:w="317"/>
        <w:gridCol w:w="293"/>
        <w:gridCol w:w="546"/>
        <w:gridCol w:w="884"/>
        <w:gridCol w:w="338"/>
        <w:gridCol w:w="45"/>
        <w:gridCol w:w="256"/>
        <w:gridCol w:w="82"/>
        <w:gridCol w:w="335"/>
        <w:gridCol w:w="112"/>
        <w:gridCol w:w="461"/>
        <w:gridCol w:w="291"/>
      </w:tblGrid>
      <w:tr>
        <w:tblPrEx>
          <w:shd w:val="clear" w:color="auto" w:fill="auto"/>
          <w:tblCellMar>
            <w:top w:w="0" w:type="dxa"/>
            <w:left w:w="0" w:type="dxa"/>
            <w:bottom w:w="0" w:type="dxa"/>
            <w:right w:w="0" w:type="dxa"/>
          </w:tblCellMar>
        </w:tblPrEx>
        <w:trPr>
          <w:trHeight w:val="580" w:hRule="atLeast"/>
          <w:jc w:val="center"/>
        </w:trPr>
        <w:tc>
          <w:tcPr>
            <w:tcW w:w="8320" w:type="dxa"/>
            <w:gridSpan w:val="1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en-AU"/>
              </w:rPr>
              <w:t>部门预算项目支出绩效自评表（2022年度）</w:t>
            </w:r>
          </w:p>
        </w:tc>
      </w:tr>
      <w:tr>
        <w:tblPrEx>
          <w:tblCellMar>
            <w:top w:w="0" w:type="dxa"/>
            <w:left w:w="0" w:type="dxa"/>
            <w:bottom w:w="0" w:type="dxa"/>
            <w:right w:w="0" w:type="dxa"/>
          </w:tblCellMar>
        </w:tblPrEx>
        <w:trPr>
          <w:trHeight w:val="500" w:hRule="atLeast"/>
          <w:jc w:val="center"/>
        </w:trPr>
        <w:tc>
          <w:tcPr>
            <w:tcW w:w="247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项目名称</w:t>
            </w:r>
          </w:p>
        </w:tc>
        <w:tc>
          <w:tcPr>
            <w:tcW w:w="5850" w:type="dxa"/>
            <w:gridSpan w:val="16"/>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51081122T000006832293-二类疫苗服务费</w:t>
            </w:r>
          </w:p>
        </w:tc>
      </w:tr>
      <w:tr>
        <w:tblPrEx>
          <w:tblCellMar>
            <w:top w:w="0" w:type="dxa"/>
            <w:left w:w="0" w:type="dxa"/>
            <w:bottom w:w="0" w:type="dxa"/>
            <w:right w:w="0" w:type="dxa"/>
          </w:tblCellMar>
        </w:tblPrEx>
        <w:trPr>
          <w:trHeight w:val="480" w:hRule="atLeast"/>
          <w:jc w:val="center"/>
        </w:trPr>
        <w:tc>
          <w:tcPr>
            <w:tcW w:w="247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主管部门</w:t>
            </w:r>
          </w:p>
        </w:tc>
        <w:tc>
          <w:tcPr>
            <w:tcW w:w="1890"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广元市昭化区卫生健康局部门</w:t>
            </w:r>
          </w:p>
        </w:tc>
        <w:tc>
          <w:tcPr>
            <w:tcW w:w="1156" w:type="dxa"/>
            <w:gridSpan w:val="3"/>
            <w:tcBorders>
              <w:top w:val="nil"/>
              <w:left w:val="nil"/>
              <w:bottom w:val="nil"/>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实施单位 （盖章）</w:t>
            </w:r>
          </w:p>
        </w:tc>
        <w:tc>
          <w:tcPr>
            <w:tcW w:w="2804"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沙坝</w:t>
            </w:r>
            <w:r>
              <w:rPr>
                <w:rFonts w:ascii="宋体" w:hAnsi="宋体" w:eastAsia="宋体" w:cs="宋体"/>
                <w:i w:val="0"/>
                <w:color w:val="000000"/>
                <w:kern w:val="0"/>
                <w:sz w:val="18"/>
                <w:szCs w:val="18"/>
                <w:u w:val="none"/>
                <w:lang w:val="en-US" w:eastAsia="zh-CN" w:bidi="en-AU"/>
              </w:rPr>
              <w:t>乡卫生院</w:t>
            </w:r>
          </w:p>
        </w:tc>
      </w:tr>
      <w:tr>
        <w:tblPrEx>
          <w:tblCellMar>
            <w:top w:w="0" w:type="dxa"/>
            <w:left w:w="0" w:type="dxa"/>
            <w:bottom w:w="0" w:type="dxa"/>
            <w:right w:w="0" w:type="dxa"/>
          </w:tblCellMar>
        </w:tblPrEx>
        <w:trPr>
          <w:trHeight w:val="400"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项目基本情况</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1.项目年度目标完成情况</w:t>
            </w:r>
          </w:p>
        </w:tc>
        <w:tc>
          <w:tcPr>
            <w:tcW w:w="1890"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项目年度目标</w:t>
            </w:r>
          </w:p>
        </w:tc>
        <w:tc>
          <w:tcPr>
            <w:tcW w:w="3960" w:type="dxa"/>
            <w:gridSpan w:val="1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年度目标完成情况</w:t>
            </w:r>
          </w:p>
        </w:tc>
      </w:tr>
      <w:tr>
        <w:tblPrEx>
          <w:tblCellMar>
            <w:top w:w="0" w:type="dxa"/>
            <w:left w:w="0" w:type="dxa"/>
            <w:bottom w:w="0" w:type="dxa"/>
            <w:right w:w="0" w:type="dxa"/>
          </w:tblCellMar>
        </w:tblPrEx>
        <w:trPr>
          <w:trHeight w:val="28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890"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 xml:space="preserve">           2.10万元</w:t>
            </w:r>
          </w:p>
        </w:tc>
        <w:tc>
          <w:tcPr>
            <w:tcW w:w="3960" w:type="dxa"/>
            <w:gridSpan w:val="1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bidi="en-AU"/>
              </w:rPr>
              <w:t>100%</w:t>
            </w:r>
          </w:p>
        </w:tc>
      </w:tr>
      <w:tr>
        <w:tblPrEx>
          <w:tblCellMar>
            <w:top w:w="0" w:type="dxa"/>
            <w:left w:w="0" w:type="dxa"/>
            <w:bottom w:w="0" w:type="dxa"/>
            <w:right w:w="0" w:type="dxa"/>
          </w:tblCellMar>
        </w:tblPrEx>
        <w:trPr>
          <w:trHeight w:val="1454"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2.项目实施内容及过程概述</w:t>
            </w:r>
          </w:p>
        </w:tc>
        <w:tc>
          <w:tcPr>
            <w:tcW w:w="5850" w:type="dxa"/>
            <w:gridSpan w:val="16"/>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1112"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预算执行情况（10分）</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年度预算数（万元）</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年初预算</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调整后预算数</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预算执行率</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71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864" w:type="dxa"/>
            <w:gridSpan w:val="3"/>
            <w:tcBorders>
              <w:top w:val="single" w:color="000000" w:sz="4" w:space="0"/>
              <w:left w:val="single" w:color="000000" w:sz="4" w:space="0"/>
              <w:bottom w:val="nil"/>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未完成原因分析</w:t>
            </w:r>
          </w:p>
        </w:tc>
      </w:tr>
      <w:tr>
        <w:tblPrEx>
          <w:tblCellMar>
            <w:top w:w="0" w:type="dxa"/>
            <w:left w:w="0" w:type="dxa"/>
            <w:bottom w:w="0" w:type="dxa"/>
            <w:right w:w="0" w:type="dxa"/>
          </w:tblCellMar>
        </w:tblPrEx>
        <w:trPr>
          <w:trHeight w:val="28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总额</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2.1</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2.1</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w:t>
            </w:r>
          </w:p>
        </w:tc>
        <w:tc>
          <w:tcPr>
            <w:tcW w:w="718" w:type="dxa"/>
            <w:gridSpan w:val="4"/>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其中：财政资金</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2.1</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2.1</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718" w:type="dxa"/>
            <w:gridSpan w:val="4"/>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财政专户管理资金</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718" w:type="dxa"/>
            <w:gridSpan w:val="4"/>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28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单位资金</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718" w:type="dxa"/>
            <w:gridSpan w:val="4"/>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4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其他资金</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718" w:type="dxa"/>
            <w:gridSpan w:val="4"/>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701"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绩效指标（90分）</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一级指标</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二级指标</w:t>
            </w: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三级指标</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指标性质</w:t>
            </w:r>
          </w:p>
        </w:tc>
        <w:tc>
          <w:tcPr>
            <w:tcW w:w="61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度量单位</w:t>
            </w: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完成值</w:t>
            </w:r>
          </w:p>
        </w:tc>
        <w:tc>
          <w:tcPr>
            <w:tcW w:w="33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447"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3"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1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33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4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52" w:type="dxa"/>
            <w:gridSpan w:val="2"/>
            <w:tcBorders>
              <w:top w:val="nil"/>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0" w:hRule="atLeast"/>
          <w:jc w:val="center"/>
        </w:trPr>
        <w:tc>
          <w:tcPr>
            <w:tcW w:w="5516"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合计</w:t>
            </w:r>
          </w:p>
        </w:tc>
        <w:tc>
          <w:tcPr>
            <w:tcW w:w="1523"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990"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9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32"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评价结论</w:t>
            </w:r>
          </w:p>
        </w:tc>
        <w:tc>
          <w:tcPr>
            <w:tcW w:w="7826" w:type="dxa"/>
            <w:gridSpan w:val="17"/>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二类疫苗接种服务费收入全额上缴国库，纳入财政预算管理，实施效果较好</w:t>
            </w:r>
          </w:p>
        </w:tc>
      </w:tr>
      <w:tr>
        <w:tblPrEx>
          <w:tblCellMar>
            <w:top w:w="0" w:type="dxa"/>
            <w:left w:w="0" w:type="dxa"/>
            <w:bottom w:w="0" w:type="dxa"/>
            <w:right w:w="0" w:type="dxa"/>
          </w:tblCellMar>
        </w:tblPrEx>
        <w:trPr>
          <w:trHeight w:val="803"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存在问题</w:t>
            </w:r>
          </w:p>
        </w:tc>
        <w:tc>
          <w:tcPr>
            <w:tcW w:w="7826" w:type="dxa"/>
            <w:gridSpan w:val="17"/>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735"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改进措施</w:t>
            </w:r>
          </w:p>
        </w:tc>
        <w:tc>
          <w:tcPr>
            <w:tcW w:w="7826" w:type="dxa"/>
            <w:gridSpan w:val="17"/>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908" w:hRule="atLeast"/>
          <w:jc w:val="center"/>
        </w:trPr>
        <w:tc>
          <w:tcPr>
            <w:tcW w:w="4009"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项目负责人：</w:t>
            </w:r>
          </w:p>
        </w:tc>
        <w:tc>
          <w:tcPr>
            <w:tcW w:w="4311"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财务负责人：</w:t>
            </w:r>
          </w:p>
        </w:tc>
      </w:tr>
    </w:tbl>
    <w:p>
      <w:pPr>
        <w:rPr>
          <w:rFonts w:hint="default"/>
          <w:lang w:val="en-US" w:eastAsia="zh-CN"/>
        </w:rPr>
      </w:pPr>
    </w:p>
    <w:p>
      <w:pPr>
        <w:pageBreakBefore w:val="0"/>
        <w:numPr>
          <w:ilvl w:val="0"/>
          <w:numId w:val="0"/>
        </w:numPr>
        <w:kinsoku/>
        <w:wordWrap/>
        <w:overflowPunct/>
        <w:topLinePunct w:val="0"/>
        <w:bidi w:val="0"/>
        <w:spacing w:before="471" w:beforeLines="150" w:beforeAutospacing="0" w:after="390" w:afterLines="125" w:afterAutospacing="0" w:line="580" w:lineRule="exact"/>
        <w:ind w:leftChars="150"/>
        <w:jc w:val="center"/>
        <w:outlineLvl w:val="0"/>
        <w:rPr>
          <w:rStyle w:val="31"/>
          <w:rFonts w:hint="eastAsia" w:ascii="黑体" w:hAnsi="黑体" w:eastAsia="黑体"/>
          <w:b w:val="0"/>
        </w:rPr>
      </w:pPr>
      <w:bookmarkStart w:id="116" w:name="_Toc14243"/>
      <w:bookmarkStart w:id="117" w:name="_Toc15396618"/>
      <w:bookmarkStart w:id="118" w:name="_Toc32438"/>
      <w:r>
        <w:rPr>
          <w:rStyle w:val="31"/>
          <w:rFonts w:hint="eastAsia" w:ascii="黑体" w:hAnsi="黑体" w:eastAsia="黑体"/>
          <w:b w:val="0"/>
          <w:lang w:eastAsia="zh-CN"/>
        </w:rPr>
        <w:t>第五部分</w:t>
      </w:r>
      <w:r>
        <w:rPr>
          <w:rStyle w:val="31"/>
          <w:rFonts w:hint="eastAsia" w:ascii="黑体" w:hAnsi="黑体" w:eastAsia="黑体"/>
          <w:b w:val="0"/>
          <w:lang w:val="en-US" w:eastAsia="zh-CN"/>
        </w:rPr>
        <w:t xml:space="preserve"> </w:t>
      </w:r>
      <w:r>
        <w:rPr>
          <w:rStyle w:val="31"/>
          <w:rFonts w:hint="eastAsia" w:ascii="黑体" w:hAnsi="黑体" w:eastAsia="黑体"/>
          <w:b w:val="0"/>
        </w:rPr>
        <w:t>附表</w:t>
      </w:r>
      <w:bookmarkEnd w:id="112"/>
      <w:bookmarkEnd w:id="116"/>
      <w:bookmarkEnd w:id="117"/>
      <w:bookmarkEnd w:id="118"/>
      <w:bookmarkStart w:id="119" w:name="_Toc15396619"/>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20" w:name="_Toc18121"/>
      <w:bookmarkStart w:id="121" w:name="_Toc20965"/>
      <w:r>
        <w:rPr>
          <w:rStyle w:val="13"/>
          <w:rFonts w:hint="eastAsia" w:ascii="仿宋" w:hAnsi="仿宋" w:eastAsia="仿宋"/>
          <w:b w:val="0"/>
          <w:bCs w:val="0"/>
        </w:rPr>
        <w:t>收入支出决算总表</w:t>
      </w:r>
      <w:bookmarkEnd w:id="119"/>
      <w:bookmarkEnd w:id="120"/>
      <w:bookmarkEnd w:id="121"/>
      <w:bookmarkStart w:id="122" w:name="_Toc15396620"/>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23" w:name="_Toc15000"/>
      <w:bookmarkStart w:id="124" w:name="_Toc16655"/>
      <w:r>
        <w:rPr>
          <w:rStyle w:val="13"/>
          <w:rFonts w:hint="eastAsia" w:ascii="仿宋" w:hAnsi="仿宋" w:eastAsia="仿宋"/>
          <w:b w:val="0"/>
          <w:bCs w:val="0"/>
        </w:rPr>
        <w:t>收入决算表</w:t>
      </w:r>
      <w:bookmarkEnd w:id="122"/>
      <w:bookmarkEnd w:id="123"/>
      <w:bookmarkEnd w:id="124"/>
      <w:bookmarkStart w:id="125" w:name="_Toc15396621"/>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26" w:name="_Toc5512"/>
      <w:bookmarkStart w:id="127" w:name="_Toc18543"/>
      <w:r>
        <w:rPr>
          <w:rStyle w:val="13"/>
          <w:rFonts w:hint="eastAsia" w:ascii="仿宋" w:hAnsi="仿宋" w:eastAsia="仿宋"/>
          <w:b w:val="0"/>
          <w:bCs w:val="0"/>
        </w:rPr>
        <w:t>支出决算表</w:t>
      </w:r>
      <w:bookmarkEnd w:id="125"/>
      <w:bookmarkEnd w:id="126"/>
      <w:bookmarkEnd w:id="127"/>
      <w:bookmarkStart w:id="128" w:name="_Toc15396622"/>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29" w:name="_Toc18091"/>
      <w:bookmarkStart w:id="130" w:name="_Toc21328"/>
      <w:r>
        <w:rPr>
          <w:rStyle w:val="13"/>
          <w:rFonts w:hint="eastAsia" w:ascii="仿宋" w:hAnsi="仿宋" w:eastAsia="仿宋"/>
          <w:b w:val="0"/>
          <w:bCs w:val="0"/>
        </w:rPr>
        <w:t>财政拨款收入支出决算总表</w:t>
      </w:r>
      <w:bookmarkEnd w:id="128"/>
      <w:bookmarkEnd w:id="129"/>
      <w:bookmarkEnd w:id="130"/>
      <w:bookmarkStart w:id="131" w:name="_Toc15396623"/>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32" w:name="_Toc17694"/>
      <w:bookmarkStart w:id="133" w:name="_Toc27153"/>
      <w:r>
        <w:rPr>
          <w:rStyle w:val="13"/>
          <w:rFonts w:hint="eastAsia" w:ascii="仿宋" w:hAnsi="仿宋" w:eastAsia="仿宋"/>
          <w:b w:val="0"/>
          <w:bCs w:val="0"/>
        </w:rPr>
        <w:t>财政拨款支出决算明细表</w:t>
      </w:r>
      <w:bookmarkEnd w:id="131"/>
      <w:bookmarkEnd w:id="132"/>
      <w:bookmarkEnd w:id="133"/>
      <w:bookmarkStart w:id="134" w:name="_Toc15396624"/>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35" w:name="_Toc21508"/>
      <w:bookmarkStart w:id="136" w:name="_Toc26996"/>
      <w:r>
        <w:rPr>
          <w:rStyle w:val="13"/>
          <w:rFonts w:hint="eastAsia" w:ascii="仿宋" w:hAnsi="仿宋" w:eastAsia="仿宋"/>
          <w:b w:val="0"/>
          <w:bCs w:val="0"/>
        </w:rPr>
        <w:t>一般公共预算财政拨款支出决算表</w:t>
      </w:r>
      <w:bookmarkEnd w:id="134"/>
      <w:bookmarkEnd w:id="135"/>
      <w:bookmarkEnd w:id="136"/>
      <w:bookmarkStart w:id="137" w:name="_Toc15396625"/>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38" w:name="_Toc23968"/>
      <w:bookmarkStart w:id="139" w:name="_Toc20074"/>
      <w:r>
        <w:rPr>
          <w:rStyle w:val="13"/>
          <w:rFonts w:hint="eastAsia" w:ascii="仿宋" w:hAnsi="仿宋" w:eastAsia="仿宋"/>
          <w:b w:val="0"/>
          <w:bCs w:val="0"/>
        </w:rPr>
        <w:t>一般公共预算财政拨款支出决算明细表</w:t>
      </w:r>
      <w:bookmarkEnd w:id="137"/>
      <w:bookmarkEnd w:id="138"/>
      <w:bookmarkEnd w:id="139"/>
      <w:bookmarkStart w:id="140" w:name="_Toc15396626"/>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41" w:name="_Toc12867"/>
      <w:bookmarkStart w:id="142" w:name="_Toc22632"/>
      <w:r>
        <w:rPr>
          <w:rStyle w:val="13"/>
          <w:rFonts w:hint="eastAsia" w:ascii="仿宋" w:hAnsi="仿宋" w:eastAsia="仿宋"/>
          <w:b w:val="0"/>
          <w:bCs w:val="0"/>
        </w:rPr>
        <w:t>一般公共预算财政拨款基本支出决算表</w:t>
      </w:r>
      <w:bookmarkEnd w:id="140"/>
      <w:bookmarkEnd w:id="141"/>
      <w:bookmarkEnd w:id="142"/>
      <w:bookmarkStart w:id="143" w:name="_Toc15396627"/>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b w:val="0"/>
          <w:bCs w:val="0"/>
        </w:rPr>
      </w:pPr>
      <w:bookmarkStart w:id="144" w:name="_Toc10507"/>
      <w:bookmarkStart w:id="145" w:name="_Toc25299"/>
      <w:r>
        <w:rPr>
          <w:rStyle w:val="13"/>
          <w:rFonts w:hint="eastAsia" w:ascii="仿宋" w:hAnsi="仿宋" w:eastAsia="仿宋"/>
          <w:b w:val="0"/>
          <w:bCs w:val="0"/>
        </w:rPr>
        <w:t>一般公共预算财政拨款项目支出决算表</w:t>
      </w:r>
      <w:bookmarkEnd w:id="143"/>
      <w:bookmarkEnd w:id="144"/>
      <w:bookmarkEnd w:id="145"/>
      <w:bookmarkStart w:id="146" w:name="_Toc15396628"/>
    </w:p>
    <w:bookmarkEnd w:id="146"/>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cs="Times New Roman"/>
          <w:b w:val="0"/>
          <w:bCs w:val="0"/>
        </w:rPr>
      </w:pPr>
      <w:bookmarkStart w:id="147" w:name="_Toc7355"/>
      <w:bookmarkStart w:id="148" w:name="_Toc16360"/>
      <w:r>
        <w:rPr>
          <w:rStyle w:val="13"/>
          <w:rFonts w:hint="eastAsia" w:ascii="仿宋" w:hAnsi="仿宋" w:eastAsia="仿宋" w:cs="Times New Roman"/>
          <w:b w:val="0"/>
          <w:bCs w:val="0"/>
        </w:rPr>
        <w:t>政府性基金预算财政拨款收入支出决算表</w:t>
      </w:r>
      <w:bookmarkEnd w:id="147"/>
      <w:bookmarkEnd w:id="148"/>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cs="Times New Roman"/>
          <w:b w:val="0"/>
          <w:bCs w:val="0"/>
        </w:rPr>
      </w:pPr>
      <w:bookmarkStart w:id="149" w:name="_Toc11722"/>
      <w:bookmarkStart w:id="150" w:name="_Toc15508"/>
      <w:r>
        <w:rPr>
          <w:rStyle w:val="13"/>
          <w:rFonts w:hint="eastAsia" w:ascii="仿宋" w:hAnsi="仿宋" w:eastAsia="仿宋" w:cs="Times New Roman"/>
          <w:b w:val="0"/>
          <w:bCs w:val="0"/>
        </w:rPr>
        <w:t>国有资本经营预算</w:t>
      </w:r>
      <w:r>
        <w:rPr>
          <w:rStyle w:val="13"/>
          <w:rFonts w:hint="eastAsia" w:ascii="仿宋" w:hAnsi="仿宋" w:eastAsia="仿宋" w:cs="Times New Roman"/>
          <w:b w:val="0"/>
          <w:bCs w:val="0"/>
          <w:lang w:eastAsia="zh-CN"/>
        </w:rPr>
        <w:t>财政拨款收入</w:t>
      </w:r>
      <w:r>
        <w:rPr>
          <w:rStyle w:val="13"/>
          <w:rFonts w:hint="eastAsia" w:ascii="仿宋" w:hAnsi="仿宋" w:eastAsia="仿宋" w:cs="Times New Roman"/>
          <w:b w:val="0"/>
          <w:bCs w:val="0"/>
        </w:rPr>
        <w:t>支出决算表</w:t>
      </w:r>
      <w:bookmarkEnd w:id="149"/>
      <w:bookmarkEnd w:id="150"/>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cs="Times New Roman"/>
          <w:b w:val="0"/>
          <w:bCs w:val="0"/>
        </w:rPr>
      </w:pPr>
      <w:bookmarkStart w:id="151" w:name="_Toc10553"/>
      <w:bookmarkStart w:id="152" w:name="_Toc8311"/>
      <w:r>
        <w:rPr>
          <w:rStyle w:val="13"/>
          <w:rFonts w:hint="eastAsia" w:ascii="仿宋" w:hAnsi="仿宋" w:eastAsia="仿宋" w:cs="Times New Roman"/>
          <w:b w:val="0"/>
          <w:bCs w:val="0"/>
          <w:lang w:eastAsia="zh-CN"/>
        </w:rPr>
        <w:t>国有资本经营预算财政拨款支出决算表</w:t>
      </w:r>
      <w:bookmarkEnd w:id="151"/>
      <w:bookmarkEnd w:id="152"/>
    </w:p>
    <w:p>
      <w:pPr>
        <w:keepNext w:val="0"/>
        <w:keepLines w:val="0"/>
        <w:pageBreakBefore w:val="0"/>
        <w:widowControl w:val="0"/>
        <w:numPr>
          <w:ilvl w:val="0"/>
          <w:numId w:val="7"/>
        </w:numPr>
        <w:kinsoku/>
        <w:wordWrap/>
        <w:overflowPunct/>
        <w:topLinePunct w:val="0"/>
        <w:autoSpaceDE/>
        <w:autoSpaceDN/>
        <w:bidi w:val="0"/>
        <w:adjustRightInd/>
        <w:snapToGrid/>
        <w:spacing w:beforeAutospacing="0" w:line="600" w:lineRule="exact"/>
        <w:ind w:leftChars="150"/>
        <w:jc w:val="both"/>
        <w:textAlignment w:val="auto"/>
        <w:outlineLvl w:val="1"/>
        <w:rPr>
          <w:rStyle w:val="13"/>
          <w:rFonts w:hint="eastAsia" w:ascii="仿宋" w:hAnsi="仿宋" w:eastAsia="仿宋" w:cs="Times New Roman"/>
          <w:b w:val="0"/>
          <w:bCs w:val="0"/>
          <w:lang w:eastAsia="zh-CN"/>
        </w:rPr>
      </w:pPr>
      <w:bookmarkStart w:id="153" w:name="_Toc28775"/>
      <w:bookmarkStart w:id="154" w:name="_Toc2026"/>
      <w:r>
        <w:rPr>
          <w:rStyle w:val="13"/>
          <w:rFonts w:hint="eastAsia" w:ascii="仿宋" w:hAnsi="仿宋" w:eastAsia="仿宋" w:cs="Times New Roman"/>
          <w:b w:val="0"/>
          <w:bCs w:val="0"/>
          <w:lang w:eastAsia="zh-CN"/>
        </w:rPr>
        <w:t>财政拨款“三公”经费支出决算表</w:t>
      </w:r>
      <w:bookmarkEnd w:id="153"/>
      <w:bookmarkEnd w:id="154"/>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210" w:firstLineChars="100"/>
        <w:jc w:val="both"/>
        <w:textAlignment w:val="auto"/>
        <w:outlineLvl w:val="9"/>
        <w:rPr>
          <w:rFonts w:ascii="仿宋" w:hAnsi="仿宋" w:eastAsia="仿宋"/>
          <w:color w:val="000000"/>
        </w:rPr>
      </w:pPr>
    </w:p>
    <w:sectPr>
      <w:footerReference r:id="rId8"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文本框 8"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21"/>
                  <w:jc w:val="center"/>
                </w:pPr>
                <w:r>
                  <w:fldChar w:fldCharType="begin"/>
                </w:r>
                <w:r>
                  <w:instrText xml:space="preserve">PAGE   \* MERGEFORMAT</w:instrText>
                </w:r>
                <w:r>
                  <w:fldChar w:fldCharType="separate"/>
                </w:r>
                <w:r>
                  <w:rPr>
                    <w:lang w:val="zh-CN"/>
                  </w:rPr>
                  <w:t>3</w:t>
                </w:r>
                <w: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chineseCounting"/>
      <w:suff w:val="nothing"/>
      <w:lvlText w:val="（%1）"/>
      <w:lvlJc w:val="left"/>
      <w:rPr>
        <w:rFonts w:hint="eastAsia"/>
      </w:rPr>
    </w:lvl>
  </w:abstractNum>
  <w:abstractNum w:abstractNumId="1">
    <w:nsid w:val="BF205925"/>
    <w:multiLevelType w:val="singleLevel"/>
    <w:tmpl w:val="BF205925"/>
    <w:lvl w:ilvl="0" w:tentative="0">
      <w:start w:val="9"/>
      <w:numFmt w:val="chineseCounting"/>
      <w:suff w:val="nothing"/>
      <w:lvlText w:val="%1、"/>
      <w:lvlJc w:val="left"/>
      <w:rPr>
        <w:rFonts w:hint="eastAsia" w:cs="Times New Roman"/>
      </w:rPr>
    </w:lvl>
  </w:abstractNum>
  <w:abstractNum w:abstractNumId="2">
    <w:nsid w:val="CF092B84"/>
    <w:multiLevelType w:val="multilevel"/>
    <w:tmpl w:val="CF092B84"/>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0053208E"/>
    <w:multiLevelType w:val="singleLevel"/>
    <w:tmpl w:val="0053208E"/>
    <w:lvl w:ilvl="0" w:tentative="0">
      <w:start w:val="2"/>
      <w:numFmt w:val="chineseCounting"/>
      <w:suff w:val="nothing"/>
      <w:lvlText w:val="%1、"/>
      <w:lvlJc w:val="left"/>
      <w:rPr>
        <w:rFonts w:hint="eastAsia"/>
      </w:rPr>
    </w:lvl>
  </w:abstractNum>
  <w:abstractNum w:abstractNumId="4">
    <w:nsid w:val="03D62ECE"/>
    <w:multiLevelType w:val="singleLevel"/>
    <w:tmpl w:val="03D62ECE"/>
    <w:lvl w:ilvl="0" w:tentative="0">
      <w:start w:val="3"/>
      <w:numFmt w:val="chineseCounting"/>
      <w:suff w:val="space"/>
      <w:lvlText w:val="第%1部分"/>
      <w:lvlJc w:val="left"/>
      <w:rPr>
        <w:rFonts w:hint="eastAsia" w:cs="Times New Roman"/>
      </w:rPr>
    </w:lvl>
  </w:abstractNum>
  <w:abstractNum w:abstractNumId="5">
    <w:nsid w:val="25B654F3"/>
    <w:multiLevelType w:val="singleLevel"/>
    <w:tmpl w:val="25B654F3"/>
    <w:lvl w:ilvl="0" w:tentative="0">
      <w:start w:val="1"/>
      <w:numFmt w:val="chineseCounting"/>
      <w:suff w:val="nothing"/>
      <w:lvlText w:val="%1、"/>
      <w:lvlJc w:val="left"/>
      <w:rPr>
        <w:rFonts w:hint="eastAsia"/>
      </w:rPr>
    </w:lvl>
  </w:abstractNum>
  <w:abstractNum w:abstractNumId="6">
    <w:nsid w:val="59ADCABA"/>
    <w:multiLevelType w:val="singleLevel"/>
    <w:tmpl w:val="59ADCABA"/>
    <w:lvl w:ilvl="0" w:tentative="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3B8E3576"/>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31"/>
    <w:qFormat/>
    <w:uiPriority w:val="9"/>
    <w:pPr>
      <w:keepNext/>
      <w:keepLines/>
      <w:spacing w:before="340" w:after="330" w:line="578" w:lineRule="auto"/>
      <w:outlineLvl w:val="0"/>
    </w:pPr>
    <w:rPr>
      <w:b/>
      <w:bCs/>
      <w:kern w:val="44"/>
      <w:sz w:val="44"/>
      <w:szCs w:val="44"/>
    </w:rPr>
  </w:style>
  <w:style w:type="paragraph" w:customStyle="1" w:styleId="6">
    <w:name w:val="标题 21"/>
    <w:basedOn w:val="1"/>
    <w:next w:val="1"/>
    <w:link w:val="32"/>
    <w:unhideWhenUsed/>
    <w:qFormat/>
    <w:uiPriority w:val="9"/>
    <w:pPr>
      <w:keepNext/>
      <w:keepLines/>
      <w:spacing w:before="260" w:after="260" w:line="416" w:lineRule="auto"/>
      <w:outlineLvl w:val="1"/>
    </w:pPr>
    <w:rPr>
      <w:rFonts w:ascii="Cambria" w:hAnsi="Cambria"/>
      <w:b/>
      <w:bCs/>
      <w:sz w:val="32"/>
      <w:szCs w:val="32"/>
    </w:rPr>
  </w:style>
  <w:style w:type="paragraph" w:customStyle="1" w:styleId="7">
    <w:name w:val="标题 31"/>
    <w:basedOn w:val="1"/>
    <w:next w:val="1"/>
    <w:link w:val="14"/>
    <w:unhideWhenUsed/>
    <w:qFormat/>
    <w:uiPriority w:val="9"/>
    <w:pPr>
      <w:keepNext/>
      <w:keepLines/>
      <w:spacing w:before="260" w:after="260" w:line="416" w:lineRule="auto"/>
      <w:outlineLvl w:val="2"/>
    </w:pPr>
    <w:rPr>
      <w:b/>
      <w:bCs/>
      <w:sz w:val="32"/>
      <w:szCs w:val="32"/>
    </w:rPr>
  </w:style>
  <w:style w:type="character" w:customStyle="1" w:styleId="8">
    <w:name w:val="默认段落字体1"/>
    <w:unhideWhenUsed/>
    <w:uiPriority w:val="1"/>
  </w:style>
  <w:style w:type="table" w:customStyle="1" w:styleId="9">
    <w:name w:val="普通表格1"/>
    <w:unhideWhenUsed/>
    <w:qFormat/>
    <w:uiPriority w:val="99"/>
    <w:tblPr>
      <w:tblCellMar>
        <w:top w:w="0" w:type="dxa"/>
        <w:left w:w="108" w:type="dxa"/>
        <w:bottom w:w="0" w:type="dxa"/>
        <w:right w:w="108" w:type="dxa"/>
      </w:tblCellMar>
    </w:tblPr>
  </w:style>
  <w:style w:type="paragraph" w:customStyle="1" w:styleId="10">
    <w:name w:val="正文文本1"/>
    <w:basedOn w:val="1"/>
    <w:next w:val="1"/>
    <w:link w:val="11"/>
    <w:qFormat/>
    <w:uiPriority w:val="99"/>
    <w:pPr>
      <w:spacing w:beforeLines="30"/>
    </w:pPr>
    <w:rPr>
      <w:rFonts w:ascii="仿宋_GB2312" w:eastAsia="仿宋_GB2312"/>
      <w:kern w:val="0"/>
      <w:sz w:val="24"/>
      <w:szCs w:val="20"/>
    </w:rPr>
  </w:style>
  <w:style w:type="character" w:customStyle="1" w:styleId="11">
    <w:name w:val=" Char Char3"/>
    <w:link w:val="10"/>
    <w:qFormat/>
    <w:locked/>
    <w:uiPriority w:val="99"/>
    <w:rPr>
      <w:rFonts w:ascii="仿宋_GB2312" w:hAnsi="Times New Roman" w:eastAsia="仿宋_GB2312"/>
      <w:sz w:val="24"/>
    </w:rPr>
  </w:style>
  <w:style w:type="character" w:customStyle="1" w:styleId="12">
    <w:name w:val="标题 1 Char"/>
    <w:basedOn w:val="8"/>
    <w:link w:val="5"/>
    <w:qFormat/>
    <w:uiPriority w:val="9"/>
    <w:rPr>
      <w:rFonts w:ascii="Times New Roman" w:hAnsi="Times New Roman"/>
      <w:b/>
      <w:bCs/>
      <w:kern w:val="44"/>
      <w:sz w:val="44"/>
      <w:szCs w:val="44"/>
    </w:rPr>
  </w:style>
  <w:style w:type="character" w:customStyle="1" w:styleId="13">
    <w:name w:val=" Char Char5"/>
    <w:basedOn w:val="8"/>
    <w:link w:val="6"/>
    <w:qFormat/>
    <w:locked/>
    <w:uiPriority w:val="9"/>
    <w:rPr>
      <w:rFonts w:ascii="Cambria" w:hAnsi="Cambria" w:eastAsia="宋体" w:cs="Times New Roman"/>
      <w:b/>
      <w:bCs/>
      <w:kern w:val="2"/>
      <w:sz w:val="32"/>
      <w:szCs w:val="32"/>
    </w:rPr>
  </w:style>
  <w:style w:type="character" w:customStyle="1" w:styleId="14">
    <w:name w:val=" Char Char4"/>
    <w:basedOn w:val="8"/>
    <w:link w:val="7"/>
    <w:qFormat/>
    <w:locked/>
    <w:uiPriority w:val="9"/>
    <w:rPr>
      <w:rFonts w:ascii="Times New Roman" w:hAnsi="Times New Roman" w:cs="Times New Roman"/>
      <w:b/>
      <w:bCs/>
      <w:kern w:val="2"/>
      <w:sz w:val="32"/>
      <w:szCs w:val="32"/>
    </w:rPr>
  </w:style>
  <w:style w:type="paragraph" w:customStyle="1" w:styleId="15">
    <w:name w:val="称呼1"/>
    <w:basedOn w:val="1"/>
    <w:next w:val="1"/>
    <w:qFormat/>
    <w:uiPriority w:val="99"/>
    <w:rPr>
      <w:rFonts w:ascii="Times New Roman" w:hAnsi="Times New Roman"/>
      <w:szCs w:val="20"/>
    </w:rPr>
  </w:style>
  <w:style w:type="paragraph" w:customStyle="1" w:styleId="16">
    <w:name w:val="正文文本缩进1"/>
    <w:basedOn w:val="1"/>
    <w:next w:val="1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customStyle="1" w:styleId="17">
    <w:name w:val="正文首行缩进 21"/>
    <w:basedOn w:val="16"/>
    <w:next w:val="1"/>
    <w:qFormat/>
    <w:uiPriority w:val="0"/>
    <w:pPr>
      <w:ind w:firstLine="420" w:firstLineChars="200"/>
    </w:pPr>
  </w:style>
  <w:style w:type="paragraph" w:customStyle="1" w:styleId="18">
    <w:name w:val="目录 31"/>
    <w:basedOn w:val="1"/>
    <w:next w:val="1"/>
    <w:unhideWhenUsed/>
    <w:qFormat/>
    <w:uiPriority w:val="39"/>
    <w:pPr>
      <w:tabs>
        <w:tab w:val="right" w:leader="dot" w:pos="8296"/>
      </w:tabs>
      <w:ind w:left="840" w:leftChars="400"/>
    </w:pPr>
  </w:style>
  <w:style w:type="paragraph" w:customStyle="1" w:styleId="19">
    <w:name w:val="批注框文本1"/>
    <w:basedOn w:val="1"/>
    <w:link w:val="20"/>
    <w:unhideWhenUsed/>
    <w:qFormat/>
    <w:uiPriority w:val="99"/>
    <w:rPr>
      <w:sz w:val="18"/>
      <w:szCs w:val="18"/>
    </w:rPr>
  </w:style>
  <w:style w:type="character" w:customStyle="1" w:styleId="20">
    <w:name w:val=" Char Char2"/>
    <w:basedOn w:val="8"/>
    <w:link w:val="19"/>
    <w:semiHidden/>
    <w:qFormat/>
    <w:locked/>
    <w:uiPriority w:val="99"/>
    <w:rPr>
      <w:rFonts w:ascii="Times New Roman" w:hAnsi="Times New Roman" w:cs="Times New Roman"/>
      <w:kern w:val="2"/>
      <w:sz w:val="18"/>
      <w:szCs w:val="18"/>
    </w:rPr>
  </w:style>
  <w:style w:type="paragraph" w:customStyle="1" w:styleId="21">
    <w:name w:val="页脚1"/>
    <w:basedOn w:val="1"/>
    <w:link w:val="22"/>
    <w:qFormat/>
    <w:uiPriority w:val="99"/>
    <w:pPr>
      <w:tabs>
        <w:tab w:val="center" w:pos="4153"/>
        <w:tab w:val="right" w:pos="8306"/>
      </w:tabs>
      <w:snapToGrid w:val="0"/>
      <w:jc w:val="left"/>
    </w:pPr>
    <w:rPr>
      <w:rFonts w:ascii="Calibri" w:hAnsi="Calibri"/>
      <w:kern w:val="0"/>
      <w:sz w:val="18"/>
      <w:szCs w:val="20"/>
    </w:rPr>
  </w:style>
  <w:style w:type="character" w:customStyle="1" w:styleId="22">
    <w:name w:val=" Char Char1"/>
    <w:link w:val="21"/>
    <w:qFormat/>
    <w:locked/>
    <w:uiPriority w:val="99"/>
    <w:rPr>
      <w:sz w:val="18"/>
    </w:rPr>
  </w:style>
  <w:style w:type="paragraph" w:customStyle="1" w:styleId="23">
    <w:name w:val="页眉1"/>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character" w:customStyle="1" w:styleId="24">
    <w:name w:val=" Char Char"/>
    <w:link w:val="23"/>
    <w:semiHidden/>
    <w:qFormat/>
    <w:locked/>
    <w:uiPriority w:val="99"/>
    <w:rPr>
      <w:sz w:val="18"/>
    </w:rPr>
  </w:style>
  <w:style w:type="paragraph" w:customStyle="1" w:styleId="25">
    <w:name w:val="目录 11"/>
    <w:basedOn w:val="1"/>
    <w:next w:val="1"/>
    <w:unhideWhenUsed/>
    <w:qFormat/>
    <w:uiPriority w:val="39"/>
    <w:pPr>
      <w:tabs>
        <w:tab w:val="right" w:leader="dot" w:pos="8296"/>
      </w:tabs>
      <w:spacing w:before="93"/>
      <w:jc w:val="center"/>
    </w:pPr>
    <w:rPr>
      <w:rFonts w:ascii="仿宋" w:hAnsi="仿宋" w:eastAsia="仿宋"/>
      <w:sz w:val="28"/>
      <w:szCs w:val="28"/>
    </w:rPr>
  </w:style>
  <w:style w:type="paragraph" w:customStyle="1" w:styleId="26">
    <w:name w:val="图表目录1"/>
    <w:basedOn w:val="1"/>
    <w:next w:val="1"/>
    <w:qFormat/>
    <w:uiPriority w:val="0"/>
    <w:pPr>
      <w:ind w:left="400" w:leftChars="200" w:hanging="200" w:hangingChars="200"/>
    </w:pPr>
  </w:style>
  <w:style w:type="paragraph" w:customStyle="1" w:styleId="27">
    <w:name w:val="目录 21"/>
    <w:basedOn w:val="1"/>
    <w:next w:val="1"/>
    <w:unhideWhenUsed/>
    <w:qFormat/>
    <w:uiPriority w:val="39"/>
    <w:pPr>
      <w:tabs>
        <w:tab w:val="right" w:leader="dot" w:pos="8296"/>
      </w:tabs>
      <w:ind w:left="420" w:leftChars="200"/>
    </w:pPr>
  </w:style>
  <w:style w:type="paragraph" w:customStyle="1" w:styleId="28">
    <w:name w:val="普通(网站)1"/>
    <w:basedOn w:val="1"/>
    <w:qFormat/>
    <w:uiPriority w:val="0"/>
    <w:pPr>
      <w:spacing w:before="100" w:beforeAutospacing="1" w:after="100" w:afterAutospacing="1"/>
      <w:ind w:left="0" w:right="0"/>
      <w:jc w:val="left"/>
    </w:pPr>
    <w:rPr>
      <w:kern w:val="0"/>
      <w:sz w:val="24"/>
      <w:lang w:val="en-US" w:eastAsia="zh-CN" w:bidi="en-AU"/>
    </w:rPr>
  </w:style>
  <w:style w:type="character" w:customStyle="1" w:styleId="29">
    <w:name w:val="要点1"/>
    <w:basedOn w:val="8"/>
    <w:qFormat/>
    <w:uiPriority w:val="99"/>
    <w:rPr>
      <w:rFonts w:cs="Times New Roman"/>
      <w:b/>
    </w:rPr>
  </w:style>
  <w:style w:type="character" w:customStyle="1" w:styleId="30">
    <w:name w:val="超链接1"/>
    <w:basedOn w:val="8"/>
    <w:unhideWhenUsed/>
    <w:qFormat/>
    <w:uiPriority w:val="99"/>
    <w:rPr>
      <w:rFonts w:cs="Times New Roman"/>
      <w:color w:val="0000FF"/>
      <w:u w:val="single"/>
    </w:rPr>
  </w:style>
  <w:style w:type="character" w:customStyle="1" w:styleId="31">
    <w:name w:val=" Char Char6"/>
    <w:basedOn w:val="8"/>
    <w:link w:val="5"/>
    <w:qFormat/>
    <w:locked/>
    <w:uiPriority w:val="9"/>
    <w:rPr>
      <w:rFonts w:ascii="Times New Roman" w:hAnsi="Times New Roman" w:cs="Times New Roman"/>
      <w:b/>
      <w:bCs/>
      <w:kern w:val="44"/>
      <w:sz w:val="44"/>
      <w:szCs w:val="44"/>
    </w:rPr>
  </w:style>
  <w:style w:type="character" w:customStyle="1" w:styleId="32">
    <w:name w:val="标题 2 Char"/>
    <w:basedOn w:val="8"/>
    <w:link w:val="6"/>
    <w:qFormat/>
    <w:uiPriority w:val="9"/>
    <w:rPr>
      <w:rFonts w:ascii="Cambria" w:hAnsi="Cambria" w:eastAsia="宋体" w:cs="Times New Roman"/>
      <w:b/>
      <w:bCs/>
      <w:kern w:val="2"/>
      <w:sz w:val="32"/>
      <w:szCs w:val="32"/>
    </w:rPr>
  </w:style>
  <w:style w:type="character" w:customStyle="1" w:styleId="33">
    <w:name w:val="Footer Char"/>
    <w:basedOn w:val="8"/>
    <w:semiHidden/>
    <w:qFormat/>
    <w:uiPriority w:val="99"/>
    <w:rPr>
      <w:rFonts w:ascii="Times New Roman" w:hAnsi="Times New Roman" w:cs="Times New Roman"/>
      <w:sz w:val="18"/>
      <w:szCs w:val="18"/>
    </w:rPr>
  </w:style>
  <w:style w:type="character" w:customStyle="1" w:styleId="34">
    <w:name w:val="Body Text Char"/>
    <w:basedOn w:val="8"/>
    <w:semiHidden/>
    <w:qFormat/>
    <w:uiPriority w:val="99"/>
    <w:rPr>
      <w:rFonts w:ascii="Times New Roman" w:hAnsi="Times New Roman" w:cs="Times New Roman"/>
      <w:sz w:val="24"/>
      <w:szCs w:val="24"/>
    </w:rPr>
  </w:style>
  <w:style w:type="character" w:customStyle="1" w:styleId="35">
    <w:name w:val="Header Char"/>
    <w:basedOn w:val="8"/>
    <w:semiHidden/>
    <w:qFormat/>
    <w:uiPriority w:val="99"/>
    <w:rPr>
      <w:rFonts w:ascii="Times New Roman" w:hAnsi="Times New Roman" w:cs="Times New Roman"/>
      <w:sz w:val="18"/>
      <w:szCs w:val="18"/>
    </w:rPr>
  </w:style>
  <w:style w:type="paragraph" w:customStyle="1" w:styleId="36">
    <w:name w:val="TOC 标题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7">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8">
    <w:name w:val="Normal_0"/>
    <w:uiPriority w:val="0"/>
    <w:pPr>
      <w:jc w:val="both"/>
    </w:pPr>
    <w:rPr>
      <w:rFonts w:ascii="Times New Roman" w:hAnsi="Times New Roman" w:eastAsia="宋体" w:cs="Times New Roman"/>
      <w:kern w:val="2"/>
      <w:sz w:val="21"/>
      <w:szCs w:val="21"/>
      <w:lang w:val="en-US" w:eastAsia="zh-CN" w:bidi="ar-SA"/>
    </w:rPr>
  </w:style>
  <w:style w:type="paragraph" w:styleId="39">
    <w:name w:val="List Paragraph"/>
    <w:basedOn w:val="1"/>
    <w:qFormat/>
    <w:uiPriority w:val="34"/>
    <w:pPr>
      <w:ind w:firstLine="420" w:firstLineChars="200"/>
    </w:p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paragraph" w:customStyle="1" w:styleId="41">
    <w:name w:val="TOC Heading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character" w:customStyle="1" w:styleId="43">
    <w:name w:val="font91"/>
    <w:basedOn w:val="8"/>
    <w:uiPriority w:val="0"/>
    <w:rPr>
      <w:rFonts w:hint="eastAsia" w:ascii="宋体" w:hAnsi="宋体" w:eastAsia="宋体" w:cs="宋体"/>
      <w:color w:val="000000"/>
      <w:sz w:val="20"/>
      <w:szCs w:val="20"/>
      <w:u w:val="none"/>
    </w:rPr>
  </w:style>
  <w:style w:type="character" w:customStyle="1" w:styleId="44">
    <w:name w:val="font101"/>
    <w:basedOn w:val="8"/>
    <w:uiPriority w:val="0"/>
    <w:rPr>
      <w:rFonts w:hint="eastAsia" w:ascii="宋体" w:hAnsi="宋体" w:eastAsia="宋体" w:cs="宋体"/>
      <w:color w:val="000000"/>
      <w:sz w:val="18"/>
      <w:szCs w:val="18"/>
      <w:u w:val="none"/>
    </w:rPr>
  </w:style>
  <w:style w:type="character" w:customStyle="1" w:styleId="45">
    <w:name w:val="font131"/>
    <w:basedOn w:val="8"/>
    <w:uiPriority w:val="0"/>
    <w:rPr>
      <w:rFonts w:hint="eastAsia" w:ascii="宋体" w:hAnsi="宋体" w:eastAsia="宋体" w:cs="宋体"/>
      <w:color w:val="000000"/>
      <w:sz w:val="20"/>
      <w:szCs w:val="20"/>
      <w:u w:val="none"/>
    </w:rPr>
  </w:style>
  <w:style w:type="character" w:customStyle="1" w:styleId="46">
    <w:name w:val="font12"/>
    <w:basedOn w:val="8"/>
    <w:uiPriority w:val="0"/>
    <w:rPr>
      <w:rFonts w:hint="eastAsia" w:ascii="宋体" w:hAnsi="宋体" w:eastAsia="宋体" w:cs="宋体"/>
      <w:color w:val="000000"/>
      <w:sz w:val="20"/>
      <w:szCs w:val="20"/>
      <w:u w:val="none"/>
    </w:rPr>
  </w:style>
  <w:style w:type="character" w:customStyle="1" w:styleId="47">
    <w:name w:val="font141"/>
    <w:basedOn w:val="8"/>
    <w:uiPriority w:val="0"/>
    <w:rPr>
      <w:rFonts w:hint="eastAsia" w:ascii="宋体" w:hAnsi="宋体" w:eastAsia="宋体" w:cs="宋体"/>
      <w:color w:val="000000"/>
      <w:sz w:val="18"/>
      <w:szCs w:val="18"/>
      <w:u w:val="none"/>
    </w:rPr>
  </w:style>
  <w:style w:type="paragraph" w:customStyle="1" w:styleId="48">
    <w:name w:val="列表段落1"/>
    <w:basedOn w:val="1"/>
    <w:qFormat/>
    <w:uiPriority w:val="34"/>
    <w:pPr>
      <w:ind w:firstLine="420" w:firstLineChars="200"/>
    </w:pPr>
    <w:rPr>
      <w:rFonts w:eastAsia="宋体"/>
    </w:rPr>
  </w:style>
  <w:style w:type="paragraph" w:customStyle="1" w:styleId="4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16</Pages>
  <Words>6157</Words>
  <Characters>6637</Characters>
  <Lines>61</Lines>
  <Paragraphs>17</Paragraphs>
  <TotalTime>157289281</TotalTime>
  <ScaleCrop>false</ScaleCrop>
  <LinksUpToDate>false</LinksUpToDate>
  <CharactersWithSpaces>6728</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WPS_1651227375</cp:lastModifiedBy>
  <cp:lastPrinted>2021-10-11T04:02:00Z</cp:lastPrinted>
  <dcterms:modified xsi:type="dcterms:W3CDTF">2024-08-12T07:19:16Z</dcterms:modified>
  <dc:title>四川省_x002A__x002A__x002A_</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2B3DABDE3CF64EF1A81CF83BF4EF8BBA</vt:lpwstr>
  </property>
</Properties>
</file>