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7425"/>
      <w:bookmarkStart w:id="2" w:name="_Toc15378441"/>
      <w:bookmarkStart w:id="3" w:name="_Toc15396597"/>
      <w:bookmarkStart w:id="4" w:name="_Toc15396475"/>
      <w:bookmarkStart w:id="5" w:name="_Toc19603"/>
      <w:bookmarkStart w:id="6" w:name="_Toc2438"/>
      <w:bookmarkStart w:id="7" w:name="_Toc15377193"/>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8" w:name="_Toc15377194"/>
      <w:bookmarkStart w:id="9" w:name="_Toc7273"/>
      <w:bookmarkStart w:id="10" w:name="_Toc15396476"/>
      <w:bookmarkStart w:id="11" w:name="_Toc15377426"/>
      <w:bookmarkStart w:id="12" w:name="_Toc23018"/>
      <w:bookmarkStart w:id="13" w:name="_Toc15396598"/>
      <w:bookmarkStart w:id="14" w:name="_Toc15378442"/>
      <w:r>
        <w:rPr>
          <w:rFonts w:hint="eastAsia" w:ascii="方正小标宋简体" w:hAnsi="方正小标宋简体" w:eastAsia="方正小标宋简体" w:cs="方正小标宋简体"/>
          <w:color w:val="auto"/>
          <w:sz w:val="72"/>
          <w:szCs w:val="72"/>
          <w:highlight w:val="none"/>
        </w:rPr>
        <w:t>四川省</w:t>
      </w:r>
      <w:bookmarkEnd w:id="0"/>
      <w:bookmarkStart w:id="15" w:name="_Toc15306268"/>
      <w:r>
        <w:rPr>
          <w:rFonts w:hint="eastAsia" w:ascii="方正小标宋简体" w:hAnsi="方正小标宋简体" w:eastAsia="方正小标宋简体" w:cs="方正小标宋简体"/>
          <w:color w:val="auto"/>
          <w:sz w:val="72"/>
          <w:szCs w:val="72"/>
          <w:highlight w:val="none"/>
        </w:rPr>
        <w:t>广元市昭化区王家镇中心卫生院</w:t>
      </w: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bookmarkEnd w:id="15"/>
    </w:p>
    <w:p>
      <w:pPr>
        <w:widowControl/>
        <w:jc w:val="center"/>
        <w:rPr>
          <w:rFonts w:hint="eastAsia" w:ascii="黑体" w:hAnsi="黑体"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pPr>
        <w:widowControl/>
        <w:jc w:val="center"/>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目录</w:t>
      </w:r>
    </w:p>
    <w:p>
      <w:pPr>
        <w:pStyle w:val="12"/>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28</w:t>
      </w:r>
      <w:r>
        <w:rPr>
          <w:rFonts w:hint="eastAsia"/>
          <w:color w:val="auto"/>
          <w:highlight w:val="none"/>
        </w:rPr>
        <w:t>日</w:t>
      </w:r>
    </w:p>
    <w:sdt>
      <w:sdtPr>
        <w:rPr>
          <w:rFonts w:ascii="宋体" w:hAnsi="宋体" w:eastAsia="宋体" w:cs="Times New Roman"/>
          <w:kern w:val="2"/>
          <w:sz w:val="21"/>
          <w:szCs w:val="24"/>
          <w:lang w:val="en-US" w:eastAsia="zh-CN" w:bidi="ar-SA"/>
        </w:rPr>
        <w:id w:val="147469654"/>
        <w15:color w:val="DBDBDB"/>
        <w:docPartObj>
          <w:docPartGallery w:val="Table of Contents"/>
          <w:docPartUnique/>
        </w:docPartObj>
      </w:sdtPr>
      <w:sdtEndPr>
        <w:rPr>
          <w:rFonts w:hint="eastAsia" w:ascii="仿宋" w:hAnsi="仿宋" w:eastAsia="仿宋" w:cs="Times New Roman"/>
          <w:b/>
          <w:bCs w:val="0"/>
          <w:color w:val="auto"/>
          <w:kern w:val="44"/>
          <w:sz w:val="44"/>
          <w:szCs w:val="28"/>
          <w:highlight w:val="none"/>
          <w:lang w:val="en-US" w:eastAsia="zh-CN" w:bidi="ar-SA"/>
        </w:rPr>
      </w:sdtEndPr>
      <w:sdtContent>
        <w:p>
          <w:pPr>
            <w:spacing w:before="0" w:beforeLines="0" w:after="0" w:afterLines="0" w:line="240" w:lineRule="auto"/>
            <w:ind w:left="0" w:leftChars="0" w:right="0" w:rightChars="0" w:firstLine="0" w:firstLineChars="0"/>
            <w:jc w:val="center"/>
          </w:pPr>
          <w:r>
            <w:rPr>
              <w:rStyle w:val="28"/>
              <w:rFonts w:hint="eastAsia" w:ascii="仿宋" w:hAnsi="仿宋" w:eastAsia="仿宋" w:cs="Times New Roman"/>
              <w:b w:val="0"/>
              <w:bCs w:val="0"/>
              <w:color w:val="auto"/>
              <w:sz w:val="28"/>
              <w:szCs w:val="28"/>
              <w:highlight w:val="none"/>
              <w:lang w:val="en-US" w:eastAsia="zh-CN" w:bidi="ar-SA"/>
            </w:rPr>
            <w:fldChar w:fldCharType="begin"/>
          </w:r>
          <w:r>
            <w:rPr>
              <w:rStyle w:val="28"/>
              <w:rFonts w:hint="eastAsia" w:ascii="仿宋" w:hAnsi="仿宋" w:eastAsia="仿宋" w:cs="Times New Roman"/>
              <w:b w:val="0"/>
              <w:bCs w:val="0"/>
              <w:color w:val="auto"/>
              <w:sz w:val="28"/>
              <w:szCs w:val="28"/>
              <w:highlight w:val="none"/>
              <w:lang w:val="en-US" w:eastAsia="zh-CN" w:bidi="ar-SA"/>
            </w:rPr>
            <w:instrText xml:space="preserve">TOC \o "1-3" \h \u</w:instrText>
          </w:r>
          <w:r>
            <w:rPr>
              <w:rStyle w:val="28"/>
              <w:rFonts w:hint="eastAsia" w:ascii="仿宋" w:hAnsi="仿宋" w:eastAsia="仿宋" w:cs="Times New Roman"/>
              <w:b w:val="0"/>
              <w:bCs w:val="0"/>
              <w:color w:val="auto"/>
              <w:sz w:val="28"/>
              <w:szCs w:val="28"/>
              <w:highlight w:val="none"/>
              <w:lang w:val="en-US" w:eastAsia="zh-CN" w:bidi="ar-SA"/>
            </w:rPr>
            <w:fldChar w:fldCharType="separate"/>
          </w:r>
        </w:p>
        <w:p>
          <w:pPr>
            <w:pStyle w:val="38"/>
            <w:tabs>
              <w:tab w:val="right" w:leader="dot" w:pos="8306"/>
            </w:tabs>
          </w:pPr>
          <w:r>
            <w:fldChar w:fldCharType="begin"/>
          </w:r>
          <w:r>
            <w:instrText xml:space="preserve"> HYPERLINK \l "_Toc3680" </w:instrText>
          </w:r>
          <w:r>
            <w:fldChar w:fldCharType="separate"/>
          </w:r>
          <w:r>
            <w:rPr>
              <w:rFonts w:hint="eastAsia" w:ascii="黑体" w:hAnsi="黑体" w:eastAsia="黑体"/>
              <w:highlight w:val="none"/>
            </w:rPr>
            <w:t xml:space="preserve">第一部分 </w:t>
          </w:r>
          <w:r>
            <w:rPr>
              <w:rFonts w:hint="eastAsia" w:ascii="黑体" w:hAnsi="黑体" w:eastAsia="黑体"/>
              <w:highlight w:val="none"/>
              <w:lang w:eastAsia="zh-CN"/>
            </w:rPr>
            <w:t>单位</w:t>
          </w:r>
          <w:r>
            <w:rPr>
              <w:rFonts w:hint="eastAsia" w:ascii="黑体" w:hAnsi="黑体" w:eastAsia="黑体"/>
              <w:bCs w:val="0"/>
              <w:highlight w:val="none"/>
            </w:rPr>
            <w:t>概况</w:t>
          </w:r>
          <w:r>
            <w:tab/>
          </w:r>
          <w:r>
            <w:fldChar w:fldCharType="begin"/>
          </w:r>
          <w:r>
            <w:instrText xml:space="preserve"> PAGEREF _Toc3680 \h </w:instrText>
          </w:r>
          <w:r>
            <w:fldChar w:fldCharType="separate"/>
          </w:r>
          <w:r>
            <w:t>1</w:t>
          </w:r>
          <w:r>
            <w:fldChar w:fldCharType="end"/>
          </w:r>
          <w:r>
            <w:fldChar w:fldCharType="end"/>
          </w:r>
        </w:p>
        <w:p>
          <w:pPr>
            <w:pStyle w:val="39"/>
            <w:tabs>
              <w:tab w:val="right" w:leader="dot" w:pos="8306"/>
            </w:tabs>
          </w:pPr>
          <w:r>
            <w:fldChar w:fldCharType="begin"/>
          </w:r>
          <w:r>
            <w:instrText xml:space="preserve"> HYPERLINK \l "_Toc21956" </w:instrText>
          </w:r>
          <w:r>
            <w:fldChar w:fldCharType="separate"/>
          </w:r>
          <w:r>
            <w:rPr>
              <w:rFonts w:hint="eastAsia" w:ascii="黑体" w:hAnsi="黑体" w:eastAsia="黑体"/>
              <w:bCs w:val="0"/>
              <w:lang w:eastAsia="zh-CN"/>
            </w:rPr>
            <w:t>一、</w:t>
          </w:r>
          <w:r>
            <w:rPr>
              <w:rFonts w:hint="eastAsia" w:ascii="黑体" w:hAnsi="黑体" w:eastAsia="黑体"/>
              <w:bCs w:val="0"/>
              <w:highlight w:val="none"/>
              <w:lang w:eastAsia="zh-CN"/>
            </w:rPr>
            <w:t>主要职责</w:t>
          </w:r>
          <w:r>
            <w:tab/>
          </w:r>
          <w:r>
            <w:fldChar w:fldCharType="begin"/>
          </w:r>
          <w:r>
            <w:instrText xml:space="preserve"> PAGEREF _Toc21956 \h </w:instrText>
          </w:r>
          <w:r>
            <w:fldChar w:fldCharType="separate"/>
          </w:r>
          <w:r>
            <w:t>1</w:t>
          </w:r>
          <w:r>
            <w:fldChar w:fldCharType="end"/>
          </w:r>
          <w:r>
            <w:fldChar w:fldCharType="end"/>
          </w:r>
        </w:p>
        <w:p>
          <w:pPr>
            <w:pStyle w:val="40"/>
            <w:tabs>
              <w:tab w:val="right" w:leader="dot" w:pos="8306"/>
            </w:tabs>
          </w:pPr>
          <w:r>
            <w:fldChar w:fldCharType="begin"/>
          </w:r>
          <w:r>
            <w:instrText xml:space="preserve"> HYPERLINK \l "_Toc8887" </w:instrText>
          </w:r>
          <w:r>
            <w:fldChar w:fldCharType="separate"/>
          </w:r>
          <w:r>
            <w:rPr>
              <w:rFonts w:hint="eastAsia" w:ascii="仿宋" w:hAnsi="仿宋" w:eastAsia="仿宋"/>
              <w:szCs w:val="32"/>
              <w:highlight w:val="none"/>
              <w:lang w:eastAsia="zh-CN"/>
            </w:rPr>
            <w:t>（</w:t>
          </w:r>
          <w:r>
            <w:rPr>
              <w:rFonts w:hint="eastAsia" w:ascii="仿宋" w:hAnsi="仿宋" w:eastAsia="仿宋"/>
              <w:szCs w:val="32"/>
              <w:highlight w:val="none"/>
            </w:rPr>
            <w:t>一</w:t>
          </w:r>
          <w:r>
            <w:rPr>
              <w:rFonts w:hint="eastAsia" w:ascii="仿宋" w:hAnsi="仿宋" w:eastAsia="仿宋"/>
              <w:szCs w:val="32"/>
              <w:highlight w:val="none"/>
              <w:lang w:eastAsia="zh-CN"/>
            </w:rPr>
            <w:t>）</w:t>
          </w:r>
          <w:r>
            <w:rPr>
              <w:rFonts w:hint="eastAsia" w:ascii="仿宋" w:hAnsi="仿宋" w:eastAsia="仿宋"/>
              <w:szCs w:val="32"/>
              <w:highlight w:val="none"/>
            </w:rPr>
            <w:t>基本公共卫生服务方面</w:t>
          </w:r>
          <w:r>
            <w:tab/>
          </w:r>
          <w:r>
            <w:fldChar w:fldCharType="begin"/>
          </w:r>
          <w:r>
            <w:instrText xml:space="preserve"> PAGEREF _Toc8887 \h </w:instrText>
          </w:r>
          <w:r>
            <w:fldChar w:fldCharType="separate"/>
          </w:r>
          <w:r>
            <w:t>1</w:t>
          </w:r>
          <w:r>
            <w:fldChar w:fldCharType="end"/>
          </w:r>
          <w:r>
            <w:fldChar w:fldCharType="end"/>
          </w:r>
        </w:p>
        <w:p>
          <w:pPr>
            <w:pStyle w:val="40"/>
            <w:tabs>
              <w:tab w:val="right" w:leader="dot" w:pos="8306"/>
            </w:tabs>
          </w:pPr>
          <w:r>
            <w:fldChar w:fldCharType="begin"/>
          </w:r>
          <w:r>
            <w:instrText xml:space="preserve"> HYPERLINK \l "_Toc7728" </w:instrText>
          </w:r>
          <w:r>
            <w:fldChar w:fldCharType="separate"/>
          </w:r>
          <w:r>
            <w:rPr>
              <w:rFonts w:hint="eastAsia" w:ascii="仿宋" w:hAnsi="仿宋" w:eastAsia="仿宋"/>
              <w:szCs w:val="32"/>
              <w:highlight w:val="none"/>
              <w:lang w:eastAsia="zh-CN"/>
            </w:rPr>
            <w:t>（</w:t>
          </w:r>
          <w:r>
            <w:rPr>
              <w:rFonts w:hint="eastAsia" w:ascii="仿宋" w:hAnsi="仿宋" w:eastAsia="仿宋"/>
              <w:szCs w:val="32"/>
              <w:highlight w:val="none"/>
            </w:rPr>
            <w:t>二</w:t>
          </w:r>
          <w:r>
            <w:rPr>
              <w:rFonts w:hint="eastAsia" w:ascii="仿宋" w:hAnsi="仿宋" w:eastAsia="仿宋"/>
              <w:szCs w:val="32"/>
              <w:highlight w:val="none"/>
              <w:lang w:eastAsia="zh-CN"/>
            </w:rPr>
            <w:t>）</w:t>
          </w:r>
          <w:r>
            <w:rPr>
              <w:rFonts w:hint="eastAsia" w:ascii="仿宋" w:hAnsi="仿宋" w:eastAsia="仿宋"/>
              <w:szCs w:val="32"/>
              <w:highlight w:val="none"/>
            </w:rPr>
            <w:t>基本医疗服务方面</w:t>
          </w:r>
          <w:r>
            <w:tab/>
          </w:r>
          <w:r>
            <w:fldChar w:fldCharType="begin"/>
          </w:r>
          <w:r>
            <w:instrText xml:space="preserve"> PAGEREF _Toc7728 \h </w:instrText>
          </w:r>
          <w:r>
            <w:fldChar w:fldCharType="separate"/>
          </w:r>
          <w:r>
            <w:t>1</w:t>
          </w:r>
          <w:r>
            <w:fldChar w:fldCharType="end"/>
          </w:r>
          <w:r>
            <w:fldChar w:fldCharType="end"/>
          </w:r>
        </w:p>
        <w:p>
          <w:pPr>
            <w:pStyle w:val="40"/>
            <w:tabs>
              <w:tab w:val="right" w:leader="dot" w:pos="8306"/>
            </w:tabs>
          </w:pPr>
          <w:r>
            <w:fldChar w:fldCharType="begin"/>
          </w:r>
          <w:r>
            <w:instrText xml:space="preserve"> HYPERLINK \l "_Toc25021" </w:instrText>
          </w:r>
          <w:r>
            <w:fldChar w:fldCharType="separate"/>
          </w:r>
          <w:r>
            <w:rPr>
              <w:rFonts w:hint="eastAsia" w:ascii="仿宋" w:hAnsi="仿宋" w:eastAsia="仿宋"/>
              <w:szCs w:val="32"/>
              <w:highlight w:val="none"/>
              <w:lang w:eastAsia="zh-CN"/>
            </w:rPr>
            <w:t>（</w:t>
          </w:r>
          <w:r>
            <w:rPr>
              <w:rFonts w:hint="eastAsia" w:ascii="仿宋" w:hAnsi="仿宋" w:eastAsia="仿宋"/>
              <w:szCs w:val="32"/>
              <w:highlight w:val="none"/>
            </w:rPr>
            <w:t>三</w:t>
          </w:r>
          <w:r>
            <w:rPr>
              <w:rFonts w:hint="eastAsia" w:ascii="仿宋" w:hAnsi="仿宋" w:eastAsia="仿宋"/>
              <w:szCs w:val="32"/>
              <w:highlight w:val="none"/>
              <w:lang w:eastAsia="zh-CN"/>
            </w:rPr>
            <w:t>）</w:t>
          </w:r>
          <w:r>
            <w:rPr>
              <w:rFonts w:hint="eastAsia" w:ascii="仿宋" w:hAnsi="仿宋" w:eastAsia="仿宋"/>
              <w:szCs w:val="32"/>
              <w:highlight w:val="none"/>
            </w:rPr>
            <w:t>基本管理服务</w:t>
          </w:r>
          <w:r>
            <w:tab/>
          </w:r>
          <w:r>
            <w:fldChar w:fldCharType="begin"/>
          </w:r>
          <w:r>
            <w:instrText xml:space="preserve"> PAGEREF _Toc25021 \h </w:instrText>
          </w:r>
          <w:r>
            <w:fldChar w:fldCharType="separate"/>
          </w:r>
          <w:r>
            <w:t>1</w:t>
          </w:r>
          <w:r>
            <w:fldChar w:fldCharType="end"/>
          </w:r>
          <w:r>
            <w:fldChar w:fldCharType="end"/>
          </w:r>
        </w:p>
        <w:p>
          <w:pPr>
            <w:pStyle w:val="39"/>
            <w:tabs>
              <w:tab w:val="right" w:leader="dot" w:pos="8306"/>
            </w:tabs>
          </w:pPr>
          <w:r>
            <w:fldChar w:fldCharType="begin"/>
          </w:r>
          <w:r>
            <w:instrText xml:space="preserve"> HYPERLINK \l "_Toc7772" </w:instrText>
          </w:r>
          <w:r>
            <w:fldChar w:fldCharType="separate"/>
          </w:r>
          <w:r>
            <w:rPr>
              <w:rFonts w:hint="eastAsia" w:ascii="黑体" w:hAnsi="黑体" w:eastAsia="黑体"/>
              <w:lang w:val="en-US" w:eastAsia="zh-CN"/>
            </w:rPr>
            <w:t>二、</w:t>
          </w:r>
          <w:r>
            <w:rPr>
              <w:rFonts w:hint="eastAsia" w:ascii="黑体" w:hAnsi="黑体" w:eastAsia="黑体"/>
              <w:highlight w:val="none"/>
              <w:lang w:val="en-US" w:eastAsia="zh-CN"/>
            </w:rPr>
            <w:t>机构设置</w:t>
          </w:r>
          <w:r>
            <w:tab/>
          </w:r>
          <w:r>
            <w:fldChar w:fldCharType="begin"/>
          </w:r>
          <w:r>
            <w:instrText xml:space="preserve"> PAGEREF _Toc7772 \h </w:instrText>
          </w:r>
          <w:r>
            <w:fldChar w:fldCharType="separate"/>
          </w:r>
          <w:r>
            <w:t>2</w:t>
          </w:r>
          <w:r>
            <w:fldChar w:fldCharType="end"/>
          </w:r>
          <w:r>
            <w:fldChar w:fldCharType="end"/>
          </w:r>
        </w:p>
        <w:p>
          <w:pPr>
            <w:pStyle w:val="38"/>
            <w:tabs>
              <w:tab w:val="right" w:leader="dot" w:pos="8306"/>
            </w:tabs>
          </w:pPr>
          <w:r>
            <w:fldChar w:fldCharType="begin"/>
          </w:r>
          <w:r>
            <w:instrText xml:space="preserve"> HYPERLINK \l "_Toc5915" </w:instrText>
          </w:r>
          <w:r>
            <w:fldChar w:fldCharType="separate"/>
          </w:r>
          <w:r>
            <w:rPr>
              <w:rFonts w:hint="eastAsia" w:ascii="黑体" w:hAnsi="黑体" w:eastAsia="黑体"/>
              <w:bCs/>
              <w:highlight w:val="none"/>
            </w:rPr>
            <w:t xml:space="preserve">第二部分 </w:t>
          </w:r>
          <w:r>
            <w:rPr>
              <w:rFonts w:hint="eastAsia" w:ascii="黑体" w:hAnsi="黑体" w:eastAsia="黑体"/>
              <w:bCs/>
              <w:highlight w:val="none"/>
              <w:lang w:val="en-US" w:eastAsia="zh-CN"/>
            </w:rPr>
            <w:t>2022年度</w:t>
          </w:r>
          <w:r>
            <w:rPr>
              <w:rFonts w:hint="eastAsia" w:ascii="黑体" w:hAnsi="黑体" w:eastAsia="黑体"/>
              <w:bCs/>
              <w:highlight w:val="none"/>
              <w:lang w:eastAsia="zh-CN"/>
            </w:rPr>
            <w:t>单位</w:t>
          </w:r>
          <w:r>
            <w:rPr>
              <w:rFonts w:hint="eastAsia" w:ascii="黑体" w:hAnsi="黑体" w:eastAsia="黑体"/>
              <w:bCs/>
              <w:highlight w:val="none"/>
            </w:rPr>
            <w:t>决算情况说明</w:t>
          </w:r>
          <w:r>
            <w:tab/>
          </w:r>
          <w:r>
            <w:fldChar w:fldCharType="begin"/>
          </w:r>
          <w:r>
            <w:instrText xml:space="preserve"> PAGEREF _Toc5915 \h </w:instrText>
          </w:r>
          <w:r>
            <w:fldChar w:fldCharType="separate"/>
          </w:r>
          <w:r>
            <w:t>2</w:t>
          </w:r>
          <w:r>
            <w:fldChar w:fldCharType="end"/>
          </w:r>
          <w:r>
            <w:fldChar w:fldCharType="end"/>
          </w:r>
        </w:p>
        <w:p>
          <w:pPr>
            <w:pStyle w:val="39"/>
            <w:tabs>
              <w:tab w:val="right" w:leader="dot" w:pos="8306"/>
            </w:tabs>
          </w:pPr>
          <w:r>
            <w:fldChar w:fldCharType="begin"/>
          </w:r>
          <w:r>
            <w:instrText xml:space="preserve"> HYPERLINK \l "_Toc5047" </w:instrText>
          </w:r>
          <w:r>
            <w:fldChar w:fldCharType="separate"/>
          </w:r>
          <w:r>
            <w:rPr>
              <w:rFonts w:hint="default" w:ascii="黑体" w:hAnsi="黑体" w:eastAsia="黑体"/>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_Toc5047 \h </w:instrText>
          </w:r>
          <w:r>
            <w:fldChar w:fldCharType="separate"/>
          </w:r>
          <w:r>
            <w:t>2</w:t>
          </w:r>
          <w:r>
            <w:fldChar w:fldCharType="end"/>
          </w:r>
          <w:r>
            <w:fldChar w:fldCharType="end"/>
          </w:r>
        </w:p>
        <w:p>
          <w:pPr>
            <w:pStyle w:val="39"/>
            <w:tabs>
              <w:tab w:val="right" w:leader="dot" w:pos="8306"/>
            </w:tabs>
          </w:pPr>
          <w:r>
            <w:fldChar w:fldCharType="begin"/>
          </w:r>
          <w:r>
            <w:instrText xml:space="preserve"> HYPERLINK \l "_Toc20807" </w:instrText>
          </w:r>
          <w:r>
            <w:fldChar w:fldCharType="separate"/>
          </w:r>
          <w:r>
            <w:rPr>
              <w:rFonts w:hint="default" w:ascii="黑体" w:hAnsi="黑体" w:eastAsia="黑体"/>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_Toc20807 \h </w:instrText>
          </w:r>
          <w:r>
            <w:fldChar w:fldCharType="separate"/>
          </w:r>
          <w:r>
            <w:t>2</w:t>
          </w:r>
          <w:r>
            <w:fldChar w:fldCharType="end"/>
          </w:r>
          <w:r>
            <w:fldChar w:fldCharType="end"/>
          </w:r>
        </w:p>
        <w:p>
          <w:pPr>
            <w:pStyle w:val="39"/>
            <w:tabs>
              <w:tab w:val="right" w:leader="dot" w:pos="8306"/>
            </w:tabs>
          </w:pPr>
          <w:r>
            <w:fldChar w:fldCharType="begin"/>
          </w:r>
          <w:r>
            <w:instrText xml:space="preserve"> HYPERLINK \l "_Toc17416" </w:instrText>
          </w:r>
          <w:r>
            <w:fldChar w:fldCharType="separate"/>
          </w:r>
          <w:r>
            <w:rPr>
              <w:rFonts w:hint="default" w:ascii="黑体" w:hAnsi="黑体" w:eastAsia="黑体"/>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_Toc17416 \h </w:instrText>
          </w:r>
          <w:r>
            <w:fldChar w:fldCharType="separate"/>
          </w:r>
          <w:r>
            <w:t>3</w:t>
          </w:r>
          <w:r>
            <w:fldChar w:fldCharType="end"/>
          </w:r>
          <w:r>
            <w:fldChar w:fldCharType="end"/>
          </w:r>
        </w:p>
        <w:p>
          <w:pPr>
            <w:pStyle w:val="39"/>
            <w:tabs>
              <w:tab w:val="right" w:leader="dot" w:pos="8306"/>
            </w:tabs>
          </w:pPr>
          <w:r>
            <w:fldChar w:fldCharType="begin"/>
          </w:r>
          <w:r>
            <w:instrText xml:space="preserve"> HYPERLINK \l "_Toc8223"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_Toc8223 \h </w:instrText>
          </w:r>
          <w:r>
            <w:fldChar w:fldCharType="separate"/>
          </w:r>
          <w:r>
            <w:t>3</w:t>
          </w:r>
          <w:r>
            <w:fldChar w:fldCharType="end"/>
          </w:r>
          <w:r>
            <w:fldChar w:fldCharType="end"/>
          </w:r>
        </w:p>
        <w:p>
          <w:pPr>
            <w:pStyle w:val="39"/>
            <w:tabs>
              <w:tab w:val="right" w:leader="dot" w:pos="8306"/>
            </w:tabs>
          </w:pPr>
          <w:r>
            <w:fldChar w:fldCharType="begin"/>
          </w:r>
          <w:r>
            <w:instrText xml:space="preserve"> HYPERLINK \l "_Toc9005"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_Toc9005 \h </w:instrText>
          </w:r>
          <w:r>
            <w:fldChar w:fldCharType="separate"/>
          </w:r>
          <w:r>
            <w:t>4</w:t>
          </w:r>
          <w:r>
            <w:fldChar w:fldCharType="end"/>
          </w:r>
          <w:r>
            <w:fldChar w:fldCharType="end"/>
          </w:r>
        </w:p>
        <w:p>
          <w:pPr>
            <w:pStyle w:val="40"/>
            <w:tabs>
              <w:tab w:val="right" w:leader="dot" w:pos="8306"/>
            </w:tabs>
          </w:pPr>
          <w:r>
            <w:fldChar w:fldCharType="begin"/>
          </w:r>
          <w:r>
            <w:instrText xml:space="preserve"> HYPERLINK \l "_Toc4416" </w:instrText>
          </w:r>
          <w:r>
            <w:fldChar w:fldCharType="separate"/>
          </w:r>
          <w:r>
            <w:rPr>
              <w:rFonts w:hint="eastAsia" w:ascii="仿宋" w:hAnsi="仿宋" w:eastAsia="仿宋"/>
              <w:szCs w:val="32"/>
              <w:highlight w:val="none"/>
            </w:rPr>
            <w:t>（一）一般公共预算财政拨款支出决算总体情况</w:t>
          </w:r>
          <w:r>
            <w:tab/>
          </w:r>
          <w:r>
            <w:fldChar w:fldCharType="begin"/>
          </w:r>
          <w:r>
            <w:instrText xml:space="preserve"> PAGEREF _Toc4416 \h </w:instrText>
          </w:r>
          <w:r>
            <w:fldChar w:fldCharType="separate"/>
          </w:r>
          <w:r>
            <w:t>4</w:t>
          </w:r>
          <w:r>
            <w:fldChar w:fldCharType="end"/>
          </w:r>
          <w:r>
            <w:fldChar w:fldCharType="end"/>
          </w:r>
        </w:p>
        <w:p>
          <w:pPr>
            <w:pStyle w:val="40"/>
            <w:tabs>
              <w:tab w:val="right" w:leader="dot" w:pos="8306"/>
            </w:tabs>
          </w:pPr>
          <w:r>
            <w:fldChar w:fldCharType="begin"/>
          </w:r>
          <w:r>
            <w:instrText xml:space="preserve"> HYPERLINK \l "_Toc12803" </w:instrText>
          </w:r>
          <w:r>
            <w:fldChar w:fldCharType="separate"/>
          </w:r>
          <w:r>
            <w:rPr>
              <w:rFonts w:hint="eastAsia" w:ascii="仿宋" w:hAnsi="仿宋" w:eastAsia="仿宋"/>
              <w:szCs w:val="32"/>
              <w:highlight w:val="none"/>
            </w:rPr>
            <w:t>（二）一般公共预算财政拨款支出决算结构情况</w:t>
          </w:r>
          <w:r>
            <w:tab/>
          </w:r>
          <w:r>
            <w:fldChar w:fldCharType="begin"/>
          </w:r>
          <w:r>
            <w:instrText xml:space="preserve"> PAGEREF _Toc12803 \h </w:instrText>
          </w:r>
          <w:r>
            <w:fldChar w:fldCharType="separate"/>
          </w:r>
          <w:r>
            <w:t>5</w:t>
          </w:r>
          <w:r>
            <w:fldChar w:fldCharType="end"/>
          </w:r>
          <w:r>
            <w:fldChar w:fldCharType="end"/>
          </w:r>
        </w:p>
        <w:p>
          <w:pPr>
            <w:pStyle w:val="40"/>
            <w:tabs>
              <w:tab w:val="right" w:leader="dot" w:pos="8306"/>
            </w:tabs>
          </w:pPr>
          <w:r>
            <w:fldChar w:fldCharType="begin"/>
          </w:r>
          <w:r>
            <w:instrText xml:space="preserve"> HYPERLINK \l "_Toc23738" </w:instrText>
          </w:r>
          <w:r>
            <w:fldChar w:fldCharType="separate"/>
          </w:r>
          <w:r>
            <w:rPr>
              <w:rFonts w:hint="eastAsia" w:ascii="仿宋" w:hAnsi="仿宋" w:eastAsia="仿宋"/>
              <w:szCs w:val="32"/>
              <w:highlight w:val="none"/>
            </w:rPr>
            <w:t>（三）一般公共预算财政拨款支出决算具体情况</w:t>
          </w:r>
          <w:r>
            <w:tab/>
          </w:r>
          <w:r>
            <w:fldChar w:fldCharType="begin"/>
          </w:r>
          <w:r>
            <w:instrText xml:space="preserve"> PAGEREF _Toc23738 \h </w:instrText>
          </w:r>
          <w:r>
            <w:fldChar w:fldCharType="separate"/>
          </w:r>
          <w:r>
            <w:t>5</w:t>
          </w:r>
          <w:r>
            <w:fldChar w:fldCharType="end"/>
          </w:r>
          <w:r>
            <w:fldChar w:fldCharType="end"/>
          </w:r>
        </w:p>
        <w:p>
          <w:pPr>
            <w:pStyle w:val="39"/>
            <w:tabs>
              <w:tab w:val="right" w:leader="dot" w:pos="8306"/>
            </w:tabs>
          </w:pPr>
          <w:r>
            <w:fldChar w:fldCharType="begin"/>
          </w:r>
          <w:r>
            <w:instrText xml:space="preserve"> HYPERLINK \l "_Toc11908"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_Toc11908 \h </w:instrText>
          </w:r>
          <w:r>
            <w:fldChar w:fldCharType="separate"/>
          </w:r>
          <w:r>
            <w:t>6</w:t>
          </w:r>
          <w:r>
            <w:fldChar w:fldCharType="end"/>
          </w:r>
          <w:r>
            <w:fldChar w:fldCharType="end"/>
          </w:r>
        </w:p>
        <w:p>
          <w:pPr>
            <w:pStyle w:val="39"/>
            <w:tabs>
              <w:tab w:val="right" w:leader="dot" w:pos="8306"/>
            </w:tabs>
          </w:pPr>
          <w:r>
            <w:fldChar w:fldCharType="begin"/>
          </w:r>
          <w:r>
            <w:instrText xml:space="preserve"> HYPERLINK \l "_Toc15962" </w:instrText>
          </w:r>
          <w:r>
            <w:fldChar w:fldCharType="separate"/>
          </w:r>
          <w:r>
            <w:rPr>
              <w:rFonts w:hint="eastAsia" w:ascii="黑体" w:eastAsia="黑体"/>
              <w:szCs w:val="32"/>
              <w:highlight w:val="none"/>
            </w:rPr>
            <w:t>七、</w:t>
          </w:r>
          <w:r>
            <w:rPr>
              <w:rFonts w:hint="eastAsia" w:ascii="黑体" w:hAnsi="黑体" w:eastAsia="黑体"/>
              <w:highlight w:val="none"/>
            </w:rPr>
            <w:t>“三公”经费财政拨款支出决算情况说明</w:t>
          </w:r>
          <w:r>
            <w:tab/>
          </w:r>
          <w:r>
            <w:fldChar w:fldCharType="begin"/>
          </w:r>
          <w:r>
            <w:instrText xml:space="preserve"> PAGEREF _Toc15962 \h </w:instrText>
          </w:r>
          <w:r>
            <w:fldChar w:fldCharType="separate"/>
          </w:r>
          <w:r>
            <w:t>6</w:t>
          </w:r>
          <w:r>
            <w:fldChar w:fldCharType="end"/>
          </w:r>
          <w:r>
            <w:fldChar w:fldCharType="end"/>
          </w:r>
        </w:p>
        <w:p>
          <w:pPr>
            <w:pStyle w:val="40"/>
            <w:tabs>
              <w:tab w:val="right" w:leader="dot" w:pos="8306"/>
            </w:tabs>
          </w:pPr>
          <w:r>
            <w:fldChar w:fldCharType="begin"/>
          </w:r>
          <w:r>
            <w:instrText xml:space="preserve"> HYPERLINK \l "_Toc20359" </w:instrText>
          </w:r>
          <w:r>
            <w:fldChar w:fldCharType="separate"/>
          </w:r>
          <w:r>
            <w:rPr>
              <w:rFonts w:hint="eastAsia" w:ascii="仿宋" w:hAnsi="仿宋" w:eastAsia="仿宋"/>
              <w:szCs w:val="32"/>
              <w:highlight w:val="none"/>
            </w:rPr>
            <w:t>（一）“三公”经费财政拨款支出决算总体情况说明</w:t>
          </w:r>
          <w:r>
            <w:tab/>
          </w:r>
          <w:r>
            <w:fldChar w:fldCharType="begin"/>
          </w:r>
          <w:r>
            <w:instrText xml:space="preserve"> PAGEREF _Toc20359 \h </w:instrText>
          </w:r>
          <w:r>
            <w:fldChar w:fldCharType="separate"/>
          </w:r>
          <w:r>
            <w:t>6</w:t>
          </w:r>
          <w:r>
            <w:fldChar w:fldCharType="end"/>
          </w:r>
          <w:r>
            <w:fldChar w:fldCharType="end"/>
          </w:r>
        </w:p>
        <w:p>
          <w:pPr>
            <w:pStyle w:val="40"/>
            <w:tabs>
              <w:tab w:val="right" w:leader="dot" w:pos="8306"/>
            </w:tabs>
          </w:pPr>
          <w:r>
            <w:fldChar w:fldCharType="begin"/>
          </w:r>
          <w:r>
            <w:instrText xml:space="preserve"> HYPERLINK \l "_Toc7971" </w:instrText>
          </w:r>
          <w:r>
            <w:fldChar w:fldCharType="separate"/>
          </w:r>
          <w:r>
            <w:rPr>
              <w:rFonts w:hint="eastAsia" w:ascii="仿宋" w:hAnsi="仿宋" w:eastAsia="仿宋"/>
              <w:szCs w:val="32"/>
              <w:highlight w:val="none"/>
            </w:rPr>
            <w:t>（二）“三公”经费财政拨款支出决算具体情况说明</w:t>
          </w:r>
          <w:r>
            <w:tab/>
          </w:r>
          <w:r>
            <w:fldChar w:fldCharType="begin"/>
          </w:r>
          <w:r>
            <w:instrText xml:space="preserve"> PAGEREF _Toc7971 \h </w:instrText>
          </w:r>
          <w:r>
            <w:fldChar w:fldCharType="separate"/>
          </w:r>
          <w:r>
            <w:t>6</w:t>
          </w:r>
          <w:r>
            <w:fldChar w:fldCharType="end"/>
          </w:r>
          <w:r>
            <w:fldChar w:fldCharType="end"/>
          </w:r>
        </w:p>
        <w:p>
          <w:pPr>
            <w:pStyle w:val="39"/>
            <w:tabs>
              <w:tab w:val="right" w:leader="dot" w:pos="8306"/>
            </w:tabs>
          </w:pPr>
          <w:r>
            <w:fldChar w:fldCharType="begin"/>
          </w:r>
          <w:r>
            <w:instrText xml:space="preserve"> HYPERLINK \l "_Toc5977"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_Toc5977 \h </w:instrText>
          </w:r>
          <w:r>
            <w:fldChar w:fldCharType="separate"/>
          </w:r>
          <w:r>
            <w:t>7</w:t>
          </w:r>
          <w:r>
            <w:fldChar w:fldCharType="end"/>
          </w:r>
          <w:r>
            <w:fldChar w:fldCharType="end"/>
          </w:r>
        </w:p>
        <w:p>
          <w:pPr>
            <w:pStyle w:val="39"/>
            <w:tabs>
              <w:tab w:val="right" w:leader="dot" w:pos="8306"/>
            </w:tabs>
          </w:pPr>
          <w:r>
            <w:fldChar w:fldCharType="begin"/>
          </w:r>
          <w:r>
            <w:instrText xml:space="preserve"> HYPERLINK \l "_Toc26691" </w:instrText>
          </w:r>
          <w:r>
            <w:fldChar w:fldCharType="separate"/>
          </w:r>
          <w:r>
            <w:rPr>
              <w:rFonts w:hint="eastAsia" w:ascii="黑体" w:hAnsi="黑体" w:eastAsia="黑体"/>
            </w:rPr>
            <w:t>九、</w:t>
          </w:r>
          <w:r>
            <w:rPr>
              <w:rFonts w:hint="eastAsia" w:ascii="黑体" w:hAnsi="黑体" w:eastAsia="黑体"/>
              <w:highlight w:val="none"/>
            </w:rPr>
            <w:t>国有资本经营预算支出决算情况说明</w:t>
          </w:r>
          <w:r>
            <w:tab/>
          </w:r>
          <w:r>
            <w:fldChar w:fldCharType="begin"/>
          </w:r>
          <w:r>
            <w:instrText xml:space="preserve"> PAGEREF _Toc26691 \h </w:instrText>
          </w:r>
          <w:r>
            <w:fldChar w:fldCharType="separate"/>
          </w:r>
          <w:r>
            <w:t>7</w:t>
          </w:r>
          <w:r>
            <w:fldChar w:fldCharType="end"/>
          </w:r>
          <w:r>
            <w:fldChar w:fldCharType="end"/>
          </w:r>
        </w:p>
        <w:p>
          <w:pPr>
            <w:pStyle w:val="39"/>
            <w:tabs>
              <w:tab w:val="right" w:leader="dot" w:pos="8306"/>
            </w:tabs>
          </w:pPr>
          <w:r>
            <w:fldChar w:fldCharType="begin"/>
          </w:r>
          <w:r>
            <w:instrText xml:space="preserve"> HYPERLINK \l "_Toc15569" </w:instrText>
          </w:r>
          <w:r>
            <w:fldChar w:fldCharType="separate"/>
          </w:r>
          <w:r>
            <w:rPr>
              <w:rFonts w:hint="eastAsia" w:ascii="黑体" w:hAnsi="黑体" w:eastAsia="黑体"/>
            </w:rPr>
            <w:t>十、</w:t>
          </w:r>
          <w:r>
            <w:rPr>
              <w:rFonts w:hint="eastAsia" w:ascii="黑体" w:hAnsi="黑体" w:eastAsia="黑体"/>
              <w:highlight w:val="none"/>
            </w:rPr>
            <w:t>其他重要事项的情况说明</w:t>
          </w:r>
          <w:r>
            <w:tab/>
          </w:r>
          <w:r>
            <w:fldChar w:fldCharType="begin"/>
          </w:r>
          <w:r>
            <w:instrText xml:space="preserve"> PAGEREF _Toc15569 \h </w:instrText>
          </w:r>
          <w:r>
            <w:fldChar w:fldCharType="separate"/>
          </w:r>
          <w:r>
            <w:t>7</w:t>
          </w:r>
          <w:r>
            <w:fldChar w:fldCharType="end"/>
          </w:r>
          <w:r>
            <w:fldChar w:fldCharType="end"/>
          </w:r>
        </w:p>
        <w:p>
          <w:pPr>
            <w:pStyle w:val="40"/>
            <w:tabs>
              <w:tab w:val="right" w:leader="dot" w:pos="8306"/>
            </w:tabs>
          </w:pPr>
          <w:r>
            <w:fldChar w:fldCharType="begin"/>
          </w:r>
          <w:r>
            <w:instrText xml:space="preserve"> HYPERLINK \l "_Toc19830" </w:instrText>
          </w:r>
          <w:r>
            <w:fldChar w:fldCharType="separate"/>
          </w:r>
          <w:r>
            <w:rPr>
              <w:rFonts w:hint="eastAsia" w:ascii="仿宋" w:hAnsi="仿宋" w:eastAsia="仿宋"/>
              <w:szCs w:val="32"/>
              <w:highlight w:val="none"/>
            </w:rPr>
            <w:t>（一）机关运行经费支出情况</w:t>
          </w:r>
          <w:r>
            <w:tab/>
          </w:r>
          <w:r>
            <w:fldChar w:fldCharType="begin"/>
          </w:r>
          <w:r>
            <w:instrText xml:space="preserve"> PAGEREF _Toc19830 \h </w:instrText>
          </w:r>
          <w:r>
            <w:fldChar w:fldCharType="separate"/>
          </w:r>
          <w:r>
            <w:t>7</w:t>
          </w:r>
          <w:r>
            <w:fldChar w:fldCharType="end"/>
          </w:r>
          <w:r>
            <w:fldChar w:fldCharType="end"/>
          </w:r>
        </w:p>
        <w:p>
          <w:pPr>
            <w:pStyle w:val="40"/>
            <w:tabs>
              <w:tab w:val="right" w:leader="dot" w:pos="8306"/>
            </w:tabs>
          </w:pPr>
          <w:r>
            <w:fldChar w:fldCharType="begin"/>
          </w:r>
          <w:r>
            <w:instrText xml:space="preserve"> HYPERLINK \l "_Toc1036" </w:instrText>
          </w:r>
          <w:r>
            <w:fldChar w:fldCharType="separate"/>
          </w:r>
          <w:r>
            <w:rPr>
              <w:rFonts w:hint="eastAsia" w:ascii="仿宋" w:hAnsi="仿宋" w:eastAsia="仿宋"/>
              <w:szCs w:val="32"/>
              <w:highlight w:val="none"/>
            </w:rPr>
            <w:t>（二）政府采购支出情况</w:t>
          </w:r>
          <w:r>
            <w:tab/>
          </w:r>
          <w:r>
            <w:fldChar w:fldCharType="begin"/>
          </w:r>
          <w:r>
            <w:instrText xml:space="preserve"> PAGEREF _Toc1036 \h </w:instrText>
          </w:r>
          <w:r>
            <w:fldChar w:fldCharType="separate"/>
          </w:r>
          <w:r>
            <w:t>7</w:t>
          </w:r>
          <w:r>
            <w:fldChar w:fldCharType="end"/>
          </w:r>
          <w:r>
            <w:fldChar w:fldCharType="end"/>
          </w:r>
        </w:p>
        <w:p>
          <w:pPr>
            <w:pStyle w:val="40"/>
            <w:tabs>
              <w:tab w:val="right" w:leader="dot" w:pos="8306"/>
            </w:tabs>
          </w:pPr>
          <w:r>
            <w:fldChar w:fldCharType="begin"/>
          </w:r>
          <w:r>
            <w:instrText xml:space="preserve"> HYPERLINK \l "_Toc11369" </w:instrText>
          </w:r>
          <w:r>
            <w:fldChar w:fldCharType="separate"/>
          </w:r>
          <w:r>
            <w:rPr>
              <w:rFonts w:hint="eastAsia" w:ascii="仿宋" w:hAnsi="仿宋" w:eastAsia="仿宋"/>
              <w:szCs w:val="32"/>
              <w:highlight w:val="none"/>
            </w:rPr>
            <w:t>（三）国有资产占有使用情况</w:t>
          </w:r>
          <w:r>
            <w:tab/>
          </w:r>
          <w:r>
            <w:fldChar w:fldCharType="begin"/>
          </w:r>
          <w:r>
            <w:instrText xml:space="preserve"> PAGEREF _Toc11369 \h </w:instrText>
          </w:r>
          <w:r>
            <w:fldChar w:fldCharType="separate"/>
          </w:r>
          <w:r>
            <w:t>7</w:t>
          </w:r>
          <w:r>
            <w:fldChar w:fldCharType="end"/>
          </w:r>
          <w:r>
            <w:fldChar w:fldCharType="end"/>
          </w:r>
        </w:p>
        <w:p>
          <w:pPr>
            <w:pStyle w:val="40"/>
            <w:tabs>
              <w:tab w:val="right" w:leader="dot" w:pos="8306"/>
            </w:tabs>
          </w:pPr>
          <w:r>
            <w:fldChar w:fldCharType="begin"/>
          </w:r>
          <w:r>
            <w:instrText xml:space="preserve"> HYPERLINK \l "_Toc23781" </w:instrText>
          </w:r>
          <w:r>
            <w:fldChar w:fldCharType="separate"/>
          </w:r>
          <w:r>
            <w:rPr>
              <w:rFonts w:hint="eastAsia" w:ascii="仿宋" w:hAnsi="仿宋" w:eastAsia="仿宋"/>
              <w:szCs w:val="32"/>
              <w:highlight w:val="none"/>
            </w:rPr>
            <w:t>（四）预算绩效管理情况</w:t>
          </w:r>
          <w:r>
            <w:tab/>
          </w:r>
          <w:r>
            <w:fldChar w:fldCharType="begin"/>
          </w:r>
          <w:r>
            <w:instrText xml:space="preserve"> PAGEREF _Toc23781 \h </w:instrText>
          </w:r>
          <w:r>
            <w:fldChar w:fldCharType="separate"/>
          </w:r>
          <w:r>
            <w:t>8</w:t>
          </w:r>
          <w:r>
            <w:fldChar w:fldCharType="end"/>
          </w:r>
          <w:r>
            <w:fldChar w:fldCharType="end"/>
          </w:r>
        </w:p>
        <w:p>
          <w:pPr>
            <w:pStyle w:val="38"/>
            <w:tabs>
              <w:tab w:val="right" w:leader="dot" w:pos="8306"/>
            </w:tabs>
          </w:pPr>
          <w:r>
            <w:fldChar w:fldCharType="begin"/>
          </w:r>
          <w:r>
            <w:instrText xml:space="preserve"> HYPERLINK \l "_Toc27636" </w:instrText>
          </w:r>
          <w:r>
            <w:fldChar w:fldCharType="separate"/>
          </w:r>
          <w:r>
            <w:rPr>
              <w:rFonts w:hint="eastAsia" w:ascii="黑体" w:hAnsi="黑体" w:eastAsia="黑体"/>
              <w:szCs w:val="44"/>
              <w:highlight w:val="none"/>
              <w:lang w:eastAsia="zh-CN"/>
            </w:rPr>
            <w:t>第三部分</w:t>
          </w:r>
          <w:r>
            <w:rPr>
              <w:rFonts w:hint="eastAsia" w:ascii="黑体" w:hAnsi="黑体" w:eastAsia="黑体"/>
              <w:szCs w:val="44"/>
              <w:highlight w:val="none"/>
              <w:lang w:val="en-US" w:eastAsia="zh-CN"/>
            </w:rPr>
            <w:t xml:space="preserve"> </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_Toc27636 \h </w:instrText>
          </w:r>
          <w:r>
            <w:fldChar w:fldCharType="separate"/>
          </w:r>
          <w:r>
            <w:t>11</w:t>
          </w:r>
          <w:r>
            <w:fldChar w:fldCharType="end"/>
          </w:r>
          <w:r>
            <w:fldChar w:fldCharType="end"/>
          </w:r>
        </w:p>
        <w:p>
          <w:pPr>
            <w:pStyle w:val="38"/>
            <w:tabs>
              <w:tab w:val="right" w:leader="dot" w:pos="8306"/>
            </w:tabs>
          </w:pPr>
          <w:r>
            <w:fldChar w:fldCharType="begin"/>
          </w:r>
          <w:r>
            <w:instrText xml:space="preserve"> HYPERLINK \l "_Toc1877" </w:instrText>
          </w:r>
          <w:r>
            <w:fldChar w:fldCharType="separate"/>
          </w:r>
          <w:r>
            <w:rPr>
              <w:rFonts w:hint="eastAsia" w:ascii="黑体" w:hAnsi="黑体" w:eastAsia="黑体"/>
              <w:szCs w:val="44"/>
              <w:highlight w:val="none"/>
            </w:rPr>
            <w:t>第</w:t>
          </w:r>
          <w:r>
            <w:rPr>
              <w:rFonts w:hint="eastAsia" w:ascii="黑体" w:hAnsi="黑体" w:eastAsia="黑体"/>
              <w:highlight w:val="none"/>
            </w:rPr>
            <w:t>四部分 附件</w:t>
          </w:r>
          <w:r>
            <w:tab/>
          </w:r>
          <w:r>
            <w:fldChar w:fldCharType="begin"/>
          </w:r>
          <w:r>
            <w:instrText xml:space="preserve"> PAGEREF _Toc1877 \h </w:instrText>
          </w:r>
          <w:r>
            <w:fldChar w:fldCharType="separate"/>
          </w:r>
          <w:r>
            <w:t>14</w:t>
          </w:r>
          <w:r>
            <w:fldChar w:fldCharType="end"/>
          </w:r>
          <w:r>
            <w:fldChar w:fldCharType="end"/>
          </w:r>
        </w:p>
        <w:p>
          <w:pPr>
            <w:pStyle w:val="38"/>
            <w:tabs>
              <w:tab w:val="right" w:leader="dot" w:pos="8306"/>
            </w:tabs>
          </w:pPr>
          <w:r>
            <w:fldChar w:fldCharType="begin"/>
          </w:r>
          <w:r>
            <w:instrText xml:space="preserve"> HYPERLINK \l "_Toc13689" </w:instrText>
          </w:r>
          <w:r>
            <w:fldChar w:fldCharType="separate"/>
          </w:r>
          <w:r>
            <w:rPr>
              <w:rFonts w:hint="eastAsia" w:ascii="黑体" w:hAnsi="黑体" w:eastAsia="黑体"/>
              <w:szCs w:val="44"/>
              <w:highlight w:val="none"/>
            </w:rPr>
            <w:t>第</w:t>
          </w:r>
          <w:r>
            <w:rPr>
              <w:rFonts w:hint="eastAsia" w:ascii="黑体" w:hAnsi="黑体" w:eastAsia="黑体"/>
              <w:highlight w:val="none"/>
            </w:rPr>
            <w:t>五部分 附表</w:t>
          </w:r>
          <w:r>
            <w:tab/>
          </w:r>
          <w:r>
            <w:fldChar w:fldCharType="begin"/>
          </w:r>
          <w:r>
            <w:instrText xml:space="preserve"> PAGEREF _Toc13689 \h </w:instrText>
          </w:r>
          <w:r>
            <w:fldChar w:fldCharType="separate"/>
          </w:r>
          <w:r>
            <w:t>21</w:t>
          </w:r>
          <w:r>
            <w:fldChar w:fldCharType="end"/>
          </w:r>
          <w:r>
            <w:fldChar w:fldCharType="end"/>
          </w:r>
        </w:p>
        <w:p>
          <w:pPr>
            <w:pStyle w:val="39"/>
            <w:tabs>
              <w:tab w:val="right" w:leader="dot" w:pos="8306"/>
            </w:tabs>
          </w:pPr>
          <w:r>
            <w:fldChar w:fldCharType="begin"/>
          </w:r>
          <w:r>
            <w:instrText xml:space="preserve"> HYPERLINK \l "_Toc23656" </w:instrText>
          </w:r>
          <w:r>
            <w:fldChar w:fldCharType="separate"/>
          </w:r>
          <w:r>
            <w:rPr>
              <w:rFonts w:hint="eastAsia" w:ascii="仿宋" w:hAnsi="仿宋" w:eastAsia="仿宋"/>
              <w:bCs w:val="0"/>
              <w:highlight w:val="none"/>
            </w:rPr>
            <w:t>一、收入支出决算总表</w:t>
          </w:r>
          <w:r>
            <w:tab/>
          </w:r>
          <w:r>
            <w:fldChar w:fldCharType="begin"/>
          </w:r>
          <w:r>
            <w:instrText xml:space="preserve"> PAGEREF _Toc23656 \h </w:instrText>
          </w:r>
          <w:r>
            <w:fldChar w:fldCharType="separate"/>
          </w:r>
          <w:r>
            <w:t>23</w:t>
          </w:r>
          <w:r>
            <w:fldChar w:fldCharType="end"/>
          </w:r>
          <w:r>
            <w:fldChar w:fldCharType="end"/>
          </w:r>
        </w:p>
        <w:p>
          <w:pPr>
            <w:pStyle w:val="39"/>
            <w:tabs>
              <w:tab w:val="right" w:leader="dot" w:pos="8306"/>
            </w:tabs>
          </w:pPr>
          <w:r>
            <w:fldChar w:fldCharType="begin"/>
          </w:r>
          <w:r>
            <w:instrText xml:space="preserve"> HYPERLINK \l "_Toc31991" </w:instrText>
          </w:r>
          <w:r>
            <w:fldChar w:fldCharType="separate"/>
          </w:r>
          <w:r>
            <w:rPr>
              <w:rFonts w:hint="eastAsia" w:ascii="仿宋" w:hAnsi="仿宋" w:eastAsia="仿宋"/>
              <w:bCs w:val="0"/>
              <w:highlight w:val="none"/>
            </w:rPr>
            <w:t>二、收入决算表</w:t>
          </w:r>
          <w:r>
            <w:tab/>
          </w:r>
          <w:r>
            <w:fldChar w:fldCharType="begin"/>
          </w:r>
          <w:r>
            <w:instrText xml:space="preserve"> PAGEREF _Toc31991 \h </w:instrText>
          </w:r>
          <w:r>
            <w:fldChar w:fldCharType="separate"/>
          </w:r>
          <w:r>
            <w:t>23</w:t>
          </w:r>
          <w:r>
            <w:fldChar w:fldCharType="end"/>
          </w:r>
          <w:r>
            <w:fldChar w:fldCharType="end"/>
          </w:r>
        </w:p>
        <w:p>
          <w:pPr>
            <w:pStyle w:val="39"/>
            <w:tabs>
              <w:tab w:val="right" w:leader="dot" w:pos="8306"/>
            </w:tabs>
          </w:pPr>
          <w:r>
            <w:fldChar w:fldCharType="begin"/>
          </w:r>
          <w:r>
            <w:instrText xml:space="preserve"> HYPERLINK \l "_Toc7907" </w:instrText>
          </w:r>
          <w:r>
            <w:fldChar w:fldCharType="separate"/>
          </w:r>
          <w:r>
            <w:rPr>
              <w:rFonts w:hint="eastAsia" w:ascii="仿宋" w:hAnsi="仿宋" w:eastAsia="仿宋"/>
              <w:bCs w:val="0"/>
              <w:highlight w:val="none"/>
            </w:rPr>
            <w:t>三、支出决算表</w:t>
          </w:r>
          <w:r>
            <w:tab/>
          </w:r>
          <w:r>
            <w:fldChar w:fldCharType="begin"/>
          </w:r>
          <w:r>
            <w:instrText xml:space="preserve"> PAGEREF _Toc7907 \h </w:instrText>
          </w:r>
          <w:r>
            <w:fldChar w:fldCharType="separate"/>
          </w:r>
          <w:r>
            <w:t>23</w:t>
          </w:r>
          <w:r>
            <w:fldChar w:fldCharType="end"/>
          </w:r>
          <w:r>
            <w:fldChar w:fldCharType="end"/>
          </w:r>
        </w:p>
        <w:p>
          <w:pPr>
            <w:pStyle w:val="39"/>
            <w:tabs>
              <w:tab w:val="right" w:leader="dot" w:pos="8306"/>
            </w:tabs>
          </w:pPr>
          <w:r>
            <w:fldChar w:fldCharType="begin"/>
          </w:r>
          <w:r>
            <w:instrText xml:space="preserve"> HYPERLINK \l "_Toc9029" </w:instrText>
          </w:r>
          <w:r>
            <w:fldChar w:fldCharType="separate"/>
          </w:r>
          <w:r>
            <w:rPr>
              <w:rFonts w:hint="eastAsia" w:ascii="仿宋" w:hAnsi="仿宋" w:eastAsia="仿宋"/>
              <w:bCs w:val="0"/>
              <w:highlight w:val="none"/>
            </w:rPr>
            <w:t>四、财政拨款收入支出决算总表</w:t>
          </w:r>
          <w:r>
            <w:tab/>
          </w:r>
          <w:r>
            <w:fldChar w:fldCharType="begin"/>
          </w:r>
          <w:r>
            <w:instrText xml:space="preserve"> PAGEREF _Toc9029 \h </w:instrText>
          </w:r>
          <w:r>
            <w:fldChar w:fldCharType="separate"/>
          </w:r>
          <w:r>
            <w:t>23</w:t>
          </w:r>
          <w:r>
            <w:fldChar w:fldCharType="end"/>
          </w:r>
          <w:r>
            <w:fldChar w:fldCharType="end"/>
          </w:r>
        </w:p>
        <w:p>
          <w:pPr>
            <w:pStyle w:val="39"/>
            <w:tabs>
              <w:tab w:val="right" w:leader="dot" w:pos="8306"/>
            </w:tabs>
          </w:pPr>
          <w:r>
            <w:fldChar w:fldCharType="begin"/>
          </w:r>
          <w:r>
            <w:instrText xml:space="preserve"> HYPERLINK \l "_Toc14557" </w:instrText>
          </w:r>
          <w:r>
            <w:fldChar w:fldCharType="separate"/>
          </w:r>
          <w:r>
            <w:rPr>
              <w:rFonts w:hint="eastAsia" w:ascii="仿宋" w:hAnsi="仿宋" w:eastAsia="仿宋"/>
              <w:bCs w:val="0"/>
              <w:highlight w:val="none"/>
            </w:rPr>
            <w:t>五、财政拨款支出决算明细表</w:t>
          </w:r>
          <w:r>
            <w:tab/>
          </w:r>
          <w:r>
            <w:fldChar w:fldCharType="begin"/>
          </w:r>
          <w:r>
            <w:instrText xml:space="preserve"> PAGEREF _Toc14557 \h </w:instrText>
          </w:r>
          <w:r>
            <w:fldChar w:fldCharType="separate"/>
          </w:r>
          <w:r>
            <w:t>23</w:t>
          </w:r>
          <w:r>
            <w:fldChar w:fldCharType="end"/>
          </w:r>
          <w:r>
            <w:fldChar w:fldCharType="end"/>
          </w:r>
        </w:p>
        <w:p>
          <w:pPr>
            <w:pStyle w:val="39"/>
            <w:tabs>
              <w:tab w:val="right" w:leader="dot" w:pos="8306"/>
            </w:tabs>
          </w:pPr>
          <w:r>
            <w:fldChar w:fldCharType="begin"/>
          </w:r>
          <w:r>
            <w:instrText xml:space="preserve"> HYPERLINK \l "_Toc11343" </w:instrText>
          </w:r>
          <w:r>
            <w:fldChar w:fldCharType="separate"/>
          </w:r>
          <w:r>
            <w:rPr>
              <w:rFonts w:hint="eastAsia" w:ascii="仿宋" w:hAnsi="仿宋" w:eastAsia="仿宋"/>
              <w:bCs w:val="0"/>
              <w:highlight w:val="none"/>
            </w:rPr>
            <w:t>六、一般公共预算财政拨款支出决算表</w:t>
          </w:r>
          <w:r>
            <w:tab/>
          </w:r>
          <w:r>
            <w:fldChar w:fldCharType="begin"/>
          </w:r>
          <w:r>
            <w:instrText xml:space="preserve"> PAGEREF _Toc11343 \h </w:instrText>
          </w:r>
          <w:r>
            <w:fldChar w:fldCharType="separate"/>
          </w:r>
          <w:r>
            <w:t>23</w:t>
          </w:r>
          <w:r>
            <w:fldChar w:fldCharType="end"/>
          </w:r>
          <w:r>
            <w:fldChar w:fldCharType="end"/>
          </w:r>
        </w:p>
        <w:p>
          <w:pPr>
            <w:pStyle w:val="39"/>
            <w:tabs>
              <w:tab w:val="right" w:leader="dot" w:pos="8306"/>
            </w:tabs>
          </w:pPr>
          <w:r>
            <w:fldChar w:fldCharType="begin"/>
          </w:r>
          <w:r>
            <w:instrText xml:space="preserve"> HYPERLINK \l "_Toc8183" </w:instrText>
          </w:r>
          <w:r>
            <w:fldChar w:fldCharType="separate"/>
          </w:r>
          <w:r>
            <w:rPr>
              <w:rFonts w:hint="eastAsia" w:ascii="仿宋" w:hAnsi="仿宋" w:eastAsia="仿宋"/>
              <w:bCs w:val="0"/>
              <w:highlight w:val="none"/>
            </w:rPr>
            <w:t>七、一般公共预算财政拨款支出决算明细表</w:t>
          </w:r>
          <w:r>
            <w:tab/>
          </w:r>
          <w:r>
            <w:fldChar w:fldCharType="begin"/>
          </w:r>
          <w:r>
            <w:instrText xml:space="preserve"> PAGEREF _Toc8183 \h </w:instrText>
          </w:r>
          <w:r>
            <w:fldChar w:fldCharType="separate"/>
          </w:r>
          <w:r>
            <w:t>23</w:t>
          </w:r>
          <w:r>
            <w:fldChar w:fldCharType="end"/>
          </w:r>
          <w:r>
            <w:fldChar w:fldCharType="end"/>
          </w:r>
        </w:p>
        <w:p>
          <w:pPr>
            <w:pStyle w:val="39"/>
            <w:tabs>
              <w:tab w:val="right" w:leader="dot" w:pos="8306"/>
            </w:tabs>
          </w:pPr>
          <w:r>
            <w:fldChar w:fldCharType="begin"/>
          </w:r>
          <w:r>
            <w:instrText xml:space="preserve"> HYPERLINK \l "_Toc23283" </w:instrText>
          </w:r>
          <w:r>
            <w:fldChar w:fldCharType="separate"/>
          </w:r>
          <w:r>
            <w:rPr>
              <w:rFonts w:hint="eastAsia" w:ascii="仿宋" w:hAnsi="仿宋" w:eastAsia="仿宋"/>
              <w:bCs w:val="0"/>
              <w:highlight w:val="none"/>
            </w:rPr>
            <w:t>八、一般公共预算财政拨款基本支出决算表</w:t>
          </w:r>
          <w:r>
            <w:tab/>
          </w:r>
          <w:r>
            <w:fldChar w:fldCharType="begin"/>
          </w:r>
          <w:r>
            <w:instrText xml:space="preserve"> PAGEREF _Toc23283 \h </w:instrText>
          </w:r>
          <w:r>
            <w:fldChar w:fldCharType="separate"/>
          </w:r>
          <w:r>
            <w:t>23</w:t>
          </w:r>
          <w:r>
            <w:fldChar w:fldCharType="end"/>
          </w:r>
          <w:r>
            <w:fldChar w:fldCharType="end"/>
          </w:r>
        </w:p>
        <w:p>
          <w:pPr>
            <w:pStyle w:val="39"/>
            <w:tabs>
              <w:tab w:val="right" w:leader="dot" w:pos="8306"/>
            </w:tabs>
          </w:pPr>
          <w:r>
            <w:fldChar w:fldCharType="begin"/>
          </w:r>
          <w:r>
            <w:instrText xml:space="preserve"> HYPERLINK \l "_Toc10328" </w:instrText>
          </w:r>
          <w:r>
            <w:fldChar w:fldCharType="separate"/>
          </w:r>
          <w:r>
            <w:rPr>
              <w:rFonts w:hint="eastAsia" w:ascii="仿宋" w:hAnsi="仿宋" w:eastAsia="仿宋"/>
              <w:bCs w:val="0"/>
              <w:highlight w:val="none"/>
            </w:rPr>
            <w:t>九、一般公共预算财政拨款项目支出决算表</w:t>
          </w:r>
          <w:r>
            <w:tab/>
          </w:r>
          <w:r>
            <w:fldChar w:fldCharType="begin"/>
          </w:r>
          <w:r>
            <w:instrText xml:space="preserve"> PAGEREF _Toc10328 \h </w:instrText>
          </w:r>
          <w:r>
            <w:fldChar w:fldCharType="separate"/>
          </w:r>
          <w:r>
            <w:t>23</w:t>
          </w:r>
          <w:r>
            <w:fldChar w:fldCharType="end"/>
          </w:r>
          <w:r>
            <w:fldChar w:fldCharType="end"/>
          </w:r>
        </w:p>
        <w:p>
          <w:pPr>
            <w:pStyle w:val="39"/>
            <w:tabs>
              <w:tab w:val="right" w:leader="dot" w:pos="8306"/>
            </w:tabs>
          </w:pPr>
          <w:r>
            <w:fldChar w:fldCharType="begin"/>
          </w:r>
          <w:r>
            <w:instrText xml:space="preserve"> HYPERLINK \l "_Toc17550" </w:instrText>
          </w:r>
          <w:r>
            <w:fldChar w:fldCharType="separate"/>
          </w:r>
          <w:r>
            <w:rPr>
              <w:rFonts w:hint="eastAsia" w:ascii="仿宋" w:hAnsi="仿宋" w:eastAsia="仿宋"/>
              <w:bCs w:val="0"/>
              <w:highlight w:val="none"/>
            </w:rPr>
            <w:t>十、政府性基金预算财政拨款收入支出决算表</w:t>
          </w:r>
          <w:r>
            <w:tab/>
          </w:r>
          <w:r>
            <w:fldChar w:fldCharType="begin"/>
          </w:r>
          <w:r>
            <w:instrText xml:space="preserve"> PAGEREF _Toc17550 \h </w:instrText>
          </w:r>
          <w:r>
            <w:fldChar w:fldCharType="separate"/>
          </w:r>
          <w:r>
            <w:t>23</w:t>
          </w:r>
          <w:r>
            <w:fldChar w:fldCharType="end"/>
          </w:r>
          <w:r>
            <w:fldChar w:fldCharType="end"/>
          </w:r>
        </w:p>
        <w:p>
          <w:pPr>
            <w:pStyle w:val="39"/>
            <w:tabs>
              <w:tab w:val="right" w:leader="dot" w:pos="8306"/>
            </w:tabs>
          </w:pPr>
          <w:r>
            <w:fldChar w:fldCharType="begin"/>
          </w:r>
          <w:r>
            <w:instrText xml:space="preserve"> HYPERLINK \l "_Toc9324"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_Toc9324 \h </w:instrText>
          </w:r>
          <w:r>
            <w:fldChar w:fldCharType="separate"/>
          </w:r>
          <w:r>
            <w:t>23</w:t>
          </w:r>
          <w:r>
            <w:fldChar w:fldCharType="end"/>
          </w:r>
          <w:r>
            <w:fldChar w:fldCharType="end"/>
          </w:r>
        </w:p>
        <w:p>
          <w:pPr>
            <w:pStyle w:val="39"/>
            <w:tabs>
              <w:tab w:val="right" w:leader="dot" w:pos="8306"/>
            </w:tabs>
          </w:pPr>
          <w:r>
            <w:fldChar w:fldCharType="begin"/>
          </w:r>
          <w:r>
            <w:instrText xml:space="preserve"> HYPERLINK \l "_Toc25150"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_Toc25150 \h </w:instrText>
          </w:r>
          <w:r>
            <w:fldChar w:fldCharType="separate"/>
          </w:r>
          <w:r>
            <w:t>23</w:t>
          </w:r>
          <w:r>
            <w:fldChar w:fldCharType="end"/>
          </w:r>
          <w:r>
            <w:fldChar w:fldCharType="end"/>
          </w:r>
        </w:p>
        <w:p>
          <w:pPr>
            <w:pStyle w:val="39"/>
            <w:tabs>
              <w:tab w:val="right" w:leader="dot" w:pos="8306"/>
            </w:tabs>
          </w:pPr>
          <w:r>
            <w:fldChar w:fldCharType="begin"/>
          </w:r>
          <w:r>
            <w:instrText xml:space="preserve"> HYPERLINK \l "_Toc24506"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_Toc24506 \h </w:instrText>
          </w:r>
          <w:r>
            <w:fldChar w:fldCharType="separate"/>
          </w:r>
          <w:r>
            <w:t>23</w:t>
          </w:r>
          <w:r>
            <w:fldChar w:fldCharType="end"/>
          </w:r>
          <w:r>
            <w:fldChar w:fldCharType="end"/>
          </w:r>
        </w:p>
        <w:p>
          <w:pPr>
            <w:pStyle w:val="3"/>
            <w:jc w:val="center"/>
            <w:outlineLvl w:val="9"/>
            <w:rPr>
              <w:rStyle w:val="28"/>
              <w:rFonts w:hint="eastAsia" w:ascii="仿宋" w:hAnsi="仿宋" w:eastAsia="仿宋" w:cs="Times New Roman"/>
              <w:b w:val="0"/>
              <w:bCs w:val="0"/>
              <w:color w:val="auto"/>
              <w:sz w:val="28"/>
              <w:szCs w:val="28"/>
              <w:highlight w:val="none"/>
              <w:lang w:val="en-US" w:eastAsia="zh-CN" w:bidi="ar-SA"/>
            </w:rPr>
          </w:pPr>
          <w:r>
            <w:rPr>
              <w:rFonts w:hint="eastAsia" w:ascii="仿宋" w:hAnsi="仿宋" w:eastAsia="仿宋" w:cs="Times New Roman"/>
              <w:bCs w:val="0"/>
              <w:color w:val="auto"/>
              <w:szCs w:val="28"/>
              <w:highlight w:val="none"/>
              <w:lang w:val="en-US" w:eastAsia="zh-CN" w:bidi="ar-SA"/>
            </w:rPr>
            <w:fldChar w:fldCharType="end"/>
          </w:r>
        </w:p>
      </w:sdtContent>
    </w:sdt>
    <w:p>
      <w:pPr>
        <w:tabs>
          <w:tab w:val="left" w:pos="5378"/>
        </w:tabs>
        <w:bidi w:val="0"/>
        <w:jc w:val="left"/>
        <w:rPr>
          <w:rFonts w:hint="eastAsia"/>
          <w:lang w:val="en-US" w:eastAsia="zh-CN"/>
        </w:rPr>
        <w:sectPr>
          <w:footerReference r:id="rId6" w:type="first"/>
          <w:footerReference r:id="rId5" w:type="default"/>
          <w:pgSz w:w="11906" w:h="16838"/>
          <w:pgMar w:top="1440" w:right="1800" w:bottom="1440" w:left="1800" w:header="851" w:footer="992" w:gutter="0"/>
          <w:pgNumType w:start="1"/>
          <w:cols w:space="425" w:num="1"/>
          <w:titlePg/>
          <w:docGrid w:type="lines" w:linePitch="312" w:charSpace="0"/>
        </w:sectPr>
      </w:pPr>
      <w:r>
        <w:rPr>
          <w:rFonts w:hint="eastAsia"/>
          <w:lang w:val="en-US" w:eastAsia="zh-CN"/>
        </w:rPr>
        <w:tab/>
      </w:r>
    </w:p>
    <w:p>
      <w:pPr>
        <w:pStyle w:val="3"/>
        <w:jc w:val="center"/>
        <w:rPr>
          <w:rFonts w:ascii="黑体" w:eastAsia="黑体"/>
          <w:color w:val="auto"/>
          <w:sz w:val="32"/>
          <w:szCs w:val="32"/>
          <w:highlight w:val="none"/>
        </w:rPr>
      </w:pPr>
      <w:bookmarkStart w:id="16" w:name="_Toc3680"/>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7"/>
          <w:rFonts w:hint="eastAsia" w:ascii="黑体" w:hAnsi="黑体" w:eastAsia="黑体"/>
          <w:b w:val="0"/>
          <w:bCs w:val="0"/>
          <w:color w:val="auto"/>
          <w:highlight w:val="none"/>
        </w:rPr>
        <w:t>概况</w:t>
      </w:r>
      <w:bookmarkEnd w:id="16"/>
    </w:p>
    <w:p>
      <w:pPr>
        <w:pStyle w:val="4"/>
        <w:keepNext/>
        <w:keepLines/>
        <w:pageBreakBefore w:val="0"/>
        <w:widowControl w:val="0"/>
        <w:numPr>
          <w:ilvl w:val="0"/>
          <w:numId w:val="1"/>
        </w:numPr>
        <w:kinsoku/>
        <w:wordWrap/>
        <w:overflowPunct/>
        <w:topLinePunct w:val="0"/>
        <w:autoSpaceDE/>
        <w:autoSpaceDN/>
        <w:bidi w:val="0"/>
        <w:adjustRightInd/>
        <w:snapToGrid/>
        <w:spacing w:after="0" w:afterAutospacing="0" w:line="416" w:lineRule="auto"/>
        <w:ind w:firstLine="640" w:firstLineChars="200"/>
        <w:textAlignment w:val="auto"/>
        <w:rPr>
          <w:rStyle w:val="28"/>
          <w:rFonts w:hint="eastAsia" w:ascii="黑体" w:hAnsi="黑体" w:eastAsia="黑体"/>
          <w:b w:val="0"/>
          <w:bCs w:val="0"/>
          <w:color w:val="auto"/>
          <w:highlight w:val="none"/>
          <w:lang w:eastAsia="zh-CN"/>
        </w:rPr>
      </w:pPr>
      <w:bookmarkStart w:id="17" w:name="_Toc21956"/>
      <w:bookmarkStart w:id="18" w:name="_Toc15377197"/>
      <w:bookmarkStart w:id="19" w:name="_Toc15396600"/>
      <w:r>
        <w:rPr>
          <w:rStyle w:val="28"/>
          <w:rFonts w:hint="eastAsia" w:ascii="黑体" w:hAnsi="黑体" w:eastAsia="黑体"/>
          <w:b w:val="0"/>
          <w:bCs w:val="0"/>
          <w:color w:val="auto"/>
          <w:highlight w:val="none"/>
          <w:lang w:eastAsia="zh-CN"/>
        </w:rPr>
        <w:t>主要职责</w:t>
      </w:r>
      <w:bookmarkEnd w:id="17"/>
    </w:p>
    <w:p>
      <w:pPr>
        <w:spacing w:beforeAutospacing="0" w:line="600" w:lineRule="exact"/>
        <w:ind w:firstLine="640" w:firstLineChars="200"/>
        <w:outlineLvl w:val="2"/>
        <w:rPr>
          <w:rFonts w:hint="eastAsia" w:ascii="仿宋" w:hAnsi="仿宋" w:eastAsia="仿宋"/>
          <w:color w:val="auto"/>
          <w:sz w:val="32"/>
          <w:szCs w:val="32"/>
          <w:highlight w:val="none"/>
        </w:rPr>
      </w:pPr>
      <w:bookmarkStart w:id="20" w:name="_Toc8887"/>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一</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基本公共卫生服务方面</w:t>
      </w:r>
      <w:bookmarkEnd w:id="20"/>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落实农村居民健康档案管理及服务；普及卫生保健常识，指导开展爱国卫生工作；规范预防接种服务，执行国家免疫规划；及时发现、登记并报告辖区传染病病</w:t>
      </w:r>
      <w:r>
        <w:rPr>
          <w:rFonts w:hint="eastAsia" w:ascii="仿宋" w:hAnsi="仿宋" w:eastAsia="仿宋"/>
          <w:color w:val="auto"/>
          <w:sz w:val="32"/>
          <w:szCs w:val="32"/>
          <w:highlight w:val="none"/>
          <w:lang w:eastAsia="zh-CN"/>
        </w:rPr>
        <w:t>例</w:t>
      </w:r>
      <w:r>
        <w:rPr>
          <w:rFonts w:hint="eastAsia" w:ascii="仿宋" w:hAnsi="仿宋" w:eastAsia="仿宋"/>
          <w:color w:val="auto"/>
          <w:sz w:val="32"/>
          <w:szCs w:val="32"/>
          <w:highlight w:val="none"/>
        </w:rPr>
        <w:t>和疑似病例，参与现场疫情处理，协助处理辖区内突发公共卫生事件；开展新生儿访视及儿童、孕产妇保健系统管理；对辖区65岁及以上老年人和糖尿病、精神病、高血压等慢性疾病登记管理；接受区卫生行政部门委托，对辖区内传染病防治、学校卫生、饮用水卫生、职业卫生以及村级预防保健工作进行指导、培训、考核与监督等。</w:t>
      </w:r>
    </w:p>
    <w:p>
      <w:pPr>
        <w:spacing w:line="600" w:lineRule="exact"/>
        <w:ind w:firstLine="640" w:firstLineChars="200"/>
        <w:outlineLvl w:val="2"/>
        <w:rPr>
          <w:rFonts w:hint="eastAsia" w:ascii="仿宋" w:hAnsi="仿宋" w:eastAsia="仿宋"/>
          <w:color w:val="auto"/>
          <w:sz w:val="32"/>
          <w:szCs w:val="32"/>
          <w:highlight w:val="none"/>
        </w:rPr>
      </w:pPr>
      <w:bookmarkStart w:id="21" w:name="_Toc7728"/>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二</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基本医疗服务方面</w:t>
      </w:r>
      <w:bookmarkEnd w:id="21"/>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正确处理常见病，多发病，对疑难杂症进行恰当的处理与转诊；加强急诊救护体系建设，承担乡村现场应急救护，转诊和康复服务；认真执行国家基本药物制度，加强医疗质量管理及院感防控。</w:t>
      </w:r>
    </w:p>
    <w:p>
      <w:pPr>
        <w:spacing w:line="600" w:lineRule="exact"/>
        <w:ind w:firstLine="640" w:firstLineChars="200"/>
        <w:outlineLvl w:val="2"/>
        <w:rPr>
          <w:rFonts w:hint="eastAsia" w:ascii="仿宋" w:hAnsi="仿宋" w:eastAsia="仿宋"/>
          <w:color w:val="auto"/>
          <w:sz w:val="32"/>
          <w:szCs w:val="32"/>
          <w:highlight w:val="none"/>
        </w:rPr>
      </w:pPr>
      <w:bookmarkStart w:id="22" w:name="_Toc25021"/>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三</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基本管理服务</w:t>
      </w:r>
      <w:bookmarkEnd w:id="22"/>
    </w:p>
    <w:p>
      <w:pPr>
        <w:spacing w:afterAutospacing="0" w:line="600" w:lineRule="exact"/>
        <w:ind w:firstLine="640" w:firstLineChars="200"/>
        <w:rPr>
          <w:rFonts w:hint="eastAsia"/>
          <w:lang w:eastAsia="zh-CN"/>
        </w:rPr>
      </w:pPr>
      <w:r>
        <w:rPr>
          <w:rFonts w:hint="eastAsia" w:ascii="仿宋" w:hAnsi="仿宋" w:eastAsia="仿宋"/>
          <w:color w:val="auto"/>
          <w:sz w:val="32"/>
          <w:szCs w:val="32"/>
          <w:highlight w:val="none"/>
        </w:rPr>
        <w:t>规范卫生院财务管理工作，巩固农村公共卫生服务体系。履行定点医疗机构职责，严格执行国家基本医疗保险政策并做好有关的政策宣传，监督及服务工作。深入推进乡村卫生服务一体化管理，负责村卫生室的技术指导和医生培训等工作。落实健康扶贫相关政策。</w:t>
      </w:r>
    </w:p>
    <w:p>
      <w:pPr>
        <w:pStyle w:val="4"/>
        <w:numPr>
          <w:ilvl w:val="0"/>
          <w:numId w:val="1"/>
        </w:numPr>
        <w:spacing w:before="0" w:beforeAutospacing="0" w:after="0" w:afterAutospacing="0"/>
        <w:ind w:left="0" w:leftChars="0" w:firstLine="0" w:firstLineChars="0"/>
        <w:rPr>
          <w:rFonts w:hint="eastAsia" w:ascii="黑体" w:hAnsi="黑体" w:eastAsia="黑体"/>
          <w:b w:val="0"/>
          <w:color w:val="auto"/>
          <w:highlight w:val="none"/>
          <w:lang w:val="en-US" w:eastAsia="zh-CN"/>
        </w:rPr>
      </w:pPr>
      <w:bookmarkStart w:id="23" w:name="_Toc7772"/>
      <w:r>
        <w:rPr>
          <w:rFonts w:hint="eastAsia" w:ascii="黑体" w:hAnsi="黑体" w:eastAsia="黑体"/>
          <w:b w:val="0"/>
          <w:color w:val="auto"/>
          <w:highlight w:val="none"/>
          <w:lang w:val="en-US" w:eastAsia="zh-CN"/>
        </w:rPr>
        <w:t>机构设置</w:t>
      </w:r>
      <w:bookmarkEnd w:id="23"/>
    </w:p>
    <w:p>
      <w:pPr>
        <w:numPr>
          <w:ilvl w:val="0"/>
          <w:numId w:val="0"/>
        </w:numPr>
        <w:spacing w:beforeAutospacing="0" w:afterAutospacing="0"/>
        <w:ind w:leftChars="0" w:firstLine="640" w:firstLineChars="200"/>
        <w:rPr>
          <w:rFonts w:ascii="仿宋" w:hAnsi="仿宋" w:eastAsia="仿宋"/>
          <w:color w:val="auto"/>
          <w:kern w:val="0"/>
          <w:sz w:val="32"/>
          <w:szCs w:val="32"/>
          <w:highlight w:val="none"/>
        </w:rPr>
      </w:pPr>
      <w:bookmarkStart w:id="24" w:name="_Toc23709"/>
      <w:bookmarkStart w:id="25" w:name="_Toc24467"/>
      <w:r>
        <w:rPr>
          <w:rFonts w:hint="eastAsia" w:ascii="仿宋" w:hAnsi="仿宋" w:eastAsia="仿宋"/>
          <w:b w:val="0"/>
          <w:bCs w:val="0"/>
          <w:color w:val="auto"/>
          <w:sz w:val="32"/>
          <w:szCs w:val="32"/>
          <w:highlight w:val="none"/>
          <w:lang w:eastAsia="zh-CN"/>
        </w:rPr>
        <w:t>王家镇中心卫生院属于主管部门下属单位，属于二级预算单位，无下属机构。</w:t>
      </w:r>
      <w:bookmarkEnd w:id="18"/>
      <w:bookmarkEnd w:id="19"/>
      <w:bookmarkEnd w:id="24"/>
      <w:bookmarkEnd w:id="25"/>
    </w:p>
    <w:p>
      <w:pPr>
        <w:rPr>
          <w:rFonts w:hint="eastAsia" w:ascii="黑体" w:hAnsi="黑体" w:eastAsia="黑体"/>
          <w:b w:val="0"/>
          <w:bCs/>
          <w:color w:val="auto"/>
          <w:highlight w:val="none"/>
        </w:rPr>
      </w:pPr>
      <w:bookmarkStart w:id="26" w:name="_Toc5915"/>
      <w:bookmarkStart w:id="27" w:name="_Toc15377204"/>
      <w:bookmarkStart w:id="28" w:name="_Toc15396602"/>
    </w:p>
    <w:p>
      <w:pPr>
        <w:pStyle w:val="2"/>
        <w:rPr>
          <w:rFonts w:hint="eastAsia"/>
        </w:rPr>
      </w:pPr>
    </w:p>
    <w:p>
      <w:pPr>
        <w:pStyle w:val="3"/>
        <w:spacing w:before="108" w:beforeLines="34" w:beforeAutospacing="0" w:after="105" w:afterAutospacing="0"/>
        <w:ind w:right="440"/>
        <w:jc w:val="center"/>
        <w:rPr>
          <w:color w:val="auto"/>
          <w:highlight w:val="none"/>
        </w:rPr>
      </w:pPr>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7"/>
          <w:rFonts w:hint="eastAsia" w:ascii="黑体" w:hAnsi="黑体" w:eastAsia="黑体"/>
          <w:b w:val="0"/>
          <w:bCs/>
          <w:color w:val="auto"/>
          <w:highlight w:val="none"/>
          <w:lang w:eastAsia="zh-CN"/>
        </w:rPr>
        <w:t>单位</w:t>
      </w:r>
      <w:r>
        <w:rPr>
          <w:rStyle w:val="27"/>
          <w:rFonts w:hint="eastAsia" w:ascii="黑体" w:hAnsi="黑体" w:eastAsia="黑体"/>
          <w:b w:val="0"/>
          <w:bCs/>
          <w:color w:val="auto"/>
          <w:highlight w:val="none"/>
        </w:rPr>
        <w:t>决算情况说明</w:t>
      </w:r>
      <w:bookmarkEnd w:id="26"/>
      <w:bookmarkEnd w:id="27"/>
      <w:bookmarkEnd w:id="28"/>
    </w:p>
    <w:p>
      <w:pPr>
        <w:pStyle w:val="26"/>
        <w:numPr>
          <w:ilvl w:val="0"/>
          <w:numId w:val="2"/>
        </w:numPr>
        <w:spacing w:line="600" w:lineRule="exact"/>
        <w:ind w:firstLineChars="0"/>
        <w:outlineLvl w:val="1"/>
        <w:rPr>
          <w:rStyle w:val="28"/>
          <w:rFonts w:ascii="黑体" w:hAnsi="黑体" w:eastAsia="黑体"/>
          <w:b w:val="0"/>
          <w:color w:val="auto"/>
          <w:highlight w:val="none"/>
        </w:rPr>
      </w:pPr>
      <w:bookmarkStart w:id="29" w:name="_Toc15396603"/>
      <w:bookmarkStart w:id="30" w:name="_Toc15377205"/>
      <w:bookmarkStart w:id="31" w:name="_Toc5047"/>
      <w:r>
        <w:rPr>
          <w:rFonts w:hint="eastAsia" w:ascii="黑体" w:hAnsi="黑体" w:eastAsia="黑体"/>
          <w:color w:val="auto"/>
          <w:sz w:val="32"/>
          <w:szCs w:val="32"/>
          <w:highlight w:val="none"/>
        </w:rPr>
        <w:t>收</w:t>
      </w:r>
      <w:r>
        <w:rPr>
          <w:rStyle w:val="28"/>
          <w:rFonts w:hint="eastAsia" w:ascii="黑体" w:hAnsi="黑体" w:eastAsia="黑体"/>
          <w:b w:val="0"/>
          <w:color w:val="auto"/>
          <w:highlight w:val="none"/>
        </w:rPr>
        <w:t>入支出决算总体情况说明</w:t>
      </w:r>
      <w:bookmarkEnd w:id="29"/>
      <w:bookmarkEnd w:id="30"/>
      <w:bookmarkEnd w:id="31"/>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年度收、支总计967.82万元。与20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126.88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15.09</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乡镇合并，机构人员增加，财政拨款收、支增加；业务收、支增加。</w:t>
      </w:r>
    </w:p>
    <w:p>
      <w:pPr>
        <w:pStyle w:val="2"/>
      </w:pPr>
      <w:r>
        <w:drawing>
          <wp:anchor distT="0" distB="0" distL="114300" distR="114300" simplePos="0" relativeHeight="251659264" behindDoc="1" locked="0" layoutInCell="1" allowOverlap="1">
            <wp:simplePos x="0" y="0"/>
            <wp:positionH relativeFrom="column">
              <wp:posOffset>690245</wp:posOffset>
            </wp:positionH>
            <wp:positionV relativeFrom="paragraph">
              <wp:posOffset>365125</wp:posOffset>
            </wp:positionV>
            <wp:extent cx="4043680" cy="1901190"/>
            <wp:effectExtent l="4445" t="4445" r="9525" b="18415"/>
            <wp:wrapTight wrapText="bothSides">
              <wp:wrapPolygon>
                <wp:start x="-24" y="-51"/>
                <wp:lineTo x="-24" y="21376"/>
                <wp:lineTo x="21549" y="21376"/>
                <wp:lineTo x="21549" y="-51"/>
                <wp:lineTo x="-24" y="-51"/>
              </wp:wrapPolygon>
            </wp:wrapTight>
            <wp:docPr id="280"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420" w:firstLineChars="200"/>
        <w:jc w:val="left"/>
      </w:pPr>
    </w:p>
    <w:p>
      <w:pPr>
        <w:spacing w:line="600" w:lineRule="exact"/>
        <w:ind w:firstLine="420" w:firstLineChars="200"/>
        <w:jc w:val="left"/>
      </w:pPr>
    </w:p>
    <w:p>
      <w:pPr>
        <w:spacing w:line="600" w:lineRule="exact"/>
        <w:ind w:firstLine="420" w:firstLineChars="200"/>
        <w:jc w:val="left"/>
      </w:pPr>
    </w:p>
    <w:p>
      <w:pPr>
        <w:spacing w:line="600" w:lineRule="exact"/>
        <w:ind w:firstLine="420" w:firstLineChars="200"/>
        <w:jc w:val="left"/>
      </w:pPr>
    </w:p>
    <w:p>
      <w:pPr>
        <w:spacing w:line="600" w:lineRule="exact"/>
        <w:ind w:firstLine="420" w:firstLineChars="200"/>
        <w:jc w:val="left"/>
      </w:pPr>
    </w:p>
    <w:p>
      <w:pPr>
        <w:pStyle w:val="2"/>
        <w:ind w:firstLine="640" w:firstLineChars="200"/>
      </w:pPr>
      <w:r>
        <w:rPr>
          <w:rFonts w:hint="eastAsia" w:ascii="仿宋" w:eastAsia="仿宋"/>
          <w:color w:val="auto"/>
          <w:sz w:val="32"/>
          <w:szCs w:val="32"/>
          <w:highlight w:val="none"/>
        </w:rPr>
        <w:t>（图</w:t>
      </w:r>
      <w:r>
        <w:rPr>
          <w:rFonts w:ascii="仿宋" w:eastAsia="仿宋"/>
          <w:color w:val="auto"/>
          <w:sz w:val="32"/>
          <w:szCs w:val="32"/>
          <w:highlight w:val="none"/>
        </w:rPr>
        <w:t>1</w:t>
      </w:r>
      <w:r>
        <w:rPr>
          <w:rFonts w:hint="eastAsia" w:ascii="仿宋" w:eastAsia="仿宋"/>
          <w:color w:val="auto"/>
          <w:sz w:val="32"/>
          <w:szCs w:val="32"/>
          <w:highlight w:val="none"/>
        </w:rPr>
        <w:t>：收、支决算总计变动情况图）（柱状图）</w:t>
      </w:r>
    </w:p>
    <w:p>
      <w:pPr>
        <w:pStyle w:val="26"/>
        <w:numPr>
          <w:ilvl w:val="0"/>
          <w:numId w:val="2"/>
        </w:numPr>
        <w:spacing w:line="600" w:lineRule="exact"/>
        <w:ind w:firstLineChars="0"/>
        <w:outlineLvl w:val="1"/>
        <w:rPr>
          <w:rStyle w:val="28"/>
          <w:rFonts w:ascii="黑体" w:hAnsi="黑体" w:eastAsia="黑体"/>
          <w:b w:val="0"/>
          <w:color w:val="auto"/>
          <w:highlight w:val="none"/>
        </w:rPr>
      </w:pPr>
      <w:bookmarkStart w:id="32" w:name="_Toc15377206"/>
      <w:bookmarkStart w:id="33" w:name="_Toc20807"/>
      <w:bookmarkStart w:id="34" w:name="_Toc15396604"/>
      <w:r>
        <w:rPr>
          <w:rFonts w:hint="eastAsia" w:ascii="黑体" w:hAnsi="黑体" w:eastAsia="黑体"/>
          <w:color w:val="auto"/>
          <w:sz w:val="32"/>
          <w:szCs w:val="32"/>
          <w:highlight w:val="none"/>
        </w:rPr>
        <w:t>收</w:t>
      </w:r>
      <w:r>
        <w:rPr>
          <w:rStyle w:val="28"/>
          <w:rFonts w:hint="eastAsia" w:ascii="黑体" w:hAnsi="黑体" w:eastAsia="黑体"/>
          <w:b w:val="0"/>
          <w:color w:val="auto"/>
          <w:highlight w:val="none"/>
        </w:rPr>
        <w:t>入决算情况说明</w:t>
      </w:r>
      <w:bookmarkEnd w:id="32"/>
      <w:bookmarkEnd w:id="33"/>
      <w:bookmarkEnd w:id="34"/>
    </w:p>
    <w:p>
      <w:pPr>
        <w:spacing w:line="600" w:lineRule="exact"/>
        <w:ind w:firstLine="640" w:firstLineChars="200"/>
        <w:outlineLvl w:val="1"/>
      </w:pPr>
      <w:bookmarkStart w:id="35" w:name="_Toc1690"/>
      <w:bookmarkStart w:id="36" w:name="_Toc10521"/>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年本年收入合计967.82万元，其中：一般公共预算财政拨款收入471.59万元，占</w:t>
      </w:r>
      <w:r>
        <w:rPr>
          <w:rFonts w:hint="eastAsia" w:ascii="仿宋" w:hAnsi="仿宋" w:eastAsia="仿宋"/>
          <w:color w:val="auto"/>
          <w:sz w:val="32"/>
          <w:szCs w:val="32"/>
          <w:highlight w:val="none"/>
          <w:lang w:val="en-US" w:eastAsia="zh-CN"/>
        </w:rPr>
        <w:t>48.73</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；政府性基金预算财政拨款收入7.38万元，占</w:t>
      </w:r>
      <w:r>
        <w:rPr>
          <w:rFonts w:hint="eastAsia" w:ascii="仿宋" w:hAnsi="仿宋" w:eastAsia="仿宋"/>
          <w:color w:val="auto"/>
          <w:sz w:val="32"/>
          <w:szCs w:val="32"/>
          <w:highlight w:val="none"/>
          <w:lang w:val="en-US" w:eastAsia="zh-CN"/>
        </w:rPr>
        <w:t>0.76</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事业收入488.85万元，占</w:t>
      </w:r>
      <w:r>
        <w:rPr>
          <w:rFonts w:hint="eastAsia" w:ascii="仿宋" w:hAnsi="仿宋" w:eastAsia="仿宋"/>
          <w:color w:val="auto"/>
          <w:sz w:val="32"/>
          <w:szCs w:val="32"/>
          <w:highlight w:val="none"/>
          <w:lang w:val="en-US" w:eastAsia="zh-CN"/>
        </w:rPr>
        <w:t>50.51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5"/>
      <w:bookmarkEnd w:id="36"/>
    </w:p>
    <w:p>
      <w:pPr>
        <w:spacing w:line="600" w:lineRule="exact"/>
      </w:pPr>
      <w:r>
        <w:drawing>
          <wp:anchor distT="0" distB="0" distL="114300" distR="114300" simplePos="0" relativeHeight="251660288" behindDoc="1" locked="0" layoutInCell="1" allowOverlap="1">
            <wp:simplePos x="0" y="0"/>
            <wp:positionH relativeFrom="column">
              <wp:posOffset>528320</wp:posOffset>
            </wp:positionH>
            <wp:positionV relativeFrom="paragraph">
              <wp:posOffset>90805</wp:posOffset>
            </wp:positionV>
            <wp:extent cx="4225290" cy="1823085"/>
            <wp:effectExtent l="4445" t="4445" r="18415" b="20320"/>
            <wp:wrapTight wrapText="bothSides">
              <wp:wrapPolygon>
                <wp:start x="-23" y="-53"/>
                <wp:lineTo x="-23" y="21389"/>
                <wp:lineTo x="21499" y="21389"/>
                <wp:lineTo x="21499" y="-53"/>
                <wp:lineTo x="-23" y="-53"/>
              </wp:wrapPolygon>
            </wp:wrapTight>
            <wp:docPr id="281"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pPr>
    </w:p>
    <w:p>
      <w:pPr>
        <w:spacing w:line="600" w:lineRule="exact"/>
      </w:pPr>
    </w:p>
    <w:p>
      <w:pPr>
        <w:spacing w:line="600" w:lineRule="exact"/>
      </w:pPr>
    </w:p>
    <w:p>
      <w:pPr>
        <w:spacing w:line="600" w:lineRule="exact"/>
        <w:rPr>
          <w:rFonts w:ascii="仿宋_GB2312" w:eastAsia="仿宋_GB2312"/>
          <w:color w:val="auto"/>
          <w:sz w:val="32"/>
          <w:szCs w:val="32"/>
          <w:highlight w:val="none"/>
        </w:rPr>
      </w:pPr>
    </w:p>
    <w:p>
      <w:pPr>
        <w:pStyle w:val="2"/>
        <w:jc w:val="center"/>
      </w:pPr>
      <w:r>
        <w:rPr>
          <w:rFonts w:hint="eastAsia" w:ascii="仿宋" w:eastAsia="仿宋"/>
          <w:color w:val="auto"/>
          <w:sz w:val="32"/>
          <w:szCs w:val="32"/>
          <w:highlight w:val="none"/>
        </w:rPr>
        <w:t>（图2：收入决算结构图）（饼状图）</w:t>
      </w:r>
    </w:p>
    <w:p>
      <w:pPr>
        <w:pStyle w:val="26"/>
        <w:numPr>
          <w:ilvl w:val="0"/>
          <w:numId w:val="2"/>
        </w:numPr>
        <w:spacing w:line="600" w:lineRule="exact"/>
        <w:ind w:firstLineChars="0"/>
        <w:outlineLvl w:val="1"/>
        <w:rPr>
          <w:rStyle w:val="28"/>
          <w:rFonts w:ascii="黑体" w:hAnsi="黑体" w:eastAsia="黑体"/>
          <w:b w:val="0"/>
          <w:color w:val="auto"/>
          <w:highlight w:val="none"/>
        </w:rPr>
      </w:pPr>
      <w:bookmarkStart w:id="37" w:name="_Toc15377207"/>
      <w:bookmarkStart w:id="38" w:name="_Toc15396605"/>
      <w:bookmarkStart w:id="39" w:name="_Toc17416"/>
      <w:r>
        <w:rPr>
          <w:rFonts w:hint="eastAsia" w:ascii="黑体" w:hAnsi="黑体" w:eastAsia="黑体"/>
          <w:color w:val="auto"/>
          <w:sz w:val="32"/>
          <w:szCs w:val="32"/>
          <w:highlight w:val="none"/>
        </w:rPr>
        <w:t>支</w:t>
      </w:r>
      <w:r>
        <w:rPr>
          <w:rStyle w:val="28"/>
          <w:rFonts w:hint="eastAsia" w:ascii="黑体" w:hAnsi="黑体" w:eastAsia="黑体"/>
          <w:b w:val="0"/>
          <w:color w:val="auto"/>
          <w:highlight w:val="none"/>
        </w:rPr>
        <w:t>出决算情况说明</w:t>
      </w:r>
      <w:bookmarkEnd w:id="37"/>
      <w:bookmarkEnd w:id="38"/>
      <w:bookmarkEnd w:id="39"/>
    </w:p>
    <w:p>
      <w:pPr>
        <w:spacing w:line="600" w:lineRule="exact"/>
        <w:ind w:firstLine="640" w:firstLineChars="200"/>
        <w:outlineLvl w:val="1"/>
        <w:rPr>
          <w:rFonts w:ascii="仿宋" w:hAnsi="仿宋" w:eastAsia="仿宋"/>
          <w:color w:val="auto"/>
          <w:sz w:val="32"/>
          <w:szCs w:val="32"/>
          <w:highlight w:val="none"/>
        </w:rPr>
      </w:pPr>
      <w:bookmarkStart w:id="40" w:name="_Toc3252"/>
      <w:bookmarkStart w:id="41" w:name="_Toc15675"/>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年本年支出合计967.82万元，其中：基本支出865.95万元，占</w:t>
      </w:r>
      <w:r>
        <w:rPr>
          <w:rFonts w:hint="eastAsia" w:ascii="仿宋" w:hAnsi="仿宋" w:eastAsia="仿宋"/>
          <w:color w:val="auto"/>
          <w:sz w:val="32"/>
          <w:szCs w:val="32"/>
          <w:highlight w:val="none"/>
          <w:lang w:val="en-US" w:eastAsia="zh-CN"/>
        </w:rPr>
        <w:t>89.47</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；项目支出101.87万元，占</w:t>
      </w:r>
      <w:r>
        <w:rPr>
          <w:rFonts w:hint="eastAsia" w:ascii="仿宋" w:hAnsi="仿宋" w:eastAsia="仿宋"/>
          <w:color w:val="auto"/>
          <w:sz w:val="32"/>
          <w:szCs w:val="32"/>
          <w:highlight w:val="none"/>
          <w:lang w:val="en-US" w:eastAsia="zh-CN"/>
        </w:rPr>
        <w:t>10.53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40"/>
      <w:bookmarkEnd w:id="41"/>
    </w:p>
    <w:p>
      <w:pPr>
        <w:spacing w:line="600" w:lineRule="exact"/>
      </w:pPr>
      <w:r>
        <w:drawing>
          <wp:anchor distT="0" distB="0" distL="114300" distR="114300" simplePos="0" relativeHeight="251661312" behindDoc="1" locked="0" layoutInCell="1" allowOverlap="1">
            <wp:simplePos x="0" y="0"/>
            <wp:positionH relativeFrom="column">
              <wp:posOffset>566420</wp:posOffset>
            </wp:positionH>
            <wp:positionV relativeFrom="paragraph">
              <wp:posOffset>356870</wp:posOffset>
            </wp:positionV>
            <wp:extent cx="4196080" cy="1894205"/>
            <wp:effectExtent l="4445" t="4445" r="9525" b="6350"/>
            <wp:wrapTight wrapText="bothSides">
              <wp:wrapPolygon>
                <wp:start x="-23" y="-51"/>
                <wp:lineTo x="-23" y="21455"/>
                <wp:lineTo x="21551" y="21455"/>
                <wp:lineTo x="21551" y="-51"/>
                <wp:lineTo x="-23" y="-51"/>
              </wp:wrapPolygon>
            </wp:wrapTight>
            <wp:docPr id="282"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640" w:firstLineChars="200"/>
        <w:rPr>
          <w:rFonts w:ascii="仿宋" w:hAnsi="仿宋" w:eastAsia="仿宋"/>
          <w:color w:val="auto"/>
          <w:sz w:val="32"/>
          <w:szCs w:val="32"/>
          <w:highlight w:val="none"/>
        </w:rPr>
      </w:pPr>
    </w:p>
    <w:p>
      <w:pPr>
        <w:spacing w:line="600" w:lineRule="exact"/>
        <w:ind w:firstLine="1600" w:firstLineChars="500"/>
        <w:rPr>
          <w:rFonts w:ascii="仿宋_GB2312" w:eastAsia="仿宋_GB2312"/>
          <w:color w:val="auto"/>
          <w:sz w:val="32"/>
          <w:szCs w:val="32"/>
          <w:highlight w:val="none"/>
        </w:rPr>
      </w:pPr>
      <w:r>
        <w:rPr>
          <w:rFonts w:hint="eastAsia" w:ascii="仿宋" w:eastAsia="仿宋"/>
          <w:color w:val="auto"/>
          <w:sz w:val="32"/>
          <w:szCs w:val="32"/>
          <w:highlight w:val="none"/>
        </w:rPr>
        <w:t>（图3：支出决算结构图）（饼状图）</w:t>
      </w:r>
    </w:p>
    <w:p>
      <w:pPr>
        <w:spacing w:line="600" w:lineRule="exact"/>
        <w:ind w:firstLine="640" w:firstLineChars="200"/>
        <w:outlineLvl w:val="1"/>
        <w:rPr>
          <w:rStyle w:val="28"/>
          <w:rFonts w:ascii="黑体" w:hAnsi="黑体" w:eastAsia="黑体"/>
          <w:b w:val="0"/>
          <w:color w:val="auto"/>
          <w:highlight w:val="none"/>
        </w:rPr>
      </w:pPr>
      <w:bookmarkStart w:id="42" w:name="_Toc15396606"/>
      <w:bookmarkStart w:id="43" w:name="_Toc15377208"/>
      <w:bookmarkStart w:id="44" w:name="_Toc8223"/>
      <w:r>
        <w:rPr>
          <w:rFonts w:hint="eastAsia" w:ascii="黑体" w:hAnsi="黑体" w:eastAsia="黑体"/>
          <w:color w:val="auto"/>
          <w:sz w:val="32"/>
          <w:szCs w:val="32"/>
          <w:highlight w:val="none"/>
        </w:rPr>
        <w:t>四、财</w:t>
      </w:r>
      <w:r>
        <w:rPr>
          <w:rStyle w:val="28"/>
          <w:rFonts w:hint="eastAsia" w:ascii="黑体" w:hAnsi="黑体" w:eastAsia="黑体"/>
          <w:b w:val="0"/>
          <w:color w:val="auto"/>
          <w:highlight w:val="none"/>
        </w:rPr>
        <w:t>政拨款收入支出决算总体情况说明</w:t>
      </w:r>
      <w:bookmarkEnd w:id="42"/>
      <w:bookmarkEnd w:id="43"/>
      <w:bookmarkEnd w:id="44"/>
    </w:p>
    <w:p>
      <w:pPr>
        <w:spacing w:line="600" w:lineRule="exact"/>
        <w:ind w:firstLine="640"/>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年财政拨款收、支总计478.98万元。与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60.33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14.41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乡镇合并，机构人员增加，财政拨款收、支增加。</w:t>
      </w:r>
    </w:p>
    <w:p>
      <w:pPr>
        <w:spacing w:line="600" w:lineRule="exact"/>
        <w:ind w:firstLine="420" w:firstLineChars="200"/>
      </w:pPr>
      <w:r>
        <w:drawing>
          <wp:anchor distT="0" distB="0" distL="114300" distR="114300" simplePos="0" relativeHeight="251662336" behindDoc="1" locked="0" layoutInCell="1" allowOverlap="1">
            <wp:simplePos x="0" y="0"/>
            <wp:positionH relativeFrom="column">
              <wp:posOffset>623570</wp:posOffset>
            </wp:positionH>
            <wp:positionV relativeFrom="paragraph">
              <wp:posOffset>223520</wp:posOffset>
            </wp:positionV>
            <wp:extent cx="3951605" cy="1655445"/>
            <wp:effectExtent l="4445" t="4445" r="6350" b="16510"/>
            <wp:wrapTight wrapText="bothSides">
              <wp:wrapPolygon>
                <wp:start x="-24" y="-58"/>
                <wp:lineTo x="-24" y="21318"/>
                <wp:lineTo x="21531" y="21318"/>
                <wp:lineTo x="21531" y="-58"/>
                <wp:lineTo x="-24" y="-58"/>
              </wp:wrapPolygon>
            </wp:wrapTight>
            <wp:docPr id="283"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640" w:firstLineChars="200"/>
        <w:rPr>
          <w:rFonts w:ascii="仿宋" w:hAnsi="仿宋" w:eastAsia="仿宋"/>
          <w:color w:val="auto"/>
          <w:sz w:val="32"/>
          <w:szCs w:val="32"/>
          <w:highlight w:val="none"/>
        </w:rPr>
      </w:pPr>
    </w:p>
    <w:p>
      <w:pPr>
        <w:spacing w:line="600" w:lineRule="exact"/>
        <w:rPr>
          <w:rFonts w:ascii="仿宋" w:eastAsia="仿宋"/>
          <w:color w:val="auto"/>
          <w:sz w:val="32"/>
          <w:szCs w:val="32"/>
          <w:highlight w:val="none"/>
        </w:rPr>
      </w:pPr>
      <w:r>
        <w:rPr>
          <w:rFonts w:hint="eastAsia" w:ascii="仿宋" w:eastAsia="仿宋"/>
          <w:color w:val="auto"/>
          <w:sz w:val="32"/>
          <w:szCs w:val="32"/>
          <w:highlight w:val="none"/>
        </w:rPr>
        <w:t>（图4：财政拨款收、支决算总计变动情况）（柱状图）</w:t>
      </w:r>
    </w:p>
    <w:p>
      <w:pPr>
        <w:spacing w:line="600" w:lineRule="exact"/>
        <w:ind w:firstLine="640"/>
        <w:rPr>
          <w:rFonts w:ascii="仿宋" w:hAnsi="仿宋" w:eastAsia="仿宋"/>
          <w:b/>
          <w:color w:val="auto"/>
          <w:sz w:val="32"/>
          <w:szCs w:val="32"/>
          <w:highlight w:val="none"/>
        </w:rPr>
      </w:pPr>
    </w:p>
    <w:p>
      <w:pPr>
        <w:spacing w:line="600" w:lineRule="exact"/>
        <w:ind w:firstLine="640" w:firstLineChars="200"/>
        <w:outlineLvl w:val="1"/>
        <w:rPr>
          <w:rStyle w:val="28"/>
          <w:rFonts w:ascii="黑体" w:hAnsi="黑体" w:eastAsia="黑体"/>
          <w:b w:val="0"/>
          <w:color w:val="auto"/>
          <w:highlight w:val="none"/>
        </w:rPr>
      </w:pPr>
      <w:bookmarkStart w:id="45" w:name="_Toc9005"/>
      <w:bookmarkStart w:id="46" w:name="_Toc15377209"/>
      <w:bookmarkStart w:id="47"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8"/>
          <w:rFonts w:hint="eastAsia" w:ascii="黑体" w:hAnsi="黑体" w:eastAsia="黑体"/>
          <w:b w:val="0"/>
          <w:color w:val="auto"/>
          <w:highlight w:val="none"/>
        </w:rPr>
        <w:t>般公共预算财政拨款支出决算情况说明</w:t>
      </w:r>
      <w:bookmarkEnd w:id="45"/>
      <w:bookmarkEnd w:id="46"/>
      <w:bookmarkEnd w:id="47"/>
    </w:p>
    <w:p>
      <w:pPr>
        <w:spacing w:line="600" w:lineRule="exact"/>
        <w:ind w:firstLine="643" w:firstLineChars="200"/>
        <w:outlineLvl w:val="2"/>
        <w:rPr>
          <w:rFonts w:ascii="仿宋" w:hAnsi="仿宋" w:eastAsia="仿宋"/>
          <w:b/>
          <w:color w:val="auto"/>
          <w:sz w:val="32"/>
          <w:szCs w:val="32"/>
          <w:highlight w:val="none"/>
        </w:rPr>
      </w:pPr>
      <w:bookmarkStart w:id="48" w:name="_Toc15377210"/>
      <w:bookmarkStart w:id="49" w:name="_Toc4416"/>
      <w:r>
        <w:rPr>
          <w:rFonts w:hint="eastAsia" w:ascii="仿宋" w:hAnsi="仿宋" w:eastAsia="仿宋"/>
          <w:b/>
          <w:color w:val="auto"/>
          <w:sz w:val="32"/>
          <w:szCs w:val="32"/>
          <w:highlight w:val="none"/>
        </w:rPr>
        <w:t>（一）一般公共预算财政拨款支出决算总体情况</w:t>
      </w:r>
      <w:bookmarkEnd w:id="48"/>
      <w:bookmarkEnd w:id="49"/>
    </w:p>
    <w:p>
      <w:pPr>
        <w:spacing w:line="600" w:lineRule="exact"/>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年一般公共预算财政拨款支出471.59万元，占本年支出合计的</w:t>
      </w:r>
      <w:r>
        <w:rPr>
          <w:rFonts w:hint="eastAsia" w:ascii="仿宋" w:hAnsi="仿宋" w:eastAsia="仿宋"/>
          <w:color w:val="auto"/>
          <w:sz w:val="32"/>
          <w:szCs w:val="32"/>
          <w:highlight w:val="none"/>
          <w:lang w:val="en-US" w:eastAsia="zh-CN"/>
        </w:rPr>
        <w:t>48.73</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52.94</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12.65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乡镇合并，机构人员增加，财政拨款收、支增加。</w:t>
      </w:r>
    </w:p>
    <w:p>
      <w:pPr>
        <w:spacing w:line="600" w:lineRule="exact"/>
        <w:ind w:firstLine="420" w:firstLineChars="200"/>
      </w:pPr>
      <w:r>
        <w:drawing>
          <wp:anchor distT="0" distB="0" distL="114300" distR="114300" simplePos="0" relativeHeight="251663360" behindDoc="1" locked="0" layoutInCell="1" allowOverlap="1">
            <wp:simplePos x="0" y="0"/>
            <wp:positionH relativeFrom="column">
              <wp:posOffset>814070</wp:posOffset>
            </wp:positionH>
            <wp:positionV relativeFrom="paragraph">
              <wp:posOffset>194945</wp:posOffset>
            </wp:positionV>
            <wp:extent cx="3502660" cy="1714500"/>
            <wp:effectExtent l="4445" t="4445" r="17145" b="14605"/>
            <wp:wrapTight wrapText="bothSides">
              <wp:wrapPolygon>
                <wp:start x="-27" y="-56"/>
                <wp:lineTo x="-27" y="21544"/>
                <wp:lineTo x="21471" y="21544"/>
                <wp:lineTo x="21471" y="-56"/>
                <wp:lineTo x="-27" y="-56"/>
              </wp:wrapPolygon>
            </wp:wrapTight>
            <wp:docPr id="284"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pStyle w:val="2"/>
        <w:rPr>
          <w:rFonts w:ascii="仿宋" w:eastAsia="仿宋"/>
          <w:color w:val="auto"/>
          <w:sz w:val="32"/>
          <w:szCs w:val="32"/>
          <w:highlight w:val="none"/>
        </w:rPr>
      </w:pPr>
      <w:r>
        <w:rPr>
          <w:rFonts w:hint="eastAsia" w:ascii="仿宋" w:eastAsia="仿宋"/>
          <w:color w:val="auto"/>
          <w:sz w:val="32"/>
          <w:szCs w:val="32"/>
          <w:highlight w:val="none"/>
        </w:rPr>
        <w:t>（图5：一般公共预算财政拨款支出决算变动情况）（柱状图）</w:t>
      </w:r>
    </w:p>
    <w:p>
      <w:pPr>
        <w:pStyle w:val="2"/>
      </w:pPr>
    </w:p>
    <w:p>
      <w:pPr>
        <w:spacing w:line="600" w:lineRule="exact"/>
        <w:ind w:firstLine="643" w:firstLineChars="200"/>
        <w:outlineLvl w:val="2"/>
        <w:rPr>
          <w:rFonts w:ascii="仿宋" w:hAnsi="仿宋" w:eastAsia="仿宋"/>
          <w:b/>
          <w:color w:val="auto"/>
          <w:sz w:val="32"/>
          <w:szCs w:val="32"/>
          <w:highlight w:val="none"/>
        </w:rPr>
      </w:pPr>
      <w:bookmarkStart w:id="50" w:name="_Toc12803"/>
      <w:bookmarkStart w:id="51" w:name="_Toc15377211"/>
      <w:r>
        <w:rPr>
          <w:rFonts w:hint="eastAsia" w:ascii="仿宋" w:hAnsi="仿宋" w:eastAsia="仿宋"/>
          <w:b/>
          <w:color w:val="auto"/>
          <w:sz w:val="32"/>
          <w:szCs w:val="32"/>
          <w:highlight w:val="none"/>
        </w:rPr>
        <w:t>（二）一般公共预算财政拨款支出决算结构情况</w:t>
      </w:r>
      <w:bookmarkEnd w:id="50"/>
      <w:bookmarkEnd w:id="51"/>
    </w:p>
    <w:p>
      <w:pP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年一般公共预算财政拨款支出471.59万元，主要用于以下方面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支出45.16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9.57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卫生健康支出379.1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80.39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住房保障支出47.35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rPr>
          <w:rFonts w:ascii="仿宋" w:hAnsi="仿宋" w:eastAsia="仿宋"/>
          <w:color w:val="auto"/>
          <w:sz w:val="32"/>
          <w:szCs w:val="32"/>
          <w:highlight w:val="none"/>
        </w:rPr>
      </w:pPr>
    </w:p>
    <w:p>
      <w:pPr>
        <w:spacing w:line="600" w:lineRule="exact"/>
        <w:ind w:firstLine="420" w:firstLineChars="200"/>
      </w:pPr>
      <w:r>
        <w:drawing>
          <wp:anchor distT="0" distB="0" distL="114300" distR="114300" simplePos="0" relativeHeight="251664384" behindDoc="1" locked="0" layoutInCell="1" allowOverlap="1">
            <wp:simplePos x="0" y="0"/>
            <wp:positionH relativeFrom="column">
              <wp:posOffset>575945</wp:posOffset>
            </wp:positionH>
            <wp:positionV relativeFrom="paragraph">
              <wp:posOffset>99695</wp:posOffset>
            </wp:positionV>
            <wp:extent cx="4041140" cy="2049780"/>
            <wp:effectExtent l="4445" t="4445" r="12065" b="22225"/>
            <wp:wrapTight wrapText="bothSides">
              <wp:wrapPolygon>
                <wp:start x="-24" y="-47"/>
                <wp:lineTo x="-24" y="21433"/>
                <wp:lineTo x="21563" y="21433"/>
                <wp:lineTo x="21563" y="-47"/>
                <wp:lineTo x="-24" y="-47"/>
              </wp:wrapPolygon>
            </wp:wrapTight>
            <wp:docPr id="285" name="图表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pPr>
      <w:r>
        <w:rPr>
          <w:rFonts w:hint="eastAsia" w:ascii="仿宋" w:eastAsia="仿宋"/>
          <w:color w:val="auto"/>
          <w:sz w:val="32"/>
          <w:szCs w:val="32"/>
          <w:highlight w:val="none"/>
        </w:rPr>
        <w:t>（图6：一般公共预算财政拨款支出决算结构）（饼状图）</w:t>
      </w:r>
    </w:p>
    <w:p>
      <w:pPr>
        <w:spacing w:line="600" w:lineRule="exact"/>
        <w:ind w:firstLine="643" w:firstLineChars="200"/>
        <w:outlineLvl w:val="2"/>
        <w:rPr>
          <w:rFonts w:ascii="仿宋" w:hAnsi="仿宋" w:eastAsia="仿宋"/>
          <w:b/>
          <w:color w:val="auto"/>
          <w:sz w:val="32"/>
          <w:szCs w:val="32"/>
          <w:highlight w:val="none"/>
        </w:rPr>
      </w:pPr>
      <w:bookmarkStart w:id="52" w:name="_Toc23738"/>
      <w:bookmarkStart w:id="53" w:name="_Toc15377212"/>
      <w:r>
        <w:rPr>
          <w:rFonts w:hint="eastAsia" w:ascii="仿宋" w:hAnsi="仿宋" w:eastAsia="仿宋"/>
          <w:b/>
          <w:color w:val="auto"/>
          <w:sz w:val="32"/>
          <w:szCs w:val="32"/>
          <w:highlight w:val="none"/>
        </w:rPr>
        <w:t>（三）一般公共预算财政拨款支出决算具体情况</w:t>
      </w:r>
      <w:bookmarkEnd w:id="52"/>
      <w:bookmarkEnd w:id="53"/>
    </w:p>
    <w:p>
      <w:pPr>
        <w:spacing w:line="600" w:lineRule="exact"/>
        <w:ind w:firstLine="643" w:firstLineChars="200"/>
        <w:outlineLvl w:val="1"/>
        <w:rPr>
          <w:rFonts w:ascii="仿宋" w:hAnsi="仿宋" w:eastAsia="仿宋"/>
          <w:color w:val="auto"/>
          <w:sz w:val="32"/>
          <w:szCs w:val="32"/>
          <w:highlight w:val="none"/>
        </w:rPr>
      </w:pPr>
      <w:bookmarkStart w:id="54" w:name="_Toc15378460"/>
      <w:bookmarkStart w:id="55" w:name="_Toc3012"/>
      <w:bookmarkStart w:id="56" w:name="_Toc15377444"/>
      <w:bookmarkStart w:id="57" w:name="_Toc15377213"/>
      <w:bookmarkStart w:id="58" w:name="_Toc5285"/>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般公共预算支出决算数为471.59</w:t>
      </w:r>
      <w:r>
        <w:rPr>
          <w:rFonts w:hint="eastAsia" w:ascii="仿宋" w:hAnsi="仿宋" w:eastAsia="仿宋"/>
          <w:b/>
          <w:color w:val="auto"/>
          <w:sz w:val="32"/>
          <w:szCs w:val="32"/>
          <w:highlight w:val="none"/>
          <w:lang w:eastAsia="zh-CN"/>
        </w:rPr>
        <w:t>万元</w:t>
      </w:r>
      <w:r>
        <w:rPr>
          <w:rFonts w:hint="eastAsia" w:ascii="仿宋" w:hAnsi="仿宋" w:eastAsia="仿宋"/>
          <w:color w:val="auto"/>
          <w:sz w:val="32"/>
          <w:szCs w:val="32"/>
          <w:highlight w:val="none"/>
        </w:rPr>
        <w:t>，</w:t>
      </w:r>
      <w:r>
        <w:rPr>
          <w:rStyle w:val="17"/>
          <w:rFonts w:hint="eastAsia" w:ascii="仿宋" w:hAnsi="仿宋" w:eastAsia="仿宋"/>
          <w:bCs/>
          <w:color w:val="auto"/>
          <w:sz w:val="32"/>
          <w:szCs w:val="32"/>
          <w:highlight w:val="none"/>
        </w:rPr>
        <w:t>完成预算</w:t>
      </w:r>
      <w:r>
        <w:rPr>
          <w:rStyle w:val="17"/>
          <w:rFonts w:hint="eastAsia" w:ascii="仿宋" w:hAnsi="仿宋" w:eastAsia="仿宋"/>
          <w:bCs/>
          <w:color w:val="auto"/>
          <w:sz w:val="32"/>
          <w:szCs w:val="32"/>
          <w:highlight w:val="none"/>
          <w:lang w:val="en-US" w:eastAsia="zh-CN"/>
        </w:rPr>
        <w:t>100</w:t>
      </w:r>
      <w:r>
        <w:rPr>
          <w:rStyle w:val="17"/>
          <w:rFonts w:ascii="仿宋" w:hAnsi="仿宋" w:eastAsia="仿宋"/>
          <w:bCs/>
          <w:color w:val="auto"/>
          <w:sz w:val="32"/>
          <w:szCs w:val="32"/>
          <w:highlight w:val="none"/>
        </w:rPr>
        <w:t>%</w:t>
      </w:r>
      <w:r>
        <w:rPr>
          <w:rStyle w:val="17"/>
          <w:rFonts w:hint="eastAsia" w:ascii="仿宋" w:hAnsi="仿宋" w:eastAsia="仿宋"/>
          <w:bCs/>
          <w:color w:val="auto"/>
          <w:sz w:val="32"/>
          <w:szCs w:val="32"/>
          <w:highlight w:val="none"/>
        </w:rPr>
        <w:t>。其中：</w:t>
      </w:r>
      <w:bookmarkEnd w:id="54"/>
      <w:bookmarkEnd w:id="55"/>
      <w:bookmarkEnd w:id="56"/>
      <w:bookmarkEnd w:id="57"/>
      <w:bookmarkEnd w:id="58"/>
    </w:p>
    <w:p>
      <w:pPr>
        <w:numPr>
          <w:ilvl w:val="0"/>
          <w:numId w:val="0"/>
        </w:numPr>
        <w:spacing w:line="600" w:lineRule="exact"/>
        <w:ind w:firstLine="643" w:firstLineChars="200"/>
        <w:rPr>
          <w:rStyle w:val="17"/>
          <w:rFonts w:hint="eastAsia" w:ascii="仿宋" w:hAnsi="仿宋" w:eastAsia="仿宋"/>
          <w:b w:val="0"/>
          <w:bCs/>
          <w:color w:val="auto"/>
          <w:sz w:val="32"/>
          <w:szCs w:val="32"/>
          <w:highlight w:val="none"/>
          <w:lang w:eastAsia="zh-CN"/>
        </w:rPr>
      </w:pPr>
      <w:r>
        <w:rPr>
          <w:rStyle w:val="17"/>
          <w:rFonts w:hint="eastAsia" w:ascii="仿宋" w:hAnsi="仿宋" w:eastAsia="仿宋"/>
          <w:bCs/>
          <w:color w:val="auto"/>
          <w:sz w:val="32"/>
          <w:szCs w:val="32"/>
          <w:highlight w:val="none"/>
          <w:lang w:val="en-US" w:eastAsia="zh-CN"/>
        </w:rPr>
        <w:t>1.</w:t>
      </w:r>
      <w:r>
        <w:rPr>
          <w:rStyle w:val="17"/>
          <w:rFonts w:hint="eastAsia" w:ascii="仿宋" w:hAnsi="仿宋" w:eastAsia="仿宋"/>
          <w:bCs/>
          <w:color w:val="auto"/>
          <w:sz w:val="32"/>
          <w:szCs w:val="32"/>
          <w:highlight w:val="none"/>
        </w:rPr>
        <w:t>社会保障和就业（类）行政事业单位养老支出（款）机关事业单位基本养老保险缴费支出（项）</w:t>
      </w:r>
      <w:r>
        <w:rPr>
          <w:rStyle w:val="17"/>
          <w:rFonts w:ascii="仿宋" w:hAnsi="仿宋" w:eastAsia="仿宋"/>
          <w:bCs/>
          <w:color w:val="auto"/>
          <w:sz w:val="32"/>
          <w:szCs w:val="32"/>
          <w:highlight w:val="none"/>
        </w:rPr>
        <w:t>:</w:t>
      </w:r>
      <w:r>
        <w:rPr>
          <w:rStyle w:val="17"/>
          <w:rFonts w:ascii="仿宋" w:hAnsi="仿宋" w:eastAsia="仿宋"/>
          <w:b w:val="0"/>
          <w:bCs/>
          <w:color w:val="auto"/>
          <w:sz w:val="32"/>
          <w:szCs w:val="32"/>
          <w:highlight w:val="none"/>
        </w:rPr>
        <w:t xml:space="preserve"> </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29.77</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lang w:eastAsia="zh-CN"/>
        </w:rPr>
        <w:t>。</w:t>
      </w:r>
    </w:p>
    <w:p>
      <w:pPr>
        <w:numPr>
          <w:ilvl w:val="0"/>
          <w:numId w:val="0"/>
        </w:numPr>
        <w:spacing w:line="600" w:lineRule="exact"/>
        <w:ind w:firstLine="643" w:firstLineChars="200"/>
        <w:rPr>
          <w:rStyle w:val="17"/>
          <w:rFonts w:hint="eastAsia" w:ascii="仿宋" w:hAnsi="仿宋" w:eastAsia="仿宋"/>
          <w:b w:val="0"/>
          <w:bCs/>
          <w:color w:val="auto"/>
          <w:sz w:val="32"/>
          <w:szCs w:val="32"/>
          <w:highlight w:val="none"/>
          <w:lang w:eastAsia="zh-CN"/>
        </w:rPr>
      </w:pPr>
      <w:r>
        <w:rPr>
          <w:rStyle w:val="17"/>
          <w:rFonts w:hint="eastAsia" w:ascii="仿宋" w:hAnsi="仿宋" w:eastAsia="仿宋"/>
          <w:bCs/>
          <w:color w:val="auto"/>
          <w:sz w:val="32"/>
          <w:szCs w:val="32"/>
          <w:highlight w:val="none"/>
          <w:lang w:val="en-US" w:eastAsia="zh-CN"/>
        </w:rPr>
        <w:t>2.</w:t>
      </w:r>
      <w:r>
        <w:rPr>
          <w:rStyle w:val="17"/>
          <w:rFonts w:hint="eastAsia" w:ascii="仿宋" w:hAnsi="仿宋" w:eastAsia="仿宋"/>
          <w:bCs/>
          <w:color w:val="auto"/>
          <w:sz w:val="32"/>
          <w:szCs w:val="32"/>
          <w:highlight w:val="none"/>
        </w:rPr>
        <w:t>社会保障和就业（类）行政事业单位养老支出（款）机关事业单位职业年金缴费支出（项）</w:t>
      </w:r>
      <w:r>
        <w:rPr>
          <w:rStyle w:val="17"/>
          <w:rFonts w:ascii="仿宋" w:hAnsi="仿宋" w:eastAsia="仿宋"/>
          <w:bCs/>
          <w:color w:val="auto"/>
          <w:sz w:val="32"/>
          <w:szCs w:val="32"/>
          <w:highlight w:val="none"/>
        </w:rPr>
        <w:t>:</w:t>
      </w:r>
      <w:r>
        <w:rPr>
          <w:rStyle w:val="17"/>
          <w:rFonts w:ascii="仿宋" w:hAnsi="仿宋" w:eastAsia="仿宋"/>
          <w:b w:val="0"/>
          <w:bCs/>
          <w:color w:val="auto"/>
          <w:sz w:val="32"/>
          <w:szCs w:val="32"/>
          <w:highlight w:val="none"/>
        </w:rPr>
        <w:t xml:space="preserve"> </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15.39</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lang w:eastAsia="zh-CN"/>
        </w:rPr>
        <w:t>。</w:t>
      </w:r>
    </w:p>
    <w:p>
      <w:pPr>
        <w:spacing w:line="600" w:lineRule="exact"/>
        <w:ind w:firstLine="643" w:firstLineChars="200"/>
        <w:rPr>
          <w:rFonts w:ascii="仿宋" w:hAnsi="仿宋" w:eastAsia="仿宋"/>
          <w:b/>
          <w:color w:val="auto"/>
          <w:sz w:val="32"/>
          <w:szCs w:val="32"/>
          <w:highlight w:val="none"/>
        </w:rPr>
      </w:pPr>
      <w:r>
        <w:rPr>
          <w:rStyle w:val="17"/>
          <w:rFonts w:ascii="仿宋" w:hAnsi="仿宋" w:eastAsia="仿宋"/>
          <w:bCs/>
          <w:color w:val="auto"/>
          <w:sz w:val="32"/>
          <w:szCs w:val="32"/>
          <w:highlight w:val="none"/>
        </w:rPr>
        <w:t>3.</w:t>
      </w:r>
      <w:r>
        <w:rPr>
          <w:rFonts w:hint="eastAsia" w:ascii="仿宋" w:hAnsi="仿宋" w:eastAsia="仿宋"/>
          <w:b/>
          <w:bCs/>
          <w:color w:val="auto"/>
          <w:sz w:val="32"/>
          <w:szCs w:val="32"/>
          <w:highlight w:val="none"/>
        </w:rPr>
        <w:t>卫生健康</w:t>
      </w:r>
      <w:r>
        <w:rPr>
          <w:rStyle w:val="17"/>
          <w:rFonts w:hint="eastAsia" w:ascii="仿宋" w:hAnsi="仿宋" w:eastAsia="仿宋"/>
          <w:bCs/>
          <w:color w:val="auto"/>
          <w:sz w:val="32"/>
          <w:szCs w:val="32"/>
          <w:highlight w:val="none"/>
        </w:rPr>
        <w:t>（类）基层医疗卫生机构（款）乡镇卫生院（项）</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316.79</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p>
    <w:p>
      <w:pPr>
        <w:spacing w:line="600" w:lineRule="exact"/>
        <w:ind w:firstLine="643" w:firstLineChars="200"/>
        <w:rPr>
          <w:rStyle w:val="17"/>
          <w:rFonts w:hint="eastAsia" w:ascii="仿宋" w:hAnsi="仿宋" w:eastAsia="仿宋"/>
          <w:b w:val="0"/>
          <w:bCs/>
          <w:color w:val="auto"/>
          <w:sz w:val="32"/>
          <w:szCs w:val="32"/>
          <w:highlight w:val="none"/>
        </w:rPr>
      </w:pPr>
      <w:r>
        <w:rPr>
          <w:rStyle w:val="17"/>
          <w:rFonts w:ascii="仿宋" w:hAnsi="仿宋" w:eastAsia="仿宋"/>
          <w:bCs/>
          <w:color w:val="auto"/>
          <w:sz w:val="32"/>
          <w:szCs w:val="32"/>
          <w:highlight w:val="none"/>
        </w:rPr>
        <w:t>4.</w:t>
      </w:r>
      <w:r>
        <w:rPr>
          <w:rFonts w:hint="eastAsia" w:ascii="仿宋" w:hAnsi="仿宋" w:eastAsia="仿宋"/>
          <w:b/>
          <w:bCs/>
          <w:color w:val="auto"/>
          <w:sz w:val="32"/>
          <w:szCs w:val="32"/>
          <w:highlight w:val="none"/>
        </w:rPr>
        <w:t>卫生健康</w:t>
      </w:r>
      <w:r>
        <w:rPr>
          <w:rStyle w:val="17"/>
          <w:rFonts w:hint="eastAsia" w:ascii="仿宋" w:hAnsi="仿宋" w:eastAsia="仿宋"/>
          <w:bCs/>
          <w:color w:val="auto"/>
          <w:sz w:val="32"/>
          <w:szCs w:val="32"/>
          <w:highlight w:val="none"/>
        </w:rPr>
        <w:t>（类）基层医疗卫生机构（款）其他基层医疗卫生机构支出（项）</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26.27</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p>
    <w:p>
      <w:pPr>
        <w:ind w:firstLine="643" w:firstLineChars="200"/>
        <w:rPr>
          <w:rFonts w:hint="default"/>
          <w:lang w:val="en-US" w:eastAsia="zh-CN"/>
        </w:rPr>
      </w:pPr>
      <w:r>
        <w:rPr>
          <w:rStyle w:val="17"/>
          <w:rFonts w:hint="eastAsia" w:ascii="仿宋" w:hAnsi="仿宋" w:eastAsia="仿宋"/>
          <w:bCs/>
          <w:color w:val="auto"/>
          <w:sz w:val="32"/>
          <w:szCs w:val="32"/>
          <w:highlight w:val="none"/>
          <w:lang w:val="en-US" w:eastAsia="zh-CN"/>
        </w:rPr>
        <w:t>5</w:t>
      </w:r>
      <w:r>
        <w:rPr>
          <w:rStyle w:val="17"/>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7"/>
          <w:rFonts w:hint="eastAsia" w:ascii="仿宋" w:hAnsi="仿宋" w:eastAsia="仿宋"/>
          <w:bCs/>
          <w:color w:val="auto"/>
          <w:sz w:val="32"/>
          <w:szCs w:val="32"/>
          <w:highlight w:val="none"/>
        </w:rPr>
        <w:t>（类）行政事业单位医疗（款）事业单位医疗（项）</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36.04</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17"/>
          <w:rFonts w:hint="eastAsia" w:ascii="仿宋" w:hAnsi="仿宋" w:eastAsia="仿宋"/>
          <w:bCs/>
          <w:color w:val="auto"/>
          <w:sz w:val="32"/>
          <w:szCs w:val="32"/>
          <w:highlight w:val="none"/>
          <w:lang w:val="en-US" w:eastAsia="zh-CN"/>
        </w:rPr>
        <w:t>6</w:t>
      </w:r>
      <w:r>
        <w:rPr>
          <w:rStyle w:val="17"/>
          <w:rFonts w:ascii="仿宋" w:hAnsi="仿宋" w:eastAsia="仿宋"/>
          <w:bCs/>
          <w:color w:val="auto"/>
          <w:sz w:val="32"/>
          <w:szCs w:val="32"/>
          <w:highlight w:val="none"/>
        </w:rPr>
        <w:t>.</w:t>
      </w:r>
      <w:r>
        <w:rPr>
          <w:rStyle w:val="17"/>
          <w:rFonts w:hint="eastAsia" w:ascii="仿宋" w:hAnsi="仿宋" w:eastAsia="仿宋"/>
          <w:bCs/>
          <w:color w:val="auto"/>
          <w:sz w:val="32"/>
          <w:szCs w:val="32"/>
          <w:highlight w:val="none"/>
        </w:rPr>
        <w:t>住房保障（类）住房改革支出（款）住房公积金（项）</w:t>
      </w:r>
      <w:r>
        <w:rPr>
          <w:rStyle w:val="17"/>
          <w:rFonts w:ascii="仿宋" w:hAnsi="仿宋" w:eastAsia="仿宋"/>
          <w:bCs/>
          <w:color w:val="auto"/>
          <w:sz w:val="32"/>
          <w:szCs w:val="32"/>
          <w:highlight w:val="none"/>
        </w:rPr>
        <w:t>:</w:t>
      </w:r>
      <w:r>
        <w:rPr>
          <w:rStyle w:val="17"/>
          <w:rFonts w:ascii="仿宋" w:hAnsi="仿宋" w:eastAsia="仿宋"/>
          <w:b w:val="0"/>
          <w:bCs/>
          <w:color w:val="auto"/>
          <w:sz w:val="32"/>
          <w:szCs w:val="32"/>
          <w:highlight w:val="none"/>
        </w:rPr>
        <w:t xml:space="preserve"> </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47.35</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p>
    <w:p>
      <w:pPr>
        <w:spacing w:line="600" w:lineRule="exact"/>
        <w:ind w:firstLine="640"/>
        <w:rPr>
          <w:rFonts w:ascii="仿宋" w:hAnsi="仿宋" w:eastAsia="仿宋"/>
          <w:b/>
          <w:color w:val="auto"/>
          <w:sz w:val="32"/>
          <w:szCs w:val="32"/>
          <w:highlight w:val="none"/>
        </w:rPr>
      </w:pPr>
    </w:p>
    <w:p>
      <w:pPr>
        <w:tabs>
          <w:tab w:val="right" w:pos="8306"/>
        </w:tabs>
        <w:spacing w:line="600" w:lineRule="exact"/>
        <w:ind w:firstLine="640"/>
        <w:outlineLvl w:val="1"/>
        <w:rPr>
          <w:rStyle w:val="28"/>
          <w:color w:val="auto"/>
          <w:highlight w:val="none"/>
        </w:rPr>
      </w:pPr>
      <w:bookmarkStart w:id="59" w:name="_Toc15396608"/>
      <w:bookmarkStart w:id="60" w:name="_Toc11908"/>
      <w:bookmarkStart w:id="61"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8"/>
          <w:rFonts w:hint="eastAsia" w:ascii="黑体" w:hAnsi="黑体" w:eastAsia="黑体"/>
          <w:b w:val="0"/>
          <w:color w:val="auto"/>
          <w:highlight w:val="none"/>
        </w:rPr>
        <w:t>般公共预算财政拨款基本支出决算情况说明</w:t>
      </w:r>
      <w:bookmarkEnd w:id="59"/>
      <w:bookmarkEnd w:id="60"/>
      <w:bookmarkEnd w:id="61"/>
      <w:r>
        <w:rPr>
          <w:rStyle w:val="28"/>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年一般公共预算财政拨款基本支出377.11万元，其中：</w:t>
      </w:r>
    </w:p>
    <w:p>
      <w:pPr>
        <w:spacing w:line="600" w:lineRule="exact"/>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人员经费376.59万元，主要包括：基本工资135.71</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、绩效工资112.35</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、机关事业单位基本养老保险缴费29.77</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、职业年金缴费15.39</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职工基本医疗保险缴费</w:t>
      </w:r>
      <w:r>
        <w:rPr>
          <w:rFonts w:hint="eastAsia" w:ascii="仿宋" w:hAnsi="仿宋" w:eastAsia="仿宋"/>
          <w:color w:val="auto"/>
          <w:sz w:val="32"/>
          <w:szCs w:val="32"/>
          <w:highlight w:val="none"/>
          <w:lang w:val="en-US" w:eastAsia="zh-CN"/>
        </w:rPr>
        <w:t>36.04</w:t>
      </w:r>
      <w:r>
        <w:rPr>
          <w:rFonts w:hint="eastAsia" w:ascii="仿宋" w:hAnsi="仿宋" w:eastAsia="仿宋"/>
          <w:color w:val="auto"/>
          <w:sz w:val="32"/>
          <w:szCs w:val="32"/>
          <w:highlight w:val="none"/>
        </w:rPr>
        <w:t>万元、住房公积金</w:t>
      </w:r>
      <w:r>
        <w:rPr>
          <w:rFonts w:hint="eastAsia" w:ascii="仿宋" w:hAnsi="仿宋" w:eastAsia="仿宋"/>
          <w:color w:val="auto"/>
          <w:sz w:val="32"/>
          <w:szCs w:val="32"/>
          <w:highlight w:val="none"/>
          <w:lang w:val="en-US" w:eastAsia="zh-CN"/>
        </w:rPr>
        <w:t>47.35</w:t>
      </w:r>
      <w:r>
        <w:rPr>
          <w:rFonts w:hint="eastAsia" w:ascii="仿宋" w:hAnsi="仿宋" w:eastAsia="仿宋"/>
          <w:color w:val="auto"/>
          <w:sz w:val="32"/>
          <w:szCs w:val="32"/>
          <w:highlight w:val="none"/>
        </w:rPr>
        <w:t>万元。</w:t>
      </w:r>
    </w:p>
    <w:p>
      <w:pPr>
        <w:spacing w:line="600" w:lineRule="exact"/>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rPr>
        <w:t>公用经费0.52万元，主要包括：邮电费</w:t>
      </w:r>
      <w:r>
        <w:rPr>
          <w:rFonts w:hint="eastAsia" w:ascii="仿宋" w:hAnsi="仿宋" w:eastAsia="仿宋"/>
          <w:color w:val="auto"/>
          <w:sz w:val="32"/>
          <w:szCs w:val="32"/>
          <w:highlight w:val="none"/>
          <w:lang w:val="en-US" w:eastAsia="zh-CN"/>
        </w:rPr>
        <w:t>0.52万元。</w:t>
      </w:r>
    </w:p>
    <w:p>
      <w:pPr>
        <w:spacing w:line="600" w:lineRule="exact"/>
        <w:rPr>
          <w:rFonts w:ascii="仿宋" w:hAnsi="仿宋" w:eastAsia="仿宋"/>
          <w:b/>
          <w:color w:val="auto"/>
          <w:sz w:val="32"/>
          <w:szCs w:val="32"/>
          <w:highlight w:val="none"/>
        </w:rPr>
      </w:pPr>
    </w:p>
    <w:p>
      <w:pPr>
        <w:spacing w:line="600" w:lineRule="exact"/>
        <w:ind w:firstLine="640"/>
        <w:outlineLvl w:val="1"/>
        <w:rPr>
          <w:rStyle w:val="28"/>
          <w:rFonts w:ascii="黑体" w:hAnsi="黑体" w:eastAsia="黑体"/>
          <w:b w:val="0"/>
          <w:color w:val="auto"/>
          <w:highlight w:val="none"/>
        </w:rPr>
      </w:pPr>
      <w:bookmarkStart w:id="62" w:name="_Toc15377215"/>
      <w:bookmarkStart w:id="63" w:name="_Toc15962"/>
      <w:bookmarkStart w:id="64" w:name="_Toc15396609"/>
      <w:bookmarkStart w:id="65" w:name="_Toc4818"/>
      <w:bookmarkStart w:id="66" w:name="_Toc15377218"/>
      <w:bookmarkStart w:id="67" w:name="_Toc15396610"/>
      <w:r>
        <w:rPr>
          <w:rFonts w:hint="eastAsia" w:ascii="黑体" w:eastAsia="黑体"/>
          <w:color w:val="auto"/>
          <w:sz w:val="32"/>
          <w:szCs w:val="32"/>
          <w:highlight w:val="none"/>
        </w:rPr>
        <w:t>七、</w:t>
      </w:r>
      <w:r>
        <w:rPr>
          <w:rStyle w:val="28"/>
          <w:rFonts w:hint="eastAsia" w:ascii="黑体" w:hAnsi="黑体" w:eastAsia="黑体"/>
          <w:color w:val="auto"/>
          <w:highlight w:val="none"/>
        </w:rPr>
        <w:t>“</w:t>
      </w:r>
      <w:r>
        <w:rPr>
          <w:rStyle w:val="28"/>
          <w:rFonts w:hint="eastAsia" w:ascii="黑体" w:hAnsi="黑体" w:eastAsia="黑体"/>
          <w:b w:val="0"/>
          <w:color w:val="auto"/>
          <w:highlight w:val="none"/>
        </w:rPr>
        <w:t>三公”经费财政拨款支出决算情况说明</w:t>
      </w:r>
      <w:bookmarkEnd w:id="62"/>
      <w:bookmarkEnd w:id="63"/>
      <w:bookmarkEnd w:id="64"/>
      <w:bookmarkEnd w:id="65"/>
    </w:p>
    <w:p>
      <w:pPr>
        <w:spacing w:line="600" w:lineRule="exact"/>
        <w:ind w:firstLine="640"/>
        <w:outlineLvl w:val="2"/>
        <w:rPr>
          <w:rFonts w:ascii="仿宋" w:hAnsi="仿宋" w:eastAsia="仿宋"/>
          <w:b/>
          <w:color w:val="auto"/>
          <w:sz w:val="32"/>
          <w:szCs w:val="32"/>
          <w:highlight w:val="none"/>
        </w:rPr>
      </w:pPr>
      <w:bookmarkStart w:id="68" w:name="_Toc20359"/>
      <w:bookmarkStart w:id="69" w:name="_Toc15377216"/>
      <w:r>
        <w:rPr>
          <w:rFonts w:hint="eastAsia" w:ascii="仿宋" w:hAnsi="仿宋" w:eastAsia="仿宋"/>
          <w:b/>
          <w:color w:val="auto"/>
          <w:sz w:val="32"/>
          <w:szCs w:val="32"/>
          <w:highlight w:val="none"/>
        </w:rPr>
        <w:t>（一）“三公”经费财政拨款支出决算总体情况说明</w:t>
      </w:r>
      <w:bookmarkEnd w:id="68"/>
      <w:bookmarkEnd w:id="69"/>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70" w:name="_Toc15377217"/>
      <w:bookmarkStart w:id="71" w:name="_Toc7971"/>
      <w:r>
        <w:rPr>
          <w:rFonts w:hint="eastAsia" w:ascii="仿宋" w:hAnsi="仿宋" w:eastAsia="仿宋"/>
          <w:b/>
          <w:color w:val="auto"/>
          <w:sz w:val="32"/>
          <w:szCs w:val="32"/>
          <w:highlight w:val="none"/>
        </w:rPr>
        <w:t>（二）“三公”经费财政拨款支出决算具体情况说明</w:t>
      </w:r>
      <w:bookmarkEnd w:id="70"/>
      <w:bookmarkEnd w:id="71"/>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万元，年初未安排预算；公务用车购置及运行维护费支出决算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万元，年初未安排预算；公务接待费支出决算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万元，年初未安排预算。具体情况如下：</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7"/>
          <w:rFonts w:hint="eastAsia" w:ascii="仿宋" w:hAnsi="仿宋" w:eastAsia="仿宋"/>
          <w:b w:val="0"/>
          <w:bCs/>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年初未安排预算</w:t>
      </w:r>
      <w:r>
        <w:rPr>
          <w:rStyle w:val="17"/>
          <w:rFonts w:hint="eastAsia" w:ascii="仿宋" w:hAnsi="仿宋" w:eastAsia="仿宋"/>
          <w:b w:val="0"/>
          <w:bCs/>
          <w:color w:val="auto"/>
          <w:sz w:val="32"/>
          <w:szCs w:val="32"/>
          <w:highlight w:val="none"/>
        </w:rPr>
        <w:t>。</w:t>
      </w:r>
    </w:p>
    <w:p>
      <w:pPr>
        <w:spacing w:line="600" w:lineRule="exact"/>
        <w:ind w:firstLine="640"/>
        <w:rPr>
          <w:rStyle w:val="17"/>
          <w:rFonts w:hint="eastAsia" w:ascii="仿宋" w:hAnsi="仿宋" w:eastAsia="仿宋"/>
          <w:b w:val="0"/>
          <w:bCs/>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7"/>
          <w:rFonts w:hint="eastAsia" w:ascii="仿宋" w:hAnsi="仿宋" w:eastAsia="仿宋"/>
          <w:b w:val="0"/>
          <w:bCs/>
          <w:color w:val="auto"/>
          <w:sz w:val="32"/>
          <w:szCs w:val="32"/>
          <w:highlight w:val="none"/>
        </w:rPr>
        <w:t>。</w:t>
      </w:r>
    </w:p>
    <w:p>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_GB2312" w:eastAsia="仿宋_GB2312"/>
          <w:color w:val="auto"/>
          <w:sz w:val="32"/>
          <w:szCs w:val="32"/>
          <w:highlight w:val="none"/>
        </w:rPr>
        <w:t>。</w:t>
      </w:r>
    </w:p>
    <w:p>
      <w:pPr>
        <w:spacing w:line="600" w:lineRule="exact"/>
        <w:ind w:firstLine="643" w:firstLineChars="200"/>
        <w:rPr>
          <w:rFonts w:ascii="黑体" w:eastAsia="黑体"/>
          <w:color w:val="auto"/>
          <w:sz w:val="32"/>
          <w:szCs w:val="32"/>
          <w:highlight w:val="none"/>
        </w:rPr>
      </w:pPr>
      <w:r>
        <w:rPr>
          <w:rFonts w:hint="eastAsia" w:ascii="仿宋" w:hAnsi="仿宋" w:eastAsia="仿宋"/>
          <w:b/>
          <w:color w:val="auto"/>
          <w:sz w:val="32"/>
          <w:szCs w:val="32"/>
          <w:highlight w:val="none"/>
        </w:rPr>
        <w:t>外事接待支出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p>
    <w:p>
      <w:pPr>
        <w:spacing w:line="600" w:lineRule="exact"/>
        <w:ind w:firstLine="640"/>
        <w:outlineLvl w:val="1"/>
        <w:rPr>
          <w:rStyle w:val="28"/>
          <w:rFonts w:ascii="黑体" w:hAnsi="黑体" w:eastAsia="黑体"/>
          <w:color w:val="auto"/>
          <w:highlight w:val="none"/>
        </w:rPr>
      </w:pPr>
      <w:bookmarkStart w:id="72" w:name="_Toc5977"/>
      <w:r>
        <w:rPr>
          <w:rFonts w:hint="eastAsia" w:ascii="黑体" w:eastAsia="黑体"/>
          <w:color w:val="auto"/>
          <w:sz w:val="32"/>
          <w:szCs w:val="32"/>
          <w:highlight w:val="none"/>
        </w:rPr>
        <w:t>八、</w:t>
      </w:r>
      <w:r>
        <w:rPr>
          <w:rStyle w:val="28"/>
          <w:rFonts w:hint="eastAsia" w:ascii="黑体" w:hAnsi="黑体" w:eastAsia="黑体"/>
          <w:b w:val="0"/>
          <w:color w:val="auto"/>
          <w:highlight w:val="none"/>
        </w:rPr>
        <w:t>政府性基金预算支出决算情况说明</w:t>
      </w:r>
      <w:bookmarkEnd w:id="66"/>
      <w:bookmarkEnd w:id="67"/>
      <w:bookmarkEnd w:id="72"/>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拨款支出7.38万元。</w:t>
      </w:r>
    </w:p>
    <w:p>
      <w:pPr>
        <w:numPr>
          <w:ilvl w:val="0"/>
          <w:numId w:val="3"/>
        </w:numPr>
        <w:spacing w:line="600" w:lineRule="exact"/>
        <w:ind w:firstLine="640"/>
        <w:outlineLvl w:val="1"/>
        <w:rPr>
          <w:rStyle w:val="28"/>
          <w:rFonts w:ascii="黑体" w:hAnsi="黑体" w:eastAsia="黑体"/>
          <w:b w:val="0"/>
          <w:color w:val="auto"/>
          <w:highlight w:val="none"/>
        </w:rPr>
      </w:pPr>
      <w:bookmarkStart w:id="73" w:name="_Toc15377219"/>
      <w:bookmarkStart w:id="74" w:name="_Toc26691"/>
      <w:bookmarkStart w:id="75" w:name="_Toc15396611"/>
      <w:r>
        <w:rPr>
          <w:rStyle w:val="28"/>
          <w:rFonts w:hint="eastAsia" w:ascii="黑体" w:hAnsi="黑体" w:eastAsia="黑体"/>
          <w:b w:val="0"/>
          <w:color w:val="auto"/>
          <w:highlight w:val="none"/>
        </w:rPr>
        <w:t>国有资本经营预算支出决算情况说明</w:t>
      </w:r>
      <w:bookmarkEnd w:id="73"/>
      <w:bookmarkEnd w:id="74"/>
      <w:bookmarkEnd w:id="75"/>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28"/>
          <w:rFonts w:hint="eastAsia" w:ascii="黑体" w:hAnsi="黑体" w:eastAsia="黑体"/>
          <w:b w:val="0"/>
          <w:color w:val="auto"/>
          <w:highlight w:val="none"/>
        </w:rPr>
      </w:pPr>
      <w:bookmarkStart w:id="76" w:name="_Toc15377221"/>
      <w:bookmarkStart w:id="77" w:name="_Toc15396612"/>
      <w:bookmarkStart w:id="78" w:name="_Toc15569"/>
      <w:r>
        <w:rPr>
          <w:rStyle w:val="28"/>
          <w:rFonts w:hint="eastAsia" w:ascii="黑体" w:hAnsi="黑体" w:eastAsia="黑体"/>
          <w:b w:val="0"/>
          <w:color w:val="auto"/>
          <w:highlight w:val="none"/>
        </w:rPr>
        <w:t>其他重要事项的情况说明</w:t>
      </w:r>
      <w:bookmarkEnd w:id="76"/>
      <w:bookmarkEnd w:id="77"/>
      <w:bookmarkEnd w:id="78"/>
    </w:p>
    <w:p>
      <w:pPr>
        <w:spacing w:line="600" w:lineRule="exact"/>
        <w:ind w:firstLine="643" w:firstLineChars="200"/>
        <w:outlineLvl w:val="2"/>
        <w:rPr>
          <w:rFonts w:ascii="仿宋" w:hAnsi="仿宋" w:eastAsia="仿宋"/>
          <w:color w:val="auto"/>
          <w:sz w:val="32"/>
          <w:szCs w:val="32"/>
          <w:highlight w:val="none"/>
        </w:rPr>
      </w:pPr>
      <w:bookmarkStart w:id="79" w:name="_Toc19830"/>
      <w:bookmarkStart w:id="80" w:name="_Toc15377222"/>
      <w:r>
        <w:rPr>
          <w:rFonts w:hint="eastAsia" w:ascii="仿宋" w:hAnsi="仿宋" w:eastAsia="仿宋"/>
          <w:b/>
          <w:color w:val="auto"/>
          <w:sz w:val="32"/>
          <w:szCs w:val="32"/>
          <w:highlight w:val="none"/>
        </w:rPr>
        <w:t>（一）机关运行经费支出情况</w:t>
      </w:r>
      <w:bookmarkEnd w:id="79"/>
      <w:bookmarkEnd w:id="80"/>
    </w:p>
    <w:p>
      <w:pPr>
        <w:spacing w:line="600" w:lineRule="exact"/>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2022年</w:t>
      </w:r>
      <w:r>
        <w:rPr>
          <w:rFonts w:hint="eastAsia" w:ascii="仿宋_GB2312" w:eastAsia="仿宋_GB2312"/>
          <w:color w:val="auto"/>
          <w:sz w:val="32"/>
          <w:szCs w:val="32"/>
          <w:highlight w:val="none"/>
        </w:rPr>
        <w:t>未发生机关运行经费支出</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81" w:name="_Toc1036"/>
      <w:bookmarkStart w:id="82" w:name="_Toc15377223"/>
      <w:r>
        <w:rPr>
          <w:rFonts w:hint="eastAsia" w:ascii="仿宋" w:hAnsi="仿宋" w:eastAsia="仿宋"/>
          <w:b/>
          <w:color w:val="auto"/>
          <w:sz w:val="32"/>
          <w:szCs w:val="32"/>
          <w:highlight w:val="none"/>
        </w:rPr>
        <w:t>（二）政府采购支出情况</w:t>
      </w:r>
      <w:bookmarkEnd w:id="81"/>
      <w:bookmarkEnd w:id="82"/>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年，四川省广元市昭化区王家镇中心卫生院政府采购支出总额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83" w:name="_Toc11369"/>
      <w:bookmarkStart w:id="84" w:name="_Toc15377224"/>
      <w:r>
        <w:rPr>
          <w:rFonts w:hint="eastAsia" w:ascii="仿宋" w:hAnsi="仿宋" w:eastAsia="仿宋"/>
          <w:b/>
          <w:color w:val="auto"/>
          <w:sz w:val="32"/>
          <w:szCs w:val="32"/>
          <w:highlight w:val="none"/>
        </w:rPr>
        <w:t>（三）国有资产占有使用情况</w:t>
      </w:r>
      <w:bookmarkEnd w:id="83"/>
      <w:bookmarkEnd w:id="84"/>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rPr>
      </w:pPr>
      <w:bookmarkStart w:id="85" w:name="_Toc32230"/>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日，四川省广元市昭化区王家镇中心卫生院共有</w:t>
      </w:r>
      <w:r>
        <w:rPr>
          <w:rFonts w:hint="eastAsia" w:ascii="仿宋_GB2312" w:eastAsia="仿宋_GB2312"/>
          <w:color w:val="auto"/>
          <w:sz w:val="32"/>
          <w:szCs w:val="32"/>
          <w:highlight w:val="none"/>
          <w:lang w:eastAsia="zh-CN"/>
        </w:rPr>
        <w:t>救护</w:t>
      </w:r>
      <w:r>
        <w:rPr>
          <w:rFonts w:hint="eastAsia" w:ascii="仿宋_GB2312" w:eastAsia="仿宋_GB2312"/>
          <w:color w:val="auto"/>
          <w:sz w:val="32"/>
          <w:szCs w:val="32"/>
          <w:highlight w:val="none"/>
        </w:rPr>
        <w:t>车辆</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hAnsi="仿宋_GB2312" w:eastAsia="仿宋_GB2312" w:cs="仿宋_GB2312"/>
          <w:sz w:val="32"/>
          <w:szCs w:val="32"/>
          <w:lang w:val="en-US" w:eastAsia="zh-CN"/>
        </w:rPr>
        <w:t>主要用于急诊、急救及危重病人的转运，</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bookmarkEnd w:id="85"/>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bookmarkStart w:id="86" w:name="_Toc23781"/>
      <w:r>
        <w:rPr>
          <w:rFonts w:hint="eastAsia" w:ascii="仿宋" w:hAnsi="仿宋" w:eastAsia="仿宋"/>
          <w:b/>
          <w:color w:val="auto"/>
          <w:sz w:val="32"/>
          <w:szCs w:val="32"/>
          <w:highlight w:val="none"/>
        </w:rPr>
        <w:t>（四）预算绩效管理情况</w:t>
      </w:r>
      <w:bookmarkEnd w:id="86"/>
    </w:p>
    <w:p>
      <w:pPr>
        <w:pStyle w:val="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val="en-US" w:eastAsia="zh-CN"/>
        </w:rPr>
        <w:t>3个</w:t>
      </w:r>
      <w:r>
        <w:rPr>
          <w:rFonts w:hint="eastAsia" w:ascii="仿宋_GB2312" w:hAnsi="仿宋_GB2312" w:eastAsia="仿宋_GB2312" w:cs="仿宋_GB2312"/>
          <w:color w:val="auto"/>
          <w:sz w:val="32"/>
          <w:szCs w:val="32"/>
          <w:highlight w:val="none"/>
        </w:rPr>
        <w:t>项目</w:t>
      </w:r>
      <w:r>
        <w:rPr>
          <w:rFonts w:hint="eastAsia" w:hAnsi="仿宋_GB2312" w:cs="仿宋_GB2312"/>
          <w:color w:val="auto"/>
          <w:sz w:val="32"/>
          <w:szCs w:val="32"/>
          <w:highlight w:val="none"/>
          <w:lang w:eastAsia="zh-CN"/>
        </w:rPr>
        <w:t>基本公共卫生、基本药物制度、二类疫苗服务费</w:t>
      </w:r>
      <w:r>
        <w:rPr>
          <w:rFonts w:hint="eastAsia" w:ascii="仿宋_GB2312" w:hAnsi="仿宋_GB2312" w:eastAsia="仿宋_GB2312" w:cs="仿宋_GB2312"/>
          <w:color w:val="auto"/>
          <w:sz w:val="32"/>
          <w:szCs w:val="32"/>
          <w:highlight w:val="none"/>
        </w:rPr>
        <w:t>开展了预算事前绩效评估，</w:t>
      </w:r>
      <w:r>
        <w:rPr>
          <w:rFonts w:hint="eastAsia" w:hAnsi="仿宋_GB2312" w:cs="仿宋_GB2312"/>
          <w:color w:val="auto"/>
          <w:sz w:val="32"/>
          <w:szCs w:val="32"/>
          <w:highlight w:val="none"/>
          <w:lang w:eastAsia="zh-CN"/>
        </w:rPr>
        <w:t>并对这</w:t>
      </w:r>
      <w:r>
        <w:rPr>
          <w:rFonts w:hint="eastAsia" w:hAnsi="仿宋_GB2312" w:cs="仿宋_GB2312"/>
          <w:color w:val="auto"/>
          <w:sz w:val="32"/>
          <w:szCs w:val="32"/>
          <w:highlight w:val="none"/>
          <w:lang w:val="en-US" w:eastAsia="zh-CN"/>
        </w:rPr>
        <w:t>3</w:t>
      </w:r>
      <w:r>
        <w:rPr>
          <w:rFonts w:hint="eastAsia" w:hAnsi="仿宋_GB2312" w:cs="仿宋_GB2312"/>
          <w:color w:val="auto"/>
          <w:sz w:val="32"/>
          <w:szCs w:val="32"/>
          <w:highlight w:val="none"/>
          <w:lang w:eastAsia="zh-CN"/>
        </w:rPr>
        <w:t>个项目</w:t>
      </w:r>
      <w:r>
        <w:rPr>
          <w:rFonts w:hint="eastAsia" w:ascii="仿宋_GB2312" w:hAnsi="仿宋_GB2312" w:eastAsia="仿宋_GB2312" w:cs="仿宋_GB2312"/>
          <w:color w:val="auto"/>
          <w:sz w:val="32"/>
          <w:szCs w:val="32"/>
          <w:highlight w:val="none"/>
        </w:rPr>
        <w:t>编制了绩效目标</w:t>
      </w:r>
      <w:r>
        <w:rPr>
          <w:rFonts w:hint="eastAsia" w:hAnsi="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开展绩效监控，组织对</w:t>
      </w:r>
      <w:r>
        <w:rPr>
          <w:rFonts w:hint="eastAsia" w:hAnsi="仿宋_GB2312" w:cs="仿宋_GB2312"/>
          <w:color w:val="auto"/>
          <w:sz w:val="32"/>
          <w:szCs w:val="32"/>
          <w:highlight w:val="none"/>
          <w:lang w:eastAsia="zh-CN"/>
        </w:rPr>
        <w:t>该项目</w:t>
      </w:r>
      <w:r>
        <w:rPr>
          <w:rFonts w:hint="eastAsia" w:ascii="仿宋_GB2312" w:hAnsi="仿宋_GB2312" w:eastAsia="仿宋_GB2312" w:cs="仿宋_GB2312"/>
          <w:color w:val="auto"/>
          <w:sz w:val="32"/>
          <w:szCs w:val="32"/>
          <w:highlight w:val="none"/>
        </w:rPr>
        <w:t>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spacing w:line="580" w:lineRule="exact"/>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基本公共卫生项目绩效目标完成情况综述。项目全年预算数</w:t>
      </w:r>
      <w:r>
        <w:rPr>
          <w:rFonts w:hint="eastAsia" w:ascii="仿宋_GB2312" w:hAnsi="黑体" w:eastAsia="仿宋_GB2312" w:cs="仿宋_GB2312"/>
          <w:sz w:val="32"/>
          <w:szCs w:val="32"/>
          <w:lang w:val="en-US" w:eastAsia="zh-CN"/>
        </w:rPr>
        <w:t>68.22</w:t>
      </w:r>
      <w:r>
        <w:rPr>
          <w:rFonts w:hint="eastAsia" w:ascii="仿宋_GB2312" w:hAnsi="黑体" w:eastAsia="仿宋_GB2312" w:cs="仿宋_GB2312"/>
          <w:sz w:val="32"/>
          <w:szCs w:val="32"/>
        </w:rPr>
        <w:t>万元，执行数为</w:t>
      </w:r>
      <w:r>
        <w:rPr>
          <w:rFonts w:hint="eastAsia" w:ascii="仿宋_GB2312" w:hAnsi="黑体" w:eastAsia="仿宋_GB2312" w:cs="仿宋_GB2312"/>
          <w:sz w:val="32"/>
          <w:szCs w:val="32"/>
          <w:lang w:val="en-US" w:eastAsia="zh-CN"/>
        </w:rPr>
        <w:t>68.22</w:t>
      </w:r>
      <w:r>
        <w:rPr>
          <w:rFonts w:hint="eastAsia" w:ascii="仿宋_GB2312" w:hAnsi="黑体" w:eastAsia="仿宋_GB2312" w:cs="仿宋_GB2312"/>
          <w:sz w:val="32"/>
          <w:szCs w:val="32"/>
        </w:rPr>
        <w:t>万元，完成预算的100%。</w:t>
      </w:r>
    </w:p>
    <w:p>
      <w:pPr>
        <w:spacing w:line="580" w:lineRule="exact"/>
        <w:rPr>
          <w:rFonts w:hint="eastAsia" w:ascii="仿宋_GB2312" w:hAnsi="黑体" w:eastAsia="仿宋_GB2312"/>
          <w:color w:val="000000"/>
          <w:sz w:val="32"/>
          <w:szCs w:val="32"/>
        </w:rPr>
      </w:pPr>
      <w:r>
        <w:rPr>
          <w:rFonts w:hint="eastAsia" w:ascii="仿宋_GB2312" w:hAnsi="黑体" w:eastAsia="仿宋_GB2312" w:cs="仿宋_GB2312"/>
          <w:sz w:val="32"/>
          <w:szCs w:val="32"/>
        </w:rPr>
        <w:t>我院扎实推进基本公共卫生服务项目工作，严格按照《国家基本公共卫生服务规范》（第三版）的要求，将基本公共卫生服务与基本医疗有机地结合，坚持优质服务，提高效益，保证居民人人享有基本公共卫生服务，使城乡居民生活</w:t>
      </w:r>
      <w:r>
        <w:rPr>
          <w:rFonts w:hint="eastAsia" w:ascii="仿宋_GB2312" w:hAnsi="黑体" w:eastAsia="仿宋_GB2312"/>
          <w:sz w:val="32"/>
          <w:szCs w:val="32"/>
        </w:rPr>
        <w:t>质量和健康水平显著提高。</w:t>
      </w:r>
      <w:r>
        <w:rPr>
          <w:rFonts w:hint="eastAsia" w:ascii="仿宋_GB2312" w:hAnsi="黑体" w:eastAsia="仿宋_GB2312"/>
          <w:color w:val="000000"/>
          <w:sz w:val="32"/>
          <w:szCs w:val="32"/>
        </w:rPr>
        <w:t>单位整体支出绩效自评开展情况。</w:t>
      </w:r>
      <w:r>
        <w:rPr>
          <w:rFonts w:hint="eastAsia" w:ascii="仿宋_GB2312" w:hAnsi="黑体" w:eastAsia="仿宋_GB2312" w:cs="仿宋_GB2312"/>
          <w:sz w:val="32"/>
          <w:szCs w:val="32"/>
        </w:rPr>
        <w:t>本单位按要求对202</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年单位整体支出开展绩效自评，</w:t>
      </w:r>
      <w:r>
        <w:rPr>
          <w:rFonts w:hint="eastAsia" w:ascii="仿宋_GB2312" w:hAnsi="黑体" w:eastAsia="仿宋_GB2312"/>
          <w:color w:val="000000"/>
          <w:sz w:val="32"/>
          <w:szCs w:val="32"/>
        </w:rPr>
        <w:t>从评价情况来看未发现虚列支出，所有财政资金支出均履行了严格审批手续，未发现挤占、挪用、转移财政资金行为。基本支出严格执行国家有关政策及规定，无擅自扩大开支范围和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单位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pStyle w:val="2"/>
        <w:ind w:firstLine="640" w:firstLineChars="200"/>
        <w:rPr>
          <w:rFonts w:hint="default" w:ascii="仿宋_GB2312" w:hAnsi="黑体" w:eastAsia="仿宋_GB2312" w:cs="Times New Roman"/>
          <w:color w:val="000000"/>
          <w:kern w:val="2"/>
          <w:sz w:val="32"/>
          <w:szCs w:val="32"/>
          <w:lang w:val="en-US" w:eastAsia="zh-CN" w:bidi="ar-SA"/>
        </w:rPr>
      </w:pPr>
      <w:r>
        <w:rPr>
          <w:rFonts w:hint="eastAsia" w:ascii="仿宋_GB2312" w:hAnsi="黑体" w:eastAsia="仿宋_GB2312" w:cs="Times New Roman"/>
          <w:color w:val="000000"/>
          <w:kern w:val="2"/>
          <w:sz w:val="32"/>
          <w:szCs w:val="32"/>
          <w:lang w:val="en-US" w:eastAsia="zh-CN" w:bidi="ar-SA"/>
        </w:rPr>
        <w:t>基本药物制度项目完成情况综述。村卫生室国家基本药物制度覆盖率100%，政府办基层医疗卫生机构基本药物制度覆盖率100%，2022年</w:t>
      </w:r>
      <w:r>
        <w:rPr>
          <w:rFonts w:hint="eastAsia" w:hAnsi="黑体" w:cs="Times New Roman"/>
          <w:color w:val="000000"/>
          <w:kern w:val="2"/>
          <w:sz w:val="32"/>
          <w:szCs w:val="32"/>
          <w:lang w:val="en-US" w:eastAsia="zh-CN" w:bidi="ar-SA"/>
        </w:rPr>
        <w:t>11</w:t>
      </w:r>
      <w:r>
        <w:rPr>
          <w:rFonts w:hint="eastAsia" w:ascii="仿宋_GB2312" w:hAnsi="黑体" w:eastAsia="仿宋_GB2312" w:cs="Times New Roman"/>
          <w:color w:val="000000"/>
          <w:kern w:val="2"/>
          <w:sz w:val="32"/>
          <w:szCs w:val="32"/>
          <w:lang w:val="en-US" w:eastAsia="zh-CN" w:bidi="ar-SA"/>
        </w:rPr>
        <w:t>个村卫生室全面实施国家基本药物制度，确保基本药物制度的实施，保障药品安全、有效、经济，解决了老百姓看病贵的问题，稳定了乡村医生收入</w:t>
      </w:r>
      <w:r>
        <w:rPr>
          <w:rFonts w:hint="eastAsia" w:hAnsi="黑体" w:cs="Times New Roman"/>
          <w:color w:val="000000"/>
          <w:kern w:val="2"/>
          <w:sz w:val="32"/>
          <w:szCs w:val="32"/>
          <w:lang w:val="en-US" w:eastAsia="zh-CN" w:bidi="ar-SA"/>
        </w:rPr>
        <w:t>，</w:t>
      </w:r>
      <w:r>
        <w:rPr>
          <w:rFonts w:hint="eastAsia" w:ascii="仿宋_GB2312" w:hAnsi="仿宋_GB2312" w:eastAsia="仿宋_GB2312" w:cs="仿宋_GB2312"/>
          <w:sz w:val="32"/>
          <w:szCs w:val="32"/>
          <w:lang w:eastAsia="zh-CN"/>
        </w:rPr>
        <w:t>针对专项资金的使用，我局严格按照中央、省、市专项资金管理办法加强对资金的使用和管理，并出台了昭化区卫</w:t>
      </w:r>
      <w:r>
        <w:rPr>
          <w:rFonts w:hint="eastAsia" w:ascii="仿宋_GB2312" w:hAnsi="仿宋_GB2312" w:eastAsia="仿宋_GB2312" w:cs="仿宋_GB2312"/>
          <w:sz w:val="32"/>
          <w:szCs w:val="32"/>
          <w:lang w:val="en-US" w:eastAsia="zh-CN"/>
        </w:rPr>
        <w:t>健</w:t>
      </w:r>
      <w:r>
        <w:rPr>
          <w:rFonts w:hint="eastAsia" w:ascii="仿宋_GB2312" w:hAnsi="仿宋_GB2312" w:eastAsia="仿宋_GB2312" w:cs="仿宋_GB2312"/>
          <w:sz w:val="32"/>
          <w:szCs w:val="32"/>
          <w:lang w:eastAsia="zh-CN"/>
        </w:rPr>
        <w:t>局专项资金使用管理办法。资金下拨到各项目单位后，计划财务股严格执行项目跟踪，对项目使用情况进行监督管理，</w:t>
      </w:r>
      <w:r>
        <w:rPr>
          <w:rFonts w:hint="eastAsia" w:ascii="仿宋_GB2312" w:hAnsi="仿宋_GB2312" w:cs="仿宋_GB2312"/>
          <w:sz w:val="32"/>
          <w:szCs w:val="32"/>
          <w:lang w:val="en-US" w:eastAsia="zh-CN"/>
        </w:rPr>
        <w:t>同时要求各卫生院对村卫生室基本药物补助必须考核发放到位，没有出现挪用现象。</w:t>
      </w:r>
    </w:p>
    <w:p>
      <w:pPr>
        <w:pStyle w:val="2"/>
        <w:numPr>
          <w:ilvl w:val="0"/>
          <w:numId w:val="0"/>
        </w:numPr>
        <w:ind w:firstLine="640" w:firstLineChars="200"/>
        <w:rPr>
          <w:rFonts w:hint="eastAsia" w:ascii="仿宋_GB2312" w:eastAsia="仿宋_GB2312"/>
          <w:color w:val="000000"/>
          <w:sz w:val="32"/>
          <w:szCs w:val="32"/>
        </w:rPr>
      </w:pPr>
      <w:r>
        <w:rPr>
          <w:rFonts w:hint="eastAsia"/>
          <w:color w:val="000000"/>
          <w:sz w:val="32"/>
          <w:szCs w:val="32"/>
          <w:lang w:val="en-US" w:eastAsia="zh-CN"/>
        </w:rPr>
        <w:t>二类疫苗服务费绩效评价</w:t>
      </w:r>
      <w:r>
        <w:rPr>
          <w:rFonts w:hint="eastAsia" w:ascii="仿宋_GB2312" w:eastAsia="仿宋_GB2312"/>
          <w:color w:val="000000"/>
          <w:sz w:val="32"/>
          <w:szCs w:val="32"/>
          <w:lang w:val="en-US" w:eastAsia="zh-CN"/>
        </w:rPr>
        <w:t xml:space="preserve"> </w:t>
      </w:r>
      <w:r>
        <w:rPr>
          <w:rFonts w:hint="eastAsia"/>
          <w:color w:val="000000"/>
          <w:sz w:val="32"/>
          <w:szCs w:val="32"/>
          <w:lang w:val="en-US" w:eastAsia="zh-CN"/>
        </w:rPr>
        <w:t>，</w:t>
      </w:r>
      <w:r>
        <w:rPr>
          <w:rFonts w:hint="eastAsia" w:ascii="仿宋_GB2312" w:eastAsia="仿宋_GB2312"/>
          <w:color w:val="000000"/>
          <w:sz w:val="32"/>
          <w:szCs w:val="32"/>
        </w:rPr>
        <w:t>《四川省发展和改革委员会四川省财政厅关于疫苗预防接种服务收费标准及有关问题的通知》（川发改价格〔2018〕331号）制定了我省非免疫规划疫苗预防接种服务费收费标准，试行期2年。从试行情况看，该收费政策对加强我省非免疫规划疫苗接种管理，规范收费行为起到了积极作用。结合试行期收支情况和国家相关文件精神</w:t>
      </w:r>
      <w:r>
        <w:rPr>
          <w:rFonts w:hint="eastAsia" w:ascii="仿宋_GB2312" w:eastAsia="仿宋_GB2312"/>
          <w:color w:val="000000"/>
          <w:sz w:val="32"/>
          <w:szCs w:val="32"/>
          <w:lang w:eastAsia="zh-CN"/>
        </w:rPr>
        <w:t>，</w:t>
      </w:r>
      <w:r>
        <w:rPr>
          <w:rFonts w:hint="eastAsia" w:ascii="仿宋_GB2312" w:eastAsia="仿宋_GB2312"/>
          <w:color w:val="000000"/>
          <w:sz w:val="32"/>
          <w:szCs w:val="32"/>
        </w:rPr>
        <w:t>非免疫规划疫苗预防接种服务费收费属行政事业性收费，</w:t>
      </w:r>
      <w:r>
        <w:rPr>
          <w:rFonts w:hint="eastAsia" w:ascii="仿宋_GB2312" w:eastAsia="仿宋_GB2312"/>
          <w:color w:val="000000"/>
          <w:sz w:val="32"/>
          <w:szCs w:val="32"/>
          <w:lang w:eastAsia="zh-CN"/>
        </w:rPr>
        <w:t>我单位</w:t>
      </w:r>
      <w:r>
        <w:rPr>
          <w:rFonts w:hint="eastAsia" w:ascii="仿宋_GB2312" w:eastAsia="仿宋_GB2312"/>
          <w:color w:val="000000"/>
          <w:sz w:val="32"/>
          <w:szCs w:val="32"/>
        </w:rPr>
        <w:t>按规定做好收费公示工作，在门户网站、收费场所醒目位置公示收费项目、收费性质、收费标准、收费依据和价格监督电话等信息，接受社会监督。</w:t>
      </w:r>
      <w:r>
        <w:rPr>
          <w:rFonts w:hint="eastAsia"/>
          <w:color w:val="000000"/>
          <w:sz w:val="32"/>
          <w:szCs w:val="32"/>
          <w:lang w:eastAsia="zh-CN"/>
        </w:rPr>
        <w:t>我单位</w:t>
      </w:r>
      <w:r>
        <w:rPr>
          <w:rFonts w:hint="eastAsia" w:ascii="仿宋_GB2312" w:eastAsia="仿宋_GB2312"/>
          <w:color w:val="000000"/>
          <w:sz w:val="32"/>
          <w:szCs w:val="32"/>
        </w:rPr>
        <w:t>使用省级财政监（印）制的财政票据，收费收入全额上缴地方国库，纳入财政预算管理。</w:t>
      </w:r>
    </w:p>
    <w:p>
      <w:pPr>
        <w:pStyle w:val="2"/>
        <w:numPr>
          <w:ilvl w:val="0"/>
          <w:numId w:val="0"/>
        </w:numPr>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val="en-US" w:eastAsia="zh-CN"/>
        </w:rPr>
        <w:t>我单位</w:t>
      </w:r>
      <w:r>
        <w:rPr>
          <w:rFonts w:hint="eastAsia" w:ascii="仿宋_GB2312" w:eastAsia="仿宋_GB2312"/>
          <w:color w:val="000000"/>
          <w:sz w:val="32"/>
          <w:szCs w:val="32"/>
        </w:rPr>
        <w:t>建立健全非免疫规划疫苗管理制度，明确行业系统内部管理职责和程序，完善期间成本资料，减少非必要成本支出，整合现有资源降低接种服务成本。同时，要加强对疫苗接种管理，确保非免疫规划疫苗接种工作的顺利开展，有效维护公共卫生安全。</w:t>
      </w: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按要求对</w:t>
      </w:r>
      <w:r>
        <w:rPr>
          <w:rFonts w:hint="eastAsia" w:ascii="仿宋_GB2312" w:hAnsi="仿宋_GB2312" w:eastAsia="仿宋_GB2312" w:cs="仿宋_GB2312"/>
          <w:sz w:val="32"/>
          <w:szCs w:val="32"/>
          <w:lang w:eastAsia="zh-CN"/>
        </w:rPr>
        <w:t>202</w:t>
      </w:r>
      <w:r>
        <w:rPr>
          <w:rFonts w:hint="eastAsia" w:hAnsi="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整体支出开展绩效自评，</w:t>
      </w:r>
      <w:r>
        <w:rPr>
          <w:rFonts w:hint="eastAsia" w:ascii="仿宋_GB2312" w:eastAsia="仿宋_GB2312"/>
          <w:color w:val="000000"/>
          <w:sz w:val="32"/>
          <w:szCs w:val="32"/>
        </w:rPr>
        <w:t>从评价情况来看未发现虚列支出，所有财政资金支出均履行了严格审批手续，未发现挤占、挪用、转移财政资金行为。基本支出严格执行国家有关政策及规定，无擅自扩大开支范围</w:t>
      </w:r>
      <w:r>
        <w:rPr>
          <w:rFonts w:hint="eastAsia" w:ascii="仿宋_GB2312" w:eastAsia="仿宋_GB2312"/>
          <w:color w:val="000000"/>
          <w:sz w:val="32"/>
          <w:szCs w:val="32"/>
          <w:lang w:eastAsia="zh-CN"/>
        </w:rPr>
        <w:t>和</w:t>
      </w:r>
      <w:r>
        <w:rPr>
          <w:rFonts w:hint="eastAsia" w:ascii="仿宋_GB2312" w:eastAsia="仿宋_GB2312"/>
          <w:color w:val="000000"/>
          <w:sz w:val="32"/>
          <w:szCs w:val="32"/>
        </w:rPr>
        <w:t>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w:t>
      </w:r>
      <w:r>
        <w:rPr>
          <w:rFonts w:hint="eastAsia" w:ascii="仿宋_GB2312" w:eastAsia="仿宋_GB2312"/>
          <w:color w:val="000000"/>
          <w:sz w:val="32"/>
          <w:szCs w:val="32"/>
          <w:lang w:eastAsia="zh-CN"/>
        </w:rPr>
        <w:t>有</w:t>
      </w:r>
      <w:r>
        <w:rPr>
          <w:rFonts w:hint="eastAsia" w:ascii="仿宋_GB2312" w:eastAsia="仿宋_GB2312"/>
          <w:color w:val="000000"/>
          <w:sz w:val="32"/>
          <w:szCs w:val="32"/>
        </w:rPr>
        <w:t>资金对外借、贷款问题。本</w:t>
      </w:r>
      <w:r>
        <w:rPr>
          <w:rFonts w:hint="eastAsia" w:ascii="仿宋_GB2312" w:eastAsia="仿宋_GB2312"/>
          <w:color w:val="000000"/>
          <w:sz w:val="32"/>
          <w:szCs w:val="32"/>
          <w:lang w:eastAsia="zh-CN"/>
        </w:rPr>
        <w:t>单位</w:t>
      </w:r>
      <w:r>
        <w:rPr>
          <w:rFonts w:hint="eastAsia" w:ascii="仿宋_GB2312" w:eastAsia="仿宋_GB2312"/>
          <w:color w:val="000000"/>
          <w:sz w:val="32"/>
          <w:szCs w:val="32"/>
        </w:rPr>
        <w:t>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bookmarkStart w:id="87" w:name="_Toc15396613"/>
      <w:bookmarkStart w:id="88" w:name="_Toc15377225"/>
    </w:p>
    <w:p>
      <w:pPr>
        <w:pStyle w:val="2"/>
        <w:numPr>
          <w:ilvl w:val="0"/>
          <w:numId w:val="0"/>
        </w:numPr>
        <w:spacing w:before="315" w:beforeLines="100" w:beforeAutospacing="0" w:after="159" w:afterLines="50" w:afterAutospacing="0"/>
        <w:ind w:firstLine="440" w:firstLineChars="100"/>
        <w:jc w:val="center"/>
        <w:outlineLvl w:val="0"/>
        <w:rPr>
          <w:rFonts w:ascii="宋体"/>
          <w:b/>
          <w:color w:val="auto"/>
          <w:sz w:val="44"/>
          <w:szCs w:val="44"/>
          <w:highlight w:val="none"/>
        </w:rPr>
      </w:pPr>
      <w:bookmarkStart w:id="89" w:name="_Toc27636"/>
      <w:r>
        <w:rPr>
          <w:rFonts w:hint="eastAsia" w:ascii="黑体" w:hAnsi="黑体" w:eastAsia="黑体"/>
          <w:color w:val="auto"/>
          <w:sz w:val="44"/>
          <w:szCs w:val="44"/>
          <w:highlight w:val="none"/>
          <w:lang w:eastAsia="zh-CN"/>
        </w:rPr>
        <w:t>三</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27"/>
          <w:rFonts w:hint="eastAsia" w:ascii="黑体" w:hAnsi="黑体" w:eastAsia="黑体"/>
          <w:b w:val="0"/>
          <w:color w:val="auto"/>
          <w:highlight w:val="none"/>
        </w:rPr>
        <w:t>词解释</w:t>
      </w:r>
      <w:bookmarkEnd w:id="87"/>
      <w:bookmarkEnd w:id="88"/>
      <w:bookmarkEnd w:id="89"/>
    </w:p>
    <w:p>
      <w:pPr>
        <w:pStyle w:val="25"/>
        <w:pageBreakBefore w:val="0"/>
        <w:kinsoku/>
        <w:wordWrap/>
        <w:overflowPunct/>
        <w:topLinePunct w:val="0"/>
        <w:bidi w:val="0"/>
        <w:spacing w:beforeAutospacing="0" w:line="580" w:lineRule="exact"/>
        <w:ind w:firstLine="640" w:firstLineChars="200"/>
        <w:rPr>
          <w:rFonts w:ascii="仿宋_GB2312" w:eastAsia="仿宋_GB2312"/>
          <w:sz w:val="32"/>
          <w:szCs w:val="32"/>
        </w:rPr>
      </w:pPr>
      <w:bookmarkStart w:id="90" w:name="_Toc15377226"/>
      <w:r>
        <w:rPr>
          <w:rFonts w:ascii="仿宋_GB2312" w:eastAsia="仿宋_GB2312"/>
          <w:sz w:val="32"/>
          <w:szCs w:val="32"/>
        </w:rPr>
        <w:t>1.</w:t>
      </w:r>
      <w:r>
        <w:rPr>
          <w:rFonts w:hint="eastAsia" w:ascii="仿宋_GB2312" w:eastAsia="仿宋_GB2312"/>
          <w:sz w:val="32"/>
          <w:szCs w:val="32"/>
        </w:rPr>
        <w:t>财政拨款收入：指单位从同级财政</w:t>
      </w:r>
      <w:r>
        <w:rPr>
          <w:rFonts w:hint="eastAsia" w:ascii="仿宋_GB2312" w:eastAsia="仿宋_GB2312"/>
          <w:sz w:val="32"/>
          <w:szCs w:val="32"/>
          <w:lang w:eastAsia="zh-CN"/>
        </w:rPr>
        <w:t>单位</w:t>
      </w:r>
      <w:r>
        <w:rPr>
          <w:rFonts w:hint="eastAsia" w:ascii="仿宋_GB2312" w:eastAsia="仿宋_GB2312"/>
          <w:sz w:val="32"/>
          <w:szCs w:val="32"/>
        </w:rPr>
        <w:t>取得的</w:t>
      </w:r>
      <w:r>
        <w:rPr>
          <w:rFonts w:hint="eastAsia" w:ascii="仿宋_GB2312" w:eastAsia="仿宋_GB2312"/>
          <w:sz w:val="32"/>
          <w:szCs w:val="32"/>
          <w:lang w:eastAsia="zh-CN"/>
        </w:rPr>
        <w:t>各类拨款</w:t>
      </w:r>
      <w:r>
        <w:rPr>
          <w:rFonts w:hint="eastAsia" w:ascii="仿宋_GB2312" w:eastAsia="仿宋_GB2312"/>
          <w:sz w:val="32"/>
          <w:szCs w:val="32"/>
        </w:rPr>
        <w:t>。</w:t>
      </w:r>
    </w:p>
    <w:p>
      <w:pPr>
        <w:pStyle w:val="25"/>
        <w:pageBreakBefore w:val="0"/>
        <w:kinsoku/>
        <w:wordWrap/>
        <w:overflowPunct/>
        <w:topLinePunct w:val="0"/>
        <w:bidi w:val="0"/>
        <w:spacing w:line="58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事业收入：指事业单位开展专业业务活动及辅助活动取得的收入。如</w:t>
      </w:r>
      <w:r>
        <w:rPr>
          <w:rFonts w:hint="eastAsia" w:ascii="仿宋_GB2312" w:eastAsia="仿宋_GB2312"/>
          <w:sz w:val="32"/>
          <w:szCs w:val="32"/>
          <w:lang w:eastAsia="zh-CN"/>
        </w:rPr>
        <w:t>区人民医院、区</w:t>
      </w:r>
      <w:r>
        <w:rPr>
          <w:rFonts w:hint="eastAsia" w:ascii="仿宋_GB2312" w:eastAsia="仿宋_GB2312"/>
          <w:sz w:val="32"/>
          <w:szCs w:val="32"/>
        </w:rPr>
        <w:t>妇幼保健计</w:t>
      </w:r>
      <w:r>
        <w:rPr>
          <w:rFonts w:hint="eastAsia" w:ascii="仿宋_GB2312" w:eastAsia="仿宋_GB2312"/>
          <w:sz w:val="32"/>
          <w:szCs w:val="32"/>
          <w:lang w:eastAsia="zh-CN"/>
        </w:rPr>
        <w:t>划</w:t>
      </w:r>
      <w:r>
        <w:rPr>
          <w:rFonts w:hint="eastAsia" w:ascii="仿宋_GB2312" w:eastAsia="仿宋_GB2312"/>
          <w:sz w:val="32"/>
          <w:szCs w:val="32"/>
        </w:rPr>
        <w:t>生育服务中心</w:t>
      </w:r>
      <w:r>
        <w:rPr>
          <w:rFonts w:hint="eastAsia" w:ascii="仿宋_GB2312" w:eastAsia="仿宋_GB2312"/>
          <w:sz w:val="32"/>
          <w:szCs w:val="32"/>
          <w:lang w:eastAsia="zh-CN"/>
        </w:rPr>
        <w:t>、区中医医院、乡镇卫生院医疗收入</w:t>
      </w:r>
      <w:r>
        <w:rPr>
          <w:rFonts w:hint="eastAsia" w:ascii="仿宋_GB2312" w:eastAsia="仿宋_GB2312"/>
          <w:sz w:val="32"/>
          <w:szCs w:val="32"/>
        </w:rPr>
        <w:t>等。</w:t>
      </w:r>
    </w:p>
    <w:p>
      <w:pPr>
        <w:pStyle w:val="25"/>
        <w:pageBreakBefore w:val="0"/>
        <w:kinsoku/>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rPr>
        <w:t>其他收入：指单位取得的除上述收入以外的各项收入。主要是</w:t>
      </w:r>
      <w:r>
        <w:rPr>
          <w:rFonts w:hint="eastAsia" w:ascii="仿宋_GB2312" w:eastAsia="仿宋_GB2312"/>
          <w:sz w:val="32"/>
          <w:szCs w:val="32"/>
          <w:lang w:eastAsia="zh-CN"/>
        </w:rPr>
        <w:t>利息收入</w:t>
      </w:r>
      <w:r>
        <w:rPr>
          <w:rFonts w:hint="eastAsia" w:ascii="仿宋_GB2312" w:eastAsia="仿宋_GB2312"/>
          <w:sz w:val="32"/>
          <w:szCs w:val="32"/>
        </w:rPr>
        <w:t>等。</w:t>
      </w:r>
    </w:p>
    <w:p>
      <w:pPr>
        <w:pStyle w:val="25"/>
        <w:pageBreakBefore w:val="0"/>
        <w:kinsoku/>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4</w:t>
      </w:r>
      <w:r>
        <w:rPr>
          <w:rFonts w:ascii="仿宋_GB2312" w:eastAsia="仿宋_GB2312"/>
          <w:sz w:val="32"/>
          <w:szCs w:val="32"/>
        </w:rPr>
        <w:t>.</w:t>
      </w:r>
      <w:r>
        <w:rPr>
          <w:rFonts w:hint="eastAsia" w:ascii="仿宋_GB2312" w:eastAsia="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5"/>
        <w:pageBreakBefore w:val="0"/>
        <w:kinsoku/>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年初结转和结余：指以前年度尚未完成、结转到本年按有关规定继续使用的资金。</w:t>
      </w:r>
    </w:p>
    <w:p>
      <w:pPr>
        <w:pStyle w:val="25"/>
        <w:pageBreakBefore w:val="0"/>
        <w:kinsoku/>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6</w:t>
      </w:r>
      <w:r>
        <w:rPr>
          <w:rFonts w:ascii="仿宋_GB2312" w:eastAsia="仿宋_GB2312"/>
          <w:sz w:val="32"/>
          <w:szCs w:val="32"/>
        </w:rPr>
        <w:t>.</w:t>
      </w:r>
      <w:r>
        <w:rPr>
          <w:rFonts w:hint="eastAsia" w:ascii="仿宋_GB2312" w:eastAsia="仿宋_GB2312"/>
          <w:sz w:val="32"/>
          <w:szCs w:val="32"/>
          <w:lang w:eastAsia="zh-CN"/>
        </w:rPr>
        <w:t>本年盈余</w:t>
      </w:r>
      <w:r>
        <w:rPr>
          <w:rFonts w:hint="eastAsia" w:ascii="仿宋_GB2312" w:eastAsia="仿宋_GB2312"/>
          <w:sz w:val="32"/>
          <w:szCs w:val="32"/>
        </w:rPr>
        <w:t>分配：指事业单位按照</w:t>
      </w:r>
      <w:r>
        <w:rPr>
          <w:rFonts w:hint="eastAsia" w:ascii="仿宋_GB2312" w:eastAsia="仿宋_GB2312"/>
          <w:sz w:val="32"/>
          <w:szCs w:val="32"/>
          <w:lang w:eastAsia="zh-CN"/>
        </w:rPr>
        <w:t>政府</w:t>
      </w:r>
      <w:r>
        <w:rPr>
          <w:rFonts w:hint="eastAsia" w:ascii="仿宋_GB2312" w:eastAsia="仿宋_GB2312"/>
          <w:sz w:val="32"/>
          <w:szCs w:val="32"/>
        </w:rPr>
        <w:t>会计制度的规定从非财政</w:t>
      </w:r>
      <w:r>
        <w:rPr>
          <w:rFonts w:hint="eastAsia" w:ascii="仿宋_GB2312" w:eastAsia="仿宋_GB2312"/>
          <w:sz w:val="32"/>
          <w:szCs w:val="32"/>
          <w:lang w:eastAsia="zh-CN"/>
        </w:rPr>
        <w:t>拨款</w:t>
      </w:r>
      <w:r>
        <w:rPr>
          <w:rFonts w:hint="eastAsia" w:ascii="仿宋_GB2312" w:eastAsia="仿宋_GB2312"/>
          <w:sz w:val="32"/>
          <w:szCs w:val="32"/>
        </w:rPr>
        <w:t>结余</w:t>
      </w:r>
      <w:r>
        <w:rPr>
          <w:rFonts w:hint="eastAsia" w:ascii="仿宋_GB2312" w:eastAsia="仿宋_GB2312"/>
          <w:sz w:val="32"/>
          <w:szCs w:val="32"/>
          <w:lang w:eastAsia="zh-CN"/>
        </w:rPr>
        <w:t>或事业结余</w:t>
      </w:r>
      <w:r>
        <w:rPr>
          <w:rFonts w:hint="eastAsia" w:ascii="仿宋_GB2312" w:eastAsia="仿宋_GB2312"/>
          <w:sz w:val="32"/>
          <w:szCs w:val="32"/>
        </w:rPr>
        <w:t>中</w:t>
      </w:r>
      <w:r>
        <w:rPr>
          <w:rFonts w:hint="eastAsia" w:ascii="仿宋_GB2312" w:eastAsia="仿宋_GB2312"/>
          <w:sz w:val="32"/>
          <w:szCs w:val="32"/>
          <w:lang w:eastAsia="zh-CN"/>
        </w:rPr>
        <w:t>提取</w:t>
      </w:r>
      <w:r>
        <w:rPr>
          <w:rFonts w:hint="eastAsia" w:ascii="仿宋_GB2312" w:eastAsia="仿宋_GB2312"/>
          <w:sz w:val="32"/>
          <w:szCs w:val="32"/>
        </w:rPr>
        <w:t>的</w:t>
      </w:r>
      <w:r>
        <w:rPr>
          <w:rFonts w:hint="eastAsia" w:ascii="仿宋_GB2312" w:eastAsia="仿宋_GB2312"/>
          <w:sz w:val="32"/>
          <w:szCs w:val="32"/>
          <w:lang w:eastAsia="zh-CN"/>
        </w:rPr>
        <w:t>奖励</w:t>
      </w:r>
      <w:r>
        <w:rPr>
          <w:rFonts w:hint="eastAsia" w:ascii="仿宋_GB2312" w:eastAsia="仿宋_GB2312"/>
          <w:sz w:val="32"/>
          <w:szCs w:val="32"/>
        </w:rPr>
        <w:t>基金和职工福利基金等。</w:t>
      </w:r>
    </w:p>
    <w:p>
      <w:pPr>
        <w:pStyle w:val="25"/>
        <w:pageBreakBefore w:val="0"/>
        <w:kinsoku/>
        <w:wordWrap/>
        <w:overflowPunct/>
        <w:topLinePunct w:val="0"/>
        <w:bidi w:val="0"/>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7.</w:t>
      </w:r>
      <w:r>
        <w:rPr>
          <w:rFonts w:hint="eastAsia" w:ascii="仿宋_GB2312" w:eastAsia="仿宋_GB2312"/>
          <w:sz w:val="32"/>
          <w:szCs w:val="32"/>
        </w:rPr>
        <w:t>年末结转和结余：指单位按有关规定结转到下年或以后年度继续使用的资金。</w:t>
      </w:r>
    </w:p>
    <w:p>
      <w:pPr>
        <w:pageBreakBefore w:val="0"/>
        <w:kinsoku/>
        <w:wordWrap/>
        <w:overflowPunct/>
        <w:topLinePunct w:val="0"/>
        <w:bidi w:val="0"/>
        <w:spacing w:line="580" w:lineRule="exact"/>
        <w:ind w:firstLine="640" w:firstLineChars="200"/>
        <w:rPr>
          <w:rStyle w:val="17"/>
          <w:rFonts w:hint="eastAsia" w:ascii="仿宋_GB2312" w:eastAsia="仿宋_GB2312"/>
          <w:b w:val="0"/>
          <w:color w:val="000000"/>
          <w:sz w:val="32"/>
          <w:szCs w:val="32"/>
        </w:rPr>
      </w:pPr>
      <w:r>
        <w:rPr>
          <w:rFonts w:hint="eastAsia" w:ascii="仿宋_GB2312" w:eastAsia="仿宋_GB2312"/>
          <w:color w:val="000000"/>
          <w:sz w:val="32"/>
          <w:szCs w:val="32"/>
        </w:rPr>
        <w:t>8.</w:t>
      </w:r>
      <w:r>
        <w:rPr>
          <w:rFonts w:hint="eastAsia" w:ascii="仿宋" w:eastAsia="仿宋"/>
          <w:color w:val="000000"/>
          <w:sz w:val="32"/>
          <w:szCs w:val="32"/>
        </w:rPr>
        <w:t>卫生健康支出</w:t>
      </w:r>
      <w:r>
        <w:rPr>
          <w:rFonts w:hint="eastAsia" w:ascii="仿宋_GB2312" w:eastAsia="仿宋_GB2312"/>
          <w:color w:val="000000"/>
          <w:sz w:val="32"/>
          <w:szCs w:val="32"/>
        </w:rPr>
        <w:t>（类）基层医疗卫生机构（款）</w:t>
      </w:r>
      <w:r>
        <w:rPr>
          <w:rStyle w:val="17"/>
          <w:rFonts w:hint="eastAsia" w:ascii="仿宋_GB2312" w:eastAsia="仿宋_GB2312"/>
          <w:b w:val="0"/>
          <w:color w:val="000000"/>
          <w:sz w:val="32"/>
          <w:szCs w:val="32"/>
        </w:rPr>
        <w:t>乡镇卫生院（项）</w:t>
      </w:r>
      <w:r>
        <w:rPr>
          <w:rFonts w:hint="eastAsia" w:ascii="仿宋_GB2312" w:eastAsia="仿宋_GB2312"/>
          <w:color w:val="000000"/>
          <w:sz w:val="32"/>
          <w:szCs w:val="32"/>
        </w:rPr>
        <w:t>：反映乡镇卫生院的支出；</w:t>
      </w:r>
      <w:r>
        <w:rPr>
          <w:rStyle w:val="17"/>
          <w:rFonts w:hint="eastAsia" w:ascii="仿宋_GB2312" w:eastAsia="仿宋_GB2312"/>
          <w:b w:val="0"/>
          <w:color w:val="000000"/>
          <w:sz w:val="32"/>
          <w:szCs w:val="32"/>
        </w:rPr>
        <w:t>卫生健康支出（类）公共卫生（款）基本公共卫生服务（项）</w:t>
      </w:r>
      <w:r>
        <w:rPr>
          <w:rFonts w:hint="eastAsia" w:ascii="仿宋_GB2312" w:eastAsia="仿宋_GB2312"/>
          <w:color w:val="000000"/>
          <w:sz w:val="32"/>
          <w:szCs w:val="32"/>
        </w:rPr>
        <w:t>：反映乡镇卫生院、社区卫生机构开展基本公共卫生服务的支出；</w:t>
      </w:r>
      <w:r>
        <w:rPr>
          <w:rStyle w:val="17"/>
          <w:rFonts w:hint="eastAsia" w:ascii="仿宋_GB2312" w:eastAsia="仿宋_GB2312"/>
          <w:b w:val="0"/>
          <w:color w:val="000000"/>
          <w:sz w:val="32"/>
          <w:szCs w:val="32"/>
        </w:rPr>
        <w:t>卫生健康支出</w:t>
      </w:r>
      <w:r>
        <w:rPr>
          <w:rFonts w:hint="eastAsia" w:ascii="仿宋_GB2312" w:eastAsia="仿宋_GB2312"/>
          <w:color w:val="000000"/>
          <w:sz w:val="32"/>
          <w:szCs w:val="32"/>
        </w:rPr>
        <w:t>（类）基层医疗卫生机构（款）其他基层医疗卫生机构支出（项）</w:t>
      </w:r>
      <w:r>
        <w:rPr>
          <w:rStyle w:val="17"/>
          <w:rFonts w:hint="eastAsia" w:ascii="仿宋_GB2312" w:eastAsia="仿宋_GB2312"/>
          <w:b w:val="0"/>
          <w:color w:val="000000"/>
          <w:sz w:val="32"/>
          <w:szCs w:val="32"/>
        </w:rPr>
        <w:t>：反映除乡镇卫生院、城市社区卫生机构以外的其他用于基层医疗卫生机构的支出；卫生健康支出（类）行政事业单位医疗</w:t>
      </w:r>
      <w:r>
        <w:rPr>
          <w:rFonts w:hint="eastAsia" w:ascii="仿宋_GB2312" w:eastAsia="仿宋_GB2312"/>
          <w:color w:val="000000"/>
          <w:sz w:val="32"/>
          <w:szCs w:val="32"/>
        </w:rPr>
        <w:t>（款）事业单位医疗（项）</w:t>
      </w:r>
      <w:r>
        <w:rPr>
          <w:rStyle w:val="17"/>
          <w:rFonts w:hint="eastAsia" w:ascii="仿宋_GB2312" w:eastAsia="仿宋_GB2312"/>
          <w:b w:val="0"/>
          <w:color w:val="000000"/>
          <w:sz w:val="32"/>
          <w:szCs w:val="32"/>
        </w:rPr>
        <w:t>:</w:t>
      </w:r>
      <w:r>
        <w:rPr>
          <w:rStyle w:val="17"/>
          <w:rFonts w:hint="eastAsia" w:ascii="仿宋_GB2312" w:eastAsia="仿宋_GB2312"/>
          <w:b w:val="0"/>
          <w:sz w:val="32"/>
          <w:szCs w:val="32"/>
        </w:rPr>
        <w:t>反映</w:t>
      </w:r>
      <w:r>
        <w:rPr>
          <w:rStyle w:val="17"/>
          <w:rFonts w:hint="eastAsia" w:ascii="仿宋_GB2312" w:eastAsia="仿宋_GB2312"/>
          <w:b w:val="0"/>
          <w:color w:val="000000"/>
          <w:sz w:val="32"/>
          <w:szCs w:val="32"/>
        </w:rPr>
        <w:t>卫生健康支出中的在职人员医疗保险。</w:t>
      </w:r>
    </w:p>
    <w:p>
      <w:pPr>
        <w:pageBreakBefore w:val="0"/>
        <w:kinsoku/>
        <w:wordWrap/>
        <w:overflowPunct/>
        <w:topLinePunct w:val="0"/>
        <w:bidi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9.社会保障和就业支出：反映政府在社会保障和就业方面的支出。</w:t>
      </w:r>
    </w:p>
    <w:p>
      <w:pPr>
        <w:pageBreakBefore w:val="0"/>
        <w:kinsoku/>
        <w:wordWrap/>
        <w:overflowPunct/>
        <w:topLinePunct w:val="0"/>
        <w:bidi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社会保障和就业支出-行政事业单位离退休-机关事业单位基本养老保险缴费支出：反映机关事业单位实施养老保险制度由单位缴纳的基本养老保险支出；</w:t>
      </w:r>
    </w:p>
    <w:p>
      <w:pPr>
        <w:pageBreakBefore w:val="0"/>
        <w:kinsoku/>
        <w:wordWrap/>
        <w:overflowPunct/>
        <w:topLinePunct w:val="0"/>
        <w:bidi w:val="0"/>
        <w:spacing w:line="580" w:lineRule="exact"/>
        <w:ind w:firstLine="640" w:firstLineChars="200"/>
        <w:rPr>
          <w:rStyle w:val="17"/>
          <w:rFonts w:hint="eastAsia" w:ascii="仿宋" w:hAnsi="仿宋" w:eastAsia="仿宋" w:cs="仿宋"/>
          <w:b w:val="0"/>
          <w:bCs w:val="0"/>
          <w:color w:val="000000"/>
          <w:sz w:val="32"/>
          <w:szCs w:val="32"/>
          <w:lang w:eastAsia="zh-CN"/>
        </w:rPr>
      </w:pPr>
      <w:r>
        <w:rPr>
          <w:rFonts w:hint="eastAsia" w:ascii="仿宋" w:hAnsi="仿宋" w:eastAsia="仿宋" w:cs="仿宋"/>
          <w:sz w:val="32"/>
          <w:szCs w:val="32"/>
          <w:lang w:val="en-US" w:eastAsia="zh-CN"/>
        </w:rPr>
        <w:t>10.住房保障支出：住房保障支出-住房改革支出-住房公积金：反映行政事业单位按人力资源和社会保障部、财政部规定的基本工资和津贴补贴以及规定比例为职工缴纳的住房公积金。</w:t>
      </w:r>
    </w:p>
    <w:p>
      <w:pPr>
        <w:pageBreakBefore w:val="0"/>
        <w:kinsoku/>
        <w:wordWrap/>
        <w:overflowPunct/>
        <w:topLinePunct w:val="0"/>
        <w:bidi w:val="0"/>
        <w:spacing w:line="58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11</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pageBreakBefore w:val="0"/>
        <w:kinsoku/>
        <w:wordWrap/>
        <w:overflowPunct/>
        <w:topLinePunct w:val="0"/>
        <w:bidi w:val="0"/>
        <w:spacing w:line="58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12</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p>
    <w:p>
      <w:pPr>
        <w:pStyle w:val="25"/>
        <w:pageBreakBefore w:val="0"/>
        <w:kinsoku/>
        <w:wordWrap/>
        <w:overflowPunct/>
        <w:topLinePunct w:val="0"/>
        <w:bidi w:val="0"/>
        <w:spacing w:afterAutospacing="0" w:line="58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13</w:t>
      </w:r>
      <w:r>
        <w:rPr>
          <w:rFonts w:ascii="仿宋_GB2312" w:eastAsia="仿宋_GB2312"/>
          <w:sz w:val="32"/>
          <w:szCs w:val="32"/>
        </w:rPr>
        <w:t>.</w:t>
      </w:r>
      <w:r>
        <w:rPr>
          <w:rFonts w:hint="eastAsia" w:ascii="仿宋_GB2312" w:eastAsia="仿宋_GB2312"/>
          <w:sz w:val="32"/>
          <w:szCs w:val="32"/>
        </w:rPr>
        <w:t>“三公”经费：指</w:t>
      </w:r>
      <w:r>
        <w:rPr>
          <w:rFonts w:hint="eastAsia" w:ascii="仿宋_GB2312" w:eastAsia="仿宋_GB2312"/>
          <w:sz w:val="32"/>
          <w:szCs w:val="32"/>
          <w:lang w:eastAsia="zh-CN"/>
        </w:rPr>
        <w:t>单位</w:t>
      </w:r>
      <w:r>
        <w:rPr>
          <w:rFonts w:hint="eastAsia" w:ascii="仿宋_GB2312" w:eastAsia="仿宋_GB2312"/>
          <w:sz w:val="32"/>
          <w:szCs w:val="32"/>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5"/>
        <w:pageBreakBefore w:val="0"/>
        <w:kinsoku/>
        <w:wordWrap/>
        <w:overflowPunct/>
        <w:topLinePunct w:val="0"/>
        <w:bidi w:val="0"/>
        <w:spacing w:line="58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14</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27"/>
          <w:rFonts w:ascii="黑体" w:hAnsi="黑体" w:eastAsia="黑体"/>
          <w:b w:val="0"/>
          <w:color w:val="auto"/>
          <w:highlight w:val="none"/>
        </w:rPr>
      </w:pPr>
      <w:r>
        <w:br w:type="page"/>
      </w:r>
      <w:bookmarkStart w:id="91" w:name="_Toc1877"/>
      <w:bookmarkStart w:id="92" w:name="_Toc15396614"/>
      <w:r>
        <w:rPr>
          <w:rFonts w:hint="eastAsia" w:ascii="黑体" w:hAnsi="黑体" w:eastAsia="黑体"/>
          <w:color w:val="auto"/>
          <w:sz w:val="44"/>
          <w:szCs w:val="44"/>
          <w:highlight w:val="none"/>
        </w:rPr>
        <w:t>第</w:t>
      </w:r>
      <w:r>
        <w:rPr>
          <w:rStyle w:val="27"/>
          <w:rFonts w:hint="eastAsia" w:ascii="黑体" w:hAnsi="黑体" w:eastAsia="黑体"/>
          <w:b w:val="0"/>
          <w:color w:val="auto"/>
          <w:highlight w:val="none"/>
        </w:rPr>
        <w:t>四部分 附件</w:t>
      </w:r>
      <w:bookmarkEnd w:id="91"/>
      <w:bookmarkEnd w:id="92"/>
    </w:p>
    <w:tbl>
      <w:tblPr>
        <w:tblStyle w:val="14"/>
        <w:tblpPr w:leftFromText="180" w:rightFromText="180" w:vertAnchor="text" w:horzAnchor="page" w:tblpX="1885" w:tblpY="555"/>
        <w:tblOverlap w:val="never"/>
        <w:tblW w:w="82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25"/>
        <w:gridCol w:w="200"/>
        <w:gridCol w:w="242"/>
        <w:gridCol w:w="354"/>
        <w:gridCol w:w="408"/>
        <w:gridCol w:w="8"/>
        <w:gridCol w:w="631"/>
        <w:gridCol w:w="1325"/>
        <w:gridCol w:w="372"/>
        <w:gridCol w:w="1006"/>
        <w:gridCol w:w="543"/>
        <w:gridCol w:w="498"/>
        <w:gridCol w:w="496"/>
        <w:gridCol w:w="188"/>
        <w:gridCol w:w="434"/>
        <w:gridCol w:w="285"/>
        <w:gridCol w:w="720"/>
        <w:gridCol w:w="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600" w:hRule="atLeast"/>
        </w:trPr>
        <w:tc>
          <w:tcPr>
            <w:tcW w:w="8235" w:type="dxa"/>
            <w:gridSpan w:val="17"/>
            <w:tcBorders>
              <w:top w:val="nil"/>
              <w:left w:val="nil"/>
              <w:bottom w:val="nil"/>
              <w:right w:val="nil"/>
            </w:tcBorders>
            <w:noWrap w:val="0"/>
            <w:vAlign w:val="center"/>
          </w:tcPr>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36"/>
                <w:szCs w:val="36"/>
                <w:u w:val="none"/>
              </w:rPr>
            </w:pPr>
            <w:bookmarkStart w:id="93" w:name="_Hlk115001465"/>
            <w:bookmarkStart w:id="94" w:name="_Toc15396618"/>
            <w:r>
              <w:rPr>
                <w:rFonts w:hint="default" w:ascii="方正小标宋简体" w:hAnsi="方正小标宋简体" w:eastAsia="方正小标宋简体" w:cs="方正小标宋简体"/>
                <w:b/>
                <w:bCs/>
                <w:i w:val="0"/>
                <w:iCs w:val="0"/>
                <w:color w:val="000000"/>
                <w:kern w:val="0"/>
                <w:sz w:val="36"/>
                <w:szCs w:val="36"/>
                <w:u w:val="none"/>
                <w:lang w:val="en-US" w:eastAsia="zh-CN"/>
              </w:rPr>
              <w:t>2022年基本公共卫生服务项目补助资金转移支付项目绩效目标自评表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0" w:hRule="atLeast"/>
        </w:trPr>
        <w:tc>
          <w:tcPr>
            <w:tcW w:w="8235" w:type="dxa"/>
            <w:gridSpan w:val="17"/>
            <w:tcBorders>
              <w:top w:val="nil"/>
              <w:left w:val="nil"/>
              <w:bottom w:val="single" w:color="000000" w:sz="4" w:space="0"/>
              <w:right w:val="nil"/>
            </w:tcBorders>
            <w:noWrap w:val="0"/>
            <w:vAlign w:val="top"/>
          </w:tcPr>
          <w:p>
            <w:pPr>
              <w:keepNext w:val="0"/>
              <w:keepLines w:val="0"/>
              <w:widowControl/>
              <w:suppressLineNumbers w:val="0"/>
              <w:jc w:val="center"/>
              <w:textAlignment w:val="top"/>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7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转移支付（项目）名称</w:t>
            </w:r>
          </w:p>
        </w:tc>
        <w:tc>
          <w:tcPr>
            <w:tcW w:w="7510"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2022年基本公共卫生服务项目补助资金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00" w:hRule="atLeast"/>
        </w:trPr>
        <w:tc>
          <w:tcPr>
            <w:tcW w:w="7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中央主管部门</w:t>
            </w:r>
          </w:p>
        </w:tc>
        <w:tc>
          <w:tcPr>
            <w:tcW w:w="7510"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国家卫生健康委员会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60" w:hRule="atLeast"/>
        </w:trPr>
        <w:tc>
          <w:tcPr>
            <w:tcW w:w="7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地方主管部门</w:t>
            </w:r>
          </w:p>
        </w:tc>
        <w:tc>
          <w:tcPr>
            <w:tcW w:w="334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广元市昭化区卫生健康局</w:t>
            </w:r>
          </w:p>
        </w:tc>
        <w:tc>
          <w:tcPr>
            <w:tcW w:w="204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资金使用单位</w:t>
            </w:r>
          </w:p>
        </w:tc>
        <w:tc>
          <w:tcPr>
            <w:tcW w:w="212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广元市昭化区王家镇中心卫生院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0" w:hRule="atLeast"/>
        </w:trPr>
        <w:tc>
          <w:tcPr>
            <w:tcW w:w="72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资金投入情况</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（万元）</w:t>
            </w:r>
          </w:p>
        </w:tc>
        <w:tc>
          <w:tcPr>
            <w:tcW w:w="1643" w:type="dxa"/>
            <w:gridSpan w:val="5"/>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全年预算数（A）</w:t>
            </w:r>
          </w:p>
        </w:tc>
        <w:tc>
          <w:tcPr>
            <w:tcW w:w="254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全年执行数（B）</w:t>
            </w:r>
          </w:p>
        </w:tc>
        <w:tc>
          <w:tcPr>
            <w:tcW w:w="162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0" w:hRule="atLeast"/>
        </w:trPr>
        <w:tc>
          <w:tcPr>
            <w:tcW w:w="72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4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年度资金总额：</w:t>
            </w:r>
          </w:p>
        </w:tc>
        <w:tc>
          <w:tcPr>
            <w:tcW w:w="16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68.22 </w:t>
            </w:r>
          </w:p>
        </w:tc>
        <w:tc>
          <w:tcPr>
            <w:tcW w:w="254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68.22 </w:t>
            </w:r>
          </w:p>
        </w:tc>
        <w:tc>
          <w:tcPr>
            <w:tcW w:w="162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0" w:hRule="atLeast"/>
        </w:trPr>
        <w:tc>
          <w:tcPr>
            <w:tcW w:w="72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4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3"/>
                <w:lang w:val="en-US" w:eastAsia="zh-CN"/>
              </w:rPr>
              <w:t xml:space="preserve"> </w:t>
            </w:r>
            <w:r>
              <w:rPr>
                <w:rStyle w:val="34"/>
                <w:lang w:val="en-US" w:eastAsia="zh-CN"/>
              </w:rPr>
              <w:t>其中：中央财政资金</w:t>
            </w:r>
          </w:p>
        </w:tc>
        <w:tc>
          <w:tcPr>
            <w:tcW w:w="16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54.16 </w:t>
            </w:r>
          </w:p>
        </w:tc>
        <w:tc>
          <w:tcPr>
            <w:tcW w:w="254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54.16 </w:t>
            </w:r>
          </w:p>
        </w:tc>
        <w:tc>
          <w:tcPr>
            <w:tcW w:w="162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0" w:hRule="atLeast"/>
        </w:trPr>
        <w:tc>
          <w:tcPr>
            <w:tcW w:w="72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4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3"/>
                <w:lang w:val="en-US" w:eastAsia="zh-CN"/>
              </w:rPr>
              <w:t xml:space="preserve"> </w:t>
            </w:r>
            <w:r>
              <w:rPr>
                <w:rStyle w:val="35"/>
                <w:lang w:val="en-US" w:eastAsia="zh-CN"/>
              </w:rPr>
              <w:t xml:space="preserve">      地方资金</w:t>
            </w:r>
          </w:p>
        </w:tc>
        <w:tc>
          <w:tcPr>
            <w:tcW w:w="16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13.73 </w:t>
            </w:r>
          </w:p>
        </w:tc>
        <w:tc>
          <w:tcPr>
            <w:tcW w:w="254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13.73 </w:t>
            </w:r>
          </w:p>
        </w:tc>
        <w:tc>
          <w:tcPr>
            <w:tcW w:w="162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0" w:hRule="atLeast"/>
        </w:trPr>
        <w:tc>
          <w:tcPr>
            <w:tcW w:w="72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4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6"/>
                <w:lang w:val="en-US" w:eastAsia="zh-CN"/>
              </w:rPr>
              <w:t xml:space="preserve">      </w:t>
            </w:r>
            <w:r>
              <w:rPr>
                <w:rStyle w:val="34"/>
                <w:lang w:val="en-US" w:eastAsia="zh-CN"/>
              </w:rPr>
              <w:t xml:space="preserve">  其他资金</w:t>
            </w:r>
          </w:p>
        </w:tc>
        <w:tc>
          <w:tcPr>
            <w:tcW w:w="16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0.33 </w:t>
            </w:r>
          </w:p>
        </w:tc>
        <w:tc>
          <w:tcPr>
            <w:tcW w:w="254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0.33 </w:t>
            </w:r>
          </w:p>
        </w:tc>
        <w:tc>
          <w:tcPr>
            <w:tcW w:w="1627"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72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资金管理情况</w:t>
            </w:r>
          </w:p>
        </w:tc>
        <w:tc>
          <w:tcPr>
            <w:tcW w:w="1643" w:type="dxa"/>
            <w:gridSpan w:val="5"/>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424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情况说明</w:t>
            </w:r>
          </w:p>
        </w:tc>
        <w:tc>
          <w:tcPr>
            <w:tcW w:w="162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760" w:hRule="atLeast"/>
        </w:trPr>
        <w:tc>
          <w:tcPr>
            <w:tcW w:w="72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4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分配科学性</w:t>
            </w:r>
          </w:p>
        </w:tc>
        <w:tc>
          <w:tcPr>
            <w:tcW w:w="424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按照各镇服务常住人口数，结合省市区绩效评价方案将所有资金100%下达至项目实施单位，同时督促项目实施单位40%下达至村卫生室。</w:t>
            </w:r>
          </w:p>
        </w:tc>
        <w:tc>
          <w:tcPr>
            <w:tcW w:w="162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72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4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下达及时性</w:t>
            </w:r>
          </w:p>
        </w:tc>
        <w:tc>
          <w:tcPr>
            <w:tcW w:w="424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8月份下达到位资金的80%，12月底将所有资金全部拨付到位。</w:t>
            </w:r>
          </w:p>
        </w:tc>
        <w:tc>
          <w:tcPr>
            <w:tcW w:w="162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72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4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拨付合规性</w:t>
            </w:r>
          </w:p>
        </w:tc>
        <w:tc>
          <w:tcPr>
            <w:tcW w:w="424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按照各镇常住人口数，结合2022年绩效评价结果合理合规拨付资金。</w:t>
            </w:r>
          </w:p>
        </w:tc>
        <w:tc>
          <w:tcPr>
            <w:tcW w:w="162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72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4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使用规范性</w:t>
            </w:r>
          </w:p>
        </w:tc>
        <w:tc>
          <w:tcPr>
            <w:tcW w:w="424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本着专款专用的原则，严格按照项目资金审批要求使用项目资金。</w:t>
            </w:r>
          </w:p>
        </w:tc>
        <w:tc>
          <w:tcPr>
            <w:tcW w:w="162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72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4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执行准确性</w:t>
            </w:r>
          </w:p>
        </w:tc>
        <w:tc>
          <w:tcPr>
            <w:tcW w:w="424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所有资金全部用于基本公共卫生服务项目</w:t>
            </w:r>
          </w:p>
        </w:tc>
        <w:tc>
          <w:tcPr>
            <w:tcW w:w="162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72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4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预算绩效管理情况</w:t>
            </w:r>
          </w:p>
        </w:tc>
        <w:tc>
          <w:tcPr>
            <w:tcW w:w="424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按照全区常住人口数量预算全年项目资金，提升财政专项资金使用效益</w:t>
            </w:r>
          </w:p>
        </w:tc>
        <w:tc>
          <w:tcPr>
            <w:tcW w:w="162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725"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4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支出责任履行情况</w:t>
            </w:r>
          </w:p>
        </w:tc>
        <w:tc>
          <w:tcPr>
            <w:tcW w:w="424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建立由卫健支出，财政局监督的资金支出制度，确保资金使用的合理合法合规。</w:t>
            </w:r>
          </w:p>
        </w:tc>
        <w:tc>
          <w:tcPr>
            <w:tcW w:w="162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restart"/>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总体目标完成情况</w:t>
            </w:r>
          </w:p>
        </w:tc>
        <w:tc>
          <w:tcPr>
            <w:tcW w:w="4546" w:type="dxa"/>
            <w:gridSpan w:val="9"/>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w:t>
            </w:r>
          </w:p>
        </w:tc>
        <w:tc>
          <w:tcPr>
            <w:tcW w:w="3164" w:type="dxa"/>
            <w:gridSpan w:val="7"/>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2780" w:hRule="atLeast"/>
        </w:trPr>
        <w:tc>
          <w:tcPr>
            <w:tcW w:w="525" w:type="dxa"/>
            <w:vMerge w:val="continue"/>
            <w:tcBorders>
              <w:top w:val="nil"/>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4546"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1:免费向常住城乡居民提供12类国家基本公共卫生服务；</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2、开展对重点疾病及危害因素检测，有效控制疾病流行，为制定相关政策提供科学依据；</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3、助力国家脱贫攻坚，保持重点地方病防治措施全面落实。</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4、开展职业病检测，最大限度地保护放射工作人员，患者和公众的健康权益。</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5、同时推进妇幼健康、健康素养促进、医养结合和老年健康服务、卫生应急、计划生育等方面工作。</w:t>
            </w:r>
          </w:p>
        </w:tc>
        <w:tc>
          <w:tcPr>
            <w:tcW w:w="3164"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after="200" w:afterAutospacing="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1.免费为辖区居民提供12类基本公共卫生服务。</w:t>
            </w:r>
          </w:p>
          <w:p>
            <w:pPr>
              <w:keepNext w:val="0"/>
              <w:keepLines w:val="0"/>
              <w:widowControl/>
              <w:suppressLineNumbers w:val="0"/>
              <w:spacing w:after="200" w:afterAutospacing="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2.开展对重点疾病及危害因素监测，有效控制疾病流行，为制定相关政策提供科学依据。重点疾病监测项目完成相应指标。</w:t>
            </w:r>
          </w:p>
          <w:p>
            <w:pPr>
              <w:keepNext w:val="0"/>
              <w:keepLines w:val="0"/>
              <w:widowControl/>
              <w:suppressLineNumbers w:val="0"/>
              <w:spacing w:after="200" w:afterAutospacing="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3.助力国家脱贫攻坚，保持重点地方病防治措施全面落实。完成地方病监测任务。</w:t>
            </w:r>
          </w:p>
          <w:p>
            <w:pPr>
              <w:keepNext w:val="0"/>
              <w:keepLines w:val="0"/>
              <w:widowControl/>
              <w:suppressLineNumbers w:val="0"/>
              <w:spacing w:after="200" w:afterAutospacing="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4.全面完成职业病监测各项任务。最大限度地保护放射工作人员、患者和公众的健康权益。</w:t>
            </w:r>
          </w:p>
          <w:p>
            <w:pPr>
              <w:keepNext w:val="0"/>
              <w:keepLines w:val="0"/>
              <w:widowControl/>
              <w:suppressLineNumbers w:val="0"/>
              <w:spacing w:after="200" w:afterAutospacing="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5.推进妇幼健康、健康素养促进、医养结合和老年健康服务、卫生应急、计划生育等方面工作，确保各项指标达标及工作落实。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600" w:hRule="atLeast"/>
        </w:trPr>
        <w:tc>
          <w:tcPr>
            <w:tcW w:w="525" w:type="dxa"/>
            <w:vMerge w:val="restart"/>
            <w:tcBorders>
              <w:top w:val="single" w:color="000000" w:sz="4" w:space="0"/>
              <w:left w:val="single" w:color="000000" w:sz="4" w:space="0"/>
              <w:bottom w:val="single" w:color="000000" w:sz="4" w:space="0"/>
              <w:right w:val="single" w:color="000000" w:sz="4" w:space="0"/>
            </w:tcBorders>
            <w:noWrap w:val="0"/>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绩效指标</w:t>
            </w:r>
          </w:p>
        </w:tc>
        <w:tc>
          <w:tcPr>
            <w:tcW w:w="44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762" w:type="dxa"/>
            <w:gridSpan w:val="2"/>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3342" w:type="dxa"/>
            <w:gridSpan w:val="5"/>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全年实际完成值</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restart"/>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restart"/>
            <w:tcBorders>
              <w:top w:val="single" w:color="auto" w:sz="4" w:space="0"/>
              <w:left w:val="single" w:color="auto"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数量指标</w:t>
            </w:r>
          </w:p>
        </w:tc>
        <w:tc>
          <w:tcPr>
            <w:tcW w:w="3342" w:type="dxa"/>
            <w:gridSpan w:val="5"/>
            <w:tcBorders>
              <w:top w:val="single" w:color="auto"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适龄儿童国家免疫规划疫苗接种率</w:t>
            </w:r>
          </w:p>
        </w:tc>
        <w:tc>
          <w:tcPr>
            <w:tcW w:w="1725"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90%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3"/>
                <w:lang w:val="en-US" w:eastAsia="zh-CN"/>
              </w:rPr>
              <w:t>7</w:t>
            </w:r>
            <w:r>
              <w:rPr>
                <w:rStyle w:val="35"/>
                <w:lang w:val="en-US" w:eastAsia="zh-CN"/>
              </w:rPr>
              <w:t>岁以下儿童健康管理率</w:t>
            </w:r>
          </w:p>
        </w:tc>
        <w:tc>
          <w:tcPr>
            <w:tcW w:w="1725"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85%</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3"/>
                <w:lang w:val="en-US" w:eastAsia="zh-CN"/>
              </w:rPr>
              <w:t>0-6</w:t>
            </w:r>
            <w:r>
              <w:rPr>
                <w:rStyle w:val="35"/>
                <w:lang w:val="en-US" w:eastAsia="zh-CN"/>
              </w:rPr>
              <w:t>岁儿童眼保健和视力检查覆盖率</w:t>
            </w:r>
          </w:p>
        </w:tc>
        <w:tc>
          <w:tcPr>
            <w:tcW w:w="1725"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90%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93%</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孕产妇系统管理率</w:t>
            </w:r>
          </w:p>
        </w:tc>
        <w:tc>
          <w:tcPr>
            <w:tcW w:w="1725"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90%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99.55</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3"/>
                <w:lang w:val="en-US" w:eastAsia="zh-CN"/>
              </w:rPr>
              <w:t>3</w:t>
            </w:r>
            <w:r>
              <w:rPr>
                <w:rStyle w:val="35"/>
                <w:lang w:val="en-US" w:eastAsia="zh-CN"/>
              </w:rPr>
              <w:t>岁以下儿童系统管理率</w:t>
            </w:r>
          </w:p>
        </w:tc>
        <w:tc>
          <w:tcPr>
            <w:tcW w:w="1725"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80%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高血压患者管理人数</w:t>
            </w:r>
          </w:p>
        </w:tc>
        <w:tc>
          <w:tcPr>
            <w:tcW w:w="1725"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7"/>
                <w:rFonts w:hint="eastAsia" w:ascii="宋体" w:hAnsi="宋体" w:eastAsia="宋体" w:cs="宋体"/>
                <w:sz w:val="24"/>
                <w:szCs w:val="24"/>
                <w:lang w:val="en-US" w:eastAsia="zh-CN"/>
              </w:rPr>
              <w:t>0.2751</w:t>
            </w:r>
            <w:r>
              <w:rPr>
                <w:rStyle w:val="35"/>
                <w:lang w:val="en-US" w:eastAsia="zh-CN"/>
              </w:rPr>
              <w:t>万人</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7"/>
                <w:rFonts w:hint="eastAsia" w:ascii="宋体" w:hAnsi="宋体" w:eastAsia="宋体" w:cs="宋体"/>
                <w:sz w:val="24"/>
                <w:szCs w:val="24"/>
                <w:lang w:val="en-US" w:eastAsia="zh-CN"/>
              </w:rPr>
              <w:t>0.2751</w:t>
            </w:r>
            <w:r>
              <w:rPr>
                <w:rStyle w:val="35"/>
                <w:lang w:val="en-US" w:eastAsia="zh-CN"/>
              </w:rPr>
              <w:t>万人</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3"/>
                <w:lang w:val="en-US" w:eastAsia="zh-CN"/>
              </w:rPr>
              <w:t>2</w:t>
            </w:r>
            <w:r>
              <w:rPr>
                <w:rStyle w:val="35"/>
                <w:lang w:val="en-US" w:eastAsia="zh-CN"/>
              </w:rPr>
              <w:t>型糖尿病患者管理人数</w:t>
            </w:r>
          </w:p>
        </w:tc>
        <w:tc>
          <w:tcPr>
            <w:tcW w:w="1725"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7"/>
                <w:rFonts w:hint="eastAsia" w:ascii="宋体" w:hAnsi="宋体" w:eastAsia="宋体" w:cs="宋体"/>
                <w:sz w:val="24"/>
                <w:szCs w:val="24"/>
                <w:lang w:val="en-US" w:eastAsia="zh-CN"/>
              </w:rPr>
              <w:t>0.0391</w:t>
            </w:r>
            <w:r>
              <w:rPr>
                <w:rStyle w:val="35"/>
                <w:lang w:val="en-US" w:eastAsia="zh-CN"/>
              </w:rPr>
              <w:t>万人</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7"/>
                <w:rFonts w:hint="eastAsia" w:ascii="宋体" w:hAnsi="宋体" w:eastAsia="宋体" w:cs="宋体"/>
                <w:sz w:val="24"/>
                <w:szCs w:val="24"/>
                <w:lang w:val="en-US" w:eastAsia="zh-CN"/>
              </w:rPr>
              <w:t>0.0391</w:t>
            </w:r>
            <w:r>
              <w:rPr>
                <w:rStyle w:val="35"/>
                <w:lang w:val="en-US" w:eastAsia="zh-CN"/>
              </w:rPr>
              <w:t>万人</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地方病核心指标监测率</w:t>
            </w:r>
          </w:p>
        </w:tc>
        <w:tc>
          <w:tcPr>
            <w:tcW w:w="1725"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90%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nil"/>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职业健康核心指标监测县区覆盖率</w:t>
            </w:r>
          </w:p>
        </w:tc>
        <w:tc>
          <w:tcPr>
            <w:tcW w:w="1725"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92%</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肺结核患者管理率</w:t>
            </w:r>
          </w:p>
        </w:tc>
        <w:tc>
          <w:tcPr>
            <w:tcW w:w="1725"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90%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auto"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auto"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社区在册居家严重精神障碍患者健康管理率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80%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99.88%</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儿童中医药健康管理率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65%</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老年人中医药健康管理率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65%</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75%</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3"/>
                <w:lang w:val="en-US" w:eastAsia="zh-CN"/>
              </w:rPr>
              <w:t>卫生监督协管各专业每年巡查（访）</w:t>
            </w:r>
            <w:r>
              <w:rPr>
                <w:rStyle w:val="37"/>
                <w:rFonts w:ascii="宋体" w:hAnsi="宋体" w:eastAsia="宋体" w:cs="宋体"/>
                <w:sz w:val="24"/>
                <w:szCs w:val="24"/>
                <w:lang w:val="en-US" w:eastAsia="zh-CN"/>
              </w:rPr>
              <w:t>2</w:t>
            </w:r>
            <w:r>
              <w:rPr>
                <w:rStyle w:val="35"/>
                <w:lang w:val="en-US" w:eastAsia="zh-CN"/>
              </w:rPr>
              <w:t>次完成率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90%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贫困地区儿童营养改善国家级贫困县覆盖率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100%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目标人群叶酸服用率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90%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孕前优生健康检查目标人群覆盖率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80%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新生儿听力筛查率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85%</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99.91%</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“两癌”检查项目目标任务完成率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33"/>
                <w:lang w:val="en-US" w:eastAsia="zh-CN"/>
              </w:rPr>
              <w:t>65</w:t>
            </w:r>
            <w:r>
              <w:rPr>
                <w:rStyle w:val="35"/>
                <w:lang w:val="en-US" w:eastAsia="zh-CN"/>
              </w:rPr>
              <w:t>岁以上失能老年人健康服务率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≥18%</w:t>
            </w:r>
          </w:p>
        </w:tc>
        <w:tc>
          <w:tcPr>
            <w:tcW w:w="719" w:type="dxa"/>
            <w:gridSpan w:val="2"/>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45%</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居民规范化电子健康档案覆盖率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改造尘肺病康复站</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培养康复医务人员</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1人</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1人</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完成尘肺病患者档案，采购设施设备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15份</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15份</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农村妇女免费“两癌”检查乳腺癌项目人数</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≥300人</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3"/>
                <w:rFonts w:hint="eastAsia"/>
                <w:lang w:val="en-US" w:eastAsia="zh-CN"/>
              </w:rPr>
              <w:t>333</w:t>
            </w:r>
            <w:r>
              <w:rPr>
                <w:rStyle w:val="35"/>
                <w:lang w:val="en-US" w:eastAsia="zh-CN"/>
              </w:rPr>
              <w:t>人</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农村妇女免费“两癌”检查宫颈癌项目人数</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≥300人</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325人</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计划年度符合生育政策、计划怀孕的城乡夫妇（包括流动人口）参检对数</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≥80人</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90人</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新生儿筛查人数</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≧20人</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25人</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质量指标</w:t>
            </w: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按照四川省、广元市第二批尘肺病康复站建设标准，规范建好“七个一”。</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达标</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达标</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创新中医药适宜技术参与尘肺病康复</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有机结合</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有机结合</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高血压患者基层规范管理服务率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60%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2型糖尿病患者基层规范管理服务率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60%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65岁及以上老年人城乡社区规范健康管理服务率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60%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传染病和突发公共卫生事件报告率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95%</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严重精神障碍患者规范管理率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5"/>
                <w:lang w:val="en-US" w:eastAsia="zh-CN"/>
              </w:rPr>
              <w:t>≥</w:t>
            </w:r>
            <w:r>
              <w:rPr>
                <w:rStyle w:val="37"/>
                <w:rFonts w:ascii="宋体" w:hAnsi="宋体" w:eastAsia="宋体" w:cs="宋体"/>
                <w:sz w:val="24"/>
                <w:szCs w:val="24"/>
                <w:lang w:val="en-US" w:eastAsia="zh-CN"/>
              </w:rPr>
              <w:t>90%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99.61%</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农村妇女“两癌”筛查任务完成率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117.58%</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出生缺陷发生风险</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逐步降低</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逐步降低</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新生儿听力筛查率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新生儿两种遗传代谢病（ PKU和CH)筛查率</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时效指标</w:t>
            </w: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完成周期</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1年</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1年</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成本指标</w:t>
            </w: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“两癌”筛查项目标准：宫颈癌检查补助标准</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49元/人</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49元/人</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“两癌”筛查项目标准：乳腺癌检查补助标准</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79元/人</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79元/人</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9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新生儿筛查项目标准（共计120元/人）</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两种遗传代谢病筛查50元/人；听力筛查70元/人</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其中两种遗传代谢病筛查50元/人；听力筛查70元/人</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每对参检夫妇结算标准</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240元/对</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240元/对</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总成本</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≦1018.867万元</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1018.867万元</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标</w:t>
            </w:r>
          </w:p>
        </w:tc>
        <w:tc>
          <w:tcPr>
            <w:tcW w:w="76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经济效益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城乡居民公共卫生服务差距</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不断缩小</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居民健康素养水平</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可持续影响指标</w:t>
            </w: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指标2:城乡计划怀孕夫妇参加免费孕前优生健康检查的主动性和自觉性</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逐步提高</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逐步提高</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20"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76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基本公共卫生服务水平</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1906" w:hRule="atLeast"/>
        </w:trPr>
        <w:tc>
          <w:tcPr>
            <w:tcW w:w="525"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44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7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服务对象</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3342"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服务对象满意度</w:t>
            </w:r>
          </w:p>
        </w:tc>
        <w:tc>
          <w:tcPr>
            <w:tcW w:w="17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7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bookmarkEnd w:id="93"/>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600" w:hRule="atLeast"/>
        </w:trPr>
        <w:tc>
          <w:tcPr>
            <w:tcW w:w="8235" w:type="dxa"/>
            <w:gridSpan w:val="17"/>
            <w:tcBorders>
              <w:top w:val="nil"/>
              <w:left w:val="nil"/>
              <w:bottom w:val="nil"/>
              <w:right w:val="nil"/>
            </w:tcBorders>
            <w:noWrap w:val="0"/>
            <w:vAlign w:val="center"/>
          </w:tcPr>
          <w:p>
            <w:pPr>
              <w:keepNext w:val="0"/>
              <w:keepLines w:val="0"/>
              <w:widowControl/>
              <w:suppressLineNumbers w:val="0"/>
              <w:jc w:val="center"/>
              <w:textAlignment w:val="center"/>
              <w:rPr>
                <w:rFonts w:hint="default" w:ascii="方正小标宋简体" w:hAnsi="方正小标宋简体" w:eastAsia="方正小标宋简体" w:cs="方正小标宋简体"/>
                <w:b/>
                <w:bCs/>
                <w:i w:val="0"/>
                <w:iCs w:val="0"/>
                <w:color w:val="000000"/>
                <w:kern w:val="0"/>
                <w:sz w:val="32"/>
                <w:szCs w:val="32"/>
                <w:u w:val="none"/>
                <w:lang w:val="en-US" w:eastAsia="zh-CN"/>
              </w:rPr>
            </w:pPr>
          </w:p>
          <w:p>
            <w:pPr>
              <w:keepNext w:val="0"/>
              <w:keepLines w:val="0"/>
              <w:widowControl/>
              <w:suppressLineNumbers w:val="0"/>
              <w:jc w:val="center"/>
              <w:textAlignment w:val="center"/>
              <w:rPr>
                <w:rFonts w:hint="default" w:ascii="方正小标宋简体" w:hAnsi="方正小标宋简体" w:eastAsia="方正小标宋简体" w:cs="方正小标宋简体"/>
                <w:b/>
                <w:bCs/>
                <w:i w:val="0"/>
                <w:iCs w:val="0"/>
                <w:color w:val="000000"/>
                <w:kern w:val="0"/>
                <w:sz w:val="32"/>
                <w:szCs w:val="32"/>
                <w:u w:val="none"/>
                <w:lang w:val="en-US" w:eastAsia="zh-CN"/>
              </w:rPr>
            </w:pPr>
          </w:p>
          <w:p>
            <w:pPr>
              <w:keepNext w:val="0"/>
              <w:keepLines w:val="0"/>
              <w:widowControl/>
              <w:suppressLineNumbers w:val="0"/>
              <w:jc w:val="both"/>
              <w:textAlignment w:val="center"/>
              <w:rPr>
                <w:rFonts w:hint="default" w:ascii="方正小标宋简体" w:hAnsi="方正小标宋简体" w:eastAsia="方正小标宋简体" w:cs="方正小标宋简体"/>
                <w:b/>
                <w:bCs/>
                <w:i w:val="0"/>
                <w:iCs w:val="0"/>
                <w:color w:val="000000"/>
                <w:kern w:val="0"/>
                <w:sz w:val="32"/>
                <w:szCs w:val="32"/>
                <w:u w:val="none"/>
                <w:lang w:val="en-US" w:eastAsia="zh-CN"/>
              </w:rPr>
            </w:pPr>
          </w:p>
          <w:p>
            <w:pPr>
              <w:keepNext w:val="0"/>
              <w:keepLines w:val="0"/>
              <w:widowControl/>
              <w:suppressLineNumbers w:val="0"/>
              <w:jc w:val="center"/>
              <w:textAlignment w:val="center"/>
              <w:rPr>
                <w:rFonts w:ascii="方正小标宋简体" w:hAnsi="方正小标宋简体" w:eastAsia="方正小标宋简体" w:cs="方正小标宋简体"/>
                <w:b/>
                <w:bCs/>
                <w:i w:val="0"/>
                <w:iCs w:val="0"/>
                <w:color w:val="000000"/>
                <w:sz w:val="32"/>
                <w:szCs w:val="32"/>
                <w:u w:val="none"/>
              </w:rPr>
            </w:pPr>
            <w:r>
              <w:rPr>
                <w:rFonts w:hint="default" w:ascii="方正小标宋简体" w:hAnsi="方正小标宋简体" w:eastAsia="方正小标宋简体" w:cs="方正小标宋简体"/>
                <w:b/>
                <w:bCs/>
                <w:i w:val="0"/>
                <w:iCs w:val="0"/>
                <w:color w:val="000000"/>
                <w:kern w:val="0"/>
                <w:sz w:val="32"/>
                <w:szCs w:val="32"/>
                <w:u w:val="none"/>
                <w:lang w:val="en-US" w:eastAsia="zh-CN"/>
              </w:rPr>
              <w:t>基本药物制度中央补助转移支付项目绩效目标自评表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0" w:hRule="atLeast"/>
        </w:trPr>
        <w:tc>
          <w:tcPr>
            <w:tcW w:w="8235" w:type="dxa"/>
            <w:gridSpan w:val="17"/>
            <w:tcBorders>
              <w:top w:val="nil"/>
              <w:left w:val="nil"/>
              <w:bottom w:val="single" w:color="000000" w:sz="4" w:space="0"/>
              <w:right w:val="nil"/>
            </w:tcBorders>
            <w:noWrap w:val="0"/>
            <w:vAlign w:val="top"/>
          </w:tcPr>
          <w:p>
            <w:pPr>
              <w:keepNext w:val="0"/>
              <w:keepLines w:val="0"/>
              <w:widowControl/>
              <w:suppressLineNumbers w:val="0"/>
              <w:jc w:val="center"/>
              <w:textAlignment w:val="top"/>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552" w:hRule="atLeast"/>
        </w:trPr>
        <w:tc>
          <w:tcPr>
            <w:tcW w:w="1737"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转移支付（项目）名称</w:t>
            </w:r>
          </w:p>
        </w:tc>
        <w:tc>
          <w:tcPr>
            <w:tcW w:w="6498"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基本药物制度中央补助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3" w:hRule="atLeast"/>
        </w:trPr>
        <w:tc>
          <w:tcPr>
            <w:tcW w:w="1737"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中央主管部门</w:t>
            </w:r>
          </w:p>
        </w:tc>
        <w:tc>
          <w:tcPr>
            <w:tcW w:w="6498"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国家卫生健康委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540" w:hRule="atLeast"/>
        </w:trPr>
        <w:tc>
          <w:tcPr>
            <w:tcW w:w="1737"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地方主管部门</w:t>
            </w:r>
          </w:p>
        </w:tc>
        <w:tc>
          <w:tcPr>
            <w:tcW w:w="387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广元市昭化区卫生健康局</w:t>
            </w:r>
          </w:p>
        </w:tc>
        <w:tc>
          <w:tcPr>
            <w:tcW w:w="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资金使用单位</w:t>
            </w:r>
          </w:p>
        </w:tc>
        <w:tc>
          <w:tcPr>
            <w:tcW w:w="162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王家镇中心卫生院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520" w:hRule="atLeast"/>
        </w:trPr>
        <w:tc>
          <w:tcPr>
            <w:tcW w:w="1737" w:type="dxa"/>
            <w:gridSpan w:val="6"/>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资金投入情况</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（万元）</w:t>
            </w:r>
          </w:p>
        </w:tc>
        <w:tc>
          <w:tcPr>
            <w:tcW w:w="1956"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92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全年预算数（A）</w:t>
            </w:r>
          </w:p>
        </w:tc>
        <w:tc>
          <w:tcPr>
            <w:tcW w:w="161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全年执行数（B）</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预算执行率（B/A×100%)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3" w:hRule="atLeast"/>
        </w:trPr>
        <w:tc>
          <w:tcPr>
            <w:tcW w:w="1737"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9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年度资金总额：</w:t>
            </w:r>
          </w:p>
        </w:tc>
        <w:tc>
          <w:tcPr>
            <w:tcW w:w="1921"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26.27 </w:t>
            </w:r>
          </w:p>
        </w:tc>
        <w:tc>
          <w:tcPr>
            <w:tcW w:w="1616" w:type="dxa"/>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26.27 </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3" w:hRule="atLeast"/>
        </w:trPr>
        <w:tc>
          <w:tcPr>
            <w:tcW w:w="1737"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9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其中：中央财政资金</w:t>
            </w:r>
          </w:p>
        </w:tc>
        <w:tc>
          <w:tcPr>
            <w:tcW w:w="1921" w:type="dxa"/>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15.74 </w:t>
            </w:r>
          </w:p>
        </w:tc>
        <w:tc>
          <w:tcPr>
            <w:tcW w:w="1616" w:type="dxa"/>
            <w:gridSpan w:val="4"/>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15.74 </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3" w:hRule="atLeast"/>
        </w:trPr>
        <w:tc>
          <w:tcPr>
            <w:tcW w:w="1737"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9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地方资金</w:t>
            </w:r>
          </w:p>
        </w:tc>
        <w:tc>
          <w:tcPr>
            <w:tcW w:w="192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10.53 </w:t>
            </w:r>
          </w:p>
        </w:tc>
        <w:tc>
          <w:tcPr>
            <w:tcW w:w="161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10.53 </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23" w:hRule="atLeast"/>
        </w:trPr>
        <w:tc>
          <w:tcPr>
            <w:tcW w:w="1737"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9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w:t>
            </w:r>
            <w:r>
              <w:rPr>
                <w:rFonts w:hint="eastAsia" w:ascii="宋体" w:hAnsi="宋体" w:eastAsia="宋体" w:cs="宋体"/>
                <w:i w:val="0"/>
                <w:iCs w:val="0"/>
                <w:color w:val="000000"/>
                <w:kern w:val="0"/>
                <w:sz w:val="20"/>
                <w:szCs w:val="20"/>
                <w:u w:val="none"/>
                <w:lang w:val="en-US" w:eastAsia="zh-CN"/>
              </w:rPr>
              <w:t xml:space="preserve">  其他资金</w:t>
            </w:r>
          </w:p>
        </w:tc>
        <w:tc>
          <w:tcPr>
            <w:tcW w:w="1921"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16"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640" w:hRule="atLeast"/>
        </w:trPr>
        <w:tc>
          <w:tcPr>
            <w:tcW w:w="1737" w:type="dxa"/>
            <w:gridSpan w:val="6"/>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资金管理情况</w:t>
            </w:r>
          </w:p>
        </w:tc>
        <w:tc>
          <w:tcPr>
            <w:tcW w:w="1956"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353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情况说明</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760" w:hRule="atLeast"/>
        </w:trPr>
        <w:tc>
          <w:tcPr>
            <w:tcW w:w="1737"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9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分配科学性</w:t>
            </w:r>
          </w:p>
        </w:tc>
        <w:tc>
          <w:tcPr>
            <w:tcW w:w="353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严格按照转移支付管理制度以及资金管理办法规定的范围和标准分配资金。</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760" w:hRule="atLeast"/>
        </w:trPr>
        <w:tc>
          <w:tcPr>
            <w:tcW w:w="1737"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95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下达及时性</w:t>
            </w:r>
          </w:p>
        </w:tc>
        <w:tc>
          <w:tcPr>
            <w:tcW w:w="353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严格按照预算法及其实施条例、转移支付管理制度规定以及资金管理办法规定的时限要求分解下达。</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760" w:hRule="atLeast"/>
        </w:trPr>
        <w:tc>
          <w:tcPr>
            <w:tcW w:w="1737"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328"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拨付合规性</w:t>
            </w:r>
          </w:p>
        </w:tc>
        <w:tc>
          <w:tcPr>
            <w:tcW w:w="316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严格按照国库集中支付制度有关规定支付资金，未出现违规将资金从国库转入财政专户或支付到预算单位实有资金账户等问题。</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760" w:hRule="atLeast"/>
        </w:trPr>
        <w:tc>
          <w:tcPr>
            <w:tcW w:w="1737"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328"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使用规范性</w:t>
            </w:r>
          </w:p>
        </w:tc>
        <w:tc>
          <w:tcPr>
            <w:tcW w:w="316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严格按照下达预算的科目和项目执行，未出现截留、挤占、挪用或擅自调整等问题。</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760" w:hRule="atLeast"/>
        </w:trPr>
        <w:tc>
          <w:tcPr>
            <w:tcW w:w="1737"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328"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执行准确性</w:t>
            </w:r>
          </w:p>
        </w:tc>
        <w:tc>
          <w:tcPr>
            <w:tcW w:w="316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按照上级下达和本级预算安排的金额执行，不存在执行数偏离预算数较多的问题。</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760" w:hRule="atLeast"/>
        </w:trPr>
        <w:tc>
          <w:tcPr>
            <w:tcW w:w="1737"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328"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预算绩效管理情况</w:t>
            </w:r>
          </w:p>
        </w:tc>
        <w:tc>
          <w:tcPr>
            <w:tcW w:w="316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在细化下达预算时同步下达绩效目标，将有关资金纳入本级预算或对下转移支付绩效管理，开展绩效监控和绩效评价。</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760" w:hRule="atLeast"/>
        </w:trPr>
        <w:tc>
          <w:tcPr>
            <w:tcW w:w="1737"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328"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支出责任履行情况</w:t>
            </w:r>
          </w:p>
        </w:tc>
        <w:tc>
          <w:tcPr>
            <w:tcW w:w="316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对共同财政事权转移支付，按照财政事权和支出责任划分有关规定，足额安排资金履行本级支出责任。</w:t>
            </w:r>
          </w:p>
        </w:tc>
        <w:tc>
          <w:tcPr>
            <w:tcW w:w="1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40" w:hRule="atLeast"/>
        </w:trPr>
        <w:tc>
          <w:tcPr>
            <w:tcW w:w="525" w:type="dxa"/>
            <w:vMerge w:val="restart"/>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总体目标完成情况</w:t>
            </w:r>
          </w:p>
        </w:tc>
        <w:tc>
          <w:tcPr>
            <w:tcW w:w="5089" w:type="dxa"/>
            <w:gridSpan w:val="10"/>
            <w:tcBorders>
              <w:top w:val="single" w:color="auto"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w:t>
            </w:r>
          </w:p>
        </w:tc>
        <w:tc>
          <w:tcPr>
            <w:tcW w:w="2621" w:type="dxa"/>
            <w:gridSpan w:val="6"/>
            <w:tcBorders>
              <w:top w:val="nil"/>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1900" w:hRule="atLeast"/>
        </w:trPr>
        <w:tc>
          <w:tcPr>
            <w:tcW w:w="525" w:type="dxa"/>
            <w:vMerge w:val="continue"/>
            <w:tcBorders>
              <w:top w:val="nil"/>
              <w:left w:val="single" w:color="auto"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5089" w:type="dxa"/>
            <w:gridSpan w:val="10"/>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目标1：保证所有政府办基层医疗卫生机构实施国家基本药物制度，推进综合改革顺利进行；  目标2：对实施国家基本药物制度的村卫生室给予补助，支持国家基本药物制度在村卫生室顺利实施；</w:t>
            </w:r>
          </w:p>
        </w:tc>
        <w:tc>
          <w:tcPr>
            <w:tcW w:w="2621" w:type="dxa"/>
            <w:gridSpan w:val="6"/>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全镇11个村卫生站、11个村医全面实施国家基本药物制度，确保基本药物制度的实施，解决了老百姓看病贵的问题，稳定了乡村医生的收入。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522" w:hRule="atLeast"/>
        </w:trPr>
        <w:tc>
          <w:tcPr>
            <w:tcW w:w="525" w:type="dxa"/>
            <w:vMerge w:val="restart"/>
            <w:tcBorders>
              <w:top w:val="single" w:color="auto" w:sz="4" w:space="0"/>
              <w:left w:val="single" w:color="auto" w:sz="4" w:space="0"/>
              <w:bottom w:val="single" w:color="auto" w:sz="4" w:space="0"/>
              <w:right w:val="single" w:color="auto" w:sz="4" w:space="0"/>
            </w:tcBorders>
            <w:noWrap w:val="0"/>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绩效指标</w:t>
            </w:r>
          </w:p>
        </w:tc>
        <w:tc>
          <w:tcPr>
            <w:tcW w:w="79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416"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3877" w:type="dxa"/>
            <w:gridSpan w:val="5"/>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99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9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全年实际完成值</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60" w:hRule="atLeast"/>
        </w:trPr>
        <w:tc>
          <w:tcPr>
            <w:tcW w:w="525" w:type="dxa"/>
            <w:vMerge w:val="continue"/>
            <w:tcBorders>
              <w:top w:val="single" w:color="auto" w:sz="4" w:space="0"/>
              <w:left w:val="single" w:color="auto" w:sz="4" w:space="0"/>
              <w:bottom w:val="single" w:color="auto" w:sz="4" w:space="0"/>
              <w:right w:val="single" w:color="auto"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796"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标</w:t>
            </w:r>
          </w:p>
        </w:tc>
        <w:tc>
          <w:tcPr>
            <w:tcW w:w="416" w:type="dxa"/>
            <w:gridSpan w:val="2"/>
            <w:vMerge w:val="restart"/>
            <w:tcBorders>
              <w:top w:val="single" w:color="000000" w:sz="4" w:space="0"/>
              <w:left w:val="single" w:color="auto"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数量指标</w:t>
            </w:r>
          </w:p>
        </w:tc>
        <w:tc>
          <w:tcPr>
            <w:tcW w:w="3877" w:type="dxa"/>
            <w:gridSpan w:val="5"/>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实施基本药物制度的政府办基层医疗卫生机构数量</w:t>
            </w:r>
          </w:p>
        </w:tc>
        <w:tc>
          <w:tcPr>
            <w:tcW w:w="99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11个</w:t>
            </w:r>
          </w:p>
        </w:tc>
        <w:tc>
          <w:tcPr>
            <w:tcW w:w="9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11个</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60" w:hRule="atLeast"/>
        </w:trPr>
        <w:tc>
          <w:tcPr>
            <w:tcW w:w="525"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796" w:type="dxa"/>
            <w:gridSpan w:val="3"/>
            <w:vMerge w:val="continue"/>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vMerge w:val="continue"/>
            <w:tcBorders>
              <w:top w:val="single" w:color="000000" w:sz="4" w:space="0"/>
              <w:left w:val="single" w:color="auto" w:sz="4" w:space="0"/>
              <w:bottom w:val="nil"/>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877" w:type="dxa"/>
            <w:gridSpan w:val="5"/>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实施基本药物制度的村卫生室占比</w:t>
            </w:r>
          </w:p>
        </w:tc>
        <w:tc>
          <w:tcPr>
            <w:tcW w:w="99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9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80" w:hRule="atLeast"/>
        </w:trPr>
        <w:tc>
          <w:tcPr>
            <w:tcW w:w="525"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796" w:type="dxa"/>
            <w:gridSpan w:val="3"/>
            <w:vMerge w:val="continue"/>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vMerge w:val="restart"/>
            <w:tcBorders>
              <w:top w:val="single" w:color="000000" w:sz="4" w:space="0"/>
              <w:left w:val="single" w:color="auto"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质量指标</w:t>
            </w:r>
          </w:p>
        </w:tc>
        <w:tc>
          <w:tcPr>
            <w:tcW w:w="3877" w:type="dxa"/>
            <w:gridSpan w:val="5"/>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基层医疗卫生机构“优质服务基层行”活动开展评价机构数比例</w:t>
            </w:r>
          </w:p>
        </w:tc>
        <w:tc>
          <w:tcPr>
            <w:tcW w:w="99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w:t>
            </w:r>
          </w:p>
        </w:tc>
        <w:tc>
          <w:tcPr>
            <w:tcW w:w="9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3.00%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680" w:hRule="atLeast"/>
        </w:trPr>
        <w:tc>
          <w:tcPr>
            <w:tcW w:w="525"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796" w:type="dxa"/>
            <w:gridSpan w:val="3"/>
            <w:vMerge w:val="continue"/>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vMerge w:val="continue"/>
            <w:tcBorders>
              <w:top w:val="single" w:color="000000" w:sz="4" w:space="0"/>
              <w:left w:val="single" w:color="auto"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877" w:type="dxa"/>
            <w:gridSpan w:val="5"/>
            <w:tcBorders>
              <w:top w:val="single" w:color="000000"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基层医疗卫生机构“优质服务基层行”活动达到基本标准及以上的比例</w:t>
            </w:r>
          </w:p>
        </w:tc>
        <w:tc>
          <w:tcPr>
            <w:tcW w:w="994"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rPr>
              <w:t>≧</w:t>
            </w:r>
            <w:r>
              <w:rPr>
                <w:rFonts w:hint="eastAsia" w:ascii="宋体" w:hAnsi="宋体" w:eastAsia="宋体" w:cs="宋体"/>
                <w:i w:val="0"/>
                <w:iCs w:val="0"/>
                <w:color w:val="000000"/>
                <w:kern w:val="0"/>
                <w:sz w:val="20"/>
                <w:szCs w:val="20"/>
                <w:u w:val="none"/>
                <w:lang w:val="en-US" w:eastAsia="zh-CN"/>
              </w:rPr>
              <w:t>90%</w:t>
            </w:r>
          </w:p>
        </w:tc>
        <w:tc>
          <w:tcPr>
            <w:tcW w:w="9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90.90%</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580" w:hRule="atLeast"/>
        </w:trPr>
        <w:tc>
          <w:tcPr>
            <w:tcW w:w="525"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796" w:type="dxa"/>
            <w:gridSpan w:val="3"/>
            <w:vMerge w:val="continue"/>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时效指标</w:t>
            </w:r>
          </w:p>
        </w:tc>
        <w:tc>
          <w:tcPr>
            <w:tcW w:w="3877" w:type="dxa"/>
            <w:gridSpan w:val="5"/>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2022年12月以前完成项目实施</w:t>
            </w:r>
          </w:p>
        </w:tc>
        <w:tc>
          <w:tcPr>
            <w:tcW w:w="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rPr>
              <w:t>≦</w:t>
            </w:r>
            <w:r>
              <w:rPr>
                <w:rFonts w:hint="eastAsia" w:ascii="宋体" w:hAnsi="宋体" w:eastAsia="宋体" w:cs="宋体"/>
                <w:i w:val="0"/>
                <w:iCs w:val="0"/>
                <w:color w:val="000000"/>
                <w:kern w:val="0"/>
                <w:sz w:val="20"/>
                <w:szCs w:val="20"/>
                <w:u w:val="none"/>
                <w:lang w:val="en-US" w:eastAsia="zh-CN"/>
              </w:rPr>
              <w:t>12个月</w:t>
            </w:r>
          </w:p>
        </w:tc>
        <w:tc>
          <w:tcPr>
            <w:tcW w:w="9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12个月</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980" w:hRule="atLeast"/>
        </w:trPr>
        <w:tc>
          <w:tcPr>
            <w:tcW w:w="525"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796" w:type="dxa"/>
            <w:gridSpan w:val="3"/>
            <w:vMerge w:val="continue"/>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成本指标</w:t>
            </w:r>
          </w:p>
        </w:tc>
        <w:tc>
          <w:tcPr>
            <w:tcW w:w="387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项目总成本</w:t>
            </w:r>
          </w:p>
        </w:tc>
        <w:tc>
          <w:tcPr>
            <w:tcW w:w="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≦26.27万元</w:t>
            </w:r>
          </w:p>
        </w:tc>
        <w:tc>
          <w:tcPr>
            <w:tcW w:w="9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26.27万元</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25"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796" w:type="dxa"/>
            <w:gridSpan w:val="3"/>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效益指标</w:t>
            </w:r>
          </w:p>
        </w:tc>
        <w:tc>
          <w:tcPr>
            <w:tcW w:w="41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社会效益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3877" w:type="dxa"/>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妇女、儿童生活质量及健康水平</w:t>
            </w:r>
          </w:p>
        </w:tc>
        <w:tc>
          <w:tcPr>
            <w:tcW w:w="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9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73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25"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796" w:type="dxa"/>
            <w:gridSpan w:val="3"/>
            <w:vMerge w:val="continue"/>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87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扩大艾滋病检查率</w:t>
            </w:r>
          </w:p>
        </w:tc>
        <w:tc>
          <w:tcPr>
            <w:tcW w:w="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≧25%</w:t>
            </w:r>
          </w:p>
        </w:tc>
        <w:tc>
          <w:tcPr>
            <w:tcW w:w="9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≧25%</w:t>
            </w:r>
          </w:p>
        </w:tc>
        <w:tc>
          <w:tcPr>
            <w:tcW w:w="73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25"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796" w:type="dxa"/>
            <w:gridSpan w:val="3"/>
            <w:vMerge w:val="continue"/>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经济效益</w:t>
            </w:r>
          </w:p>
        </w:tc>
        <w:tc>
          <w:tcPr>
            <w:tcW w:w="387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乡村医生保持稳定收入情况</w:t>
            </w:r>
          </w:p>
        </w:tc>
        <w:tc>
          <w:tcPr>
            <w:tcW w:w="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同比提升</w:t>
            </w:r>
          </w:p>
        </w:tc>
        <w:tc>
          <w:tcPr>
            <w:tcW w:w="9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较上年提高5%</w:t>
            </w:r>
          </w:p>
        </w:tc>
        <w:tc>
          <w:tcPr>
            <w:tcW w:w="73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80" w:hRule="atLeast"/>
        </w:trPr>
        <w:tc>
          <w:tcPr>
            <w:tcW w:w="525"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796" w:type="dxa"/>
            <w:gridSpan w:val="3"/>
            <w:vMerge w:val="continue"/>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vMerge w:val="restart"/>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可持续影响指标</w:t>
            </w:r>
          </w:p>
        </w:tc>
        <w:tc>
          <w:tcPr>
            <w:tcW w:w="387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基本药物制度在基层持续实施</w:t>
            </w:r>
          </w:p>
        </w:tc>
        <w:tc>
          <w:tcPr>
            <w:tcW w:w="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稳步推进</w:t>
            </w:r>
          </w:p>
        </w:tc>
        <w:tc>
          <w:tcPr>
            <w:tcW w:w="9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稳步推进</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480" w:hRule="atLeast"/>
        </w:trPr>
        <w:tc>
          <w:tcPr>
            <w:tcW w:w="525" w:type="dxa"/>
            <w:vMerge w:val="continue"/>
            <w:tcBorders>
              <w:top w:val="single" w:color="auto" w:sz="4" w:space="0"/>
              <w:left w:val="single" w:color="auto" w:sz="4" w:space="0"/>
              <w:bottom w:val="single" w:color="auto" w:sz="4" w:space="0"/>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796" w:type="dxa"/>
            <w:gridSpan w:val="3"/>
            <w:vMerge w:val="continue"/>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416" w:type="dxa"/>
            <w:gridSpan w:val="2"/>
            <w:vMerge w:val="continue"/>
            <w:tcBorders>
              <w:top w:val="nil"/>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387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医共体建设符合“紧密型”、“控费用”、“同质化”、“促分工”发展方向</w:t>
            </w:r>
          </w:p>
        </w:tc>
        <w:tc>
          <w:tcPr>
            <w:tcW w:w="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推进“医共体”试点</w:t>
            </w:r>
          </w:p>
        </w:tc>
        <w:tc>
          <w:tcPr>
            <w:tcW w:w="9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制定规划，稳步推进</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600" w:hRule="atLeast"/>
        </w:trPr>
        <w:tc>
          <w:tcPr>
            <w:tcW w:w="525" w:type="dxa"/>
            <w:vMerge w:val="continue"/>
            <w:tcBorders>
              <w:top w:val="single" w:color="auto" w:sz="4" w:space="0"/>
              <w:left w:val="single" w:color="auto" w:sz="4" w:space="0"/>
              <w:bottom w:val="nil"/>
              <w:right w:val="single" w:color="000000" w:sz="4" w:space="0"/>
            </w:tcBorders>
            <w:noWrap w:val="0"/>
            <w:textDirection w:val="tbRlV"/>
            <w:vAlign w:val="center"/>
          </w:tcPr>
          <w:p>
            <w:pPr>
              <w:jc w:val="center"/>
              <w:rPr>
                <w:rFonts w:hint="eastAsia" w:ascii="宋体" w:hAnsi="宋体" w:eastAsia="宋体" w:cs="宋体"/>
                <w:i w:val="0"/>
                <w:iCs w:val="0"/>
                <w:color w:val="000000"/>
                <w:sz w:val="20"/>
                <w:szCs w:val="20"/>
                <w:u w:val="none"/>
              </w:rPr>
            </w:pPr>
          </w:p>
        </w:tc>
        <w:tc>
          <w:tcPr>
            <w:tcW w:w="796" w:type="dxa"/>
            <w:gridSpan w:val="3"/>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416" w:type="dxa"/>
            <w:gridSpan w:val="2"/>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服务对象</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387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对基本药物制度满意度</w:t>
            </w:r>
          </w:p>
        </w:tc>
        <w:tc>
          <w:tcPr>
            <w:tcW w:w="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4"/>
                <w:szCs w:val="24"/>
                <w:u w:val="none"/>
                <w:lang w:val="en-US" w:eastAsia="zh-CN"/>
              </w:rPr>
              <w:t>≧</w:t>
            </w:r>
            <w:r>
              <w:rPr>
                <w:rFonts w:hint="eastAsia" w:ascii="宋体" w:hAnsi="宋体" w:eastAsia="宋体" w:cs="宋体"/>
                <w:i w:val="0"/>
                <w:iCs w:val="0"/>
                <w:color w:val="000000"/>
                <w:kern w:val="0"/>
                <w:sz w:val="20"/>
                <w:szCs w:val="20"/>
                <w:u w:val="none"/>
                <w:lang w:val="en-US" w:eastAsia="zh-CN"/>
              </w:rPr>
              <w:t>90%</w:t>
            </w:r>
          </w:p>
        </w:tc>
        <w:tc>
          <w:tcPr>
            <w:tcW w:w="90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60" w:hRule="atLeast"/>
        </w:trPr>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说明</w:t>
            </w:r>
          </w:p>
        </w:tc>
        <w:tc>
          <w:tcPr>
            <w:tcW w:w="7710" w:type="dxa"/>
            <w:gridSpan w:val="1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1" w:type="dxa"/>
          <w:trHeight w:val="360" w:hRule="atLeast"/>
        </w:trPr>
        <w:tc>
          <w:tcPr>
            <w:tcW w:w="525" w:type="dxa"/>
            <w:tcBorders>
              <w:top w:val="single" w:color="000000" w:sz="4" w:space="0"/>
              <w:left w:val="single" w:color="000000" w:sz="4" w:space="0"/>
              <w:bottom w:val="single" w:color="000000" w:sz="4" w:space="0"/>
              <w:right w:val="single" w:color="000000" w:sz="4" w:space="0"/>
            </w:tcBorders>
            <w:noWrap w:val="0"/>
            <w:vAlign w:val="center"/>
          </w:tcPr>
          <w:p>
            <w:pPr>
              <w:pStyle w:val="2"/>
              <w:rPr>
                <w:rFonts w:hint="eastAsia"/>
                <w:lang w:val="en-US" w:eastAsia="zh-CN"/>
              </w:rPr>
            </w:pPr>
            <w:bookmarkStart w:id="95" w:name="_Toc28509"/>
          </w:p>
          <w:bookmarkEnd w:id="95"/>
        </w:tc>
        <w:tc>
          <w:tcPr>
            <w:tcW w:w="7710" w:type="dxa"/>
            <w:gridSpan w:val="1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sz w:val="20"/>
                <w:szCs w:val="20"/>
                <w:u w:val="none"/>
                <w:lang w:val="en-US" w:eastAsia="zh-CN"/>
              </w:rPr>
            </w:pPr>
          </w:p>
        </w:tc>
      </w:tr>
    </w:tbl>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黑体" w:hAnsi="黑体" w:eastAsia="黑体"/>
          <w:color w:val="auto"/>
          <w:sz w:val="44"/>
          <w:szCs w:val="44"/>
          <w:highlight w:val="none"/>
        </w:rPr>
      </w:pPr>
      <w:bookmarkStart w:id="96" w:name="_Toc13689"/>
    </w:p>
    <w:p>
      <w:pPr>
        <w:spacing w:line="600" w:lineRule="exact"/>
        <w:jc w:val="center"/>
        <w:outlineLvl w:val="0"/>
        <w:rPr>
          <w:rFonts w:hint="eastAsia" w:ascii="黑体" w:hAnsi="黑体" w:eastAsia="黑体"/>
          <w:color w:val="auto"/>
          <w:sz w:val="44"/>
          <w:szCs w:val="44"/>
          <w:highlight w:val="none"/>
        </w:rPr>
      </w:pPr>
      <w:bookmarkStart w:id="123" w:name="_GoBack"/>
      <w:bookmarkEnd w:id="123"/>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tbl>
      <w:tblPr>
        <w:tblStyle w:val="14"/>
        <w:tblpPr w:leftFromText="180" w:rightFromText="180" w:vertAnchor="text" w:horzAnchor="page" w:tblpX="1852" w:tblpY="1060"/>
        <w:tblOverlap w:val="never"/>
        <w:tblW w:w="8260" w:type="dxa"/>
        <w:tblInd w:w="0" w:type="dxa"/>
        <w:tblLayout w:type="fixed"/>
        <w:tblCellMar>
          <w:top w:w="0" w:type="dxa"/>
          <w:left w:w="0" w:type="dxa"/>
          <w:bottom w:w="0" w:type="dxa"/>
          <w:right w:w="0" w:type="dxa"/>
        </w:tblCellMar>
      </w:tblPr>
      <w:tblGrid>
        <w:gridCol w:w="1303"/>
        <w:gridCol w:w="769"/>
        <w:gridCol w:w="768"/>
        <w:gridCol w:w="768"/>
        <w:gridCol w:w="628"/>
        <w:gridCol w:w="473"/>
        <w:gridCol w:w="345"/>
        <w:gridCol w:w="768"/>
        <w:gridCol w:w="768"/>
        <w:gridCol w:w="768"/>
        <w:gridCol w:w="902"/>
      </w:tblGrid>
      <w:tr>
        <w:tblPrEx>
          <w:tblCellMar>
            <w:top w:w="0" w:type="dxa"/>
            <w:left w:w="0" w:type="dxa"/>
            <w:bottom w:w="0" w:type="dxa"/>
            <w:right w:w="0" w:type="dxa"/>
          </w:tblCellMar>
        </w:tblPrEx>
        <w:trPr>
          <w:trHeight w:val="682" w:hRule="atLeast"/>
        </w:trPr>
        <w:tc>
          <w:tcPr>
            <w:tcW w:w="8260" w:type="dxa"/>
            <w:gridSpan w:val="11"/>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部门预算项目支出绩效自评表（2022年度）</w:t>
            </w:r>
          </w:p>
        </w:tc>
      </w:tr>
      <w:tr>
        <w:tblPrEx>
          <w:tblCellMar>
            <w:top w:w="0" w:type="dxa"/>
            <w:left w:w="0" w:type="dxa"/>
            <w:bottom w:w="0" w:type="dxa"/>
            <w:right w:w="0" w:type="dxa"/>
          </w:tblCellMar>
        </w:tblPrEx>
        <w:trPr>
          <w:trHeight w:val="555" w:hRule="atLeast"/>
        </w:trPr>
        <w:tc>
          <w:tcPr>
            <w:tcW w:w="2072" w:type="dxa"/>
            <w:gridSpan w:val="2"/>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项目名称</w:t>
            </w:r>
          </w:p>
        </w:tc>
        <w:tc>
          <w:tcPr>
            <w:tcW w:w="6188" w:type="dxa"/>
            <w:gridSpan w:val="9"/>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二类疫苗服务费</w:t>
            </w:r>
          </w:p>
        </w:tc>
      </w:tr>
      <w:tr>
        <w:tblPrEx>
          <w:tblCellMar>
            <w:top w:w="0" w:type="dxa"/>
            <w:left w:w="0" w:type="dxa"/>
            <w:bottom w:w="0" w:type="dxa"/>
            <w:right w:w="0" w:type="dxa"/>
          </w:tblCellMar>
        </w:tblPrEx>
        <w:trPr>
          <w:trHeight w:val="682" w:hRule="atLeast"/>
        </w:trPr>
        <w:tc>
          <w:tcPr>
            <w:tcW w:w="2072" w:type="dxa"/>
            <w:gridSpan w:val="2"/>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主管部门</w:t>
            </w:r>
          </w:p>
        </w:tc>
        <w:tc>
          <w:tcPr>
            <w:tcW w:w="2982" w:type="dxa"/>
            <w:gridSpan w:val="5"/>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广元市昭化区卫生健康局部门</w:t>
            </w:r>
          </w:p>
        </w:tc>
        <w:tc>
          <w:tcPr>
            <w:tcW w:w="768" w:type="dxa"/>
            <w:tcBorders>
              <w:top w:val="nil"/>
              <w:left w:val="nil"/>
              <w:bottom w:val="nil"/>
              <w:right w:val="nil"/>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实施单位 （盖章）</w:t>
            </w:r>
          </w:p>
        </w:tc>
        <w:tc>
          <w:tcPr>
            <w:tcW w:w="2438"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王家镇中心</w:t>
            </w:r>
            <w:r>
              <w:rPr>
                <w:rFonts w:ascii="宋体" w:hAnsi="宋体" w:eastAsia="宋体" w:cs="宋体"/>
                <w:i w:val="0"/>
                <w:color w:val="000000"/>
                <w:kern w:val="0"/>
                <w:sz w:val="18"/>
                <w:szCs w:val="18"/>
                <w:u w:val="none"/>
                <w:lang w:val="en-US" w:eastAsia="zh-CN"/>
              </w:rPr>
              <w:t>卫生院</w:t>
            </w:r>
          </w:p>
        </w:tc>
      </w:tr>
      <w:tr>
        <w:tblPrEx>
          <w:tblCellMar>
            <w:top w:w="0" w:type="dxa"/>
            <w:left w:w="0" w:type="dxa"/>
            <w:bottom w:w="0" w:type="dxa"/>
            <w:right w:w="0" w:type="dxa"/>
          </w:tblCellMar>
        </w:tblPrEx>
        <w:trPr>
          <w:trHeight w:val="452" w:hRule="atLeast"/>
        </w:trPr>
        <w:tc>
          <w:tcPr>
            <w:tcW w:w="1303"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项目基本情况</w:t>
            </w:r>
          </w:p>
        </w:tc>
        <w:tc>
          <w:tcPr>
            <w:tcW w:w="769"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1.项目年度目标完成情况</w:t>
            </w:r>
          </w:p>
        </w:tc>
        <w:tc>
          <w:tcPr>
            <w:tcW w:w="2982" w:type="dxa"/>
            <w:gridSpan w:val="5"/>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项目年度目标</w:t>
            </w:r>
          </w:p>
        </w:tc>
        <w:tc>
          <w:tcPr>
            <w:tcW w:w="3206" w:type="dxa"/>
            <w:gridSpan w:val="4"/>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年度目标完成情况</w:t>
            </w:r>
          </w:p>
        </w:tc>
      </w:tr>
      <w:tr>
        <w:tblPrEx>
          <w:tblCellMar>
            <w:top w:w="0" w:type="dxa"/>
            <w:left w:w="0" w:type="dxa"/>
            <w:bottom w:w="0" w:type="dxa"/>
            <w:right w:w="0" w:type="dxa"/>
          </w:tblCellMar>
        </w:tblPrEx>
        <w:trPr>
          <w:trHeight w:val="782" w:hRule="atLeast"/>
        </w:trPr>
        <w:tc>
          <w:tcPr>
            <w:tcW w:w="130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769"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2982" w:type="dxa"/>
            <w:gridSpan w:val="5"/>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1.86万元</w:t>
            </w:r>
          </w:p>
        </w:tc>
        <w:tc>
          <w:tcPr>
            <w:tcW w:w="3206" w:type="dxa"/>
            <w:gridSpan w:val="4"/>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lang w:val="en-US"/>
              </w:rPr>
            </w:pPr>
            <w:r>
              <w:rPr>
                <w:rFonts w:hint="eastAsia" w:ascii="黑体" w:hAnsi="黑体" w:eastAsia="黑体" w:cs="黑体"/>
                <w:i w:val="0"/>
                <w:color w:val="000000"/>
                <w:kern w:val="0"/>
                <w:sz w:val="18"/>
                <w:szCs w:val="18"/>
                <w:u w:val="none"/>
                <w:lang w:val="en-US" w:eastAsia="zh-CN"/>
              </w:rPr>
              <w:t>100%</w:t>
            </w:r>
          </w:p>
        </w:tc>
      </w:tr>
      <w:tr>
        <w:tblPrEx>
          <w:tblCellMar>
            <w:top w:w="0" w:type="dxa"/>
            <w:left w:w="0" w:type="dxa"/>
            <w:bottom w:w="0" w:type="dxa"/>
            <w:right w:w="0" w:type="dxa"/>
          </w:tblCellMar>
        </w:tblPrEx>
        <w:trPr>
          <w:trHeight w:val="1578" w:hRule="atLeast"/>
        </w:trPr>
        <w:tc>
          <w:tcPr>
            <w:tcW w:w="130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769"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2.项目实施内容及过程概述</w:t>
            </w:r>
          </w:p>
        </w:tc>
        <w:tc>
          <w:tcPr>
            <w:tcW w:w="6188" w:type="dxa"/>
            <w:gridSpan w:val="9"/>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682" w:hRule="atLeast"/>
        </w:trPr>
        <w:tc>
          <w:tcPr>
            <w:tcW w:w="1303"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预算执行情况（10分）</w:t>
            </w:r>
          </w:p>
        </w:tc>
        <w:tc>
          <w:tcPr>
            <w:tcW w:w="769"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年度预算数（万元）</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年初预算</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调整后预算数</w:t>
            </w:r>
          </w:p>
        </w:tc>
        <w:tc>
          <w:tcPr>
            <w:tcW w:w="1446"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预算执行数</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预算执行率</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权重</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得分</w:t>
            </w:r>
          </w:p>
        </w:tc>
        <w:tc>
          <w:tcPr>
            <w:tcW w:w="902" w:type="dxa"/>
            <w:tcBorders>
              <w:top w:val="single" w:color="000000" w:sz="4" w:space="0"/>
              <w:left w:val="single" w:color="000000" w:sz="4" w:space="0"/>
              <w:bottom w:val="nil"/>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未完成原因分析</w:t>
            </w:r>
          </w:p>
        </w:tc>
      </w:tr>
      <w:tr>
        <w:tblPrEx>
          <w:tblCellMar>
            <w:top w:w="0" w:type="dxa"/>
            <w:left w:w="0" w:type="dxa"/>
            <w:bottom w:w="0" w:type="dxa"/>
            <w:right w:w="0" w:type="dxa"/>
          </w:tblCellMar>
        </w:tblPrEx>
        <w:trPr>
          <w:trHeight w:val="361" w:hRule="atLeast"/>
        </w:trPr>
        <w:tc>
          <w:tcPr>
            <w:tcW w:w="130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69"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总额</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sz w:val="18"/>
                <w:szCs w:val="18"/>
                <w:u w:val="none"/>
                <w:lang w:val="en-US" w:eastAsia="zh-CN"/>
              </w:rPr>
              <w:t>1.86</w:t>
            </w:r>
          </w:p>
        </w:tc>
        <w:tc>
          <w:tcPr>
            <w:tcW w:w="1446"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eastAsia="宋体" w:cs="宋体"/>
                <w:i w:val="0"/>
                <w:color w:val="000000"/>
                <w:sz w:val="18"/>
                <w:szCs w:val="18"/>
                <w:u w:val="none"/>
                <w:lang w:val="en-US" w:eastAsia="zh-CN"/>
              </w:rPr>
              <w:t>1.86</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100.00%</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w:t>
            </w:r>
          </w:p>
        </w:tc>
        <w:tc>
          <w:tcPr>
            <w:tcW w:w="768"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902"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682" w:hRule="atLeast"/>
        </w:trPr>
        <w:tc>
          <w:tcPr>
            <w:tcW w:w="130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69"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其中：财政资金</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eastAsia="宋体" w:cs="宋体"/>
                <w:i w:val="0"/>
                <w:color w:val="000000"/>
                <w:sz w:val="18"/>
                <w:szCs w:val="18"/>
                <w:u w:val="none"/>
                <w:lang w:val="en-US" w:eastAsia="zh-CN"/>
              </w:rPr>
              <w:t>1.86</w:t>
            </w:r>
          </w:p>
        </w:tc>
        <w:tc>
          <w:tcPr>
            <w:tcW w:w="1446"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eastAsia="宋体" w:cs="宋体"/>
                <w:i w:val="0"/>
                <w:color w:val="000000"/>
                <w:sz w:val="18"/>
                <w:szCs w:val="18"/>
                <w:u w:val="none"/>
                <w:lang w:val="en-US" w:eastAsia="zh-CN"/>
              </w:rPr>
              <w:t>1.86</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100.00%</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768"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902"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682" w:hRule="atLeast"/>
        </w:trPr>
        <w:tc>
          <w:tcPr>
            <w:tcW w:w="130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69"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财政专户管理资金</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1446"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768"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902"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361" w:hRule="atLeast"/>
        </w:trPr>
        <w:tc>
          <w:tcPr>
            <w:tcW w:w="130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69"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单位资金</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1446"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0.00%</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768"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902"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493" w:hRule="atLeast"/>
        </w:trPr>
        <w:tc>
          <w:tcPr>
            <w:tcW w:w="130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69"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其他资金</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1446" w:type="dxa"/>
            <w:gridSpan w:val="3"/>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768"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w:t>
            </w:r>
          </w:p>
        </w:tc>
        <w:tc>
          <w:tcPr>
            <w:tcW w:w="902" w:type="dxa"/>
            <w:tcBorders>
              <w:top w:val="single" w:color="000000" w:sz="4" w:space="0"/>
              <w:left w:val="single" w:color="000000" w:sz="4" w:space="0"/>
              <w:bottom w:val="single" w:color="000000" w:sz="4" w:space="0"/>
              <w:right w:val="single" w:color="000000" w:sz="4" w:space="0"/>
            </w:tcBorders>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w:t>
            </w:r>
          </w:p>
        </w:tc>
      </w:tr>
      <w:tr>
        <w:tblPrEx>
          <w:tblCellMar>
            <w:top w:w="0" w:type="dxa"/>
            <w:left w:w="0" w:type="dxa"/>
            <w:bottom w:w="0" w:type="dxa"/>
            <w:right w:w="0" w:type="dxa"/>
          </w:tblCellMar>
        </w:tblPrEx>
        <w:trPr>
          <w:trHeight w:val="1027" w:hRule="atLeast"/>
        </w:trPr>
        <w:tc>
          <w:tcPr>
            <w:tcW w:w="1303" w:type="dxa"/>
            <w:vMerge w:val="restart"/>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绩效指标（90分）</w:t>
            </w:r>
          </w:p>
        </w:tc>
        <w:tc>
          <w:tcPr>
            <w:tcW w:w="769"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一级指标</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二级指标</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三级指标</w:t>
            </w:r>
          </w:p>
        </w:tc>
        <w:tc>
          <w:tcPr>
            <w:tcW w:w="62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指标性质</w:t>
            </w:r>
          </w:p>
        </w:tc>
        <w:tc>
          <w:tcPr>
            <w:tcW w:w="473"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指标值</w:t>
            </w:r>
          </w:p>
        </w:tc>
        <w:tc>
          <w:tcPr>
            <w:tcW w:w="345"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度量单位</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完成值</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权重</w:t>
            </w:r>
          </w:p>
        </w:tc>
        <w:tc>
          <w:tcPr>
            <w:tcW w:w="768" w:type="dxa"/>
            <w:tcBorders>
              <w:top w:val="single" w:color="000000" w:sz="4" w:space="0"/>
              <w:left w:val="single" w:color="000000" w:sz="4" w:space="0"/>
              <w:bottom w:val="single" w:color="000000" w:sz="4" w:space="0"/>
              <w:right w:val="nil"/>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得分</w:t>
            </w:r>
          </w:p>
        </w:tc>
        <w:tc>
          <w:tcPr>
            <w:tcW w:w="902"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01" w:hRule="atLeast"/>
        </w:trPr>
        <w:tc>
          <w:tcPr>
            <w:tcW w:w="1303" w:type="dxa"/>
            <w:vMerge w:val="continue"/>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69"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62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473"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宋体" w:hAnsi="宋体" w:eastAsia="宋体" w:cs="宋体"/>
                <w:i w:val="0"/>
                <w:color w:val="000000"/>
                <w:sz w:val="18"/>
                <w:szCs w:val="18"/>
                <w:u w:val="none"/>
              </w:rPr>
            </w:pPr>
          </w:p>
        </w:tc>
        <w:tc>
          <w:tcPr>
            <w:tcW w:w="902" w:type="dxa"/>
            <w:tcBorders>
              <w:top w:val="nil"/>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502" w:hRule="atLeast"/>
        </w:trPr>
        <w:tc>
          <w:tcPr>
            <w:tcW w:w="5822" w:type="dxa"/>
            <w:gridSpan w:val="8"/>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合计</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100</w:t>
            </w:r>
          </w:p>
        </w:tc>
        <w:tc>
          <w:tcPr>
            <w:tcW w:w="768"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c>
          <w:tcPr>
            <w:tcW w:w="902"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60" w:hRule="atLeast"/>
        </w:trPr>
        <w:tc>
          <w:tcPr>
            <w:tcW w:w="1303"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评价结论</w:t>
            </w:r>
          </w:p>
        </w:tc>
        <w:tc>
          <w:tcPr>
            <w:tcW w:w="6957" w:type="dxa"/>
            <w:gridSpan w:val="10"/>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二类疫苗接种服务费收入全额上缴国库，纳入财政预算管理，实施效果较好</w:t>
            </w:r>
          </w:p>
        </w:tc>
      </w:tr>
      <w:tr>
        <w:tblPrEx>
          <w:tblCellMar>
            <w:top w:w="0" w:type="dxa"/>
            <w:left w:w="0" w:type="dxa"/>
            <w:bottom w:w="0" w:type="dxa"/>
            <w:right w:w="0" w:type="dxa"/>
          </w:tblCellMar>
        </w:tblPrEx>
        <w:trPr>
          <w:trHeight w:val="544" w:hRule="atLeast"/>
        </w:trPr>
        <w:tc>
          <w:tcPr>
            <w:tcW w:w="1303"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存在问题</w:t>
            </w:r>
          </w:p>
        </w:tc>
        <w:tc>
          <w:tcPr>
            <w:tcW w:w="6957" w:type="dxa"/>
            <w:gridSpan w:val="10"/>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75" w:hRule="atLeast"/>
        </w:trPr>
        <w:tc>
          <w:tcPr>
            <w:tcW w:w="1303" w:type="dxa"/>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rPr>
              <w:t>改进措施</w:t>
            </w:r>
          </w:p>
        </w:tc>
        <w:tc>
          <w:tcPr>
            <w:tcW w:w="6957" w:type="dxa"/>
            <w:gridSpan w:val="10"/>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72" w:hRule="atLeast"/>
        </w:trPr>
        <w:tc>
          <w:tcPr>
            <w:tcW w:w="4236" w:type="dxa"/>
            <w:gridSpan w:val="5"/>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项目负责人：</w:t>
            </w:r>
          </w:p>
        </w:tc>
        <w:tc>
          <w:tcPr>
            <w:tcW w:w="4024" w:type="dxa"/>
            <w:gridSpan w:val="6"/>
            <w:tcBorders>
              <w:top w:val="single" w:color="000000" w:sz="4" w:space="0"/>
              <w:left w:val="single" w:color="000000" w:sz="4" w:space="0"/>
              <w:bottom w:val="single" w:color="000000" w:sz="4" w:space="0"/>
              <w:right w:val="single" w:color="000000" w:sz="4" w:space="0"/>
            </w:tcBorders>
            <w:noWrap w:val="0"/>
            <w:tcMar>
              <w:top w:w="10" w:type="dxa"/>
              <w:left w:w="10" w:type="dxa"/>
              <w:bottom w:w="0" w:type="dxa"/>
              <w:right w:w="10" w:type="dxa"/>
            </w:tcMar>
            <w:vAlign w:val="center"/>
          </w:tcPr>
          <w:p>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rPr>
              <w:t>财务负责人：</w:t>
            </w:r>
          </w:p>
        </w:tc>
      </w:tr>
    </w:tbl>
    <w:p>
      <w:pPr>
        <w:spacing w:line="600" w:lineRule="exact"/>
        <w:jc w:val="both"/>
        <w:outlineLvl w:val="0"/>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2"/>
        <w:rPr>
          <w:rFonts w:hint="eastAsia"/>
        </w:rPr>
      </w:pPr>
    </w:p>
    <w:p>
      <w:pPr>
        <w:numPr>
          <w:ilvl w:val="0"/>
          <w:numId w:val="4"/>
        </w:numPr>
        <w:spacing w:line="600" w:lineRule="exact"/>
        <w:jc w:val="center"/>
        <w:outlineLvl w:val="0"/>
        <w:rPr>
          <w:rStyle w:val="27"/>
          <w:rFonts w:hint="eastAsia" w:ascii="黑体" w:hAnsi="黑体" w:eastAsia="黑体"/>
          <w:b w:val="0"/>
          <w:color w:val="auto"/>
          <w:highlight w:val="none"/>
        </w:rPr>
      </w:pPr>
      <w:r>
        <w:rPr>
          <w:rStyle w:val="27"/>
          <w:rFonts w:hint="eastAsia" w:ascii="黑体" w:hAnsi="黑体" w:eastAsia="黑体"/>
          <w:b w:val="0"/>
          <w:color w:val="auto"/>
          <w:highlight w:val="none"/>
        </w:rPr>
        <w:t>附表</w:t>
      </w:r>
      <w:bookmarkEnd w:id="90"/>
      <w:bookmarkEnd w:id="94"/>
      <w:bookmarkEnd w:id="96"/>
      <w:bookmarkStart w:id="97" w:name="_Toc15396619"/>
    </w:p>
    <w:p>
      <w:pPr>
        <w:pStyle w:val="2"/>
        <w:numPr>
          <w:ilvl w:val="0"/>
          <w:numId w:val="0"/>
        </w:numPr>
        <w:rPr>
          <w:rFonts w:hint="eastAsia"/>
        </w:rPr>
      </w:pPr>
    </w:p>
    <w:p>
      <w:pPr>
        <w:spacing w:line="600" w:lineRule="exact"/>
        <w:jc w:val="both"/>
        <w:outlineLvl w:val="1"/>
        <w:rPr>
          <w:rStyle w:val="28"/>
          <w:rFonts w:hint="eastAsia" w:ascii="仿宋" w:hAnsi="仿宋" w:eastAsia="仿宋"/>
          <w:b w:val="0"/>
          <w:bCs w:val="0"/>
          <w:color w:val="auto"/>
          <w:highlight w:val="none"/>
        </w:rPr>
      </w:pPr>
      <w:bookmarkStart w:id="98" w:name="_Toc23656"/>
      <w:r>
        <w:rPr>
          <w:rStyle w:val="28"/>
          <w:rFonts w:hint="eastAsia" w:ascii="仿宋" w:hAnsi="仿宋" w:eastAsia="仿宋"/>
          <w:b w:val="0"/>
          <w:bCs w:val="0"/>
          <w:color w:val="auto"/>
          <w:highlight w:val="none"/>
        </w:rPr>
        <w:t>一、收入支出决算总表</w:t>
      </w:r>
      <w:bookmarkEnd w:id="97"/>
      <w:bookmarkEnd w:id="98"/>
      <w:bookmarkStart w:id="99" w:name="_Toc15396620"/>
    </w:p>
    <w:p>
      <w:pPr>
        <w:spacing w:line="600" w:lineRule="exact"/>
        <w:jc w:val="both"/>
        <w:outlineLvl w:val="1"/>
        <w:rPr>
          <w:rStyle w:val="28"/>
          <w:rFonts w:hint="eastAsia" w:ascii="仿宋" w:hAnsi="仿宋" w:eastAsia="仿宋"/>
          <w:b w:val="0"/>
          <w:bCs w:val="0"/>
          <w:color w:val="auto"/>
          <w:highlight w:val="none"/>
        </w:rPr>
      </w:pPr>
      <w:bookmarkStart w:id="100" w:name="_Toc31991"/>
      <w:r>
        <w:rPr>
          <w:rStyle w:val="28"/>
          <w:rFonts w:hint="eastAsia" w:ascii="仿宋" w:hAnsi="仿宋" w:eastAsia="仿宋"/>
          <w:b w:val="0"/>
          <w:bCs w:val="0"/>
          <w:color w:val="auto"/>
          <w:highlight w:val="none"/>
        </w:rPr>
        <w:t>二、收入决算表</w:t>
      </w:r>
      <w:bookmarkEnd w:id="99"/>
      <w:bookmarkEnd w:id="100"/>
      <w:bookmarkStart w:id="101" w:name="_Toc15396621"/>
    </w:p>
    <w:p>
      <w:pPr>
        <w:spacing w:line="600" w:lineRule="exact"/>
        <w:jc w:val="both"/>
        <w:outlineLvl w:val="1"/>
        <w:rPr>
          <w:rStyle w:val="28"/>
          <w:rFonts w:hint="eastAsia" w:ascii="仿宋" w:hAnsi="仿宋" w:eastAsia="仿宋"/>
          <w:b w:val="0"/>
          <w:bCs w:val="0"/>
          <w:color w:val="auto"/>
          <w:highlight w:val="none"/>
        </w:rPr>
      </w:pPr>
      <w:bookmarkStart w:id="102" w:name="_Toc7907"/>
      <w:r>
        <w:rPr>
          <w:rStyle w:val="28"/>
          <w:rFonts w:hint="eastAsia" w:ascii="仿宋" w:hAnsi="仿宋" w:eastAsia="仿宋"/>
          <w:b w:val="0"/>
          <w:bCs w:val="0"/>
          <w:color w:val="auto"/>
          <w:highlight w:val="none"/>
        </w:rPr>
        <w:t>三、支出决算表</w:t>
      </w:r>
      <w:bookmarkEnd w:id="101"/>
      <w:bookmarkEnd w:id="102"/>
      <w:bookmarkStart w:id="103" w:name="_Toc15396622"/>
    </w:p>
    <w:p>
      <w:pPr>
        <w:spacing w:line="600" w:lineRule="exact"/>
        <w:jc w:val="both"/>
        <w:outlineLvl w:val="1"/>
        <w:rPr>
          <w:rStyle w:val="28"/>
          <w:rFonts w:hint="eastAsia" w:ascii="仿宋" w:hAnsi="仿宋" w:eastAsia="仿宋"/>
          <w:b w:val="0"/>
          <w:bCs w:val="0"/>
          <w:color w:val="auto"/>
          <w:highlight w:val="none"/>
        </w:rPr>
      </w:pPr>
      <w:bookmarkStart w:id="104" w:name="_Toc9029"/>
      <w:r>
        <w:rPr>
          <w:rStyle w:val="28"/>
          <w:rFonts w:hint="eastAsia" w:ascii="仿宋" w:hAnsi="仿宋" w:eastAsia="仿宋"/>
          <w:b w:val="0"/>
          <w:bCs w:val="0"/>
          <w:color w:val="auto"/>
          <w:highlight w:val="none"/>
        </w:rPr>
        <w:t>四、财政拨款收入支出决算总表</w:t>
      </w:r>
      <w:bookmarkEnd w:id="103"/>
      <w:bookmarkEnd w:id="104"/>
      <w:bookmarkStart w:id="105" w:name="_Toc15396623"/>
    </w:p>
    <w:p>
      <w:pPr>
        <w:spacing w:line="600" w:lineRule="exact"/>
        <w:jc w:val="both"/>
        <w:outlineLvl w:val="1"/>
        <w:rPr>
          <w:rStyle w:val="28"/>
          <w:rFonts w:hint="eastAsia" w:ascii="仿宋" w:hAnsi="仿宋" w:eastAsia="仿宋"/>
          <w:b w:val="0"/>
          <w:bCs w:val="0"/>
          <w:color w:val="auto"/>
          <w:highlight w:val="none"/>
        </w:rPr>
      </w:pPr>
      <w:bookmarkStart w:id="106" w:name="_Toc14557"/>
      <w:r>
        <w:rPr>
          <w:rStyle w:val="28"/>
          <w:rFonts w:hint="eastAsia" w:ascii="仿宋" w:hAnsi="仿宋" w:eastAsia="仿宋"/>
          <w:b w:val="0"/>
          <w:bCs w:val="0"/>
          <w:color w:val="auto"/>
          <w:highlight w:val="none"/>
        </w:rPr>
        <w:t>五、财政拨款支出决算明细表</w:t>
      </w:r>
      <w:bookmarkEnd w:id="105"/>
      <w:bookmarkEnd w:id="106"/>
      <w:bookmarkStart w:id="107" w:name="_Toc15396624"/>
    </w:p>
    <w:p>
      <w:pPr>
        <w:spacing w:line="600" w:lineRule="exact"/>
        <w:jc w:val="both"/>
        <w:outlineLvl w:val="1"/>
        <w:rPr>
          <w:rStyle w:val="28"/>
          <w:rFonts w:hint="eastAsia" w:ascii="仿宋" w:hAnsi="仿宋" w:eastAsia="仿宋"/>
          <w:b w:val="0"/>
          <w:bCs w:val="0"/>
          <w:color w:val="auto"/>
          <w:highlight w:val="none"/>
        </w:rPr>
      </w:pPr>
      <w:bookmarkStart w:id="108" w:name="_Toc11343"/>
      <w:r>
        <w:rPr>
          <w:rStyle w:val="28"/>
          <w:rFonts w:hint="eastAsia" w:ascii="仿宋" w:hAnsi="仿宋" w:eastAsia="仿宋"/>
          <w:b w:val="0"/>
          <w:bCs w:val="0"/>
          <w:color w:val="auto"/>
          <w:highlight w:val="none"/>
        </w:rPr>
        <w:t>六、一般公共预算财政拨款支出决算表</w:t>
      </w:r>
      <w:bookmarkEnd w:id="107"/>
      <w:bookmarkEnd w:id="108"/>
      <w:bookmarkStart w:id="109" w:name="_Toc15396625"/>
    </w:p>
    <w:p>
      <w:pPr>
        <w:spacing w:line="600" w:lineRule="exact"/>
        <w:jc w:val="both"/>
        <w:outlineLvl w:val="1"/>
        <w:rPr>
          <w:rStyle w:val="28"/>
          <w:rFonts w:hint="eastAsia" w:ascii="仿宋" w:hAnsi="仿宋" w:eastAsia="仿宋"/>
          <w:b w:val="0"/>
          <w:bCs w:val="0"/>
          <w:color w:val="auto"/>
          <w:highlight w:val="none"/>
        </w:rPr>
      </w:pPr>
      <w:bookmarkStart w:id="110" w:name="_Toc8183"/>
      <w:r>
        <w:rPr>
          <w:rStyle w:val="28"/>
          <w:rFonts w:hint="eastAsia" w:ascii="仿宋" w:hAnsi="仿宋" w:eastAsia="仿宋"/>
          <w:b w:val="0"/>
          <w:bCs w:val="0"/>
          <w:color w:val="auto"/>
          <w:highlight w:val="none"/>
        </w:rPr>
        <w:t>七、一般公共预算财政拨款支出决算明细表</w:t>
      </w:r>
      <w:bookmarkEnd w:id="109"/>
      <w:bookmarkEnd w:id="110"/>
      <w:bookmarkStart w:id="111" w:name="_Toc15396626"/>
    </w:p>
    <w:p>
      <w:pPr>
        <w:spacing w:line="600" w:lineRule="exact"/>
        <w:jc w:val="both"/>
        <w:outlineLvl w:val="1"/>
        <w:rPr>
          <w:rStyle w:val="28"/>
          <w:rFonts w:hint="eastAsia" w:ascii="仿宋" w:hAnsi="仿宋" w:eastAsia="仿宋"/>
          <w:b w:val="0"/>
          <w:bCs w:val="0"/>
          <w:color w:val="auto"/>
          <w:highlight w:val="none"/>
        </w:rPr>
      </w:pPr>
      <w:bookmarkStart w:id="112" w:name="_Toc23283"/>
      <w:r>
        <w:rPr>
          <w:rStyle w:val="28"/>
          <w:rFonts w:hint="eastAsia" w:ascii="仿宋" w:hAnsi="仿宋" w:eastAsia="仿宋"/>
          <w:b w:val="0"/>
          <w:bCs w:val="0"/>
          <w:color w:val="auto"/>
          <w:highlight w:val="none"/>
        </w:rPr>
        <w:t>八、一般公共预算财政拨款基本支出决算表</w:t>
      </w:r>
      <w:bookmarkEnd w:id="111"/>
      <w:bookmarkEnd w:id="112"/>
      <w:bookmarkStart w:id="113" w:name="_Toc15396627"/>
    </w:p>
    <w:p>
      <w:pPr>
        <w:spacing w:line="600" w:lineRule="exact"/>
        <w:jc w:val="both"/>
        <w:outlineLvl w:val="1"/>
        <w:rPr>
          <w:rStyle w:val="28"/>
          <w:rFonts w:hint="eastAsia" w:ascii="仿宋" w:hAnsi="仿宋" w:eastAsia="仿宋"/>
          <w:b w:val="0"/>
          <w:bCs w:val="0"/>
          <w:color w:val="auto"/>
          <w:highlight w:val="none"/>
        </w:rPr>
      </w:pPr>
      <w:bookmarkStart w:id="114" w:name="_Toc10328"/>
      <w:r>
        <w:rPr>
          <w:rStyle w:val="28"/>
          <w:rFonts w:hint="eastAsia" w:ascii="仿宋" w:hAnsi="仿宋" w:eastAsia="仿宋"/>
          <w:b w:val="0"/>
          <w:bCs w:val="0"/>
          <w:color w:val="auto"/>
          <w:highlight w:val="none"/>
        </w:rPr>
        <w:t>九、一般公共预算财政拨款项目支出决算表</w:t>
      </w:r>
      <w:bookmarkEnd w:id="113"/>
      <w:bookmarkEnd w:id="114"/>
    </w:p>
    <w:p>
      <w:pPr>
        <w:spacing w:line="600" w:lineRule="exact"/>
        <w:jc w:val="both"/>
        <w:outlineLvl w:val="1"/>
        <w:rPr>
          <w:rStyle w:val="28"/>
          <w:rFonts w:hint="eastAsia" w:ascii="仿宋" w:hAnsi="仿宋" w:eastAsia="仿宋"/>
          <w:b w:val="0"/>
          <w:bCs w:val="0"/>
          <w:color w:val="auto"/>
          <w:highlight w:val="none"/>
        </w:rPr>
      </w:pPr>
      <w:bookmarkStart w:id="115" w:name="_Toc15396628"/>
      <w:bookmarkStart w:id="116" w:name="_Toc17550"/>
      <w:r>
        <w:rPr>
          <w:rStyle w:val="28"/>
          <w:rFonts w:hint="eastAsia" w:ascii="仿宋" w:hAnsi="仿宋" w:eastAsia="仿宋"/>
          <w:b w:val="0"/>
          <w:bCs w:val="0"/>
          <w:color w:val="auto"/>
          <w:highlight w:val="none"/>
        </w:rPr>
        <w:t>十、</w:t>
      </w:r>
      <w:bookmarkEnd w:id="115"/>
      <w:r>
        <w:rPr>
          <w:rStyle w:val="28"/>
          <w:rFonts w:hint="eastAsia" w:ascii="仿宋" w:hAnsi="仿宋" w:eastAsia="仿宋"/>
          <w:b w:val="0"/>
          <w:bCs w:val="0"/>
          <w:color w:val="auto"/>
          <w:highlight w:val="none"/>
        </w:rPr>
        <w:t>政府性基金预算财政拨款收入支出决算表</w:t>
      </w:r>
      <w:bookmarkEnd w:id="116"/>
    </w:p>
    <w:p>
      <w:pPr>
        <w:spacing w:line="600" w:lineRule="exact"/>
        <w:jc w:val="both"/>
        <w:outlineLvl w:val="1"/>
        <w:rPr>
          <w:rStyle w:val="28"/>
          <w:rFonts w:hint="eastAsia" w:ascii="仿宋" w:hAnsi="仿宋" w:eastAsia="仿宋"/>
          <w:b w:val="0"/>
          <w:bCs w:val="0"/>
          <w:color w:val="auto"/>
          <w:highlight w:val="none"/>
        </w:rPr>
      </w:pPr>
      <w:bookmarkStart w:id="117" w:name="_Toc15396629"/>
      <w:bookmarkStart w:id="118" w:name="_Toc9324"/>
      <w:r>
        <w:rPr>
          <w:rStyle w:val="28"/>
          <w:rFonts w:hint="eastAsia" w:ascii="仿宋" w:hAnsi="仿宋" w:eastAsia="仿宋"/>
          <w:b w:val="0"/>
          <w:bCs w:val="0"/>
          <w:color w:val="auto"/>
          <w:highlight w:val="none"/>
        </w:rPr>
        <w:t>十一、</w:t>
      </w:r>
      <w:bookmarkEnd w:id="117"/>
      <w:r>
        <w:rPr>
          <w:rStyle w:val="28"/>
          <w:rFonts w:hint="eastAsia" w:ascii="仿宋" w:hAnsi="仿宋" w:eastAsia="仿宋"/>
          <w:b w:val="0"/>
          <w:bCs w:val="0"/>
          <w:color w:val="auto"/>
          <w:highlight w:val="none"/>
        </w:rPr>
        <w:t>国有资本经营预算</w:t>
      </w:r>
      <w:r>
        <w:rPr>
          <w:rStyle w:val="28"/>
          <w:rFonts w:hint="eastAsia" w:ascii="仿宋" w:hAnsi="仿宋" w:eastAsia="仿宋"/>
          <w:b w:val="0"/>
          <w:bCs w:val="0"/>
          <w:color w:val="auto"/>
          <w:highlight w:val="none"/>
          <w:lang w:eastAsia="zh-CN"/>
        </w:rPr>
        <w:t>财政拨款收入</w:t>
      </w:r>
      <w:r>
        <w:rPr>
          <w:rStyle w:val="28"/>
          <w:rFonts w:hint="eastAsia" w:ascii="仿宋" w:hAnsi="仿宋" w:eastAsia="仿宋"/>
          <w:b w:val="0"/>
          <w:bCs w:val="0"/>
          <w:color w:val="auto"/>
          <w:highlight w:val="none"/>
        </w:rPr>
        <w:t>支出决算表</w:t>
      </w:r>
      <w:bookmarkEnd w:id="118"/>
    </w:p>
    <w:p>
      <w:pPr>
        <w:spacing w:line="600" w:lineRule="exact"/>
        <w:jc w:val="both"/>
        <w:outlineLvl w:val="1"/>
        <w:rPr>
          <w:rStyle w:val="28"/>
          <w:rFonts w:hint="eastAsia" w:ascii="仿宋" w:hAnsi="仿宋" w:eastAsia="仿宋"/>
          <w:b w:val="0"/>
          <w:bCs w:val="0"/>
          <w:color w:val="auto"/>
          <w:highlight w:val="none"/>
        </w:rPr>
      </w:pPr>
      <w:bookmarkStart w:id="119" w:name="_Toc15396630"/>
      <w:bookmarkStart w:id="120" w:name="_Toc25150"/>
      <w:r>
        <w:rPr>
          <w:rStyle w:val="28"/>
          <w:rFonts w:hint="eastAsia" w:ascii="仿宋" w:hAnsi="仿宋" w:eastAsia="仿宋"/>
          <w:b w:val="0"/>
          <w:bCs w:val="0"/>
          <w:color w:val="auto"/>
          <w:highlight w:val="none"/>
        </w:rPr>
        <w:t>十二、</w:t>
      </w:r>
      <w:bookmarkEnd w:id="119"/>
      <w:r>
        <w:rPr>
          <w:rStyle w:val="28"/>
          <w:rFonts w:hint="eastAsia" w:ascii="仿宋" w:hAnsi="仿宋" w:eastAsia="仿宋"/>
          <w:b w:val="0"/>
          <w:bCs w:val="0"/>
          <w:color w:val="auto"/>
          <w:highlight w:val="none"/>
          <w:lang w:eastAsia="zh-CN"/>
        </w:rPr>
        <w:t>国有资本经营预算财政拨款支出决算表</w:t>
      </w:r>
      <w:bookmarkEnd w:id="120"/>
    </w:p>
    <w:p>
      <w:pPr>
        <w:spacing w:line="600" w:lineRule="exact"/>
        <w:jc w:val="both"/>
        <w:outlineLvl w:val="1"/>
        <w:rPr>
          <w:rStyle w:val="28"/>
          <w:rFonts w:hint="eastAsia" w:ascii="仿宋" w:hAnsi="仿宋" w:eastAsia="仿宋"/>
          <w:b w:val="0"/>
          <w:bCs w:val="0"/>
          <w:color w:val="auto"/>
          <w:highlight w:val="none"/>
          <w:lang w:eastAsia="zh-CN"/>
        </w:rPr>
      </w:pPr>
      <w:bookmarkStart w:id="121" w:name="_Toc15396631"/>
      <w:bookmarkStart w:id="122" w:name="_Toc24506"/>
      <w:r>
        <w:rPr>
          <w:rStyle w:val="28"/>
          <w:rFonts w:hint="eastAsia" w:ascii="仿宋" w:hAnsi="仿宋" w:eastAsia="仿宋"/>
          <w:b w:val="0"/>
          <w:bCs w:val="0"/>
          <w:color w:val="auto"/>
          <w:highlight w:val="none"/>
        </w:rPr>
        <w:t>十三、</w:t>
      </w:r>
      <w:bookmarkEnd w:id="121"/>
      <w:r>
        <w:rPr>
          <w:rStyle w:val="28"/>
          <w:rFonts w:hint="eastAsia" w:ascii="仿宋" w:hAnsi="仿宋" w:eastAsia="仿宋"/>
          <w:b w:val="0"/>
          <w:bCs w:val="0"/>
          <w:color w:val="auto"/>
          <w:highlight w:val="none"/>
          <w:lang w:eastAsia="zh-CN"/>
        </w:rPr>
        <w:t>财政拨款“三公”经费支出决算表</w:t>
      </w:r>
      <w:bookmarkEnd w:id="122"/>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5"/>
      <w:numFmt w:val="chineseCounting"/>
      <w:suff w:val="space"/>
      <w:lvlText w:val="第%1部分"/>
      <w:lvlJc w:val="left"/>
      <w:rPr>
        <w:rFonts w:hint="eastAsia"/>
      </w:rPr>
    </w:lvl>
  </w:abstractNum>
  <w:abstractNum w:abstractNumId="1">
    <w:nsid w:val="CF092B84"/>
    <w:multiLevelType w:val="multilevel"/>
    <w:tmpl w:val="CF092B84"/>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0053208E"/>
    <w:multiLevelType w:val="singleLevel"/>
    <w:tmpl w:val="0053208E"/>
    <w:lvl w:ilvl="0" w:tentative="0">
      <w:start w:val="1"/>
      <w:numFmt w:val="chineseCounting"/>
      <w:suff w:val="nothing"/>
      <w:lvlText w:val="%1、"/>
      <w:lvlJc w:val="left"/>
      <w:rPr>
        <w:rFonts w:hint="eastAsia"/>
      </w:rPr>
    </w:lvl>
  </w:abstractNum>
  <w:abstractNum w:abstractNumId="3">
    <w:nsid w:val="59ADCABA"/>
    <w:multiLevelType w:val="singleLevel"/>
    <w:tmpl w:val="59ADCABA"/>
    <w:lvl w:ilvl="0" w:tentative="0">
      <w:start w:val="9"/>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70304BE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8"/>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1"/>
    <w:autoRedefine/>
    <w:unhideWhenUsed/>
    <w:qFormat/>
    <w:uiPriority w:val="9"/>
    <w:pPr>
      <w:keepNext/>
      <w:keepLines/>
      <w:spacing w:before="260" w:after="260" w:line="416" w:lineRule="auto"/>
      <w:outlineLvl w:val="2"/>
    </w:pPr>
    <w:rPr>
      <w:b/>
      <w:bCs/>
      <w:sz w:val="32"/>
      <w:szCs w:val="3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link w:val="24"/>
    <w:autoRedefine/>
    <w:qFormat/>
    <w:uiPriority w:val="99"/>
    <w:pPr>
      <w:spacing w:beforeLines="30"/>
    </w:pPr>
    <w:rPr>
      <w:rFonts w:ascii="仿宋_GB2312" w:eastAsia="仿宋_GB2312"/>
      <w:kern w:val="0"/>
      <w:sz w:val="30"/>
    </w:rPr>
  </w:style>
  <w:style w:type="paragraph" w:styleId="6">
    <w:name w:val="Body Text Indent"/>
    <w:basedOn w:val="1"/>
    <w:next w:val="7"/>
    <w:autoRedefin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7">
    <w:name w:val="Body Text First Indent 2"/>
    <w:basedOn w:val="6"/>
    <w:next w:val="1"/>
    <w:autoRedefine/>
    <w:qFormat/>
    <w:uiPriority w:val="0"/>
    <w:pPr>
      <w:ind w:firstLine="420" w:firstLineChars="200"/>
    </w:pPr>
  </w:style>
  <w:style w:type="paragraph" w:styleId="8">
    <w:name w:val="toc 3"/>
    <w:basedOn w:val="1"/>
    <w:next w:val="1"/>
    <w:autoRedefine/>
    <w:unhideWhenUsed/>
    <w:qFormat/>
    <w:uiPriority w:val="39"/>
    <w:pPr>
      <w:tabs>
        <w:tab w:val="right" w:leader="dot" w:pos="8296"/>
      </w:tabs>
      <w:ind w:left="840" w:leftChars="400"/>
    </w:pPr>
  </w:style>
  <w:style w:type="paragraph" w:styleId="9">
    <w:name w:val="Balloon Text"/>
    <w:basedOn w:val="1"/>
    <w:link w:val="30"/>
    <w:autoRedefine/>
    <w:semiHidden/>
    <w:unhideWhenUsed/>
    <w:qFormat/>
    <w:uiPriority w:val="99"/>
    <w:rPr>
      <w:sz w:val="18"/>
      <w:szCs w:val="18"/>
    </w:rPr>
  </w:style>
  <w:style w:type="paragraph" w:styleId="10">
    <w:name w:val="footer"/>
    <w:basedOn w:val="1"/>
    <w:link w:val="22"/>
    <w:autoRedefine/>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table" w:styleId="15">
    <w:name w:val="Table Grid"/>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Header Char"/>
    <w:basedOn w:val="16"/>
    <w:semiHidden/>
    <w:qFormat/>
    <w:uiPriority w:val="99"/>
    <w:rPr>
      <w:rFonts w:ascii="Times New Roman" w:hAnsi="Times New Roman"/>
      <w:sz w:val="18"/>
      <w:szCs w:val="18"/>
    </w:rPr>
  </w:style>
  <w:style w:type="character" w:customStyle="1" w:styleId="20">
    <w:name w:val="页眉 Char"/>
    <w:link w:val="11"/>
    <w:semiHidden/>
    <w:qFormat/>
    <w:locked/>
    <w:uiPriority w:val="99"/>
    <w:rPr>
      <w:sz w:val="18"/>
    </w:rPr>
  </w:style>
  <w:style w:type="character" w:customStyle="1" w:styleId="21">
    <w:name w:val="Footer Char"/>
    <w:basedOn w:val="16"/>
    <w:semiHidden/>
    <w:qFormat/>
    <w:uiPriority w:val="99"/>
    <w:rPr>
      <w:rFonts w:ascii="Times New Roman" w:hAnsi="Times New Roman"/>
      <w:sz w:val="18"/>
      <w:szCs w:val="18"/>
    </w:rPr>
  </w:style>
  <w:style w:type="character" w:customStyle="1" w:styleId="22">
    <w:name w:val="页脚 Char"/>
    <w:link w:val="10"/>
    <w:qFormat/>
    <w:locked/>
    <w:uiPriority w:val="99"/>
    <w:rPr>
      <w:sz w:val="18"/>
    </w:rPr>
  </w:style>
  <w:style w:type="character" w:customStyle="1" w:styleId="23">
    <w:name w:val="Body Text Char"/>
    <w:basedOn w:val="16"/>
    <w:semiHidden/>
    <w:qFormat/>
    <w:uiPriority w:val="99"/>
    <w:rPr>
      <w:rFonts w:ascii="Times New Roman" w:hAnsi="Times New Roman"/>
      <w:szCs w:val="24"/>
    </w:rPr>
  </w:style>
  <w:style w:type="character" w:customStyle="1" w:styleId="24">
    <w:name w:val="正文文本 Char"/>
    <w:link w:val="2"/>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character" w:customStyle="1" w:styleId="27">
    <w:name w:val="标题 1 Char"/>
    <w:basedOn w:val="16"/>
    <w:link w:val="3"/>
    <w:qFormat/>
    <w:uiPriority w:val="9"/>
    <w:rPr>
      <w:rFonts w:ascii="Times New Roman" w:hAnsi="Times New Roman"/>
      <w:b/>
      <w:bCs/>
      <w:kern w:val="44"/>
      <w:sz w:val="44"/>
      <w:szCs w:val="44"/>
    </w:rPr>
  </w:style>
  <w:style w:type="character" w:customStyle="1" w:styleId="28">
    <w:name w:val="标题 2 Char"/>
    <w:basedOn w:val="16"/>
    <w:link w:val="4"/>
    <w:qFormat/>
    <w:uiPriority w:val="9"/>
    <w:rPr>
      <w:rFonts w:asciiTheme="majorHAnsi" w:hAnsiTheme="majorHAnsi" w:eastAsiaTheme="majorEastAsia" w:cstheme="majorBidi"/>
      <w:b/>
      <w:bCs/>
      <w:kern w:val="2"/>
      <w:sz w:val="32"/>
      <w:szCs w:val="32"/>
    </w:rPr>
  </w:style>
  <w:style w:type="paragraph" w:customStyle="1" w:styleId="2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批注框文本 Char"/>
    <w:basedOn w:val="16"/>
    <w:link w:val="9"/>
    <w:semiHidden/>
    <w:qFormat/>
    <w:uiPriority w:val="99"/>
    <w:rPr>
      <w:rFonts w:ascii="Times New Roman" w:hAnsi="Times New Roman"/>
      <w:kern w:val="2"/>
      <w:sz w:val="18"/>
      <w:szCs w:val="18"/>
    </w:rPr>
  </w:style>
  <w:style w:type="character" w:customStyle="1" w:styleId="31">
    <w:name w:val="标题 3 Char"/>
    <w:basedOn w:val="16"/>
    <w:link w:val="5"/>
    <w:qFormat/>
    <w:uiPriority w:val="9"/>
    <w:rPr>
      <w:rFonts w:ascii="Times New Roman" w:hAnsi="Times New Roman"/>
      <w:b/>
      <w:bCs/>
      <w:kern w:val="2"/>
      <w:sz w:val="32"/>
      <w:szCs w:val="32"/>
    </w:rPr>
  </w:style>
  <w:style w:type="paragraph" w:customStyle="1" w:styleId="32">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font31"/>
    <w:basedOn w:val="16"/>
    <w:qFormat/>
    <w:uiPriority w:val="0"/>
    <w:rPr>
      <w:rFonts w:hint="eastAsia" w:ascii="宋体" w:hAnsi="宋体" w:eastAsia="宋体" w:cs="宋体"/>
      <w:color w:val="000000"/>
      <w:sz w:val="20"/>
      <w:szCs w:val="20"/>
      <w:u w:val="none"/>
    </w:rPr>
  </w:style>
  <w:style w:type="character" w:customStyle="1" w:styleId="34">
    <w:name w:val="font121"/>
    <w:basedOn w:val="16"/>
    <w:qFormat/>
    <w:uiPriority w:val="0"/>
    <w:rPr>
      <w:rFonts w:hint="eastAsia" w:ascii="宋体" w:hAnsi="宋体" w:eastAsia="宋体" w:cs="宋体"/>
      <w:color w:val="000000"/>
      <w:sz w:val="20"/>
      <w:szCs w:val="20"/>
      <w:u w:val="none"/>
    </w:rPr>
  </w:style>
  <w:style w:type="character" w:customStyle="1" w:styleId="35">
    <w:name w:val="font101"/>
    <w:basedOn w:val="16"/>
    <w:autoRedefine/>
    <w:qFormat/>
    <w:uiPriority w:val="0"/>
    <w:rPr>
      <w:rFonts w:hint="eastAsia" w:ascii="宋体" w:hAnsi="宋体" w:eastAsia="宋体" w:cs="宋体"/>
      <w:color w:val="000000"/>
      <w:sz w:val="18"/>
      <w:szCs w:val="18"/>
      <w:u w:val="none"/>
    </w:rPr>
  </w:style>
  <w:style w:type="character" w:customStyle="1" w:styleId="36">
    <w:name w:val="font71"/>
    <w:basedOn w:val="16"/>
    <w:qFormat/>
    <w:uiPriority w:val="0"/>
    <w:rPr>
      <w:rFonts w:hint="eastAsia" w:ascii="宋体" w:hAnsi="宋体" w:eastAsia="宋体" w:cs="宋体"/>
      <w:color w:val="000000"/>
      <w:sz w:val="18"/>
      <w:szCs w:val="18"/>
      <w:u w:val="none"/>
    </w:rPr>
  </w:style>
  <w:style w:type="character" w:customStyle="1" w:styleId="37">
    <w:name w:val="font112"/>
    <w:basedOn w:val="16"/>
    <w:autoRedefine/>
    <w:qFormat/>
    <w:uiPriority w:val="0"/>
    <w:rPr>
      <w:rFonts w:hint="eastAsia" w:ascii="宋体" w:hAnsi="宋体" w:eastAsia="宋体" w:cs="宋体"/>
      <w:color w:val="000000"/>
      <w:sz w:val="20"/>
      <w:szCs w:val="20"/>
      <w:u w:val="none"/>
    </w:rPr>
  </w:style>
  <w:style w:type="paragraph" w:customStyle="1" w:styleId="38">
    <w:name w:val="WPSOffice手动目录 1"/>
    <w:autoRedefine/>
    <w:qFormat/>
    <w:uiPriority w:val="0"/>
    <w:pPr>
      <w:ind w:leftChars="0"/>
    </w:pPr>
    <w:rPr>
      <w:rFonts w:ascii="Times New Roman" w:hAnsi="Times New Roman" w:eastAsia="宋体" w:cs="Times New Roman"/>
      <w:sz w:val="20"/>
      <w:szCs w:val="20"/>
    </w:rPr>
  </w:style>
  <w:style w:type="paragraph" w:customStyle="1" w:styleId="39">
    <w:name w:val="WPSOffice手动目录 2"/>
    <w:autoRedefine/>
    <w:qFormat/>
    <w:uiPriority w:val="0"/>
    <w:pPr>
      <w:ind w:leftChars="200"/>
    </w:pPr>
    <w:rPr>
      <w:rFonts w:ascii="Times New Roman" w:hAnsi="Times New Roman" w:eastAsia="宋体" w:cs="Times New Roman"/>
      <w:sz w:val="20"/>
      <w:szCs w:val="20"/>
    </w:rPr>
  </w:style>
  <w:style w:type="paragraph" w:customStyle="1" w:styleId="40">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2022&#24180;&#29579;&#23478;&#34382;&#36339;&#20915;&#31639;\&#24037;&#20316;&#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4353015075377"/>
          <c:y val="0.103540414161657"/>
          <c:w val="0.830935929648241"/>
          <c:h val="0.613694054776219"/>
        </c:manualLayout>
      </c:layout>
      <c:barChart>
        <c:barDir val="col"/>
        <c:grouping val="clustered"/>
        <c:varyColors val="0"/>
        <c:ser>
          <c:idx val="0"/>
          <c:order val="0"/>
          <c:tx>
            <c:strRef>
              <c:f>[工作簿1.xlsx]Sheet1!$A$2</c:f>
              <c:strCache>
                <c:ptCount val="1"/>
                <c:pt idx="0">
                  <c:v>2021年</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errBars>
            <c:errBarType val="both"/>
            <c:errValType val="stdErr"/>
            <c:noEndCap val="0"/>
            <c:spPr>
              <a:noFill/>
              <a:ln w="9525" cap="flat" cmpd="sng" algn="ctr">
                <a:solidFill>
                  <a:schemeClr val="dk1">
                    <a:lumMod val="65000"/>
                    <a:lumOff val="35000"/>
                  </a:schemeClr>
                </a:solidFill>
                <a:prstDash val="solid"/>
                <a:round/>
              </a:ln>
              <a:effectLst/>
            </c:spPr>
          </c:errBars>
          <c:cat>
            <c:strRef>
              <c:f>[工作簿1.xlsx]Sheet1!$B$1:$C$1</c:f>
              <c:strCache>
                <c:ptCount val="2"/>
                <c:pt idx="0">
                  <c:v>收入</c:v>
                </c:pt>
                <c:pt idx="1">
                  <c:v>支出</c:v>
                </c:pt>
              </c:strCache>
            </c:strRef>
          </c:cat>
          <c:val>
            <c:numRef>
              <c:f>[工作簿1.xlsx]Sheet1!$B$2:$C$2</c:f>
              <c:numCache>
                <c:formatCode>0.00_ </c:formatCode>
                <c:ptCount val="2"/>
                <c:pt idx="0">
                  <c:v>840.94</c:v>
                </c:pt>
                <c:pt idx="1">
                  <c:v>840.94</c:v>
                </c:pt>
              </c:numCache>
            </c:numRef>
          </c:val>
        </c:ser>
        <c:ser>
          <c:idx val="1"/>
          <c:order val="1"/>
          <c:tx>
            <c:strRef>
              <c:f>[工作簿1.xlsx]Sheet1!$A$3</c:f>
              <c:strCache>
                <c:ptCount val="1"/>
                <c:pt idx="0">
                  <c:v>2022年</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errBars>
            <c:errBarType val="both"/>
            <c:errValType val="stdErr"/>
            <c:noEndCap val="0"/>
            <c:spPr>
              <a:noFill/>
              <a:ln w="9525" cap="flat" cmpd="sng" algn="ctr">
                <a:solidFill>
                  <a:schemeClr val="dk1">
                    <a:lumMod val="65000"/>
                    <a:lumOff val="35000"/>
                  </a:schemeClr>
                </a:solidFill>
                <a:prstDash val="solid"/>
                <a:round/>
              </a:ln>
              <a:effectLst/>
            </c:spPr>
          </c:errBars>
          <c:cat>
            <c:strRef>
              <c:f>[工作簿1.xlsx]Sheet1!$B$1:$C$1</c:f>
              <c:strCache>
                <c:ptCount val="2"/>
                <c:pt idx="0">
                  <c:v>收入</c:v>
                </c:pt>
                <c:pt idx="1">
                  <c:v>支出</c:v>
                </c:pt>
              </c:strCache>
            </c:strRef>
          </c:cat>
          <c:val>
            <c:numRef>
              <c:f>[工作簿1.xlsx]Sheet1!$B$3:$C$3</c:f>
              <c:numCache>
                <c:formatCode>0.00_ </c:formatCode>
                <c:ptCount val="2"/>
                <c:pt idx="0">
                  <c:v>967.82</c:v>
                </c:pt>
                <c:pt idx="1">
                  <c:v>967.82</c:v>
                </c:pt>
              </c:numCache>
            </c:numRef>
          </c:val>
        </c:ser>
        <c:dLbls>
          <c:showLegendKey val="0"/>
          <c:showVal val="1"/>
          <c:showCatName val="0"/>
          <c:showSerName val="0"/>
          <c:showPercent val="0"/>
          <c:showBubbleSize val="0"/>
        </c:dLbls>
        <c:gapWidth val="65"/>
        <c:overlap val="0"/>
        <c:axId val="945988029"/>
        <c:axId val="91702100"/>
      </c:barChart>
      <c:catAx>
        <c:axId val="945988029"/>
        <c:scaling>
          <c:orientation val="minMax"/>
        </c:scaling>
        <c:delete val="0"/>
        <c:axPos val="b"/>
        <c:majorTickMark val="out"/>
        <c:minorTickMark val="none"/>
        <c:tickLblPos val="nextTo"/>
        <c:spPr>
          <a:noFill/>
          <a:ln w="19050" cap="flat" cmpd="sng" algn="ctr">
            <a:solidFill>
              <a:schemeClr val="dk1">
                <a:lumMod val="75000"/>
                <a:lumOff val="25000"/>
              </a:schemeClr>
            </a:solidFill>
            <a:prstDash val="solid"/>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91702100"/>
        <c:crosses val="autoZero"/>
        <c:auto val="1"/>
        <c:lblAlgn val="ctr"/>
        <c:lblOffset val="100"/>
        <c:noMultiLvlLbl val="0"/>
      </c:catAx>
      <c:valAx>
        <c:axId val="91702100"/>
        <c:scaling>
          <c:orientation val="minMax"/>
        </c:scaling>
        <c:delete val="0"/>
        <c:axPos val="l"/>
        <c:numFmt formatCode="0.00_ "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945988029"/>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278809048569528"/>
          <c:y val="0.192955002513826"/>
          <c:w val="0.938888888888889"/>
          <c:h val="0.645601851851852"/>
        </c:manualLayout>
      </c:layout>
      <c:pie3DChart>
        <c:varyColors val="1"/>
        <c:ser>
          <c:idx val="0"/>
          <c:order val="0"/>
          <c:spPr>
            <a:scene3d>
              <a:camera prst="orthographicFront"/>
              <a:lightRig rig="threePt" dir="t"/>
            </a:scene3d>
            <a:sp3d contourW="9525"/>
          </c:spPr>
          <c:explosion val="0"/>
          <c:dPt>
            <c:idx val="0"/>
            <c:bubble3D val="0"/>
            <c:spPr>
              <a:solidFill>
                <a:schemeClr val="accent1"/>
              </a:solidFill>
              <a:ln>
                <a:noFill/>
              </a:ln>
              <a:effectLst>
                <a:outerShdw blurRad="88900" sx="102000" sy="102000" algn="ctr" rotWithShape="0">
                  <a:prstClr val="black">
                    <a:alpha val="20000"/>
                  </a:prstClr>
                </a:outerShdw>
              </a:effectLst>
              <a:scene3d>
                <a:camera prst="orthographicFront"/>
                <a:lightRig rig="threePt" dir="t"/>
              </a:scene3d>
              <a:sp3d contourW="9525"/>
            </c:spPr>
          </c:dPt>
          <c:dPt>
            <c:idx val="1"/>
            <c:bubble3D val="0"/>
            <c:explosion val="27"/>
            <c:spPr>
              <a:solidFill>
                <a:schemeClr val="accent2"/>
              </a:solidFill>
              <a:ln>
                <a:noFill/>
              </a:ln>
              <a:effectLst>
                <a:outerShdw blurRad="88900" sx="102000" sy="102000" algn="ctr" rotWithShape="0">
                  <a:prstClr val="black">
                    <a:alpha val="20000"/>
                  </a:prstClr>
                </a:outerShdw>
              </a:effectLst>
            </c:spPr>
          </c:dPt>
          <c:dPt>
            <c:idx val="2"/>
            <c:bubble3D val="0"/>
            <c:explosion val="21"/>
            <c:spPr>
              <a:solidFill>
                <a:schemeClr val="accent3"/>
              </a:solidFill>
              <a:ln>
                <a:noFill/>
              </a:ln>
              <a:effectLst>
                <a:outerShdw blurRad="88900" sx="102000" sy="102000" algn="ctr" rotWithShape="0">
                  <a:prstClr val="black">
                    <a:alpha val="20000"/>
                  </a:prstClr>
                </a:outerShdw>
              </a:effectLst>
              <a:scene3d>
                <a:camera prst="orthographicFront"/>
                <a:lightRig rig="threePt" dir="t"/>
              </a:scene3d>
              <a:sp3d contourW="9525"/>
            </c:spPr>
          </c:dPt>
          <c:dLbls>
            <c:dLbl>
              <c:idx val="0"/>
              <c:layout>
                <c:manualLayout>
                  <c:x val="-0.144869234824354"/>
                  <c:y val="-0.228683543816511"/>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财政拨款收入</a:t>
                    </a:r>
                    <a:r>
                      <a:rPr lang="en-US" altLang="zh-CN">
                        <a:solidFill>
                          <a:sysClr val="windowText" lastClr="000000"/>
                        </a:solidFill>
                      </a:rPr>
                      <a:t>49.49%</a:t>
                    </a:r>
                    <a:endParaRPr lang="en-US" altLang="zh-CN">
                      <a:solidFill>
                        <a:sysClr val="windowText" lastClr="000000"/>
                      </a:solidFill>
                    </a:endParaRP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103891894312822"/>
                  <c:y val="-0.136033636529893"/>
                </c:manualLayout>
              </c:layout>
              <c:tx>
                <c:rich>
                  <a:bodyPr rot="0" spcFirstLastPara="0" vertOverflow="ellipsis" vert="horz" wrap="non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政府性基金</a:t>
                    </a:r>
                    <a:r>
                      <a:rPr lang="en-US" altLang="zh-CN">
                        <a:solidFill>
                          <a:sysClr val="windowText" lastClr="000000"/>
                        </a:solidFill>
                      </a:rPr>
                      <a:t>6.36</a:t>
                    </a:r>
                    <a:r>
                      <a:rPr>
                        <a:solidFill>
                          <a:sysClr val="windowText" lastClr="000000"/>
                        </a:solidFill>
                      </a:rPr>
                      <a:t>%</a:t>
                    </a:r>
                    <a:endParaRPr>
                      <a:solidFill>
                        <a:sysClr val="windowText" lastClr="000000"/>
                      </a:solidFill>
                    </a:endParaRPr>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132209341974917"/>
                  <c:y val="-0.0106418953524439"/>
                </c:manualLayout>
              </c:layout>
              <c:tx>
                <c:rich>
                  <a:bodyPr rot="0" spcFirstLastPara="0" vertOverflow="ellipsis" vert="horz" wrap="none" lIns="38100" tIns="19050" rIns="38100" bIns="19050" anchor="ctr" anchorCtr="1"/>
                  <a:lstStyle/>
                  <a:p>
                    <a:pPr defTabSz="914400">
                      <a:defRPr lang="zh-CN" sz="900" b="1" i="0" u="none" strike="noStrike" kern="1200" baseline="0">
                        <a:solidFill>
                          <a:sysClr val="windowText" lastClr="000000"/>
                        </a:solidFill>
                        <a:latin typeface="+mn-lt"/>
                        <a:ea typeface="+mn-ea"/>
                        <a:cs typeface="+mn-cs"/>
                      </a:defRPr>
                    </a:pPr>
                    <a:r>
                      <a:rPr>
                        <a:solidFill>
                          <a:sysClr val="windowText" lastClr="000000"/>
                        </a:solidFill>
                      </a:rPr>
                      <a:t>事业收入</a:t>
                    </a:r>
                    <a:r>
                      <a:rPr lang="en-US" altLang="zh-CN">
                        <a:solidFill>
                          <a:sysClr val="windowText" lastClr="000000"/>
                        </a:solidFill>
                      </a:rPr>
                      <a:t>50.51%</a:t>
                    </a:r>
                    <a:endParaRPr lang="en-US" altLang="zh-CN">
                      <a:solidFill>
                        <a:sysClr val="windowText" lastClr="000000"/>
                      </a:solidFill>
                    </a:endParaRPr>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214305555555556"/>
                      <c:h val="0.08125"/>
                    </c:manualLayout>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[工作簿1.xlsx]Sheet1!$A$16:$A$18</c:f>
              <c:strCache>
                <c:ptCount val="3"/>
                <c:pt idx="0">
                  <c:v>财政拨款收入</c:v>
                </c:pt>
                <c:pt idx="2">
                  <c:v>事业收入</c:v>
                </c:pt>
              </c:strCache>
            </c:strRef>
          </c:cat>
          <c:val>
            <c:numRef>
              <c:f>[工作簿1.xlsx]Sheet1!$B$16:$B$18</c:f>
              <c:numCache>
                <c:formatCode>General</c:formatCode>
                <c:ptCount val="3"/>
                <c:pt idx="0">
                  <c:v>478.97</c:v>
                </c:pt>
                <c:pt idx="2">
                  <c:v>488.85</c:v>
                </c:pt>
              </c:numCache>
            </c:numRef>
          </c:val>
        </c:ser>
        <c:ser>
          <c:idx val="1"/>
          <c:order val="1"/>
          <c:explosion val="0"/>
          <c:dPt>
            <c:idx val="0"/>
            <c:bubble3D val="0"/>
            <c:spPr>
              <a:solidFill>
                <a:schemeClr val="accent1"/>
              </a:solidFill>
              <a:ln>
                <a:noFill/>
              </a:ln>
              <a:effectLst>
                <a:outerShdw blurRad="88900" sx="102000" sy="102000" algn="ctr" rotWithShape="0">
                  <a:prstClr val="black">
                    <a:alpha val="20000"/>
                  </a:prstClr>
                </a:outerShdw>
              </a:effectLst>
            </c:spPr>
          </c:dPt>
          <c:dPt>
            <c:idx val="1"/>
            <c:bubble3D val="0"/>
            <c:spPr>
              <a:solidFill>
                <a:schemeClr val="accent2"/>
              </a:solidFill>
              <a:ln>
                <a:noFill/>
              </a:ln>
              <a:effectLst>
                <a:outerShdw blurRad="88900" sx="102000" sy="102000" algn="ctr" rotWithShape="0">
                  <a:prstClr val="black">
                    <a:alpha val="20000"/>
                  </a:prstClr>
                </a:outerShdw>
              </a:effectLst>
            </c:spPr>
          </c:dPt>
          <c:dPt>
            <c:idx val="2"/>
            <c:bubble3D val="0"/>
            <c:spPr>
              <a:solidFill>
                <a:schemeClr val="accent3"/>
              </a:solidFill>
              <a:ln>
                <a:noFill/>
              </a:ln>
              <a:effectLst>
                <a:outerShdw blurRad="88900" sx="102000" sy="102000" algn="ctr" rotWithShape="0">
                  <a:prstClr val="black">
                    <a:alpha val="20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ysClr val="windowText" lastClr="000000"/>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[工作簿1.xlsx]Sheet1!$A$16:$A$18</c:f>
              <c:strCache>
                <c:ptCount val="3"/>
                <c:pt idx="0">
                  <c:v>财政拨款收入</c:v>
                </c:pt>
                <c:pt idx="2">
                  <c:v>事业收入</c:v>
                </c:pt>
              </c:strCache>
            </c:strRef>
          </c:cat>
          <c:val>
            <c:numRef>
              <c:f>[工作簿1.xlsx]Sheet1!$C$16:$C$18</c:f>
              <c:numCache>
                <c:formatCode>0.00%</c:formatCode>
                <c:ptCount val="3"/>
                <c:pt idx="0">
                  <c:v>0.4949</c:v>
                </c:pt>
                <c:pt idx="2">
                  <c:v>0.5051</c:v>
                </c:pt>
              </c:numCache>
            </c:numRef>
          </c:val>
        </c:ser>
        <c:dLbls>
          <c:showLegendKey val="0"/>
          <c:showVal val="0"/>
          <c:showCatName val="0"/>
          <c:showSerName val="0"/>
          <c:showPercent val="1"/>
          <c:showBubbleSize val="0"/>
        </c:dLbls>
      </c:pie3D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delete val="1"/>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pattFill prst="pct5">
      <a:fgClr>
        <a:schemeClr val="lt1">
          <a:lumMod val="95000"/>
        </a:schemeClr>
      </a:fgClr>
      <a:bgClr>
        <a:schemeClr val="lt1"/>
      </a:bgClr>
    </a:pattFill>
    <a:ln w="9525" cap="flat" cmpd="sng" algn="ctr">
      <a:solidFill>
        <a:schemeClr val="dk1">
          <a:lumMod val="15000"/>
          <a:lumOff val="85000"/>
        </a:schemeClr>
      </a:solidFill>
      <a:prstDash val="solid"/>
      <a:round/>
    </a:ln>
    <a:effectLst/>
  </c:spPr>
  <c:txPr>
    <a:bodyPr/>
    <a:lstStyle/>
    <a:p>
      <a:pPr>
        <a:defRPr lang="zh-CN">
          <a:solidFill>
            <a:sysClr val="windowText" lastClr="000000"/>
          </a:solidFill>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344611528822055"/>
          <c:y val="0.22005376907467"/>
          <c:w val="0.915413533834586"/>
          <c:h val="0.601553166069295"/>
        </c:manualLayout>
      </c:layout>
      <c:pie3DChart>
        <c:varyColors val="1"/>
        <c:ser>
          <c:idx val="0"/>
          <c:order val="0"/>
          <c:spPr>
            <a:scene3d>
              <a:camera prst="orthographicFront"/>
              <a:lightRig rig="threePt" dir="t"/>
            </a:scene3d>
            <a:sp3d contourW="25400"/>
          </c:spPr>
          <c:explosion val="0"/>
          <c:dPt>
            <c:idx val="0"/>
            <c:bubble3D val="0"/>
            <c:spPr>
              <a:solidFill>
                <a:schemeClr val="accent1"/>
              </a:solidFill>
              <a:ln w="25400">
                <a:solidFill>
                  <a:schemeClr val="lt1"/>
                </a:solidFill>
              </a:ln>
              <a:effectLst/>
              <a:scene3d>
                <a:camera prst="orthographicFront"/>
                <a:lightRig rig="threePt" dir="t"/>
              </a:scene3d>
              <a:sp3d contourW="25400"/>
            </c:spPr>
          </c:dPt>
          <c:dPt>
            <c:idx val="1"/>
            <c:bubble3D val="0"/>
            <c:explosion val="25"/>
            <c:spPr>
              <a:solidFill>
                <a:schemeClr val="accent2"/>
              </a:solidFill>
              <a:ln w="25400">
                <a:solidFill>
                  <a:schemeClr val="lt1"/>
                </a:solidFill>
              </a:ln>
              <a:effectLst/>
              <a:scene3d>
                <a:camera prst="orthographicFront"/>
                <a:lightRig rig="threePt" dir="t"/>
              </a:scene3d>
              <a:sp3d contourW="25400"/>
            </c:spPr>
          </c:dPt>
          <c:dPt>
            <c:idx val="2"/>
            <c:bubble3D val="0"/>
            <c:spPr>
              <a:solidFill>
                <a:schemeClr val="accent3"/>
              </a:solidFill>
              <a:ln w="25400">
                <a:solidFill>
                  <a:schemeClr val="lt1"/>
                </a:solidFill>
              </a:ln>
              <a:effectLst/>
              <a:scene3d>
                <a:camera prst="orthographicFront"/>
                <a:lightRig rig="threePt" dir="t"/>
              </a:scene3d>
              <a:sp3d contourW="25400"/>
            </c:spPr>
          </c:dPt>
          <c:dLbls>
            <c:dLbl>
              <c:idx val="0"/>
              <c:layout>
                <c:manualLayout>
                  <c:x val="-0.156409031369495"/>
                  <c:y val="-0.253986348639451"/>
                </c:manualLayout>
              </c:layout>
              <c:tx>
                <c:rich>
                  <a:bodyPr rot="0" spcFirstLastPara="0" vertOverflow="ellipsis" vert="horz" wrap="none" lIns="38100" tIns="19050" rIns="38100" bIns="19050" anchor="ctr" anchorCtr="1">
                    <a:spAutoFit/>
                  </a:bodyPr>
                  <a:lstStyle/>
                  <a:p>
                    <a:pPr defTabSz="914400">
                      <a:defRPr lang="zh-CN" sz="900" b="1" i="0" u="none" strike="noStrike" kern="1200" baseline="0">
                        <a:solidFill>
                          <a:schemeClr val="tx1">
                            <a:lumMod val="75000"/>
                            <a:lumOff val="25000"/>
                          </a:schemeClr>
                        </a:solidFill>
                        <a:latin typeface="+mn-lt"/>
                        <a:ea typeface="+mn-ea"/>
                        <a:cs typeface="+mn-cs"/>
                      </a:defRPr>
                    </a:pPr>
                    <a:r>
                      <a:rPr b="1"/>
                      <a:t>基本支出</a:t>
                    </a:r>
                    <a:r>
                      <a:rPr lang="en-US" altLang="zh-CN" b="1"/>
                      <a:t>89.47%</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spAutoFit/>
                </a:bodyPr>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dLbl>
              <c:idx val="1"/>
              <c:layout>
                <c:manualLayout>
                  <c:x val="0.0629451607910172"/>
                  <c:y val="0.0606828345499753"/>
                </c:manualLayout>
              </c:layout>
              <c:tx>
                <c:rich>
                  <a:bodyPr rot="0" spcFirstLastPara="0" vertOverflow="ellipsis" vert="horz" wrap="none" lIns="38100" tIns="19050" rIns="38100" bIns="19050" anchor="ctr" anchorCtr="1"/>
                  <a:lstStyle/>
                  <a:p>
                    <a:pPr defTabSz="914400">
                      <a:defRPr lang="zh-CN" sz="900" b="1" i="0" u="none" strike="noStrike" kern="1200" baseline="0">
                        <a:solidFill>
                          <a:schemeClr val="tx1">
                            <a:lumMod val="75000"/>
                            <a:lumOff val="25000"/>
                          </a:schemeClr>
                        </a:solidFill>
                        <a:latin typeface="+mn-lt"/>
                        <a:ea typeface="+mn-ea"/>
                        <a:cs typeface="+mn-cs"/>
                      </a:defRPr>
                    </a:pPr>
                    <a:r>
                      <a:rPr b="1"/>
                      <a:t>项目支出</a:t>
                    </a:r>
                    <a:r>
                      <a:rPr lang="en-US" altLang="zh-CN" b="1"/>
                      <a:t>10.53%</a:t>
                    </a:r>
                    <a:endParaRPr lang="en-US" altLang="zh-CN" b="1"/>
                  </a:p>
                </c:rich>
              </c:tx>
              <c:numFmt formatCode="General" sourceLinked="1"/>
              <c:spPr>
                <a:noFill/>
                <a:ln>
                  <a:noFill/>
                </a:ln>
                <a:effectLst/>
              </c:spPr>
              <c:txPr>
                <a:bodyPr rot="0" spcFirstLastPara="0" vertOverflow="ellipsis" vert="horz" wrap="non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[工作簿1.xlsx]Sheet1!$A$29:$A$31</c:f>
              <c:strCache>
                <c:ptCount val="3"/>
                <c:pt idx="0">
                  <c:v>基本支出</c:v>
                </c:pt>
                <c:pt idx="1">
                  <c:v>项目支出</c:v>
                </c:pt>
              </c:strCache>
            </c:strRef>
          </c:cat>
          <c:val>
            <c:numRef>
              <c:f>[工作簿1.xlsx]Sheet1!$B$29:$B$31</c:f>
              <c:numCache>
                <c:formatCode>General</c:formatCode>
                <c:ptCount val="3"/>
                <c:pt idx="0">
                  <c:v>865.95</c:v>
                </c:pt>
                <c:pt idx="1">
                  <c:v>101.87</c:v>
                </c:pt>
              </c:numCache>
            </c:numRef>
          </c:val>
        </c:ser>
        <c:ser>
          <c:idx val="1"/>
          <c:order val="1"/>
          <c:explosion val="0"/>
          <c:dPt>
            <c:idx val="0"/>
            <c:bubble3D val="0"/>
            <c:spPr>
              <a:solidFill>
                <a:schemeClr val="accent1"/>
              </a:solidFill>
              <a:ln w="25400">
                <a:solidFill>
                  <a:schemeClr val="lt1"/>
                </a:solidFill>
              </a:ln>
              <a:effectLst/>
            </c:spPr>
          </c:dPt>
          <c:dPt>
            <c:idx val="1"/>
            <c:bubble3D val="0"/>
            <c:spPr>
              <a:solidFill>
                <a:schemeClr val="accent2"/>
              </a:solidFill>
              <a:ln w="25400">
                <a:solidFill>
                  <a:schemeClr val="lt1"/>
                </a:solidFill>
              </a:ln>
              <a:effectLst/>
            </c:spPr>
          </c:dPt>
          <c:dPt>
            <c:idx val="2"/>
            <c:bubble3D val="0"/>
            <c:spPr>
              <a:solidFill>
                <a:schemeClr val="accent3"/>
              </a:solidFill>
              <a:ln w="2540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[工作簿1.xlsx]Sheet1!$A$29:$A$31</c:f>
              <c:strCache>
                <c:ptCount val="3"/>
                <c:pt idx="0">
                  <c:v>基本支出</c:v>
                </c:pt>
                <c:pt idx="1">
                  <c:v>项目支出</c:v>
                </c:pt>
              </c:strCache>
            </c:strRef>
          </c:cat>
          <c:val>
            <c:numRef>
              <c:f>[工作簿1.xlsx]Sheet1!$C$29:$C$31</c:f>
              <c:numCache>
                <c:formatCode>0.00%</c:formatCode>
                <c:ptCount val="3"/>
                <c:pt idx="0">
                  <c:v>0.8947</c:v>
                </c:pt>
                <c:pt idx="1">
                  <c:v>0.1053</c:v>
                </c:pt>
              </c:numCache>
            </c:numRef>
          </c:val>
        </c:ser>
        <c:dLbls>
          <c:showLegendKey val="0"/>
          <c:showVal val="0"/>
          <c:showCatName val="1"/>
          <c:showSerName val="0"/>
          <c:showPercent val="0"/>
          <c:showBubbleSize val="0"/>
        </c:dLbls>
      </c:pie3D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[工作簿1.xlsx]Sheet1!$A$39</c:f>
              <c:strCache>
                <c:ptCount val="1"/>
                <c:pt idx="0">
                  <c:v>2021年</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[工作簿1.xlsx]Sheet1!$B$38:$C$38</c:f>
              <c:strCache>
                <c:ptCount val="2"/>
                <c:pt idx="0">
                  <c:v>财政拨款支出</c:v>
                </c:pt>
                <c:pt idx="1">
                  <c:v>财政拨款收入</c:v>
                </c:pt>
              </c:strCache>
            </c:strRef>
          </c:cat>
          <c:val>
            <c:numRef>
              <c:f>[工作簿1.xlsx]Sheet1!$B$39:$C$39</c:f>
              <c:numCache>
                <c:formatCode>General</c:formatCode>
                <c:ptCount val="2"/>
                <c:pt idx="0">
                  <c:v>418.65</c:v>
                </c:pt>
                <c:pt idx="1">
                  <c:v>418.65</c:v>
                </c:pt>
              </c:numCache>
            </c:numRef>
          </c:val>
        </c:ser>
        <c:ser>
          <c:idx val="1"/>
          <c:order val="1"/>
          <c:tx>
            <c:strRef>
              <c:f>[工作簿1.xlsx]Sheet1!$A$40</c:f>
              <c:strCache>
                <c:ptCount val="1"/>
                <c:pt idx="0">
                  <c:v>2022年</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[工作簿1.xlsx]Sheet1!$B$38:$C$38</c:f>
              <c:strCache>
                <c:ptCount val="2"/>
                <c:pt idx="0">
                  <c:v>财政拨款支出</c:v>
                </c:pt>
                <c:pt idx="1">
                  <c:v>财政拨款收入</c:v>
                </c:pt>
              </c:strCache>
            </c:strRef>
          </c:cat>
          <c:val>
            <c:numRef>
              <c:f>[工作簿1.xlsx]Sheet1!$B$40:$C$40</c:f>
              <c:numCache>
                <c:formatCode>General</c:formatCode>
                <c:ptCount val="2"/>
                <c:pt idx="0">
                  <c:v>478.98</c:v>
                </c:pt>
                <c:pt idx="1">
                  <c:v>478.98</c:v>
                </c:pt>
              </c:numCache>
            </c:numRef>
          </c:val>
        </c:ser>
        <c:dLbls>
          <c:showLegendKey val="0"/>
          <c:showVal val="1"/>
          <c:showCatName val="0"/>
          <c:showSerName val="0"/>
          <c:showPercent val="0"/>
          <c:showBubbleSize val="0"/>
        </c:dLbls>
        <c:gapWidth val="65"/>
        <c:overlap val="0"/>
        <c:axId val="104436688"/>
        <c:axId val="38368975"/>
      </c:barChart>
      <c:catAx>
        <c:axId val="104436688"/>
        <c:scaling>
          <c:orientation val="minMax"/>
        </c:scaling>
        <c:delete val="0"/>
        <c:axPos val="b"/>
        <c:majorTickMark val="none"/>
        <c:minorTickMark val="none"/>
        <c:tickLblPos val="nextTo"/>
        <c:spPr>
          <a:noFill/>
          <a:ln w="19050" cap="flat" cmpd="sng" algn="ctr">
            <a:solidFill>
              <a:schemeClr val="dk1">
                <a:lumMod val="75000"/>
                <a:lumOff val="25000"/>
              </a:schemeClr>
            </a:solidFill>
            <a:prstDash val="solid"/>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38368975"/>
        <c:crosses val="autoZero"/>
        <c:auto val="1"/>
        <c:lblAlgn val="ctr"/>
        <c:lblOffset val="100"/>
        <c:noMultiLvlLbl val="0"/>
      </c:catAx>
      <c:valAx>
        <c:axId val="38368975"/>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prstDash val="solid"/>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10443668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spPr>
            <a:solidFill>
              <a:schemeClr val="accent1"/>
            </a:solidFill>
            <a:ln>
              <a:noFill/>
            </a:ln>
            <a:effectLst/>
          </c:spPr>
          <c:invertIfNegative val="0"/>
          <c:dLbls>
            <c:dLbl>
              <c:idx val="1"/>
              <c:layout>
                <c:manualLayout>
                  <c:x val="-0.00963661915278057"/>
                  <c:y val="-0.0958333333333333"/>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lt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[工作簿1.xlsx]Sheet1!$A$62:$A$63</c:f>
              <c:strCache>
                <c:ptCount val="2"/>
                <c:pt idx="0">
                  <c:v>2021年</c:v>
                </c:pt>
                <c:pt idx="1">
                  <c:v>2022年</c:v>
                </c:pt>
              </c:strCache>
            </c:strRef>
          </c:cat>
          <c:val>
            <c:numRef>
              <c:f>[工作簿1.xlsx]Sheet1!$B$62:$B$63</c:f>
              <c:numCache>
                <c:formatCode>General</c:formatCode>
                <c:ptCount val="2"/>
                <c:pt idx="0">
                  <c:v>418.65</c:v>
                </c:pt>
                <c:pt idx="1">
                  <c:v>471.59</c:v>
                </c:pt>
              </c:numCache>
            </c:numRef>
          </c:val>
        </c:ser>
        <c:dLbls>
          <c:showLegendKey val="0"/>
          <c:showVal val="1"/>
          <c:showCatName val="0"/>
          <c:showSerName val="0"/>
          <c:showPercent val="0"/>
          <c:showBubbleSize val="0"/>
        </c:dLbls>
        <c:gapWidth val="79"/>
        <c:overlap val="100"/>
        <c:axId val="254435126"/>
        <c:axId val="298260806"/>
      </c:barChart>
      <c:catAx>
        <c:axId val="254435126"/>
        <c:scaling>
          <c:orientation val="minMax"/>
        </c:scaling>
        <c:delete val="0"/>
        <c:axPos val="b"/>
        <c:majorGridlines>
          <c:spPr>
            <a:ln w="9525" cap="flat" cmpd="sng" algn="ctr">
              <a:solidFill>
                <a:schemeClr val="tx1">
                  <a:lumMod val="15000"/>
                  <a:lumOff val="85000"/>
                </a:schemeClr>
              </a:solidFill>
              <a:prstDash val="solid"/>
              <a:round/>
            </a:ln>
            <a:effectLst/>
          </c:spPr>
        </c:majorGridlines>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p>
        </c:txPr>
        <c:crossAx val="298260806"/>
        <c:crosses val="autoZero"/>
        <c:auto val="1"/>
        <c:lblAlgn val="ctr"/>
        <c:lblOffset val="100"/>
        <c:noMultiLvlLbl val="0"/>
      </c:catAx>
      <c:valAx>
        <c:axId val="298260806"/>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54435126"/>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404709345106696"/>
          <c:y val="0.0467836257309941"/>
          <c:w val="0.611111111111111"/>
          <c:h val="0.871345029239766"/>
        </c:manualLayout>
      </c:layout>
      <c:pie3DChart>
        <c:varyColors val="1"/>
        <c:ser>
          <c:idx val="0"/>
          <c:order val="0"/>
          <c:spPr>
            <a:scene3d>
              <a:camera prst="orthographicFront"/>
              <a:lightRig rig="threePt" dir="t"/>
            </a:scene3d>
            <a:sp3d contourW="9525"/>
          </c:spPr>
          <c:explosion val="0"/>
          <c:dPt>
            <c:idx val="0"/>
            <c:bubble3D val="0"/>
            <c:explosion val="11"/>
            <c:spPr>
              <a:solidFill>
                <a:schemeClr val="accent1"/>
              </a:solidFill>
              <a:ln>
                <a:noFill/>
              </a:ln>
              <a:effectLst>
                <a:outerShdw blurRad="254000" sx="102000" sy="102000" algn="ctr" rotWithShape="0">
                  <a:prstClr val="black">
                    <a:alpha val="20000"/>
                  </a:prstClr>
                </a:outerShdw>
              </a:effectLst>
            </c:spPr>
          </c:dPt>
          <c:dPt>
            <c:idx val="1"/>
            <c:bubble3D val="0"/>
            <c:explosion val="42"/>
            <c:spPr>
              <a:solidFill>
                <a:schemeClr val="accent2"/>
              </a:solidFill>
              <a:ln>
                <a:noFill/>
              </a:ln>
              <a:effectLst>
                <a:outerShdw blurRad="254000" sx="102000" sy="102000" algn="ctr" rotWithShape="0">
                  <a:prstClr val="black">
                    <a:alpha val="20000"/>
                  </a:prstClr>
                </a:outerShdw>
              </a:effectLst>
            </c:spPr>
          </c:dPt>
          <c:dPt>
            <c:idx val="2"/>
            <c:bubble3D val="0"/>
            <c:explosion val="19"/>
            <c:spPr>
              <a:solidFill>
                <a:schemeClr val="accent3"/>
              </a:solidFill>
              <a:ln>
                <a:noFill/>
              </a:ln>
              <a:effectLst>
                <a:outerShdw blurRad="254000" sx="102000" sy="102000" algn="ctr" rotWithShape="0">
                  <a:prstClr val="black">
                    <a:alpha val="20000"/>
                  </a:prstClr>
                </a:outerShdw>
              </a:effectLst>
            </c:spPr>
          </c:dPt>
          <c:dLbls>
            <c:dLbl>
              <c:idx val="0"/>
              <c:layout>
                <c:manualLayout>
                  <c:x val="0.0466706326195523"/>
                  <c:y val="0"/>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社会保障和就业（类）支出9.57%</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202520252025203"/>
                      <c:h val="0.270760233918129"/>
                    </c:manualLayout>
                  </c15:layout>
                </c:ext>
              </c:extLst>
            </c:dLbl>
            <c:dLbl>
              <c:idx val="1"/>
              <c:layout>
                <c:manualLayout>
                  <c:x val="0.0712115005100662"/>
                  <c:y val="-0.321915878330287"/>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卫生健康支出80.39%</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364760013243475"/>
                  <c:y val="0.0189554732416128"/>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住房保障支出10.04%</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[工作簿1.xlsx]Sheet1!$A$54:$A$56</c:f>
              <c:strCache>
                <c:ptCount val="3"/>
                <c:pt idx="0">
                  <c:v>社会保障和就业（类）支出</c:v>
                </c:pt>
                <c:pt idx="1">
                  <c:v>卫生健康支出</c:v>
                </c:pt>
                <c:pt idx="2">
                  <c:v>住房保障</c:v>
                </c:pt>
              </c:strCache>
            </c:strRef>
          </c:cat>
          <c:val>
            <c:numRef>
              <c:f>[工作簿1.xlsx]Sheet1!$B$54:$B$56</c:f>
              <c:numCache>
                <c:formatCode>General</c:formatCode>
                <c:ptCount val="3"/>
                <c:pt idx="0">
                  <c:v>45.16</c:v>
                </c:pt>
                <c:pt idx="1">
                  <c:v>379.1</c:v>
                </c:pt>
                <c:pt idx="2">
                  <c:v>47.35</c:v>
                </c:pt>
              </c:numCache>
            </c:numRef>
          </c:val>
        </c:ser>
        <c:ser>
          <c:idx val="1"/>
          <c:order val="1"/>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[工作簿1.xlsx]Sheet1!$A$54:$A$56</c:f>
              <c:strCache>
                <c:ptCount val="3"/>
                <c:pt idx="0">
                  <c:v>社会保障和就业（类）支出</c:v>
                </c:pt>
                <c:pt idx="1">
                  <c:v>卫生健康支出</c:v>
                </c:pt>
                <c:pt idx="2">
                  <c:v>住房保障</c:v>
                </c:pt>
              </c:strCache>
            </c:strRef>
          </c:cat>
          <c:val>
            <c:numRef>
              <c:f>[工作簿1.xlsx]Sheet1!$C$54:$C$56</c:f>
              <c:numCache>
                <c:formatCode>0.00%</c:formatCode>
                <c:ptCount val="3"/>
                <c:pt idx="0">
                  <c:v>0.0957</c:v>
                </c:pt>
                <c:pt idx="1">
                  <c:v>0.8039</c:v>
                </c:pt>
                <c:pt idx="2">
                  <c:v>0.1004</c:v>
                </c:pt>
              </c:numCache>
            </c:numRef>
          </c:val>
        </c:ser>
        <c:dLbls>
          <c:showLegendKey val="0"/>
          <c:showVal val="0"/>
          <c:showCatName val="0"/>
          <c:showSerName val="0"/>
          <c:showPercent val="1"/>
          <c:showBubbleSize val="0"/>
        </c:dLbls>
      </c:pie3D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manualLayout>
          <c:xMode val="edge"/>
          <c:yMode val="edge"/>
          <c:x val="0.692939531632296"/>
          <c:y val="0.224448315911731"/>
          <c:w val="0.301468018175463"/>
          <c:h val="0.55952380952381"/>
        </c:manualLayout>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solidFill>
            <a:sysClr val="windowText" lastClr="000000"/>
          </a:solidFill>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12E45F36CB8646BB8C1036CF06119BD1_13</vt:lpwstr>
  </property>
</Properties>
</file>

<file path=customXml/item2.xml><?xml version="1.0" encoding="utf-8"?>
<Properties xmlns="http://schemas.openxmlformats.org/officeDocument/2006/extended-properties" xmlns:vt="http://schemas.openxmlformats.org/officeDocument/2006/docPropsVTypes">
  <Template>Normal.dotm</Template>
  <Company>四川省财政厅</Company>
  <Pages>23</Pages>
  <Words>9181</Words>
  <Characters>10121</Characters>
  <Lines>61</Lines>
  <Paragraphs>17</Paragraphs>
  <TotalTime>4</TotalTime>
  <ScaleCrop>false</ScaleCrop>
  <LinksUpToDate>false</LinksUpToDate>
  <CharactersWithSpaces>10302</CharactersWithSpaces>
  <Application>WPS Office_12.1.0.16412_F1E327BC-269C-435d-A152-05C5408002CA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2024-07-29T01:01:45Z</dcterms:modified>
  <dc:title>四川省***</dc:title>
  <cp:revision>32</cp:revision>
</cp:coreProperties>
</file>

<file path=customXml/itemProps1.xml><?xml version="1.0" encoding="utf-8"?>
<ds:datastoreItem xmlns:ds="http://schemas.openxmlformats.org/officeDocument/2006/customXml" ds:itemID="{da91f0af-f20f-449c-82fe-203a903723af}">
  <ds:schemaRefs/>
</ds:datastoreItem>
</file>

<file path=customXml/itemProps2.xml><?xml version="1.0" encoding="utf-8"?>
<ds:datastoreItem xmlns:ds="http://schemas.openxmlformats.org/officeDocument/2006/customXml" ds:itemID="{3d3b59c6-2a8a-4d14-802c-3cb226ad61af}">
  <ds:schemaRefs/>
</ds:datastoreItem>
</file>

<file path=customXml/itemProps3.xml><?xml version="1.0" encoding="utf-8"?>
<ds:datastoreItem xmlns:ds="http://schemas.openxmlformats.org/officeDocument/2006/customXml" ds:itemID="{83d907d3-e50c-4fcc-9b9e-a61003a33c81}">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23</Pages>
  <Words>9181</Words>
  <Characters>10121</Characters>
  <Lines>61</Lines>
  <Paragraphs>17</Paragraphs>
  <TotalTime>5</TotalTime>
  <ScaleCrop>false</ScaleCrop>
  <LinksUpToDate>false</LinksUpToDate>
  <CharactersWithSpaces>10302</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2024-08-12T07:38:08Z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12E45F36CB8646BB8C1036CF06119BD1_13</vt:lpwstr>
  </property>
</Properties>
</file>