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ordWrap/>
        <w:overflowPunct/>
        <w:topLinePunct w:val="0"/>
        <w:bidi w:val="0"/>
        <w:adjustRightInd w:val="0"/>
        <w:snapToGrid w:val="0"/>
        <w:spacing w:line="580" w:lineRule="exact"/>
        <w:jc w:val="center"/>
        <w:outlineLvl w:val="9"/>
        <w:rPr>
          <w:rFonts w:ascii="黑体" w:hAnsi="黑体" w:eastAsia="黑体"/>
          <w:color w:val="000000"/>
          <w:sz w:val="72"/>
          <w:szCs w:val="72"/>
        </w:rPr>
      </w:pPr>
      <w:bookmarkStart w:id="0" w:name="_Toc15396597"/>
      <w:bookmarkStart w:id="1" w:name="_Toc15377193"/>
      <w:bookmarkStart w:id="2" w:name="_Toc15377425"/>
      <w:bookmarkStart w:id="3" w:name="_Toc15378441"/>
      <w:bookmarkStart w:id="4" w:name="_Toc17059"/>
      <w:bookmarkStart w:id="5" w:name="_Toc15396475"/>
      <w:bookmarkStart w:id="6" w:name="_Toc15306267"/>
    </w:p>
    <w:p>
      <w:pPr>
        <w:pStyle w:val="17"/>
        <w:pageBreakBefore w:val="0"/>
        <w:wordWrap/>
        <w:overflowPunct/>
        <w:topLinePunct w:val="0"/>
        <w:bidi w:val="0"/>
        <w:spacing w:line="580" w:lineRule="exact"/>
        <w:ind w:firstLine="1440"/>
        <w:rPr>
          <w:rFonts w:ascii="黑体" w:hAnsi="黑体" w:eastAsia="黑体"/>
          <w:color w:val="000000"/>
          <w:sz w:val="72"/>
          <w:szCs w:val="72"/>
        </w:rPr>
      </w:pPr>
    </w:p>
    <w:p>
      <w:pPr>
        <w:pStyle w:val="17"/>
        <w:pageBreakBefore w:val="0"/>
        <w:wordWrap/>
        <w:overflowPunct/>
        <w:topLinePunct w:val="0"/>
        <w:bidi w:val="0"/>
        <w:spacing w:line="580" w:lineRule="exact"/>
        <w:ind w:firstLine="1440"/>
        <w:rPr>
          <w:rFonts w:ascii="黑体" w:hAnsi="黑体" w:eastAsia="黑体"/>
          <w:color w:val="000000"/>
          <w:sz w:val="72"/>
          <w:szCs w:val="72"/>
        </w:rPr>
      </w:pPr>
    </w:p>
    <w:p>
      <w:pPr>
        <w:pStyle w:val="17"/>
        <w:pageBreakBefore w:val="0"/>
        <w:wordWrap/>
        <w:overflowPunct/>
        <w:topLinePunct w:val="0"/>
        <w:bidi w:val="0"/>
        <w:spacing w:line="580" w:lineRule="exact"/>
        <w:ind w:firstLine="1440"/>
        <w:rPr>
          <w:rFonts w:ascii="黑体" w:hAnsi="黑体" w:eastAsia="黑体"/>
          <w:color w:val="000000"/>
          <w:sz w:val="72"/>
          <w:szCs w:val="72"/>
        </w:rPr>
      </w:pPr>
    </w:p>
    <w:p>
      <w:pPr>
        <w:pageBreakBefore w:val="0"/>
        <w:wordWrap/>
        <w:overflowPunct/>
        <w:topLinePunct w:val="0"/>
        <w:bidi w:val="0"/>
        <w:adjustRightInd w:val="0"/>
        <w:snapToGrid w:val="0"/>
        <w:spacing w:line="240" w:lineRule="auto"/>
        <w:jc w:val="center"/>
        <w:outlineLvl w:val="0"/>
        <w:rPr>
          <w:rFonts w:ascii="方正小标宋简体" w:hAnsi="宋体" w:eastAsia="方正小标宋简体"/>
          <w:color w:val="000000"/>
          <w:sz w:val="72"/>
          <w:szCs w:val="72"/>
        </w:rPr>
      </w:pPr>
      <w:bookmarkStart w:id="7" w:name="_Toc26062"/>
      <w:bookmarkStart w:id="8" w:name="_Toc27784"/>
      <w:bookmarkStart w:id="9" w:name="_Toc9967"/>
      <w:bookmarkStart w:id="10" w:name="_Toc14505"/>
      <w:bookmarkStart w:id="11" w:name="_Toc11669"/>
      <w:bookmarkStart w:id="12" w:name="_Toc15436"/>
      <w:bookmarkStart w:id="13" w:name="_Toc14831"/>
      <w:r>
        <w:rPr>
          <w:rFonts w:hint="eastAsia" w:ascii="黑体" w:hAnsi="黑体" w:eastAsia="黑体"/>
          <w:color w:val="000000"/>
          <w:sz w:val="72"/>
          <w:szCs w:val="72"/>
          <w:lang w:val="en-US" w:eastAsia="zh-CN"/>
        </w:rPr>
        <w:t>2022</w:t>
      </w:r>
      <w:r>
        <w:rPr>
          <w:rFonts w:hint="eastAsia" w:ascii="方正小标宋简体" w:hAnsi="宋体" w:eastAsia="方正小标宋简体"/>
          <w:color w:val="000000"/>
          <w:sz w:val="72"/>
          <w:szCs w:val="72"/>
        </w:rPr>
        <w:t>年度</w:t>
      </w:r>
      <w:bookmarkEnd w:id="0"/>
      <w:bookmarkEnd w:id="1"/>
      <w:bookmarkEnd w:id="2"/>
      <w:bookmarkEnd w:id="3"/>
      <w:bookmarkEnd w:id="4"/>
      <w:bookmarkEnd w:id="5"/>
      <w:bookmarkEnd w:id="7"/>
      <w:bookmarkEnd w:id="8"/>
      <w:bookmarkEnd w:id="9"/>
      <w:bookmarkEnd w:id="10"/>
      <w:bookmarkEnd w:id="11"/>
      <w:bookmarkEnd w:id="12"/>
      <w:bookmarkEnd w:id="13"/>
    </w:p>
    <w:p>
      <w:pPr>
        <w:pageBreakBefore w:val="0"/>
        <w:wordWrap/>
        <w:overflowPunct/>
        <w:topLinePunct w:val="0"/>
        <w:bidi w:val="0"/>
        <w:adjustRightInd w:val="0"/>
        <w:snapToGrid w:val="0"/>
        <w:spacing w:line="240" w:lineRule="auto"/>
        <w:jc w:val="center"/>
        <w:outlineLvl w:val="0"/>
        <w:rPr>
          <w:rFonts w:ascii="方正小标宋简体" w:hAnsi="宋体" w:eastAsia="方正小标宋简体"/>
          <w:b w:val="0"/>
          <w:bCs w:val="0"/>
          <w:color w:val="000000"/>
          <w:sz w:val="72"/>
          <w:szCs w:val="72"/>
        </w:rPr>
      </w:pPr>
      <w:bookmarkStart w:id="14" w:name="_Toc8856"/>
      <w:bookmarkStart w:id="15" w:name="_Toc15377194"/>
      <w:bookmarkStart w:id="16" w:name="_Toc6647"/>
      <w:bookmarkStart w:id="17" w:name="_Toc14982"/>
      <w:bookmarkStart w:id="18" w:name="_Toc11169"/>
      <w:bookmarkStart w:id="19" w:name="_Toc13411"/>
      <w:bookmarkStart w:id="20" w:name="_Toc28145"/>
      <w:bookmarkStart w:id="21" w:name="_Toc379"/>
      <w:bookmarkStart w:id="22" w:name="_Toc15396598"/>
      <w:bookmarkStart w:id="23" w:name="_Toc15378442"/>
      <w:bookmarkStart w:id="24" w:name="_Toc15377426"/>
      <w:bookmarkStart w:id="25" w:name="_Toc15396476"/>
      <w:bookmarkStart w:id="26" w:name="_Toc10764"/>
      <w:r>
        <w:rPr>
          <w:rFonts w:hint="eastAsia" w:ascii="方正小标宋简体" w:hAnsi="宋体" w:eastAsia="方正小标宋简体"/>
          <w:color w:val="000000"/>
          <w:sz w:val="72"/>
          <w:szCs w:val="72"/>
        </w:rPr>
        <w:t>四川省</w:t>
      </w:r>
      <w:bookmarkEnd w:id="6"/>
      <w:bookmarkStart w:id="27" w:name="_Toc15306268"/>
      <w:r>
        <w:rPr>
          <w:rFonts w:hint="eastAsia" w:ascii="方正小标宋简体" w:hAnsi="宋体" w:eastAsia="方正小标宋简体"/>
          <w:color w:val="000000"/>
          <w:sz w:val="72"/>
          <w:szCs w:val="72"/>
          <w:lang w:eastAsia="zh-CN"/>
        </w:rPr>
        <w:t>广元市昭化区</w:t>
      </w:r>
      <w:r>
        <w:rPr>
          <w:rFonts w:hint="eastAsia" w:ascii="方正小标宋简体" w:hAnsi="宋体" w:eastAsia="方正小标宋简体"/>
          <w:b/>
          <w:bCs/>
          <w:color w:val="000000"/>
          <w:sz w:val="72"/>
          <w:szCs w:val="72"/>
          <w:lang w:eastAsia="zh-CN"/>
        </w:rPr>
        <w:t>白果乡</w:t>
      </w:r>
      <w:r>
        <w:rPr>
          <w:rFonts w:hint="eastAsia" w:ascii="方正小标宋简体" w:hAnsi="宋体" w:eastAsia="方正小标宋简体"/>
          <w:b w:val="0"/>
          <w:bCs w:val="0"/>
          <w:color w:val="000000"/>
          <w:sz w:val="72"/>
          <w:szCs w:val="72"/>
          <w:lang w:eastAsia="zh-CN"/>
        </w:rPr>
        <w:t>卫生</w:t>
      </w:r>
      <w:r>
        <w:rPr>
          <w:rFonts w:hint="eastAsia" w:ascii="方正小标宋简体" w:hAnsi="宋体" w:eastAsia="方正小标宋简体"/>
          <w:b/>
          <w:bCs/>
          <w:color w:val="000000"/>
          <w:sz w:val="72"/>
          <w:szCs w:val="72"/>
          <w:lang w:eastAsia="zh-CN"/>
        </w:rPr>
        <w:t>院</w:t>
      </w:r>
      <w:r>
        <w:rPr>
          <w:rFonts w:hint="eastAsia" w:ascii="方正小标宋简体" w:hAnsi="方正小标宋简体" w:eastAsia="方正小标宋简体" w:cs="方正小标宋简体"/>
          <w:b/>
          <w:bCs/>
          <w:color w:val="auto"/>
          <w:sz w:val="72"/>
          <w:szCs w:val="72"/>
          <w:highlight w:val="none"/>
          <w:lang w:eastAsia="zh-CN"/>
        </w:rPr>
        <w:t>单位</w:t>
      </w:r>
      <w:r>
        <w:rPr>
          <w:rFonts w:hint="eastAsia" w:ascii="方正小标宋简体" w:hAnsi="宋体" w:eastAsia="方正小标宋简体"/>
          <w:b w:val="0"/>
          <w:bCs w:val="0"/>
          <w:color w:val="000000"/>
          <w:sz w:val="72"/>
          <w:szCs w:val="72"/>
        </w:rPr>
        <w:t>决算</w:t>
      </w:r>
      <w:bookmarkEnd w:id="14"/>
      <w:bookmarkEnd w:id="15"/>
      <w:bookmarkEnd w:id="16"/>
      <w:bookmarkEnd w:id="17"/>
      <w:bookmarkEnd w:id="18"/>
      <w:bookmarkEnd w:id="19"/>
      <w:bookmarkEnd w:id="20"/>
      <w:bookmarkEnd w:id="21"/>
      <w:bookmarkEnd w:id="22"/>
      <w:bookmarkEnd w:id="23"/>
      <w:bookmarkEnd w:id="24"/>
      <w:bookmarkEnd w:id="25"/>
      <w:bookmarkEnd w:id="26"/>
      <w:bookmarkEnd w:id="27"/>
    </w:p>
    <w:p>
      <w:pPr>
        <w:pageBreakBefore w:val="0"/>
        <w:widowControl/>
        <w:wordWrap/>
        <w:overflowPunct/>
        <w:topLinePunct w:val="0"/>
        <w:bidi w:val="0"/>
        <w:spacing w:line="240" w:lineRule="auto"/>
        <w:jc w:val="center"/>
        <w:rPr>
          <w:rFonts w:hint="eastAsia" w:ascii="黑体" w:hAnsi="黑体" w:eastAsia="黑体"/>
          <w:b w:val="0"/>
          <w:bCs w:val="0"/>
          <w:color w:val="000000"/>
          <w:sz w:val="48"/>
          <w:szCs w:val="48"/>
        </w:rPr>
        <w:sectPr>
          <w:headerReference r:id="rId3" w:type="default"/>
          <w:footerReference r:id="rId4" w:type="default"/>
          <w:pgSz w:w="11906" w:h="16838"/>
          <w:pgMar w:top="1440" w:right="1800" w:bottom="1440" w:left="1800" w:header="851" w:footer="992" w:gutter="0"/>
          <w:pgNumType w:start="1"/>
          <w:cols w:space="720" w:num="1"/>
          <w:titlePg/>
          <w:docGrid w:type="lines" w:linePitch="312" w:charSpace="0"/>
        </w:sectPr>
      </w:pPr>
    </w:p>
    <w:p>
      <w:pPr>
        <w:pageBreakBefore w:val="0"/>
        <w:widowControl/>
        <w:wordWrap/>
        <w:overflowPunct/>
        <w:topLinePunct w:val="0"/>
        <w:bidi w:val="0"/>
        <w:spacing w:line="580" w:lineRule="exact"/>
        <w:jc w:val="center"/>
        <w:rPr>
          <w:rFonts w:hint="eastAsia" w:ascii="黑体" w:hAnsi="黑体" w:eastAsia="黑体"/>
          <w:color w:val="000000"/>
          <w:sz w:val="48"/>
          <w:szCs w:val="48"/>
        </w:rPr>
      </w:pPr>
      <w:r>
        <w:rPr>
          <w:rFonts w:hint="eastAsia" w:ascii="黑体" w:hAnsi="黑体" w:eastAsia="黑体"/>
          <w:color w:val="000000"/>
          <w:sz w:val="48"/>
          <w:szCs w:val="48"/>
        </w:rPr>
        <w:t>目录</w:t>
      </w:r>
    </w:p>
    <w:p>
      <w:pPr>
        <w:pStyle w:val="26"/>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pPr>
      <w:r>
        <w:rPr>
          <w:rFonts w:hint="eastAsia" w:ascii="仿宋" w:hAnsi="仿宋" w:eastAsia="仿宋" w:cs="仿宋"/>
          <w:sz w:val="30"/>
          <w:szCs w:val="30"/>
        </w:rPr>
        <w:t>公开时间：202</w:t>
      </w:r>
      <w:r>
        <w:rPr>
          <w:rFonts w:hint="eastAsia" w:cs="仿宋"/>
          <w:sz w:val="30"/>
          <w:szCs w:val="30"/>
          <w:lang w:val="en-US" w:eastAsia="zh-CN"/>
        </w:rPr>
        <w:t>3</w:t>
      </w:r>
      <w:r>
        <w:rPr>
          <w:rFonts w:hint="eastAsia" w:ascii="仿宋" w:hAnsi="仿宋" w:eastAsia="仿宋" w:cs="仿宋"/>
          <w:sz w:val="30"/>
          <w:szCs w:val="30"/>
        </w:rPr>
        <w:t xml:space="preserve">年 </w:t>
      </w:r>
      <w:r>
        <w:rPr>
          <w:rFonts w:hint="eastAsia" w:ascii="仿宋" w:hAnsi="仿宋" w:eastAsia="仿宋" w:cs="仿宋"/>
          <w:sz w:val="30"/>
          <w:szCs w:val="30"/>
          <w:lang w:val="en-US" w:eastAsia="zh-CN"/>
        </w:rPr>
        <w:t>9</w:t>
      </w:r>
      <w:r>
        <w:rPr>
          <w:rFonts w:hint="eastAsia" w:ascii="仿宋" w:hAnsi="仿宋" w:eastAsia="仿宋" w:cs="仿宋"/>
          <w:sz w:val="30"/>
          <w:szCs w:val="30"/>
        </w:rPr>
        <w:t>月</w:t>
      </w:r>
      <w:r>
        <w:rPr>
          <w:rFonts w:hint="eastAsia" w:cs="仿宋"/>
          <w:sz w:val="30"/>
          <w:szCs w:val="30"/>
          <w:lang w:val="en-US" w:eastAsia="zh-CN"/>
        </w:rPr>
        <w:t>28</w:t>
      </w:r>
      <w:r>
        <w:rPr>
          <w:rFonts w:hint="eastAsia" w:ascii="仿宋" w:hAnsi="仿宋" w:eastAsia="仿宋" w:cs="仿宋"/>
          <w:sz w:val="30"/>
          <w:szCs w:val="30"/>
        </w:rPr>
        <w:t>日</w:t>
      </w:r>
      <w:r>
        <w:rPr>
          <w:rFonts w:hint="eastAsia" w:ascii="仿宋" w:hAnsi="仿宋" w:eastAsia="仿宋" w:cs="仿宋"/>
          <w:sz w:val="30"/>
          <w:szCs w:val="30"/>
          <w:lang w:eastAsia="zh-CN"/>
        </w:rPr>
        <w:fldChar w:fldCharType="begin"/>
      </w:r>
      <w:r>
        <w:rPr>
          <w:rFonts w:hint="eastAsia" w:ascii="仿宋" w:hAnsi="仿宋" w:eastAsia="仿宋" w:cs="仿宋"/>
          <w:sz w:val="30"/>
          <w:szCs w:val="30"/>
          <w:lang w:eastAsia="zh-CN"/>
        </w:rPr>
        <w:instrText xml:space="preserve">TOC \o "1-2" \h \u</w:instrText>
      </w:r>
      <w:r>
        <w:rPr>
          <w:rFonts w:hint="eastAsia" w:ascii="仿宋" w:hAnsi="仿宋" w:eastAsia="仿宋" w:cs="仿宋"/>
          <w:sz w:val="30"/>
          <w:szCs w:val="30"/>
          <w:lang w:eastAsia="zh-CN"/>
        </w:rPr>
        <w:fldChar w:fldCharType="separate"/>
      </w:r>
    </w:p>
    <w:p>
      <w:pPr>
        <w:pStyle w:val="41"/>
        <w:tabs>
          <w:tab w:val="right" w:leader="dot" w:pos="8306"/>
        </w:tabs>
      </w:pPr>
      <w:r>
        <w:rPr>
          <w:rStyle w:val="31"/>
          <w:rFonts w:hint="eastAsia" w:ascii="仿宋" w:hAnsi="仿宋" w:eastAsia="仿宋" w:cs="Times New Roman"/>
          <w:b w:val="0"/>
          <w:bCs w:val="0"/>
          <w:color w:val="auto"/>
          <w:sz w:val="28"/>
          <w:szCs w:val="28"/>
          <w:highlight w:val="none"/>
        </w:rPr>
        <w:fldChar w:fldCharType="begin"/>
      </w:r>
      <w:r>
        <w:rPr>
          <w:rStyle w:val="31"/>
          <w:rFonts w:hint="eastAsia" w:ascii="仿宋" w:hAnsi="仿宋" w:eastAsia="仿宋" w:cs="Times New Roman"/>
          <w:b w:val="0"/>
          <w:bCs w:val="0"/>
          <w:color w:val="auto"/>
          <w:sz w:val="28"/>
          <w:szCs w:val="28"/>
          <w:highlight w:val="none"/>
        </w:rPr>
        <w:instrText xml:space="preserve">TOC \o "1-3" \h \u</w:instrText>
      </w:r>
      <w:r>
        <w:rPr>
          <w:rStyle w:val="31"/>
          <w:rFonts w:hint="eastAsia" w:ascii="仿宋" w:hAnsi="仿宋" w:eastAsia="仿宋" w:cs="Times New Roman"/>
          <w:b w:val="0"/>
          <w:bCs w:val="0"/>
          <w:color w:val="auto"/>
          <w:sz w:val="28"/>
          <w:szCs w:val="28"/>
          <w:highlight w:val="none"/>
        </w:rPr>
        <w:fldChar w:fldCharType="separate"/>
      </w:r>
    </w:p>
    <w:p>
      <w:pPr>
        <w:pStyle w:val="41"/>
        <w:tabs>
          <w:tab w:val="right" w:leader="dot" w:pos="8306"/>
        </w:tabs>
      </w:pPr>
      <w:r>
        <w:fldChar w:fldCharType="begin"/>
      </w:r>
      <w:r>
        <w:instrText xml:space="preserve"> HYPERLINK \l "_Toc15780" </w:instrText>
      </w:r>
      <w:r>
        <w:fldChar w:fldCharType="separate"/>
      </w:r>
      <w:r>
        <w:rPr>
          <w:rFonts w:hint="eastAsia" w:ascii="黑体" w:hAnsi="黑体" w:eastAsia="黑体"/>
        </w:rPr>
        <w:t>第一部分</w:t>
      </w:r>
      <w:r>
        <w:rPr>
          <w:rFonts w:ascii="黑体" w:hAnsi="黑体" w:eastAsia="黑体"/>
        </w:rPr>
        <w:t xml:space="preserve"> </w:t>
      </w:r>
      <w:r>
        <w:rPr>
          <w:rFonts w:hint="eastAsia" w:ascii="黑体" w:hAnsi="黑体" w:eastAsia="黑体"/>
          <w:lang w:eastAsia="zh-CN"/>
        </w:rPr>
        <w:t>单位</w:t>
      </w:r>
      <w:r>
        <w:rPr>
          <w:rFonts w:hint="eastAsia" w:ascii="黑体" w:hAnsi="黑体" w:eastAsia="黑体"/>
        </w:rPr>
        <w:t>概况</w:t>
      </w:r>
      <w:r>
        <w:tab/>
      </w:r>
      <w:r>
        <w:fldChar w:fldCharType="begin"/>
      </w:r>
      <w:r>
        <w:instrText xml:space="preserve"> PAGEREF _Toc15780 \h </w:instrText>
      </w:r>
      <w:r>
        <w:fldChar w:fldCharType="separate"/>
      </w:r>
      <w:r>
        <w:t>1</w:t>
      </w:r>
      <w:r>
        <w:fldChar w:fldCharType="end"/>
      </w:r>
      <w:r>
        <w:fldChar w:fldCharType="end"/>
      </w:r>
    </w:p>
    <w:p>
      <w:pPr>
        <w:pStyle w:val="39"/>
        <w:tabs>
          <w:tab w:val="right" w:leader="dot" w:pos="8306"/>
        </w:tabs>
      </w:pPr>
      <w:r>
        <w:fldChar w:fldCharType="begin"/>
      </w:r>
      <w:r>
        <w:instrText xml:space="preserve"> HYPERLINK \l "_Toc18133" </w:instrText>
      </w:r>
      <w:r>
        <w:fldChar w:fldCharType="separate"/>
      </w:r>
      <w:r>
        <w:rPr>
          <w:rFonts w:hint="eastAsia" w:ascii="黑体" w:hAnsi="黑体" w:eastAsia="黑体"/>
        </w:rPr>
        <w:t>一、</w:t>
      </w:r>
      <w:r>
        <w:rPr>
          <w:rFonts w:hint="eastAsia" w:ascii="黑体" w:hAnsi="黑体" w:eastAsia="黑体"/>
          <w:lang w:eastAsia="zh-CN"/>
        </w:rPr>
        <w:t>主要职责</w:t>
      </w:r>
      <w:r>
        <w:tab/>
      </w:r>
      <w:r>
        <w:fldChar w:fldCharType="begin"/>
      </w:r>
      <w:r>
        <w:instrText xml:space="preserve"> PAGEREF _Toc18133 \h </w:instrText>
      </w:r>
      <w:r>
        <w:fldChar w:fldCharType="separate"/>
      </w:r>
      <w:r>
        <w:t>1</w:t>
      </w:r>
      <w:r>
        <w:fldChar w:fldCharType="end"/>
      </w:r>
      <w:r>
        <w:fldChar w:fldCharType="end"/>
      </w:r>
    </w:p>
    <w:p>
      <w:pPr>
        <w:pStyle w:val="39"/>
        <w:tabs>
          <w:tab w:val="right" w:leader="dot" w:pos="8306"/>
        </w:tabs>
      </w:pPr>
      <w:r>
        <w:fldChar w:fldCharType="begin"/>
      </w:r>
      <w:r>
        <w:instrText xml:space="preserve"> HYPERLINK \l "_Toc27790" </w:instrText>
      </w:r>
      <w:r>
        <w:fldChar w:fldCharType="separate"/>
      </w:r>
      <w:r>
        <w:rPr>
          <w:rFonts w:hint="eastAsia"/>
        </w:rPr>
        <w:t>二、</w:t>
      </w:r>
      <w:r>
        <w:rPr>
          <w:rFonts w:hint="eastAsia" w:ascii="黑体" w:hAnsi="黑体" w:eastAsia="黑体" w:cs="Times New Roman"/>
          <w:bCs/>
          <w:lang w:eastAsia="zh-CN"/>
        </w:rPr>
        <w:t>机构设置</w:t>
      </w:r>
      <w:r>
        <w:tab/>
      </w:r>
      <w:r>
        <w:fldChar w:fldCharType="begin"/>
      </w:r>
      <w:r>
        <w:instrText xml:space="preserve"> PAGEREF _Toc27790 \h </w:instrText>
      </w:r>
      <w:r>
        <w:fldChar w:fldCharType="separate"/>
      </w:r>
      <w:r>
        <w:t>1</w:t>
      </w:r>
      <w:r>
        <w:fldChar w:fldCharType="end"/>
      </w:r>
      <w:r>
        <w:fldChar w:fldCharType="end"/>
      </w:r>
    </w:p>
    <w:p>
      <w:pPr>
        <w:pStyle w:val="41"/>
        <w:tabs>
          <w:tab w:val="right" w:leader="dot" w:pos="8306"/>
        </w:tabs>
      </w:pPr>
      <w:r>
        <w:fldChar w:fldCharType="begin"/>
      </w:r>
      <w:r>
        <w:instrText xml:space="preserve"> HYPERLINK \l "_Toc31507" </w:instrText>
      </w:r>
      <w:r>
        <w:fldChar w:fldCharType="separate"/>
      </w:r>
      <w:r>
        <w:rPr>
          <w:rFonts w:hint="eastAsia" w:ascii="黑体" w:hAnsi="黑体" w:eastAsia="黑体"/>
        </w:rPr>
        <w:t>第二部分</w:t>
      </w:r>
      <w:r>
        <w:rPr>
          <w:rFonts w:ascii="黑体" w:hAnsi="黑体" w:eastAsia="黑体"/>
        </w:rPr>
        <w:t xml:space="preserve"> 202</w:t>
      </w:r>
      <w:r>
        <w:rPr>
          <w:rFonts w:hint="eastAsia" w:ascii="黑体" w:hAnsi="黑体" w:eastAsia="黑体"/>
          <w:lang w:val="en-US" w:eastAsia="zh-CN"/>
        </w:rPr>
        <w:t>2</w:t>
      </w:r>
      <w:r>
        <w:rPr>
          <w:rFonts w:hint="eastAsia" w:ascii="黑体" w:hAnsi="黑体" w:eastAsia="黑体"/>
        </w:rPr>
        <w:t>年度</w:t>
      </w:r>
      <w:r>
        <w:rPr>
          <w:rFonts w:hint="eastAsia" w:ascii="黑体" w:hAnsi="黑体" w:eastAsia="黑体"/>
          <w:lang w:eastAsia="zh-CN"/>
        </w:rPr>
        <w:t>单位</w:t>
      </w:r>
      <w:r>
        <w:rPr>
          <w:rFonts w:hint="eastAsia" w:ascii="黑体" w:hAnsi="黑体" w:eastAsia="黑体"/>
        </w:rPr>
        <w:t>决算情况说明</w:t>
      </w:r>
      <w:r>
        <w:tab/>
      </w:r>
      <w:r>
        <w:fldChar w:fldCharType="begin"/>
      </w:r>
      <w:r>
        <w:instrText xml:space="preserve"> PAGEREF _Toc31507 \h </w:instrText>
      </w:r>
      <w:r>
        <w:fldChar w:fldCharType="separate"/>
      </w:r>
      <w:r>
        <w:t>2</w:t>
      </w:r>
      <w:r>
        <w:fldChar w:fldCharType="end"/>
      </w:r>
      <w:r>
        <w:fldChar w:fldCharType="end"/>
      </w:r>
    </w:p>
    <w:p>
      <w:pPr>
        <w:pStyle w:val="39"/>
        <w:tabs>
          <w:tab w:val="right" w:leader="dot" w:pos="8306"/>
        </w:tabs>
      </w:pPr>
      <w:r>
        <w:fldChar w:fldCharType="begin"/>
      </w:r>
      <w:r>
        <w:instrText xml:space="preserve"> HYPERLINK \l "_Toc31833" </w:instrText>
      </w:r>
      <w:r>
        <w:fldChar w:fldCharType="separate"/>
      </w:r>
      <w:r>
        <w:rPr>
          <w:rFonts w:hint="eastAsia" w:ascii="黑体" w:hAnsi="黑体" w:eastAsia="黑体" w:cs="Times New Roman"/>
        </w:rPr>
        <w:t>一、</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_Toc31833 \h </w:instrText>
      </w:r>
      <w:r>
        <w:fldChar w:fldCharType="separate"/>
      </w:r>
      <w:r>
        <w:t>2</w:t>
      </w:r>
      <w:r>
        <w:fldChar w:fldCharType="end"/>
      </w:r>
      <w:r>
        <w:fldChar w:fldCharType="end"/>
      </w:r>
    </w:p>
    <w:p>
      <w:pPr>
        <w:pStyle w:val="39"/>
        <w:tabs>
          <w:tab w:val="right" w:leader="dot" w:pos="8306"/>
        </w:tabs>
      </w:pPr>
      <w:r>
        <w:fldChar w:fldCharType="begin"/>
      </w:r>
      <w:r>
        <w:instrText xml:space="preserve"> HYPERLINK \l "_Toc10469" </w:instrText>
      </w:r>
      <w:r>
        <w:fldChar w:fldCharType="separate"/>
      </w:r>
      <w:r>
        <w:rPr>
          <w:rFonts w:hint="eastAsia" w:ascii="黑体" w:hAnsi="黑体" w:eastAsia="黑体" w:cs="Times New Roman"/>
        </w:rPr>
        <w:t>二、</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_Toc10469 \h </w:instrText>
      </w:r>
      <w:r>
        <w:fldChar w:fldCharType="separate"/>
      </w:r>
      <w:r>
        <w:t>2</w:t>
      </w:r>
      <w:r>
        <w:fldChar w:fldCharType="end"/>
      </w:r>
      <w:r>
        <w:fldChar w:fldCharType="end"/>
      </w:r>
    </w:p>
    <w:p>
      <w:pPr>
        <w:pStyle w:val="39"/>
        <w:tabs>
          <w:tab w:val="right" w:leader="dot" w:pos="8306"/>
        </w:tabs>
      </w:pPr>
      <w:r>
        <w:fldChar w:fldCharType="begin"/>
      </w:r>
      <w:r>
        <w:instrText xml:space="preserve"> HYPERLINK \l "_Toc27714" </w:instrText>
      </w:r>
      <w:r>
        <w:fldChar w:fldCharType="separate"/>
      </w:r>
      <w:r>
        <w:rPr>
          <w:rFonts w:hint="eastAsia" w:ascii="黑体" w:hAnsi="黑体" w:eastAsia="黑体" w:cs="Times New Roman"/>
        </w:rPr>
        <w:t>三、</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_Toc27714 \h </w:instrText>
      </w:r>
      <w:r>
        <w:fldChar w:fldCharType="separate"/>
      </w:r>
      <w:r>
        <w:t>3</w:t>
      </w:r>
      <w:r>
        <w:fldChar w:fldCharType="end"/>
      </w:r>
      <w:r>
        <w:fldChar w:fldCharType="end"/>
      </w:r>
    </w:p>
    <w:p>
      <w:pPr>
        <w:pStyle w:val="39"/>
        <w:tabs>
          <w:tab w:val="right" w:leader="dot" w:pos="8306"/>
        </w:tabs>
      </w:pPr>
      <w:r>
        <w:fldChar w:fldCharType="begin"/>
      </w:r>
      <w:r>
        <w:instrText xml:space="preserve"> HYPERLINK \l "_Toc25213" </w:instrText>
      </w:r>
      <w:r>
        <w:fldChar w:fldCharType="separate"/>
      </w:r>
      <w:r>
        <w:rPr>
          <w:rFonts w:hint="eastAsia" w:ascii="黑体" w:hAnsi="黑体" w:eastAsia="黑体"/>
          <w:szCs w:val="32"/>
        </w:rPr>
        <w:t>四、</w:t>
      </w:r>
      <w:r>
        <w:rPr>
          <w:rFonts w:hint="eastAsia" w:ascii="黑体" w:hAnsi="黑体" w:eastAsia="黑体"/>
          <w:szCs w:val="32"/>
          <w:highlight w:val="none"/>
        </w:rPr>
        <w:t>财</w:t>
      </w:r>
      <w:r>
        <w:rPr>
          <w:rFonts w:hint="eastAsia" w:ascii="黑体" w:hAnsi="黑体" w:eastAsia="黑体"/>
          <w:highlight w:val="none"/>
        </w:rPr>
        <w:t>政拨款收入支出决算总体情况说明</w:t>
      </w:r>
      <w:r>
        <w:tab/>
      </w:r>
      <w:r>
        <w:fldChar w:fldCharType="begin"/>
      </w:r>
      <w:r>
        <w:instrText xml:space="preserve"> PAGEREF _Toc25213 \h </w:instrText>
      </w:r>
      <w:r>
        <w:fldChar w:fldCharType="separate"/>
      </w:r>
      <w:r>
        <w:t>3</w:t>
      </w:r>
      <w:r>
        <w:fldChar w:fldCharType="end"/>
      </w:r>
      <w:r>
        <w:fldChar w:fldCharType="end"/>
      </w:r>
    </w:p>
    <w:p>
      <w:pPr>
        <w:pStyle w:val="39"/>
        <w:tabs>
          <w:tab w:val="right" w:leader="dot" w:pos="8306"/>
        </w:tabs>
      </w:pPr>
      <w:r>
        <w:fldChar w:fldCharType="begin"/>
      </w:r>
      <w:r>
        <w:instrText xml:space="preserve"> HYPERLINK \l "_Toc24490" </w:instrText>
      </w:r>
      <w: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_Toc24490 \h </w:instrText>
      </w:r>
      <w:r>
        <w:fldChar w:fldCharType="separate"/>
      </w:r>
      <w:r>
        <w:t>4</w:t>
      </w:r>
      <w:r>
        <w:fldChar w:fldCharType="end"/>
      </w:r>
      <w:r>
        <w:fldChar w:fldCharType="end"/>
      </w:r>
    </w:p>
    <w:p>
      <w:pPr>
        <w:pStyle w:val="39"/>
        <w:tabs>
          <w:tab w:val="right" w:leader="dot" w:pos="8306"/>
        </w:tabs>
      </w:pPr>
      <w:r>
        <w:fldChar w:fldCharType="begin"/>
      </w:r>
      <w:r>
        <w:instrText xml:space="preserve"> HYPERLINK \l "_Toc16092" </w:instrText>
      </w:r>
      <w: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_Toc16092 \h </w:instrText>
      </w:r>
      <w:r>
        <w:fldChar w:fldCharType="separate"/>
      </w:r>
      <w:r>
        <w:t>6</w:t>
      </w:r>
      <w:r>
        <w:fldChar w:fldCharType="end"/>
      </w:r>
      <w:r>
        <w:fldChar w:fldCharType="end"/>
      </w:r>
    </w:p>
    <w:p>
      <w:pPr>
        <w:pStyle w:val="39"/>
        <w:tabs>
          <w:tab w:val="right" w:leader="dot" w:pos="8306"/>
        </w:tabs>
      </w:pPr>
      <w:r>
        <w:fldChar w:fldCharType="begin"/>
      </w:r>
      <w:r>
        <w:instrText xml:space="preserve"> HYPERLINK \l "_Toc15020" </w:instrText>
      </w:r>
      <w: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_Toc15020 \h </w:instrText>
      </w:r>
      <w:r>
        <w:fldChar w:fldCharType="separate"/>
      </w:r>
      <w:r>
        <w:t>6</w:t>
      </w:r>
      <w:r>
        <w:fldChar w:fldCharType="end"/>
      </w:r>
      <w:r>
        <w:fldChar w:fldCharType="end"/>
      </w:r>
    </w:p>
    <w:p>
      <w:pPr>
        <w:pStyle w:val="39"/>
        <w:tabs>
          <w:tab w:val="right" w:leader="dot" w:pos="8306"/>
        </w:tabs>
      </w:pPr>
      <w:r>
        <w:fldChar w:fldCharType="begin"/>
      </w:r>
      <w:r>
        <w:instrText xml:space="preserve"> HYPERLINK \l "_Toc29372"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_Toc29372 \h </w:instrText>
      </w:r>
      <w:r>
        <w:fldChar w:fldCharType="separate"/>
      </w:r>
      <w:r>
        <w:t>7</w:t>
      </w:r>
      <w:r>
        <w:fldChar w:fldCharType="end"/>
      </w:r>
      <w:r>
        <w:fldChar w:fldCharType="end"/>
      </w:r>
    </w:p>
    <w:p>
      <w:pPr>
        <w:pStyle w:val="39"/>
        <w:tabs>
          <w:tab w:val="right" w:leader="dot" w:pos="8306"/>
        </w:tabs>
      </w:pPr>
      <w:r>
        <w:fldChar w:fldCharType="begin"/>
      </w:r>
      <w:r>
        <w:instrText xml:space="preserve"> HYPERLINK \l "_Toc3324" </w:instrText>
      </w:r>
      <w:r>
        <w:fldChar w:fldCharType="separate"/>
      </w:r>
      <w:r>
        <w:rPr>
          <w:rFonts w:hint="eastAsia" w:ascii="黑体" w:hAnsi="黑体" w:eastAsia="黑体" w:cs="Times New Roman"/>
        </w:rPr>
        <w:t>九、</w:t>
      </w:r>
      <w:r>
        <w:rPr>
          <w:rFonts w:hint="eastAsia" w:ascii="黑体" w:hAnsi="黑体" w:eastAsia="黑体"/>
        </w:rPr>
        <w:t>国有资本经营预算支出决算情况说明</w:t>
      </w:r>
      <w:r>
        <w:tab/>
      </w:r>
      <w:r>
        <w:fldChar w:fldCharType="begin"/>
      </w:r>
      <w:r>
        <w:instrText xml:space="preserve"> PAGEREF _Toc3324 \h </w:instrText>
      </w:r>
      <w:r>
        <w:fldChar w:fldCharType="separate"/>
      </w:r>
      <w:r>
        <w:t>7</w:t>
      </w:r>
      <w:r>
        <w:fldChar w:fldCharType="end"/>
      </w:r>
      <w:r>
        <w:fldChar w:fldCharType="end"/>
      </w:r>
    </w:p>
    <w:p>
      <w:pPr>
        <w:pStyle w:val="39"/>
        <w:tabs>
          <w:tab w:val="right" w:leader="dot" w:pos="8306"/>
        </w:tabs>
      </w:pPr>
      <w:r>
        <w:fldChar w:fldCharType="begin"/>
      </w:r>
      <w:r>
        <w:instrText xml:space="preserve"> HYPERLINK \l "_Toc25517" </w:instrText>
      </w:r>
      <w:r>
        <w:fldChar w:fldCharType="separate"/>
      </w:r>
      <w:r>
        <w:rPr>
          <w:rFonts w:hint="eastAsia" w:ascii="黑体" w:hAnsi="黑体" w:eastAsia="黑体" w:cs="Times New Roman"/>
        </w:rPr>
        <w:t>十、</w:t>
      </w:r>
      <w:r>
        <w:rPr>
          <w:rFonts w:hint="eastAsia" w:ascii="黑体" w:hAnsi="黑体" w:eastAsia="黑体"/>
          <w:highlight w:val="none"/>
        </w:rPr>
        <w:t>其他重要事项的情况说明</w:t>
      </w:r>
      <w:r>
        <w:tab/>
      </w:r>
      <w:r>
        <w:fldChar w:fldCharType="begin"/>
      </w:r>
      <w:r>
        <w:instrText xml:space="preserve"> PAGEREF _Toc25517 \h </w:instrText>
      </w:r>
      <w:r>
        <w:fldChar w:fldCharType="separate"/>
      </w:r>
      <w:r>
        <w:t>7</w:t>
      </w:r>
      <w:r>
        <w:fldChar w:fldCharType="end"/>
      </w:r>
      <w:r>
        <w:fldChar w:fldCharType="end"/>
      </w:r>
    </w:p>
    <w:p>
      <w:pPr>
        <w:pStyle w:val="48"/>
        <w:tabs>
          <w:tab w:val="right" w:leader="dot" w:pos="8306"/>
        </w:tabs>
      </w:pPr>
      <w:r>
        <w:fldChar w:fldCharType="begin"/>
      </w:r>
      <w:r>
        <w:instrText xml:space="preserve"> HYPERLINK \l "_Toc11450" </w:instrText>
      </w:r>
      <w:r>
        <w:fldChar w:fldCharType="separate"/>
      </w:r>
      <w:r>
        <w:rPr>
          <w:rFonts w:hint="eastAsia" w:ascii="仿宋" w:hAnsi="仿宋" w:eastAsia="仿宋"/>
          <w:szCs w:val="32"/>
          <w:highlight w:val="none"/>
        </w:rPr>
        <w:t>（一）</w:t>
      </w:r>
      <w:r>
        <w:rPr>
          <w:rFonts w:hint="eastAsia" w:ascii="仿宋" w:hAnsi="仿宋" w:eastAsia="仿宋"/>
          <w:szCs w:val="32"/>
          <w:highlight w:val="none"/>
          <w:lang w:eastAsia="zh-CN"/>
        </w:rPr>
        <w:t>单位</w:t>
      </w:r>
      <w:r>
        <w:rPr>
          <w:rFonts w:hint="eastAsia" w:ascii="仿宋" w:hAnsi="仿宋" w:eastAsia="仿宋"/>
          <w:szCs w:val="32"/>
          <w:highlight w:val="none"/>
        </w:rPr>
        <w:t>运行经费支出情况</w:t>
      </w:r>
      <w:r>
        <w:tab/>
      </w:r>
      <w:r>
        <w:fldChar w:fldCharType="begin"/>
      </w:r>
      <w:r>
        <w:instrText xml:space="preserve"> PAGEREF _Toc11450 \h </w:instrText>
      </w:r>
      <w:r>
        <w:fldChar w:fldCharType="separate"/>
      </w:r>
      <w:r>
        <w:t>7</w:t>
      </w:r>
      <w:r>
        <w:fldChar w:fldCharType="end"/>
      </w:r>
      <w:r>
        <w:fldChar w:fldCharType="end"/>
      </w:r>
    </w:p>
    <w:p>
      <w:pPr>
        <w:pStyle w:val="48"/>
        <w:tabs>
          <w:tab w:val="right" w:leader="dot" w:pos="8306"/>
        </w:tabs>
      </w:pPr>
      <w:r>
        <w:fldChar w:fldCharType="begin"/>
      </w:r>
      <w:r>
        <w:instrText xml:space="preserve"> HYPERLINK \l "_Toc29161" </w:instrText>
      </w:r>
      <w:r>
        <w:fldChar w:fldCharType="separate"/>
      </w:r>
      <w:r>
        <w:rPr>
          <w:rFonts w:hint="eastAsia" w:ascii="仿宋" w:hAnsi="仿宋" w:eastAsia="仿宋"/>
          <w:szCs w:val="32"/>
          <w:highlight w:val="none"/>
        </w:rPr>
        <w:t>（二）政府采购支出情况</w:t>
      </w:r>
      <w:r>
        <w:tab/>
      </w:r>
      <w:r>
        <w:fldChar w:fldCharType="begin"/>
      </w:r>
      <w:r>
        <w:instrText xml:space="preserve"> PAGEREF _Toc29161 \h </w:instrText>
      </w:r>
      <w:r>
        <w:fldChar w:fldCharType="separate"/>
      </w:r>
      <w:r>
        <w:t>7</w:t>
      </w:r>
      <w:r>
        <w:fldChar w:fldCharType="end"/>
      </w:r>
      <w:r>
        <w:fldChar w:fldCharType="end"/>
      </w:r>
    </w:p>
    <w:p>
      <w:pPr>
        <w:pStyle w:val="48"/>
        <w:tabs>
          <w:tab w:val="right" w:leader="dot" w:pos="8306"/>
        </w:tabs>
      </w:pPr>
      <w:r>
        <w:fldChar w:fldCharType="begin"/>
      </w:r>
      <w:r>
        <w:instrText xml:space="preserve"> HYPERLINK \l "_Toc27211" </w:instrText>
      </w:r>
      <w:r>
        <w:fldChar w:fldCharType="separate"/>
      </w:r>
      <w:r>
        <w:rPr>
          <w:rFonts w:hint="eastAsia" w:ascii="仿宋" w:hAnsi="仿宋" w:eastAsia="仿宋"/>
          <w:szCs w:val="32"/>
          <w:highlight w:val="none"/>
        </w:rPr>
        <w:t>（三）国有资产占有使用情况</w:t>
      </w:r>
      <w:r>
        <w:tab/>
      </w:r>
      <w:r>
        <w:fldChar w:fldCharType="begin"/>
      </w:r>
      <w:r>
        <w:instrText xml:space="preserve"> PAGEREF _Toc27211 \h </w:instrText>
      </w:r>
      <w:r>
        <w:fldChar w:fldCharType="separate"/>
      </w:r>
      <w:r>
        <w:t>7</w:t>
      </w:r>
      <w:r>
        <w:fldChar w:fldCharType="end"/>
      </w:r>
      <w:r>
        <w:fldChar w:fldCharType="end"/>
      </w:r>
    </w:p>
    <w:p>
      <w:pPr>
        <w:pStyle w:val="48"/>
        <w:tabs>
          <w:tab w:val="right" w:leader="dot" w:pos="8306"/>
        </w:tabs>
      </w:pPr>
      <w:r>
        <w:fldChar w:fldCharType="begin"/>
      </w:r>
      <w:r>
        <w:instrText xml:space="preserve"> HYPERLINK \l "_Toc28295" </w:instrText>
      </w:r>
      <w:r>
        <w:fldChar w:fldCharType="separate"/>
      </w:r>
      <w:r>
        <w:rPr>
          <w:rFonts w:hint="eastAsia" w:ascii="仿宋" w:hAnsi="仿宋" w:eastAsia="仿宋"/>
          <w:szCs w:val="32"/>
          <w:highlight w:val="none"/>
        </w:rPr>
        <w:t>（四）预算绩效管理情况</w:t>
      </w:r>
      <w:r>
        <w:tab/>
      </w:r>
      <w:r>
        <w:fldChar w:fldCharType="begin"/>
      </w:r>
      <w:r>
        <w:instrText xml:space="preserve"> PAGEREF _Toc28295 \h </w:instrText>
      </w:r>
      <w:r>
        <w:fldChar w:fldCharType="separate"/>
      </w:r>
      <w:r>
        <w:t>7</w:t>
      </w:r>
      <w:r>
        <w:fldChar w:fldCharType="end"/>
      </w:r>
      <w:r>
        <w:fldChar w:fldCharType="end"/>
      </w:r>
    </w:p>
    <w:p>
      <w:pPr>
        <w:pStyle w:val="41"/>
        <w:tabs>
          <w:tab w:val="right" w:leader="dot" w:pos="8306"/>
        </w:tabs>
      </w:pPr>
      <w:r>
        <w:fldChar w:fldCharType="begin"/>
      </w:r>
      <w:r>
        <w:instrText xml:space="preserve"> HYPERLINK \l "_Toc2591" </w:instrText>
      </w:r>
      <w:r>
        <w:fldChar w:fldCharType="separate"/>
      </w:r>
      <w:r>
        <w:rPr>
          <w:rFonts w:hint="eastAsia" w:ascii="宋体" w:cs="Times New Roman"/>
          <w:szCs w:val="44"/>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_Toc2591 \h </w:instrText>
      </w:r>
      <w:r>
        <w:fldChar w:fldCharType="separate"/>
      </w:r>
      <w:r>
        <w:t>10</w:t>
      </w:r>
      <w:r>
        <w:fldChar w:fldCharType="end"/>
      </w:r>
      <w:r>
        <w:fldChar w:fldCharType="end"/>
      </w:r>
    </w:p>
    <w:p>
      <w:pPr>
        <w:pStyle w:val="41"/>
        <w:tabs>
          <w:tab w:val="right" w:leader="dot" w:pos="8306"/>
        </w:tabs>
      </w:pPr>
      <w:r>
        <w:fldChar w:fldCharType="begin"/>
      </w:r>
      <w:r>
        <w:instrText xml:space="preserve"> HYPERLINK \l "_Toc11555" </w:instrText>
      </w:r>
      <w:r>
        <w:fldChar w:fldCharType="separate"/>
      </w:r>
      <w:r>
        <w:rPr>
          <w:rFonts w:hint="eastAsia" w:ascii="黑体" w:hAnsi="黑体" w:eastAsia="黑体"/>
          <w:szCs w:val="44"/>
        </w:rPr>
        <w:t>第</w:t>
      </w:r>
      <w:r>
        <w:rPr>
          <w:rFonts w:hint="eastAsia" w:ascii="黑体" w:hAnsi="黑体" w:eastAsia="黑体"/>
        </w:rPr>
        <w:t>四部分</w:t>
      </w:r>
      <w:r>
        <w:rPr>
          <w:rFonts w:ascii="黑体" w:hAnsi="黑体" w:eastAsia="黑体"/>
        </w:rPr>
        <w:t xml:space="preserve"> </w:t>
      </w:r>
      <w:r>
        <w:rPr>
          <w:rFonts w:hint="eastAsia" w:ascii="黑体" w:hAnsi="黑体" w:eastAsia="黑体"/>
        </w:rPr>
        <w:t>附件</w:t>
      </w:r>
      <w:r>
        <w:tab/>
      </w:r>
      <w:r>
        <w:fldChar w:fldCharType="begin"/>
      </w:r>
      <w:r>
        <w:instrText xml:space="preserve"> PAGEREF _Toc11555 \h </w:instrText>
      </w:r>
      <w:r>
        <w:fldChar w:fldCharType="separate"/>
      </w:r>
      <w:r>
        <w:t>13</w:t>
      </w:r>
      <w:r>
        <w:fldChar w:fldCharType="end"/>
      </w:r>
      <w:r>
        <w:fldChar w:fldCharType="end"/>
      </w:r>
    </w:p>
    <w:p>
      <w:pPr>
        <w:pStyle w:val="41"/>
        <w:tabs>
          <w:tab w:val="right" w:leader="dot" w:pos="8306"/>
        </w:tabs>
      </w:pPr>
      <w:r>
        <w:fldChar w:fldCharType="begin"/>
      </w:r>
      <w:r>
        <w:instrText xml:space="preserve"> HYPERLINK \l "_Toc22179" </w:instrText>
      </w:r>
      <w:r>
        <w:fldChar w:fldCharType="separate"/>
      </w:r>
      <w:r>
        <w:rPr>
          <w:rFonts w:hint="eastAsia" w:ascii="黑体" w:hAnsi="黑体" w:eastAsia="黑体"/>
          <w:lang w:eastAsia="zh-CN"/>
        </w:rPr>
        <w:t>五部分</w:t>
      </w:r>
      <w:r>
        <w:rPr>
          <w:rFonts w:hint="eastAsia" w:ascii="黑体" w:hAnsi="黑体" w:eastAsia="黑体"/>
        </w:rPr>
        <w:t>附表</w:t>
      </w:r>
      <w:r>
        <w:tab/>
      </w:r>
      <w:r>
        <w:fldChar w:fldCharType="begin"/>
      </w:r>
      <w:r>
        <w:instrText xml:space="preserve"> PAGEREF _Toc22179 \h </w:instrText>
      </w:r>
      <w:r>
        <w:fldChar w:fldCharType="separate"/>
      </w:r>
      <w:r>
        <w:t>14</w:t>
      </w:r>
      <w:r>
        <w:fldChar w:fldCharType="end"/>
      </w:r>
      <w:r>
        <w:fldChar w:fldCharType="end"/>
      </w:r>
    </w:p>
    <w:p>
      <w:pPr>
        <w:pStyle w:val="39"/>
        <w:tabs>
          <w:tab w:val="right" w:leader="dot" w:pos="8306"/>
        </w:tabs>
      </w:pPr>
      <w:r>
        <w:fldChar w:fldCharType="begin"/>
      </w:r>
      <w:r>
        <w:instrText xml:space="preserve"> HYPERLINK \l "_Toc1712" </w:instrText>
      </w:r>
      <w:r>
        <w:fldChar w:fldCharType="separate"/>
      </w:r>
      <w:r>
        <w:rPr>
          <w:rFonts w:hint="eastAsia" w:ascii="仿宋" w:hAnsi="仿宋" w:eastAsia="仿宋"/>
          <w:bCs w:val="0"/>
        </w:rPr>
        <w:t>一、</w:t>
      </w:r>
      <w:r>
        <w:rPr>
          <w:rFonts w:hint="eastAsia" w:ascii="仿宋" w:hAnsi="仿宋" w:eastAsia="仿宋" w:cs="Times New Roman"/>
          <w:bCs w:val="0"/>
          <w:highlight w:val="none"/>
        </w:rPr>
        <w:t>收入</w:t>
      </w:r>
      <w:r>
        <w:rPr>
          <w:rFonts w:hint="eastAsia" w:ascii="仿宋" w:hAnsi="仿宋" w:eastAsia="仿宋"/>
          <w:bCs w:val="0"/>
          <w:highlight w:val="none"/>
        </w:rPr>
        <w:t>支出决算总表</w:t>
      </w:r>
      <w:r>
        <w:tab/>
      </w:r>
      <w:r>
        <w:fldChar w:fldCharType="begin"/>
      </w:r>
      <w:r>
        <w:instrText xml:space="preserve"> PAGEREF _Toc1712 \h </w:instrText>
      </w:r>
      <w:r>
        <w:fldChar w:fldCharType="separate"/>
      </w:r>
      <w:r>
        <w:t>14</w:t>
      </w:r>
      <w:r>
        <w:fldChar w:fldCharType="end"/>
      </w:r>
      <w:r>
        <w:fldChar w:fldCharType="end"/>
      </w:r>
    </w:p>
    <w:p>
      <w:pPr>
        <w:pStyle w:val="39"/>
        <w:tabs>
          <w:tab w:val="right" w:leader="dot" w:pos="8306"/>
        </w:tabs>
      </w:pPr>
      <w:r>
        <w:fldChar w:fldCharType="begin"/>
      </w:r>
      <w:r>
        <w:instrText xml:space="preserve"> HYPERLINK \l "_Toc1101" </w:instrText>
      </w:r>
      <w:r>
        <w:fldChar w:fldCharType="separate"/>
      </w:r>
      <w:r>
        <w:rPr>
          <w:rFonts w:hint="eastAsia" w:ascii="仿宋" w:hAnsi="仿宋" w:eastAsia="仿宋" w:cs="Times New Roman"/>
          <w:bCs w:val="0"/>
          <w:highlight w:val="none"/>
        </w:rPr>
        <w:t>二、收入</w:t>
      </w:r>
      <w:r>
        <w:rPr>
          <w:rFonts w:hint="eastAsia" w:ascii="仿宋" w:hAnsi="仿宋" w:eastAsia="仿宋"/>
          <w:bCs w:val="0"/>
          <w:highlight w:val="none"/>
        </w:rPr>
        <w:t>决算表</w:t>
      </w:r>
      <w:r>
        <w:tab/>
      </w:r>
      <w:r>
        <w:fldChar w:fldCharType="begin"/>
      </w:r>
      <w:r>
        <w:instrText xml:space="preserve"> PAGEREF _Toc1101 \h </w:instrText>
      </w:r>
      <w:r>
        <w:fldChar w:fldCharType="separate"/>
      </w:r>
      <w:r>
        <w:t>14</w:t>
      </w:r>
      <w:r>
        <w:fldChar w:fldCharType="end"/>
      </w:r>
      <w:r>
        <w:fldChar w:fldCharType="end"/>
      </w:r>
    </w:p>
    <w:p>
      <w:pPr>
        <w:pStyle w:val="39"/>
        <w:tabs>
          <w:tab w:val="right" w:leader="dot" w:pos="8306"/>
        </w:tabs>
      </w:pPr>
      <w:r>
        <w:fldChar w:fldCharType="begin"/>
      </w:r>
      <w:r>
        <w:instrText xml:space="preserve"> HYPERLINK \l "_Toc26581" </w:instrText>
      </w:r>
      <w:r>
        <w:fldChar w:fldCharType="separate"/>
      </w:r>
      <w:r>
        <w:rPr>
          <w:rFonts w:hint="eastAsia" w:ascii="仿宋" w:hAnsi="仿宋" w:eastAsia="仿宋"/>
          <w:bCs w:val="0"/>
          <w:highlight w:val="none"/>
        </w:rPr>
        <w:t>三、</w:t>
      </w:r>
      <w:r>
        <w:rPr>
          <w:rFonts w:hint="eastAsia" w:ascii="仿宋" w:hAnsi="仿宋" w:eastAsia="仿宋" w:cs="Times New Roman"/>
          <w:bCs w:val="0"/>
          <w:highlight w:val="none"/>
        </w:rPr>
        <w:t>支出</w:t>
      </w:r>
      <w:r>
        <w:rPr>
          <w:rFonts w:hint="eastAsia" w:ascii="仿宋" w:hAnsi="仿宋" w:eastAsia="仿宋"/>
          <w:bCs w:val="0"/>
          <w:highlight w:val="none"/>
        </w:rPr>
        <w:t>决算表</w:t>
      </w:r>
      <w:r>
        <w:tab/>
      </w:r>
      <w:r>
        <w:fldChar w:fldCharType="begin"/>
      </w:r>
      <w:r>
        <w:instrText xml:space="preserve"> PAGEREF _Toc26581 \h </w:instrText>
      </w:r>
      <w:r>
        <w:fldChar w:fldCharType="separate"/>
      </w:r>
      <w:r>
        <w:t>14</w:t>
      </w:r>
      <w:r>
        <w:fldChar w:fldCharType="end"/>
      </w:r>
      <w:r>
        <w:fldChar w:fldCharType="end"/>
      </w:r>
    </w:p>
    <w:p>
      <w:pPr>
        <w:pStyle w:val="39"/>
        <w:tabs>
          <w:tab w:val="right" w:leader="dot" w:pos="8306"/>
        </w:tabs>
      </w:pPr>
      <w:r>
        <w:fldChar w:fldCharType="begin"/>
      </w:r>
      <w:r>
        <w:instrText xml:space="preserve"> HYPERLINK \l "_Toc22290" </w:instrText>
      </w:r>
      <w:r>
        <w:fldChar w:fldCharType="separate"/>
      </w:r>
      <w:r>
        <w:rPr>
          <w:rFonts w:hint="eastAsia" w:ascii="仿宋" w:hAnsi="仿宋" w:eastAsia="仿宋"/>
          <w:bCs w:val="0"/>
          <w:highlight w:val="none"/>
        </w:rPr>
        <w:t>四、</w:t>
      </w:r>
      <w:r>
        <w:rPr>
          <w:rFonts w:hint="eastAsia" w:ascii="仿宋" w:hAnsi="仿宋" w:eastAsia="仿宋" w:cs="Times New Roman"/>
          <w:bCs w:val="0"/>
          <w:highlight w:val="none"/>
        </w:rPr>
        <w:t>财政拨款</w:t>
      </w:r>
      <w:r>
        <w:rPr>
          <w:rFonts w:hint="eastAsia" w:ascii="仿宋" w:hAnsi="仿宋" w:eastAsia="仿宋"/>
          <w:bCs w:val="0"/>
          <w:highlight w:val="none"/>
        </w:rPr>
        <w:t>收入支出决算总表</w:t>
      </w:r>
      <w:r>
        <w:tab/>
      </w:r>
      <w:r>
        <w:fldChar w:fldCharType="begin"/>
      </w:r>
      <w:r>
        <w:instrText xml:space="preserve"> PAGEREF _Toc22290 \h </w:instrText>
      </w:r>
      <w:r>
        <w:fldChar w:fldCharType="separate"/>
      </w:r>
      <w:r>
        <w:t>14</w:t>
      </w:r>
      <w:r>
        <w:fldChar w:fldCharType="end"/>
      </w:r>
      <w:r>
        <w:fldChar w:fldCharType="end"/>
      </w:r>
    </w:p>
    <w:p>
      <w:pPr>
        <w:pStyle w:val="39"/>
        <w:tabs>
          <w:tab w:val="right" w:leader="dot" w:pos="8306"/>
        </w:tabs>
      </w:pPr>
      <w:r>
        <w:fldChar w:fldCharType="begin"/>
      </w:r>
      <w:r>
        <w:instrText xml:space="preserve"> HYPERLINK \l "_Toc28434" </w:instrText>
      </w:r>
      <w:r>
        <w:fldChar w:fldCharType="separate"/>
      </w:r>
      <w:r>
        <w:rPr>
          <w:rFonts w:hint="eastAsia" w:ascii="仿宋" w:hAnsi="仿宋" w:eastAsia="仿宋"/>
          <w:bCs w:val="0"/>
          <w:highlight w:val="none"/>
        </w:rPr>
        <w:t>五、</w:t>
      </w:r>
      <w:r>
        <w:rPr>
          <w:rFonts w:hint="eastAsia" w:ascii="仿宋" w:hAnsi="仿宋" w:eastAsia="仿宋" w:cs="Times New Roman"/>
          <w:bCs w:val="0"/>
          <w:highlight w:val="none"/>
        </w:rPr>
        <w:t>财政</w:t>
      </w:r>
      <w:r>
        <w:rPr>
          <w:rFonts w:hint="eastAsia" w:ascii="仿宋" w:hAnsi="仿宋" w:eastAsia="仿宋"/>
          <w:bCs w:val="0"/>
          <w:highlight w:val="none"/>
        </w:rPr>
        <w:t>拨款支出决算明细表</w:t>
      </w:r>
      <w:r>
        <w:tab/>
      </w:r>
      <w:r>
        <w:fldChar w:fldCharType="begin"/>
      </w:r>
      <w:r>
        <w:instrText xml:space="preserve"> PAGEREF _Toc28434 \h </w:instrText>
      </w:r>
      <w:r>
        <w:fldChar w:fldCharType="separate"/>
      </w:r>
      <w:r>
        <w:t>14</w:t>
      </w:r>
      <w:r>
        <w:fldChar w:fldCharType="end"/>
      </w:r>
      <w:r>
        <w:fldChar w:fldCharType="end"/>
      </w:r>
    </w:p>
    <w:p>
      <w:pPr>
        <w:pStyle w:val="39"/>
        <w:tabs>
          <w:tab w:val="right" w:leader="dot" w:pos="8306"/>
        </w:tabs>
      </w:pPr>
      <w:r>
        <w:fldChar w:fldCharType="begin"/>
      </w:r>
      <w:r>
        <w:instrText xml:space="preserve"> HYPERLINK \l "_Toc7261" </w:instrText>
      </w:r>
      <w:r>
        <w:fldChar w:fldCharType="separate"/>
      </w:r>
      <w:r>
        <w:rPr>
          <w:rFonts w:hint="eastAsia" w:ascii="仿宋" w:hAnsi="仿宋" w:eastAsia="仿宋"/>
          <w:bCs w:val="0"/>
          <w:highlight w:val="none"/>
        </w:rPr>
        <w:t>六、</w:t>
      </w:r>
      <w:r>
        <w:rPr>
          <w:rFonts w:hint="eastAsia" w:ascii="仿宋" w:eastAsia="仿宋"/>
          <w:highlight w:val="none"/>
        </w:rPr>
        <w:t>一</w:t>
      </w:r>
      <w:r>
        <w:rPr>
          <w:rFonts w:hint="eastAsia" w:ascii="仿宋" w:eastAsia="仿宋"/>
          <w:bCs w:val="0"/>
          <w:highlight w:val="none"/>
        </w:rPr>
        <w:t>般公共预算财政拨款支出决算表</w:t>
      </w:r>
      <w:r>
        <w:tab/>
      </w:r>
      <w:r>
        <w:fldChar w:fldCharType="begin"/>
      </w:r>
      <w:r>
        <w:instrText xml:space="preserve"> PAGEREF _Toc7261 \h </w:instrText>
      </w:r>
      <w:r>
        <w:fldChar w:fldCharType="separate"/>
      </w:r>
      <w:r>
        <w:t>14</w:t>
      </w:r>
      <w:r>
        <w:fldChar w:fldCharType="end"/>
      </w:r>
      <w:r>
        <w:fldChar w:fldCharType="end"/>
      </w:r>
    </w:p>
    <w:p>
      <w:pPr>
        <w:pStyle w:val="39"/>
        <w:tabs>
          <w:tab w:val="right" w:leader="dot" w:pos="8306"/>
        </w:tabs>
      </w:pPr>
      <w:r>
        <w:fldChar w:fldCharType="begin"/>
      </w:r>
      <w:r>
        <w:instrText xml:space="preserve"> HYPERLINK \l "_Toc330" </w:instrText>
      </w:r>
      <w:r>
        <w:fldChar w:fldCharType="separate"/>
      </w:r>
      <w:r>
        <w:rPr>
          <w:rFonts w:hint="eastAsia" w:ascii="仿宋" w:hAnsi="仿宋" w:eastAsia="仿宋"/>
          <w:bCs w:val="0"/>
          <w:highlight w:val="none"/>
        </w:rPr>
        <w:t>七、</w:t>
      </w:r>
      <w:r>
        <w:rPr>
          <w:rFonts w:hint="eastAsia" w:ascii="仿宋" w:eastAsia="仿宋"/>
          <w:highlight w:val="none"/>
        </w:rPr>
        <w:t>一</w:t>
      </w:r>
      <w:r>
        <w:rPr>
          <w:rFonts w:hint="eastAsia" w:ascii="仿宋" w:eastAsia="仿宋"/>
          <w:bCs w:val="0"/>
          <w:highlight w:val="none"/>
        </w:rPr>
        <w:t>般公共预算财政拨款支出决算明细表</w:t>
      </w:r>
      <w:r>
        <w:tab/>
      </w:r>
      <w:r>
        <w:fldChar w:fldCharType="begin"/>
      </w:r>
      <w:r>
        <w:instrText xml:space="preserve"> PAGEREF _Toc330 \h </w:instrText>
      </w:r>
      <w:r>
        <w:fldChar w:fldCharType="separate"/>
      </w:r>
      <w:r>
        <w:t>14</w:t>
      </w:r>
      <w:r>
        <w:fldChar w:fldCharType="end"/>
      </w:r>
      <w:r>
        <w:fldChar w:fldCharType="end"/>
      </w:r>
    </w:p>
    <w:p>
      <w:pPr>
        <w:pStyle w:val="39"/>
        <w:tabs>
          <w:tab w:val="right" w:leader="dot" w:pos="8306"/>
        </w:tabs>
      </w:pPr>
      <w:r>
        <w:fldChar w:fldCharType="begin"/>
      </w:r>
      <w:r>
        <w:instrText xml:space="preserve"> HYPERLINK \l "_Toc26122" </w:instrText>
      </w:r>
      <w:r>
        <w:fldChar w:fldCharType="separate"/>
      </w:r>
      <w:r>
        <w:rPr>
          <w:rFonts w:hint="eastAsia" w:ascii="仿宋" w:hAnsi="仿宋" w:eastAsia="仿宋"/>
          <w:bCs w:val="0"/>
          <w:highlight w:val="none"/>
        </w:rPr>
        <w:t>八、</w:t>
      </w:r>
      <w:r>
        <w:rPr>
          <w:rFonts w:hint="eastAsia" w:ascii="仿宋" w:eastAsia="仿宋"/>
          <w:highlight w:val="none"/>
        </w:rPr>
        <w:t>一</w:t>
      </w:r>
      <w:r>
        <w:rPr>
          <w:rFonts w:hint="eastAsia" w:ascii="仿宋" w:eastAsia="仿宋"/>
          <w:bCs w:val="0"/>
          <w:highlight w:val="none"/>
        </w:rPr>
        <w:t>般公共预算财政拨款基本支出决算表</w:t>
      </w:r>
      <w:r>
        <w:tab/>
      </w:r>
      <w:r>
        <w:fldChar w:fldCharType="begin"/>
      </w:r>
      <w:r>
        <w:instrText xml:space="preserve"> PAGEREF _Toc26122 \h </w:instrText>
      </w:r>
      <w:r>
        <w:fldChar w:fldCharType="separate"/>
      </w:r>
      <w:r>
        <w:t>14</w:t>
      </w:r>
      <w:r>
        <w:fldChar w:fldCharType="end"/>
      </w:r>
      <w:r>
        <w:fldChar w:fldCharType="end"/>
      </w:r>
    </w:p>
    <w:p>
      <w:pPr>
        <w:pStyle w:val="39"/>
        <w:tabs>
          <w:tab w:val="right" w:leader="dot" w:pos="8306"/>
        </w:tabs>
      </w:pPr>
      <w:r>
        <w:fldChar w:fldCharType="begin"/>
      </w:r>
      <w:r>
        <w:instrText xml:space="preserve"> HYPERLINK \l "_Toc12132" </w:instrText>
      </w:r>
      <w:r>
        <w:fldChar w:fldCharType="separate"/>
      </w:r>
      <w:r>
        <w:rPr>
          <w:rFonts w:hint="eastAsia" w:ascii="仿宋" w:hAnsi="仿宋" w:eastAsia="仿宋"/>
          <w:bCs w:val="0"/>
          <w:highlight w:val="none"/>
        </w:rPr>
        <w:t>九、</w:t>
      </w:r>
      <w:r>
        <w:rPr>
          <w:rFonts w:hint="eastAsia" w:ascii="仿宋" w:eastAsia="仿宋"/>
          <w:highlight w:val="none"/>
        </w:rPr>
        <w:t>一</w:t>
      </w:r>
      <w:r>
        <w:rPr>
          <w:rFonts w:hint="eastAsia" w:ascii="仿宋" w:eastAsia="仿宋"/>
          <w:bCs w:val="0"/>
          <w:highlight w:val="none"/>
        </w:rPr>
        <w:t>般公共预算财政拨款项目支出决算表</w:t>
      </w:r>
      <w:r>
        <w:tab/>
      </w:r>
      <w:r>
        <w:fldChar w:fldCharType="begin"/>
      </w:r>
      <w:r>
        <w:instrText xml:space="preserve"> PAGEREF _Toc12132 \h </w:instrText>
      </w:r>
      <w:r>
        <w:fldChar w:fldCharType="separate"/>
      </w:r>
      <w:r>
        <w:t>14</w:t>
      </w:r>
      <w:r>
        <w:fldChar w:fldCharType="end"/>
      </w:r>
      <w:r>
        <w:fldChar w:fldCharType="end"/>
      </w:r>
    </w:p>
    <w:p>
      <w:pPr>
        <w:pStyle w:val="39"/>
        <w:tabs>
          <w:tab w:val="right" w:leader="dot" w:pos="8306"/>
        </w:tabs>
      </w:pPr>
      <w:r>
        <w:fldChar w:fldCharType="begin"/>
      </w:r>
      <w:r>
        <w:instrText xml:space="preserve"> HYPERLINK \l "_Toc5620" </w:instrText>
      </w:r>
      <w:r>
        <w:fldChar w:fldCharType="separate"/>
      </w:r>
      <w:r>
        <w:rPr>
          <w:rFonts w:hint="eastAsia" w:ascii="仿宋" w:hAnsi="仿宋" w:eastAsia="仿宋"/>
          <w:bCs w:val="0"/>
          <w:highlight w:val="none"/>
        </w:rPr>
        <w:t>十、</w:t>
      </w:r>
      <w:r>
        <w:rPr>
          <w:rFonts w:hint="eastAsia" w:ascii="仿宋" w:hAnsi="仿宋" w:eastAsia="仿宋" w:cs="Times New Roman"/>
          <w:bCs w:val="0"/>
          <w:highlight w:val="none"/>
        </w:rPr>
        <w:t>政府性</w:t>
      </w:r>
      <w:r>
        <w:rPr>
          <w:rFonts w:hint="eastAsia" w:ascii="仿宋" w:hAnsi="仿宋" w:eastAsia="仿宋"/>
          <w:bCs w:val="0"/>
          <w:highlight w:val="none"/>
        </w:rPr>
        <w:t>基金预算财政拨款收入支出决算表</w:t>
      </w:r>
      <w:r>
        <w:tab/>
      </w:r>
      <w:r>
        <w:fldChar w:fldCharType="begin"/>
      </w:r>
      <w:r>
        <w:instrText xml:space="preserve"> PAGEREF _Toc5620 \h </w:instrText>
      </w:r>
      <w:r>
        <w:fldChar w:fldCharType="separate"/>
      </w:r>
      <w:r>
        <w:t>14</w:t>
      </w:r>
      <w:r>
        <w:fldChar w:fldCharType="end"/>
      </w:r>
      <w:r>
        <w:fldChar w:fldCharType="end"/>
      </w:r>
    </w:p>
    <w:p>
      <w:pPr>
        <w:pStyle w:val="39"/>
        <w:tabs>
          <w:tab w:val="right" w:leader="dot" w:pos="8306"/>
        </w:tabs>
      </w:pPr>
      <w:r>
        <w:fldChar w:fldCharType="begin"/>
      </w:r>
      <w:r>
        <w:instrText xml:space="preserve"> HYPERLINK \l "_Toc24093" </w:instrText>
      </w:r>
      <w:r>
        <w:fldChar w:fldCharType="separate"/>
      </w:r>
      <w:r>
        <w:rPr>
          <w:rFonts w:hint="eastAsia" w:ascii="仿宋" w:hAnsi="仿宋" w:eastAsia="仿宋"/>
          <w:bCs w:val="0"/>
          <w:highlight w:val="none"/>
        </w:rPr>
        <w:t>十一、</w:t>
      </w:r>
      <w:r>
        <w:rPr>
          <w:rFonts w:hint="eastAsia" w:ascii="仿宋" w:hAnsi="仿宋" w:eastAsia="仿宋" w:cs="Times New Roman"/>
          <w:bCs w:val="0"/>
          <w:highlight w:val="none"/>
        </w:rPr>
        <w:t>国有资</w:t>
      </w:r>
      <w:r>
        <w:rPr>
          <w:rFonts w:hint="eastAsia" w:ascii="仿宋" w:hAnsi="仿宋" w:eastAsia="仿宋"/>
          <w:bCs w:val="0"/>
          <w:highlight w:val="none"/>
        </w:rPr>
        <w:t>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_Toc24093 \h </w:instrText>
      </w:r>
      <w:r>
        <w:fldChar w:fldCharType="separate"/>
      </w:r>
      <w:r>
        <w:t>14</w:t>
      </w:r>
      <w:r>
        <w:fldChar w:fldCharType="end"/>
      </w:r>
      <w:r>
        <w:fldChar w:fldCharType="end"/>
      </w:r>
    </w:p>
    <w:p>
      <w:pPr>
        <w:pStyle w:val="39"/>
        <w:tabs>
          <w:tab w:val="right" w:leader="dot" w:pos="8306"/>
        </w:tabs>
      </w:pPr>
      <w:r>
        <w:fldChar w:fldCharType="begin"/>
      </w:r>
      <w:r>
        <w:instrText xml:space="preserve"> HYPERLINK \l "_Toc1800"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_Toc1800 \h </w:instrText>
      </w:r>
      <w:r>
        <w:fldChar w:fldCharType="separate"/>
      </w:r>
      <w:r>
        <w:t>14</w:t>
      </w:r>
      <w:r>
        <w:fldChar w:fldCharType="end"/>
      </w:r>
      <w:r>
        <w:fldChar w:fldCharType="end"/>
      </w:r>
    </w:p>
    <w:p>
      <w:pPr>
        <w:pStyle w:val="39"/>
        <w:tabs>
          <w:tab w:val="right" w:leader="dot" w:pos="8306"/>
        </w:tabs>
      </w:pPr>
      <w:r>
        <w:fldChar w:fldCharType="begin"/>
      </w:r>
      <w:r>
        <w:instrText xml:space="preserve"> HYPERLINK \l "_Toc26947"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_Toc26947 \h </w:instrText>
      </w:r>
      <w:r>
        <w:fldChar w:fldCharType="separate"/>
      </w:r>
      <w:r>
        <w:t>14</w:t>
      </w:r>
      <w:r>
        <w:fldChar w:fldCharType="end"/>
      </w:r>
      <w:r>
        <w:fldChar w:fldCharType="end"/>
      </w:r>
    </w:p>
    <w:p>
      <w:pPr>
        <w:pStyle w:val="26"/>
        <w:tabs>
          <w:tab w:val="right" w:leader="dot" w:pos="8306"/>
          <w:tab w:val="clear" w:pos="8296"/>
        </w:tabs>
        <w:rPr>
          <w:rStyle w:val="31"/>
          <w:rFonts w:hint="eastAsia" w:ascii="仿宋" w:hAnsi="仿宋" w:eastAsia="仿宋" w:cs="Times New Roman"/>
          <w:b w:val="0"/>
          <w:bCs w:val="0"/>
          <w:color w:val="auto"/>
          <w:sz w:val="28"/>
          <w:szCs w:val="28"/>
          <w:highlight w:val="none"/>
        </w:rPr>
      </w:pPr>
      <w:r>
        <w:rPr>
          <w:rFonts w:hint="eastAsia" w:ascii="仿宋" w:hAnsi="仿宋" w:eastAsia="仿宋" w:cs="Times New Roman"/>
          <w:bCs w:val="0"/>
          <w:color w:val="auto"/>
          <w:szCs w:val="28"/>
          <w:highlight w:val="none"/>
        </w:rPr>
        <w:fldChar w:fldCharType="end"/>
      </w:r>
    </w:p>
    <w:p>
      <w:pPr>
        <w:pStyle w:val="25"/>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宋体" w:hAnsi="宋体" w:eastAsia="宋体" w:cs="宋体"/>
          <w:sz w:val="24"/>
          <w:szCs w:val="24"/>
        </w:rPr>
        <w:sectPr>
          <w:footerReference r:id="rId5" w:type="default"/>
          <w:pgSz w:w="11906" w:h="16838"/>
          <w:pgMar w:top="1440" w:right="1800" w:bottom="1440" w:left="1800" w:header="851" w:footer="992" w:gutter="0"/>
          <w:pgNumType w:start="1"/>
          <w:cols w:space="720" w:num="1"/>
          <w:docGrid w:type="lines" w:linePitch="312" w:charSpace="0"/>
        </w:sectPr>
      </w:pPr>
      <w:r>
        <w:rPr>
          <w:rFonts w:hint="eastAsia" w:ascii="仿宋" w:hAnsi="仿宋" w:eastAsia="仿宋" w:cs="仿宋"/>
          <w:sz w:val="30"/>
          <w:szCs w:val="30"/>
          <w:lang w:eastAsia="zh-CN"/>
        </w:rPr>
        <w:fldChar w:fldCharType="end"/>
      </w:r>
      <w:bookmarkStart w:id="28" w:name="_Toc15396599"/>
      <w:bookmarkStart w:id="29" w:name="_Toc15377196"/>
    </w:p>
    <w:p>
      <w:pPr>
        <w:pStyle w:val="5"/>
        <w:pageBreakBefore w:val="0"/>
        <w:wordWrap/>
        <w:overflowPunct/>
        <w:topLinePunct w:val="0"/>
        <w:bidi w:val="0"/>
        <w:spacing w:before="62" w:beforeAutospacing="0" w:after="0" w:afterAutospacing="0" w:line="580" w:lineRule="exact"/>
        <w:jc w:val="center"/>
        <w:rPr>
          <w:rFonts w:ascii="黑体" w:eastAsia="黑体"/>
          <w:color w:val="000000"/>
          <w:sz w:val="32"/>
          <w:szCs w:val="32"/>
        </w:rPr>
      </w:pPr>
      <w:bookmarkStart w:id="30" w:name="_Toc8356"/>
      <w:bookmarkStart w:id="31" w:name="_Toc15780"/>
      <w:bookmarkStart w:id="32" w:name="_Toc19743"/>
      <w:r>
        <w:rPr>
          <w:rFonts w:hint="eastAsia" w:ascii="黑体" w:hAnsi="黑体" w:eastAsia="黑体"/>
          <w:b w:val="0"/>
        </w:rPr>
        <w:t>第一部分</w:t>
      </w:r>
      <w:r>
        <w:rPr>
          <w:rFonts w:ascii="黑体" w:hAnsi="黑体" w:eastAsia="黑体"/>
          <w:b w:val="0"/>
        </w:rPr>
        <w:t xml:space="preserve"> </w:t>
      </w:r>
      <w:r>
        <w:rPr>
          <w:rStyle w:val="12"/>
          <w:rFonts w:hint="eastAsia" w:ascii="黑体" w:hAnsi="黑体" w:eastAsia="黑体"/>
          <w:b w:val="0"/>
          <w:bCs w:val="0"/>
          <w:lang w:eastAsia="zh-CN"/>
        </w:rPr>
        <w:t>单位</w:t>
      </w:r>
      <w:r>
        <w:rPr>
          <w:rStyle w:val="12"/>
          <w:rFonts w:hint="eastAsia" w:ascii="黑体" w:hAnsi="黑体" w:eastAsia="黑体"/>
          <w:b w:val="0"/>
          <w:bCs w:val="0"/>
        </w:rPr>
        <w:t>概况</w:t>
      </w:r>
      <w:bookmarkEnd w:id="28"/>
      <w:bookmarkEnd w:id="29"/>
      <w:bookmarkEnd w:id="30"/>
      <w:bookmarkEnd w:id="31"/>
      <w:bookmarkEnd w:id="32"/>
    </w:p>
    <w:p>
      <w:pPr>
        <w:pStyle w:val="6"/>
        <w:pageBreakBefore w:val="0"/>
        <w:wordWrap/>
        <w:overflowPunct/>
        <w:topLinePunct w:val="0"/>
        <w:bidi w:val="0"/>
        <w:spacing w:before="0" w:beforeAutospacing="0" w:after="0" w:afterAutospacing="0" w:line="240" w:lineRule="auto"/>
        <w:ind w:left="0" w:leftChars="0" w:firstLine="640" w:firstLineChars="200"/>
        <w:rPr>
          <w:rFonts w:hint="eastAsia" w:ascii="黑体" w:hAnsi="黑体" w:eastAsia="黑体"/>
          <w:b w:val="0"/>
          <w:color w:val="000000"/>
          <w:lang w:eastAsia="zh-CN"/>
        </w:rPr>
      </w:pPr>
      <w:bookmarkStart w:id="33" w:name="_Toc22491"/>
      <w:bookmarkStart w:id="34" w:name="_Toc15396600"/>
      <w:bookmarkStart w:id="35" w:name="_Toc15377197"/>
      <w:bookmarkStart w:id="36" w:name="_Toc18133"/>
      <w:bookmarkStart w:id="37" w:name="_Toc11342"/>
      <w:r>
        <w:rPr>
          <w:rFonts w:hint="eastAsia" w:ascii="黑体" w:hAnsi="黑体" w:eastAsia="黑体"/>
          <w:b w:val="0"/>
          <w:color w:val="000000"/>
        </w:rPr>
        <w:t>一、</w:t>
      </w:r>
      <w:bookmarkEnd w:id="33"/>
      <w:bookmarkEnd w:id="34"/>
      <w:bookmarkEnd w:id="35"/>
      <w:r>
        <w:rPr>
          <w:rFonts w:hint="eastAsia" w:ascii="黑体" w:hAnsi="黑体" w:eastAsia="黑体"/>
          <w:b w:val="0"/>
          <w:color w:val="000000"/>
          <w:lang w:eastAsia="zh-CN"/>
        </w:rPr>
        <w:t>主要职责</w:t>
      </w:r>
      <w:bookmarkEnd w:id="36"/>
      <w:bookmarkEnd w:id="37"/>
    </w:p>
    <w:p>
      <w:pPr>
        <w:pStyle w:val="27"/>
        <w:pageBreakBefore w:val="0"/>
        <w:shd w:val="clear" w:color="auto" w:fill="FFFFFF"/>
        <w:wordWrap/>
        <w:overflowPunct/>
        <w:topLinePunct w:val="0"/>
        <w:bidi w:val="0"/>
        <w:spacing w:before="0" w:beforeAutospacing="0" w:after="0" w:afterAutospacing="0" w:line="580" w:lineRule="exact"/>
        <w:ind w:firstLine="640" w:firstLineChars="200"/>
        <w:outlineLvl w:val="2"/>
        <w:rPr>
          <w:rFonts w:hint="eastAsia" w:ascii="仿宋_GB2312" w:hAnsi="微软雅黑" w:eastAsia="仿宋_GB2312" w:cs="仿宋_GB2312"/>
          <w:b/>
          <w:bCs/>
          <w:snapToGrid w:val="0"/>
          <w:color w:val="000000"/>
          <w:sz w:val="31"/>
          <w:szCs w:val="31"/>
        </w:rPr>
      </w:pPr>
      <w:bookmarkStart w:id="38" w:name="_Toc20507"/>
      <w:r>
        <w:rPr>
          <w:rFonts w:hint="eastAsia" w:ascii="宋体" w:hAnsi="宋体" w:eastAsia="仿宋_GB2312" w:cs="宋体"/>
          <w:color w:val="000000"/>
          <w:sz w:val="32"/>
          <w:szCs w:val="32"/>
          <w:lang w:val="en-US" w:eastAsia="zh-CN"/>
        </w:rPr>
        <w:t>（一）</w:t>
      </w:r>
      <w:r>
        <w:rPr>
          <w:rFonts w:hint="eastAsia" w:ascii="仿宋_GB2312" w:hAnsi="微软雅黑" w:eastAsia="仿宋_GB2312" w:cs="仿宋_GB2312"/>
          <w:b/>
          <w:bCs/>
          <w:snapToGrid w:val="0"/>
          <w:color w:val="000000"/>
          <w:sz w:val="31"/>
          <w:szCs w:val="31"/>
          <w:shd w:val="clear" w:color="auto" w:fill="FFFFFF"/>
        </w:rPr>
        <w:t>基本公共卫生服务方面</w:t>
      </w:r>
      <w:bookmarkEnd w:id="38"/>
    </w:p>
    <w:p>
      <w:pPr>
        <w:pStyle w:val="42"/>
        <w:pageBreakBefore w:val="0"/>
        <w:kinsoku/>
        <w:wordWrap/>
        <w:overflowPunct/>
        <w:topLinePunct w:val="0"/>
        <w:autoSpaceDE/>
        <w:autoSpaceDN/>
        <w:bidi w:val="0"/>
        <w:adjustRightInd/>
        <w:snapToGrid/>
        <w:spacing w:beforeAutospacing="0" w:afterAutospacing="0" w:line="500" w:lineRule="exact"/>
        <w:ind w:firstLine="640" w:firstLineChars="200"/>
        <w:jc w:val="left"/>
        <w:textAlignment w:val="auto"/>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shd w:val="clear" w:color="auto" w:fill="FFFFFF"/>
        </w:rPr>
        <w:t>落实农村居民健康档案管理及服务；普及卫生保健常识，指导开展爱国卫生工作；规范预防接种服务，执行国家免疫规划；及时发现、登记并报告辖区传染病病</w:t>
      </w:r>
      <w:r>
        <w:rPr>
          <w:rFonts w:hint="eastAsia" w:ascii="仿宋" w:hAnsi="仿宋" w:eastAsia="仿宋" w:cs="仿宋"/>
          <w:snapToGrid w:val="0"/>
          <w:color w:val="000000"/>
          <w:sz w:val="32"/>
          <w:szCs w:val="32"/>
          <w:shd w:val="clear" w:color="auto" w:fill="FFFFFF"/>
          <w:lang w:eastAsia="zh-CN"/>
        </w:rPr>
        <w:t>例</w:t>
      </w:r>
      <w:r>
        <w:rPr>
          <w:rFonts w:hint="eastAsia" w:ascii="仿宋" w:hAnsi="仿宋" w:eastAsia="仿宋" w:cs="仿宋"/>
          <w:snapToGrid w:val="0"/>
          <w:color w:val="000000"/>
          <w:sz w:val="32"/>
          <w:szCs w:val="32"/>
          <w:shd w:val="clear" w:color="auto" w:fill="FFFFFF"/>
        </w:rPr>
        <w:t>和疑似病例，参与现场疫情处理，协助处理辖区内突发公共卫生事件；开展新生儿访视及儿童、孕产妇保健系统管理；对辖区65岁及以上老年人和糖尿病、精神病、高血压等慢性疾病登记管理；接受区卫生行政</w:t>
      </w:r>
      <w:r>
        <w:rPr>
          <w:rFonts w:hint="eastAsia" w:ascii="仿宋" w:hAnsi="仿宋" w:eastAsia="仿宋" w:cs="仿宋"/>
          <w:snapToGrid w:val="0"/>
          <w:color w:val="000000"/>
          <w:sz w:val="32"/>
          <w:szCs w:val="32"/>
          <w:shd w:val="clear" w:color="auto" w:fill="FFFFFF"/>
          <w:lang w:eastAsia="zh-CN"/>
        </w:rPr>
        <w:t>单位</w:t>
      </w:r>
      <w:r>
        <w:rPr>
          <w:rFonts w:hint="eastAsia" w:ascii="仿宋" w:hAnsi="仿宋" w:eastAsia="仿宋" w:cs="仿宋"/>
          <w:snapToGrid w:val="0"/>
          <w:color w:val="000000"/>
          <w:sz w:val="32"/>
          <w:szCs w:val="32"/>
          <w:shd w:val="clear" w:color="auto" w:fill="FFFFFF"/>
        </w:rPr>
        <w:t>委托，对辖区内传染病防治、学校卫生、饮用水卫生、职业卫生以及村级预防保健工作进行指导、培训、考核与监督等。</w:t>
      </w:r>
      <w:r>
        <w:rPr>
          <w:rFonts w:hint="eastAsia" w:ascii="仿宋_GB2312" w:hAnsi="宋体" w:eastAsia="仿宋_GB2312"/>
          <w:sz w:val="32"/>
          <w:szCs w:val="32"/>
        </w:rPr>
        <w:t>稳步推进重点人群、健康教育、疾控和卫生协管等公共卫生工作规范管理。</w:t>
      </w:r>
    </w:p>
    <w:p>
      <w:pPr>
        <w:pStyle w:val="27"/>
        <w:pageBreakBefore w:val="0"/>
        <w:numPr>
          <w:ilvl w:val="0"/>
          <w:numId w:val="1"/>
        </w:numPr>
        <w:shd w:val="clear" w:color="auto" w:fill="FFFFFF"/>
        <w:kinsoku/>
        <w:wordWrap/>
        <w:overflowPunct/>
        <w:topLinePunct w:val="0"/>
        <w:autoSpaceDE/>
        <w:autoSpaceDN/>
        <w:bidi w:val="0"/>
        <w:adjustRightInd/>
        <w:snapToGrid/>
        <w:spacing w:before="0" w:beforeAutospacing="0" w:after="0" w:afterAutospacing="0" w:line="500" w:lineRule="exact"/>
        <w:ind w:left="480" w:leftChars="0" w:firstLine="0" w:firstLineChars="0"/>
        <w:textAlignment w:val="auto"/>
        <w:outlineLvl w:val="2"/>
        <w:rPr>
          <w:rFonts w:hint="eastAsia" w:ascii="仿宋_GB2312" w:hAnsi="微软雅黑" w:eastAsia="仿宋_GB2312" w:cs="仿宋_GB2312"/>
          <w:b/>
          <w:bCs/>
          <w:snapToGrid w:val="0"/>
          <w:color w:val="000000"/>
          <w:sz w:val="31"/>
          <w:szCs w:val="31"/>
        </w:rPr>
      </w:pPr>
      <w:bookmarkStart w:id="39" w:name="_Toc23726"/>
      <w:r>
        <w:rPr>
          <w:rFonts w:hint="eastAsia" w:ascii="仿宋_GB2312" w:hAnsi="微软雅黑" w:eastAsia="仿宋_GB2312" w:cs="仿宋_GB2312"/>
          <w:b/>
          <w:bCs/>
          <w:snapToGrid w:val="0"/>
          <w:color w:val="000000"/>
          <w:sz w:val="31"/>
          <w:szCs w:val="31"/>
          <w:shd w:val="clear" w:color="auto" w:fill="FFFFFF"/>
        </w:rPr>
        <w:t>基本医疗服务方面</w:t>
      </w:r>
      <w:bookmarkEnd w:id="39"/>
    </w:p>
    <w:p>
      <w:pPr>
        <w:pStyle w:val="27"/>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480" w:firstLineChars="150"/>
        <w:textAlignment w:val="auto"/>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shd w:val="clear" w:color="auto" w:fill="FFFFFF"/>
        </w:rPr>
        <w:t>正确处理常见病，多发病，对疑难杂症进行恰当的处理与转诊；加强急诊救护体系建设，承担乡村现场应急救护，转诊和康复服务；认真执行国家基本药物制度，加强医疗质量管理及院感防控。</w:t>
      </w:r>
    </w:p>
    <w:p>
      <w:pPr>
        <w:pStyle w:val="27"/>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500" w:lineRule="exact"/>
        <w:ind w:right="0" w:rightChars="0" w:firstLine="622" w:firstLineChars="200"/>
        <w:textAlignment w:val="auto"/>
        <w:outlineLvl w:val="2"/>
        <w:rPr>
          <w:rFonts w:hint="eastAsia" w:ascii="仿宋_GB2312" w:hAnsi="微软雅黑" w:eastAsia="仿宋_GB2312" w:cs="仿宋_GB2312"/>
          <w:b/>
          <w:bCs/>
          <w:snapToGrid w:val="0"/>
          <w:color w:val="000000"/>
          <w:sz w:val="31"/>
          <w:szCs w:val="31"/>
        </w:rPr>
      </w:pPr>
      <w:bookmarkStart w:id="40" w:name="_Toc14581"/>
      <w:r>
        <w:rPr>
          <w:rFonts w:hint="eastAsia" w:ascii="仿宋_GB2312" w:hAnsi="微软雅黑" w:eastAsia="仿宋_GB2312" w:cs="仿宋_GB2312"/>
          <w:b/>
          <w:bCs/>
          <w:snapToGrid w:val="0"/>
          <w:color w:val="000000"/>
          <w:sz w:val="31"/>
          <w:szCs w:val="31"/>
          <w:shd w:val="clear" w:color="auto" w:fill="FFFFFF"/>
          <w:lang w:eastAsia="zh-CN"/>
        </w:rPr>
        <w:t>（三）</w:t>
      </w:r>
      <w:r>
        <w:rPr>
          <w:rFonts w:hint="eastAsia" w:ascii="仿宋_GB2312" w:hAnsi="微软雅黑" w:eastAsia="仿宋_GB2312" w:cs="仿宋_GB2312"/>
          <w:b/>
          <w:bCs/>
          <w:snapToGrid w:val="0"/>
          <w:color w:val="000000"/>
          <w:sz w:val="31"/>
          <w:szCs w:val="31"/>
          <w:shd w:val="clear" w:color="auto" w:fill="FFFFFF"/>
        </w:rPr>
        <w:t>基本管理服务</w:t>
      </w:r>
      <w:bookmarkEnd w:id="40"/>
    </w:p>
    <w:p>
      <w:pPr>
        <w:pStyle w:val="27"/>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500" w:lineRule="exact"/>
        <w:ind w:right="0" w:rightChars="0" w:firstLine="640" w:firstLineChars="200"/>
        <w:textAlignment w:val="auto"/>
        <w:outlineLvl w:val="2"/>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shd w:val="clear" w:color="auto" w:fill="FFFFFF"/>
        </w:rPr>
        <w:t>规范卫生院财务管理工作，巩固农村公共卫生服务体系。履行定点医疗机构职责，严格执行国家基本医疗保险政策并做好有关的政策宣传，监督及服务工作。深入推进乡村卫生服务一体化管理，负责村卫生室的技术指导和医生培训等项工作。</w:t>
      </w:r>
      <w:bookmarkStart w:id="41" w:name="_Toc15377199"/>
      <w:bookmarkStart w:id="42" w:name="_Toc19804"/>
      <w:bookmarkStart w:id="43" w:name="_Toc27790"/>
      <w:bookmarkStart w:id="44" w:name="_Toc15378446"/>
    </w:p>
    <w:p>
      <w:pPr>
        <w:pStyle w:val="27"/>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500" w:lineRule="exact"/>
        <w:ind w:right="0" w:rightChars="0" w:firstLine="640" w:firstLineChars="200"/>
        <w:textAlignment w:val="auto"/>
        <w:outlineLvl w:val="2"/>
        <w:rPr>
          <w:rFonts w:hint="eastAsia" w:ascii="黑体" w:hAnsi="黑体" w:eastAsia="黑体" w:cs="Times New Roman"/>
          <w:b w:val="0"/>
          <w:bCs/>
          <w:color w:val="000000"/>
          <w:kern w:val="2"/>
          <w:sz w:val="32"/>
          <w:szCs w:val="32"/>
          <w:lang w:val="en-US" w:eastAsia="zh-CN" w:bidi="ar-SA"/>
        </w:rPr>
      </w:pPr>
      <w:r>
        <w:rPr>
          <w:rFonts w:hint="eastAsia" w:ascii="黑体" w:hAnsi="黑体" w:eastAsia="黑体" w:cs="Times New Roman"/>
          <w:b w:val="0"/>
          <w:bCs/>
          <w:color w:val="000000"/>
          <w:kern w:val="2"/>
          <w:sz w:val="32"/>
          <w:szCs w:val="32"/>
          <w:lang w:val="en-US" w:eastAsia="zh-CN" w:bidi="ar-SA"/>
        </w:rPr>
        <w:t>二、机构设置</w:t>
      </w:r>
      <w:bookmarkEnd w:id="41"/>
      <w:bookmarkEnd w:id="42"/>
      <w:bookmarkEnd w:id="43"/>
      <w:bookmarkEnd w:id="44"/>
      <w:bookmarkStart w:id="45" w:name="_Toc24467"/>
      <w:bookmarkStart w:id="46" w:name="_Toc23709"/>
      <w:bookmarkStart w:id="47" w:name="_Toc19752"/>
      <w:bookmarkStart w:id="48" w:name="_Toc15396602"/>
      <w:bookmarkStart w:id="49" w:name="_Toc2410"/>
      <w:bookmarkStart w:id="50" w:name="_Toc15377204"/>
    </w:p>
    <w:p>
      <w:pPr>
        <w:pStyle w:val="27"/>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500" w:lineRule="exact"/>
        <w:ind w:right="0" w:rightChars="0" w:firstLine="640" w:firstLineChars="200"/>
        <w:textAlignment w:val="auto"/>
        <w:outlineLvl w:val="2"/>
        <w:rPr>
          <w:rFonts w:hint="eastAsia" w:ascii="仿宋" w:hAnsi="仿宋" w:eastAsia="仿宋"/>
          <w:b w:val="0"/>
          <w:bCs w:val="0"/>
          <w:color w:val="auto"/>
          <w:sz w:val="32"/>
          <w:szCs w:val="32"/>
          <w:highlight w:val="none"/>
          <w:lang w:eastAsia="zh-CN"/>
        </w:rPr>
      </w:pPr>
      <w:r>
        <w:rPr>
          <w:rFonts w:hint="eastAsia" w:ascii="仿宋" w:hAnsi="仿宋" w:eastAsia="仿宋"/>
          <w:b w:val="0"/>
          <w:bCs w:val="0"/>
          <w:color w:val="auto"/>
          <w:sz w:val="32"/>
          <w:szCs w:val="32"/>
          <w:highlight w:val="none"/>
          <w:lang w:eastAsia="zh-CN"/>
        </w:rPr>
        <w:t>白果卫生院属于主管部门下属单位，属于二级预算单位，无下属机构。</w:t>
      </w:r>
      <w:bookmarkEnd w:id="45"/>
      <w:bookmarkEnd w:id="46"/>
      <w:bookmarkEnd w:id="47"/>
    </w:p>
    <w:p>
      <w:pPr>
        <w:pStyle w:val="5"/>
        <w:pageBreakBefore w:val="0"/>
        <w:wordWrap/>
        <w:overflowPunct/>
        <w:topLinePunct w:val="0"/>
        <w:bidi w:val="0"/>
        <w:spacing w:before="471" w:beforeLines="150" w:beforeAutospacing="0" w:after="0" w:afterAutospacing="0" w:line="580" w:lineRule="exact"/>
        <w:ind w:right="0" w:rightChars="0"/>
        <w:jc w:val="center"/>
        <w:rPr>
          <w:color w:val="auto"/>
        </w:rPr>
      </w:pPr>
      <w:bookmarkStart w:id="51" w:name="_Toc31507"/>
      <w:bookmarkStart w:id="52" w:name="_Toc30013"/>
      <w:r>
        <w:rPr>
          <w:rFonts w:hint="eastAsia" w:ascii="黑体" w:hAnsi="黑体" w:eastAsia="黑体"/>
          <w:b w:val="0"/>
          <w:color w:val="auto"/>
        </w:rPr>
        <w:t>第二部分</w:t>
      </w:r>
      <w:r>
        <w:rPr>
          <w:rFonts w:ascii="黑体" w:hAnsi="黑体" w:eastAsia="黑体"/>
          <w:color w:val="auto"/>
        </w:rPr>
        <w:t xml:space="preserve"> </w:t>
      </w:r>
      <w:r>
        <w:rPr>
          <w:rStyle w:val="12"/>
          <w:rFonts w:ascii="黑体" w:hAnsi="黑体" w:eastAsia="黑体"/>
          <w:b w:val="0"/>
          <w:bCs w:val="0"/>
          <w:color w:val="auto"/>
        </w:rPr>
        <w:t>202</w:t>
      </w:r>
      <w:r>
        <w:rPr>
          <w:rStyle w:val="12"/>
          <w:rFonts w:hint="eastAsia" w:ascii="黑体" w:hAnsi="黑体" w:eastAsia="黑体"/>
          <w:b w:val="0"/>
          <w:bCs w:val="0"/>
          <w:color w:val="auto"/>
          <w:lang w:val="en-US" w:eastAsia="zh-CN"/>
        </w:rPr>
        <w:t>2</w:t>
      </w:r>
      <w:r>
        <w:rPr>
          <w:rStyle w:val="12"/>
          <w:rFonts w:hint="eastAsia" w:ascii="黑体" w:hAnsi="黑体" w:eastAsia="黑体"/>
          <w:b w:val="0"/>
          <w:bCs w:val="0"/>
          <w:color w:val="auto"/>
        </w:rPr>
        <w:t>年度</w:t>
      </w:r>
      <w:r>
        <w:rPr>
          <w:rStyle w:val="12"/>
          <w:rFonts w:hint="eastAsia" w:ascii="黑体" w:hAnsi="黑体" w:eastAsia="黑体"/>
          <w:b w:val="0"/>
          <w:bCs w:val="0"/>
          <w:color w:val="auto"/>
          <w:lang w:eastAsia="zh-CN"/>
        </w:rPr>
        <w:t>单位</w:t>
      </w:r>
      <w:r>
        <w:rPr>
          <w:rStyle w:val="12"/>
          <w:rFonts w:hint="eastAsia" w:ascii="黑体" w:hAnsi="黑体" w:eastAsia="黑体"/>
          <w:b w:val="0"/>
          <w:bCs w:val="0"/>
          <w:color w:val="auto"/>
        </w:rPr>
        <w:t>决算情况说明</w:t>
      </w:r>
      <w:bookmarkEnd w:id="48"/>
      <w:bookmarkEnd w:id="49"/>
      <w:bookmarkEnd w:id="50"/>
      <w:bookmarkEnd w:id="51"/>
      <w:bookmarkEnd w:id="52"/>
    </w:p>
    <w:p>
      <w:pPr>
        <w:pStyle w:val="38"/>
        <w:pageBreakBefore w:val="0"/>
        <w:numPr>
          <w:ilvl w:val="0"/>
          <w:numId w:val="2"/>
        </w:numPr>
        <w:wordWrap/>
        <w:overflowPunct/>
        <w:topLinePunct w:val="0"/>
        <w:bidi w:val="0"/>
        <w:spacing w:beforeAutospacing="0" w:line="580" w:lineRule="exact"/>
        <w:ind w:firstLineChars="0"/>
        <w:outlineLvl w:val="1"/>
        <w:rPr>
          <w:rStyle w:val="13"/>
          <w:rFonts w:ascii="黑体" w:hAnsi="黑体" w:eastAsia="黑体"/>
          <w:b w:val="0"/>
        </w:rPr>
      </w:pPr>
      <w:bookmarkStart w:id="53" w:name="_Toc15377205"/>
      <w:bookmarkStart w:id="54" w:name="_Toc15396603"/>
      <w:bookmarkStart w:id="55" w:name="_Toc2563"/>
      <w:bookmarkStart w:id="56" w:name="_Toc5853"/>
      <w:bookmarkStart w:id="57" w:name="_Toc31833"/>
      <w:r>
        <w:rPr>
          <w:rFonts w:hint="eastAsia" w:ascii="黑体" w:hAnsi="黑体" w:eastAsia="黑体"/>
          <w:color w:val="000000"/>
          <w:sz w:val="32"/>
          <w:szCs w:val="32"/>
        </w:rPr>
        <w:t>收</w:t>
      </w:r>
      <w:r>
        <w:rPr>
          <w:rStyle w:val="13"/>
          <w:rFonts w:hint="eastAsia" w:ascii="黑体" w:hAnsi="黑体" w:eastAsia="黑体"/>
          <w:b w:val="0"/>
        </w:rPr>
        <w:t>入支出决算总体情况说明</w:t>
      </w:r>
      <w:bookmarkEnd w:id="53"/>
      <w:bookmarkEnd w:id="54"/>
      <w:bookmarkEnd w:id="55"/>
      <w:bookmarkEnd w:id="56"/>
      <w:bookmarkEnd w:id="57"/>
    </w:p>
    <w:p>
      <w:pPr>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2022</w:t>
      </w:r>
      <w:r>
        <w:rPr>
          <w:rFonts w:hint="eastAsia" w:ascii="仿宋" w:hAnsi="仿宋" w:eastAsia="仿宋" w:cs="仿宋"/>
          <w:color w:val="000000"/>
          <w:sz w:val="32"/>
          <w:szCs w:val="32"/>
        </w:rPr>
        <w:t>年</w:t>
      </w:r>
      <w:r>
        <w:rPr>
          <w:rFonts w:hint="eastAsia" w:ascii="仿宋" w:hAnsi="仿宋" w:eastAsia="仿宋" w:cs="仿宋"/>
          <w:color w:val="000000"/>
          <w:sz w:val="32"/>
          <w:szCs w:val="32"/>
          <w:lang w:eastAsia="zh-CN"/>
        </w:rPr>
        <w:t>白果乡卫生院</w:t>
      </w:r>
      <w:r>
        <w:rPr>
          <w:rFonts w:hint="eastAsia" w:ascii="仿宋" w:hAnsi="仿宋" w:eastAsia="仿宋" w:cs="仿宋"/>
          <w:color w:val="000000"/>
          <w:sz w:val="32"/>
          <w:szCs w:val="32"/>
        </w:rPr>
        <w:t>收</w:t>
      </w:r>
      <w:r>
        <w:rPr>
          <w:rFonts w:hint="eastAsia" w:ascii="仿宋" w:hAnsi="仿宋" w:eastAsia="仿宋" w:cs="仿宋"/>
          <w:color w:val="000000"/>
          <w:sz w:val="32"/>
          <w:szCs w:val="32"/>
          <w:lang w:eastAsia="zh-CN"/>
        </w:rPr>
        <w:t>支</w:t>
      </w:r>
      <w:r>
        <w:rPr>
          <w:rFonts w:hint="eastAsia" w:ascii="仿宋" w:hAnsi="仿宋" w:eastAsia="仿宋" w:cs="仿宋"/>
          <w:color w:val="000000"/>
          <w:sz w:val="32"/>
          <w:szCs w:val="32"/>
        </w:rPr>
        <w:t>总计</w:t>
      </w:r>
      <w:r>
        <w:rPr>
          <w:rFonts w:hint="eastAsia" w:ascii="仿宋" w:hAnsi="仿宋" w:eastAsia="仿宋" w:cs="仿宋"/>
          <w:color w:val="000000"/>
          <w:sz w:val="32"/>
          <w:szCs w:val="32"/>
          <w:lang w:val="en-US" w:eastAsia="zh-CN"/>
        </w:rPr>
        <w:t>172.01</w:t>
      </w:r>
      <w:r>
        <w:rPr>
          <w:rFonts w:hint="eastAsia" w:ascii="仿宋" w:hAnsi="仿宋" w:eastAsia="仿宋" w:cs="仿宋"/>
          <w:color w:val="000000"/>
          <w:sz w:val="32"/>
          <w:szCs w:val="32"/>
        </w:rPr>
        <w:t>万元，与</w:t>
      </w:r>
      <w:r>
        <w:rPr>
          <w:rFonts w:hint="eastAsia" w:ascii="仿宋" w:hAnsi="仿宋" w:eastAsia="仿宋" w:cs="仿宋"/>
          <w:color w:val="000000"/>
          <w:sz w:val="32"/>
          <w:szCs w:val="32"/>
          <w:lang w:val="en-US" w:eastAsia="zh-CN"/>
        </w:rPr>
        <w:t>2021</w:t>
      </w:r>
      <w:r>
        <w:rPr>
          <w:rFonts w:hint="eastAsia" w:ascii="仿宋" w:hAnsi="仿宋" w:eastAsia="仿宋" w:cs="仿宋"/>
          <w:color w:val="000000"/>
          <w:sz w:val="32"/>
          <w:szCs w:val="32"/>
        </w:rPr>
        <w:t>年相比</w:t>
      </w:r>
      <w:r>
        <w:rPr>
          <w:rFonts w:hint="eastAsia" w:ascii="仿宋" w:hAnsi="仿宋" w:eastAsia="仿宋" w:cs="仿宋"/>
          <w:color w:val="000000"/>
          <w:sz w:val="32"/>
          <w:szCs w:val="32"/>
          <w:lang w:eastAsia="zh-CN"/>
        </w:rPr>
        <w:t>收、支总计各减少</w:t>
      </w:r>
      <w:r>
        <w:rPr>
          <w:rFonts w:hint="eastAsia" w:ascii="仿宋" w:hAnsi="仿宋" w:eastAsia="仿宋" w:cs="仿宋"/>
          <w:color w:val="000000"/>
          <w:sz w:val="32"/>
          <w:szCs w:val="32"/>
        </w:rPr>
        <w:t>了</w:t>
      </w:r>
      <w:r>
        <w:rPr>
          <w:rFonts w:hint="eastAsia" w:ascii="仿宋" w:hAnsi="仿宋" w:eastAsia="仿宋" w:cs="仿宋"/>
          <w:color w:val="auto"/>
          <w:sz w:val="32"/>
          <w:szCs w:val="32"/>
          <w:lang w:val="en-US" w:eastAsia="zh-CN"/>
        </w:rPr>
        <w:t>38.08</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，减少</w:t>
      </w:r>
      <w:r>
        <w:rPr>
          <w:rFonts w:hint="eastAsia" w:ascii="仿宋" w:hAnsi="仿宋" w:eastAsia="仿宋" w:cs="仿宋"/>
          <w:color w:val="auto"/>
          <w:sz w:val="32"/>
          <w:szCs w:val="32"/>
          <w:lang w:val="en-US" w:eastAsia="zh-CN"/>
        </w:rPr>
        <w:t>18.12</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r>
        <w:rPr>
          <w:rFonts w:hint="eastAsia" w:ascii="仿宋" w:hAnsi="仿宋" w:eastAsia="仿宋"/>
          <w:color w:val="auto"/>
          <w:sz w:val="32"/>
          <w:szCs w:val="32"/>
          <w:highlight w:val="none"/>
          <w:lang w:eastAsia="zh-CN"/>
        </w:rPr>
        <w:t>收入</w:t>
      </w:r>
      <w:r>
        <w:rPr>
          <w:rFonts w:hint="eastAsia" w:ascii="仿宋" w:hAnsi="仿宋" w:eastAsia="仿宋"/>
          <w:color w:val="auto"/>
          <w:sz w:val="32"/>
          <w:szCs w:val="32"/>
          <w:highlight w:val="none"/>
        </w:rPr>
        <w:t>主要变动原因是</w:t>
      </w:r>
      <w:r>
        <w:rPr>
          <w:rFonts w:hint="eastAsia" w:ascii="仿宋" w:hAnsi="仿宋" w:eastAsia="仿宋" w:cs="仿宋"/>
          <w:color w:val="auto"/>
          <w:sz w:val="32"/>
          <w:szCs w:val="32"/>
          <w:lang w:val="en-US" w:eastAsia="zh-CN"/>
        </w:rPr>
        <w:t>2022年医疗收入相比上年减少了1.52万元，政府性基金增加2.10万元；人员经费投入增加了16.87万元。2022年支出主要变动的原因是：社会保障和就业支出增加了2.46万元，卫生健康支出减少了42.24万元，住房保障支出增加了1.11万元。</w:t>
      </w:r>
    </w:p>
    <w:p>
      <w:pPr>
        <w:pStyle w:val="17"/>
        <w:pageBreakBefore w:val="0"/>
        <w:wordWrap/>
        <w:overflowPunct/>
        <w:topLinePunct w:val="0"/>
        <w:bidi w:val="0"/>
        <w:spacing w:line="240" w:lineRule="auto"/>
        <w:ind w:firstLine="0" w:firstLineChars="0"/>
        <w:jc w:val="center"/>
      </w:pPr>
      <w:r>
        <w:pict>
          <v:shape id="_x0000_i1025" o:spt="75" type="#_x0000_t75" style="height:151.5pt;width:319.5pt;" filled="f" stroked="f" coordsize="21600,21600">
            <v:path/>
            <v:fill on="f" focussize="0,0"/>
            <v:stroke on="f"/>
            <v:imagedata r:id="rId8" o:title=""/>
            <o:lock v:ext="edit" aspectratio="t"/>
            <w10:wrap type="none"/>
            <w10:anchorlock/>
          </v:shape>
        </w:pict>
      </w:r>
    </w:p>
    <w:p>
      <w:pPr>
        <w:pageBreakBefore w:val="0"/>
        <w:wordWrap/>
        <w:overflowPunct/>
        <w:topLinePunct w:val="0"/>
        <w:bidi w:val="0"/>
        <w:spacing w:line="580" w:lineRule="exact"/>
        <w:ind w:left="0" w:leftChars="0" w:firstLine="0" w:firstLineChars="0"/>
        <w:jc w:val="center"/>
        <w:rPr>
          <w:sz w:val="24"/>
          <w:szCs w:val="24"/>
        </w:rPr>
      </w:pPr>
      <w:r>
        <w:rPr>
          <w:rFonts w:hint="eastAsia" w:ascii="仿宋" w:hAnsi="仿宋" w:eastAsia="仿宋"/>
          <w:color w:val="auto"/>
          <w:sz w:val="24"/>
          <w:szCs w:val="24"/>
          <w:highlight w:val="none"/>
        </w:rPr>
        <w:t>（图</w:t>
      </w:r>
      <w:r>
        <w:rPr>
          <w:rFonts w:ascii="仿宋" w:hAnsi="仿宋" w:eastAsia="仿宋"/>
          <w:color w:val="auto"/>
          <w:sz w:val="24"/>
          <w:szCs w:val="24"/>
          <w:highlight w:val="none"/>
        </w:rPr>
        <w:t>1</w:t>
      </w:r>
      <w:r>
        <w:rPr>
          <w:rFonts w:hint="eastAsia" w:ascii="仿宋" w:hAnsi="仿宋" w:eastAsia="仿宋"/>
          <w:color w:val="auto"/>
          <w:sz w:val="24"/>
          <w:szCs w:val="24"/>
          <w:highlight w:val="none"/>
        </w:rPr>
        <w:t>：收、支决算总计变动情况图）（柱状图）</w:t>
      </w:r>
    </w:p>
    <w:p>
      <w:pPr>
        <w:pStyle w:val="38"/>
        <w:pageBreakBefore w:val="0"/>
        <w:numPr>
          <w:ilvl w:val="0"/>
          <w:numId w:val="2"/>
        </w:numPr>
        <w:wordWrap/>
        <w:overflowPunct/>
        <w:topLinePunct w:val="0"/>
        <w:bidi w:val="0"/>
        <w:spacing w:line="580" w:lineRule="exact"/>
        <w:ind w:firstLineChars="0"/>
        <w:outlineLvl w:val="1"/>
        <w:rPr>
          <w:rStyle w:val="13"/>
          <w:rFonts w:ascii="黑体" w:hAnsi="黑体" w:eastAsia="黑体"/>
          <w:b w:val="0"/>
        </w:rPr>
      </w:pPr>
      <w:bookmarkStart w:id="58" w:name="_Toc9133"/>
      <w:bookmarkStart w:id="59" w:name="_Toc15377206"/>
      <w:bookmarkStart w:id="60" w:name="_Toc15396604"/>
      <w:bookmarkStart w:id="61" w:name="_Toc23127"/>
      <w:bookmarkStart w:id="62" w:name="_Toc10469"/>
      <w:r>
        <w:rPr>
          <w:rFonts w:hint="eastAsia" w:ascii="黑体" w:hAnsi="黑体" w:eastAsia="黑体"/>
          <w:color w:val="000000"/>
          <w:sz w:val="32"/>
          <w:szCs w:val="32"/>
        </w:rPr>
        <w:t>收</w:t>
      </w:r>
      <w:r>
        <w:rPr>
          <w:rStyle w:val="13"/>
          <w:rFonts w:hint="eastAsia" w:ascii="黑体" w:hAnsi="黑体" w:eastAsia="黑体"/>
          <w:b w:val="0"/>
        </w:rPr>
        <w:t>入决算情况说明</w:t>
      </w:r>
      <w:bookmarkEnd w:id="58"/>
      <w:bookmarkEnd w:id="59"/>
      <w:bookmarkEnd w:id="60"/>
      <w:bookmarkEnd w:id="61"/>
      <w:bookmarkEnd w:id="62"/>
    </w:p>
    <w:p>
      <w:pPr>
        <w:pageBreakBefore w:val="0"/>
        <w:wordWrap/>
        <w:overflowPunct/>
        <w:topLinePunct w:val="0"/>
        <w:bidi w:val="0"/>
        <w:spacing w:line="580" w:lineRule="exact"/>
        <w:ind w:firstLine="640" w:firstLineChars="200"/>
        <w:outlineLvl w:val="1"/>
        <w:rPr>
          <w:rFonts w:hint="eastAsia" w:ascii="仿宋" w:hAnsi="仿宋" w:eastAsia="仿宋"/>
          <w:color w:val="000000"/>
          <w:sz w:val="32"/>
          <w:szCs w:val="32"/>
          <w:lang w:val="en-US" w:eastAsia="zh-CN"/>
        </w:rPr>
      </w:pPr>
      <w:bookmarkStart w:id="63" w:name="_Toc7231"/>
      <w:bookmarkStart w:id="64" w:name="_Toc2165"/>
      <w:bookmarkStart w:id="65" w:name="_Toc24019"/>
      <w:bookmarkStart w:id="66" w:name="_Toc15634"/>
      <w:bookmarkStart w:id="67" w:name="_Toc32182"/>
      <w:bookmarkStart w:id="68" w:name="_Toc19930"/>
      <w:bookmarkStart w:id="69" w:name="_Toc18930"/>
      <w:bookmarkStart w:id="70" w:name="_Toc19863"/>
      <w:bookmarkStart w:id="71" w:name="_Toc26907"/>
      <w:r>
        <w:rPr>
          <w:rFonts w:hint="eastAsia" w:ascii="仿宋" w:hAnsi="仿宋" w:eastAsia="仿宋"/>
          <w:color w:val="000000"/>
          <w:sz w:val="32"/>
          <w:szCs w:val="32"/>
          <w:lang w:val="en-US" w:eastAsia="zh-CN"/>
        </w:rPr>
        <w:t>2022</w:t>
      </w:r>
      <w:r>
        <w:rPr>
          <w:rFonts w:hint="eastAsia" w:ascii="仿宋" w:hAnsi="仿宋" w:eastAsia="仿宋"/>
          <w:color w:val="000000"/>
          <w:sz w:val="32"/>
          <w:szCs w:val="32"/>
        </w:rPr>
        <w:t>年本年收入合计</w:t>
      </w:r>
      <w:r>
        <w:rPr>
          <w:rFonts w:hint="eastAsia" w:ascii="仿宋" w:hAnsi="仿宋" w:eastAsia="仿宋"/>
          <w:color w:val="000000"/>
          <w:sz w:val="32"/>
          <w:szCs w:val="32"/>
          <w:lang w:val="en-US" w:eastAsia="zh-CN"/>
        </w:rPr>
        <w:t>172.01</w:t>
      </w:r>
      <w:r>
        <w:rPr>
          <w:rFonts w:hint="eastAsia" w:ascii="仿宋" w:hAnsi="仿宋" w:eastAsia="仿宋"/>
          <w:color w:val="000000"/>
          <w:sz w:val="32"/>
          <w:szCs w:val="32"/>
        </w:rPr>
        <w:t>万元，其中：一般公共预算财政拨款收入</w:t>
      </w:r>
      <w:r>
        <w:rPr>
          <w:rFonts w:hint="eastAsia" w:ascii="仿宋" w:hAnsi="仿宋" w:eastAsia="仿宋"/>
          <w:color w:val="000000"/>
          <w:sz w:val="32"/>
          <w:szCs w:val="32"/>
          <w:lang w:val="en-US" w:eastAsia="zh-CN"/>
        </w:rPr>
        <w:t>91.89</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53.64</w:t>
      </w:r>
      <w:r>
        <w:rPr>
          <w:rFonts w:ascii="仿宋" w:hAnsi="仿宋" w:eastAsia="仿宋"/>
          <w:color w:val="000000"/>
          <w:sz w:val="32"/>
          <w:szCs w:val="32"/>
        </w:rPr>
        <w:t>%</w:t>
      </w:r>
      <w:r>
        <w:rPr>
          <w:rFonts w:hint="eastAsia" w:ascii="仿宋" w:hAnsi="仿宋" w:eastAsia="仿宋"/>
          <w:color w:val="000000"/>
          <w:sz w:val="32"/>
          <w:szCs w:val="32"/>
        </w:rPr>
        <w:t>；政府性基金</w:t>
      </w:r>
      <w:r>
        <w:rPr>
          <w:rFonts w:hint="eastAsia" w:ascii="仿宋" w:hAnsi="仿宋" w:eastAsia="仿宋"/>
          <w:color w:val="000000"/>
          <w:sz w:val="32"/>
          <w:szCs w:val="32"/>
          <w:lang w:val="en-US" w:eastAsia="zh-CN"/>
        </w:rPr>
        <w:t>2.10</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年初未安排预算；</w:t>
      </w:r>
      <w:r>
        <w:rPr>
          <w:rFonts w:hint="eastAsia" w:ascii="仿宋" w:hAnsi="仿宋" w:eastAsia="仿宋"/>
          <w:color w:val="000000"/>
          <w:sz w:val="32"/>
          <w:szCs w:val="32"/>
        </w:rPr>
        <w:t>国有资本经营预算财政拨款收入0万元，</w:t>
      </w:r>
      <w:r>
        <w:rPr>
          <w:rFonts w:hint="eastAsia" w:ascii="仿宋" w:hAnsi="仿宋" w:eastAsia="仿宋"/>
          <w:color w:val="000000"/>
          <w:sz w:val="32"/>
          <w:szCs w:val="32"/>
          <w:lang w:eastAsia="zh-CN"/>
        </w:rPr>
        <w:t>年初未安排预算</w:t>
      </w:r>
      <w:r>
        <w:rPr>
          <w:rFonts w:hint="eastAsia" w:ascii="仿宋" w:hAnsi="仿宋" w:eastAsia="仿宋"/>
          <w:color w:val="000000"/>
          <w:sz w:val="32"/>
          <w:szCs w:val="32"/>
        </w:rPr>
        <w:t>；事业收入</w:t>
      </w:r>
      <w:r>
        <w:rPr>
          <w:rFonts w:hint="eastAsia" w:ascii="仿宋" w:hAnsi="仿宋" w:eastAsia="仿宋"/>
          <w:color w:val="000000"/>
          <w:sz w:val="32"/>
          <w:szCs w:val="32"/>
          <w:lang w:val="en-US" w:eastAsia="zh-CN"/>
        </w:rPr>
        <w:t>78.03</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45.36</w:t>
      </w:r>
      <w:r>
        <w:rPr>
          <w:rFonts w:ascii="仿宋" w:hAnsi="仿宋" w:eastAsia="仿宋"/>
          <w:color w:val="000000"/>
          <w:sz w:val="32"/>
          <w:szCs w:val="32"/>
        </w:rPr>
        <w:t>%</w:t>
      </w:r>
      <w:r>
        <w:rPr>
          <w:rFonts w:hint="eastAsia" w:ascii="仿宋" w:hAnsi="仿宋" w:eastAsia="仿宋"/>
          <w:color w:val="000000"/>
          <w:sz w:val="32"/>
          <w:szCs w:val="32"/>
        </w:rPr>
        <w:t>；经营收入0万元，</w:t>
      </w:r>
      <w:r>
        <w:rPr>
          <w:rFonts w:hint="eastAsia" w:ascii="仿宋" w:hAnsi="仿宋" w:eastAsia="仿宋"/>
          <w:color w:val="000000"/>
          <w:sz w:val="32"/>
          <w:szCs w:val="32"/>
          <w:lang w:eastAsia="zh-CN"/>
        </w:rPr>
        <w:t>年初未安排预算</w:t>
      </w:r>
      <w:r>
        <w:rPr>
          <w:rFonts w:hint="eastAsia" w:ascii="仿宋" w:hAnsi="仿宋" w:eastAsia="仿宋"/>
          <w:color w:val="000000"/>
          <w:sz w:val="32"/>
          <w:szCs w:val="32"/>
        </w:rPr>
        <w:t>；附属单位上缴收入0万元，</w:t>
      </w:r>
      <w:r>
        <w:rPr>
          <w:rFonts w:hint="eastAsia" w:ascii="仿宋" w:hAnsi="仿宋" w:eastAsia="仿宋"/>
          <w:color w:val="000000"/>
          <w:sz w:val="32"/>
          <w:szCs w:val="32"/>
          <w:lang w:eastAsia="zh-CN"/>
        </w:rPr>
        <w:t>年初未安排预算</w:t>
      </w:r>
      <w:r>
        <w:rPr>
          <w:rFonts w:hint="eastAsia" w:ascii="仿宋" w:hAnsi="仿宋" w:eastAsia="仿宋"/>
          <w:color w:val="000000"/>
          <w:sz w:val="32"/>
          <w:szCs w:val="32"/>
        </w:rPr>
        <w:t>；其他收入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w:t>
      </w:r>
      <w:bookmarkEnd w:id="63"/>
      <w:bookmarkEnd w:id="64"/>
      <w:r>
        <w:rPr>
          <w:rFonts w:hint="eastAsia" w:ascii="仿宋" w:hAnsi="仿宋" w:eastAsia="仿宋"/>
          <w:color w:val="000000"/>
          <w:sz w:val="32"/>
          <w:szCs w:val="32"/>
          <w:lang w:eastAsia="zh-CN"/>
        </w:rPr>
        <w:t>年初未安排预算</w:t>
      </w:r>
      <w:r>
        <w:rPr>
          <w:rFonts w:hint="eastAsia" w:ascii="仿宋" w:hAnsi="仿宋" w:eastAsia="仿宋"/>
          <w:color w:val="000000"/>
          <w:sz w:val="32"/>
          <w:szCs w:val="32"/>
          <w:lang w:val="en-US" w:eastAsia="zh-CN"/>
        </w:rPr>
        <w:t>。</w:t>
      </w:r>
      <w:bookmarkEnd w:id="65"/>
      <w:bookmarkEnd w:id="66"/>
      <w:bookmarkEnd w:id="67"/>
      <w:bookmarkEnd w:id="68"/>
      <w:bookmarkEnd w:id="69"/>
      <w:bookmarkEnd w:id="70"/>
      <w:bookmarkEnd w:id="71"/>
    </w:p>
    <w:p>
      <w:pPr>
        <w:pStyle w:val="17"/>
        <w:pageBreakBefore w:val="0"/>
        <w:wordWrap/>
        <w:overflowPunct/>
        <w:topLinePunct w:val="0"/>
        <w:bidi w:val="0"/>
        <w:spacing w:line="240" w:lineRule="auto"/>
        <w:ind w:firstLine="0" w:firstLineChars="0"/>
        <w:jc w:val="center"/>
      </w:pPr>
      <w:r>
        <w:pict>
          <v:shape id="_x0000_i1026" o:spt="75" type="#_x0000_t75" style="height:139.5pt;width:334.5pt;" filled="f" stroked="f" coordsize="21600,21600">
            <v:path/>
            <v:fill on="f" focussize="0,0"/>
            <v:stroke on="f"/>
            <v:imagedata r:id="rId9" o:title=""/>
            <o:lock v:ext="edit" aspectratio="t"/>
            <w10:wrap type="none"/>
            <w10:anchorlock/>
          </v:shape>
        </w:pict>
      </w:r>
    </w:p>
    <w:p>
      <w:pPr>
        <w:pageBreakBefore w:val="0"/>
        <w:wordWrap/>
        <w:overflowPunct/>
        <w:topLinePunct w:val="0"/>
        <w:bidi w:val="0"/>
        <w:spacing w:line="580" w:lineRule="exact"/>
        <w:ind w:left="0" w:leftChars="0" w:firstLine="0" w:firstLineChars="0"/>
        <w:jc w:val="center"/>
        <w:rPr>
          <w:sz w:val="24"/>
          <w:szCs w:val="24"/>
        </w:rPr>
      </w:pPr>
      <w:r>
        <w:rPr>
          <w:rFonts w:hint="eastAsia" w:ascii="仿宋" w:hAnsi="仿宋" w:eastAsia="仿宋"/>
          <w:color w:val="auto"/>
          <w:sz w:val="24"/>
          <w:szCs w:val="24"/>
          <w:highlight w:val="none"/>
        </w:rPr>
        <w:t>（图2：收入决算结构图）（饼状图）</w:t>
      </w:r>
    </w:p>
    <w:p>
      <w:pPr>
        <w:pStyle w:val="38"/>
        <w:pageBreakBefore w:val="0"/>
        <w:numPr>
          <w:ilvl w:val="0"/>
          <w:numId w:val="2"/>
        </w:numPr>
        <w:wordWrap/>
        <w:overflowPunct/>
        <w:topLinePunct w:val="0"/>
        <w:bidi w:val="0"/>
        <w:spacing w:line="580" w:lineRule="exact"/>
        <w:ind w:firstLineChars="0"/>
        <w:outlineLvl w:val="1"/>
        <w:rPr>
          <w:rStyle w:val="13"/>
          <w:rFonts w:ascii="黑体" w:hAnsi="黑体" w:eastAsia="黑体"/>
          <w:b w:val="0"/>
        </w:rPr>
      </w:pPr>
      <w:bookmarkStart w:id="72" w:name="_Toc20060"/>
      <w:bookmarkStart w:id="73" w:name="_Toc27714"/>
      <w:bookmarkStart w:id="74" w:name="_Toc15377207"/>
      <w:bookmarkStart w:id="75" w:name="_Toc15396605"/>
      <w:bookmarkStart w:id="76" w:name="_Toc22159"/>
      <w:r>
        <w:rPr>
          <w:rFonts w:hint="eastAsia" w:ascii="黑体" w:hAnsi="黑体" w:eastAsia="黑体"/>
          <w:color w:val="000000"/>
          <w:sz w:val="32"/>
          <w:szCs w:val="32"/>
        </w:rPr>
        <w:t>支</w:t>
      </w:r>
      <w:r>
        <w:rPr>
          <w:rStyle w:val="13"/>
          <w:rFonts w:hint="eastAsia" w:ascii="黑体" w:hAnsi="黑体" w:eastAsia="黑体"/>
          <w:b w:val="0"/>
        </w:rPr>
        <w:t>出决算情况说明</w:t>
      </w:r>
      <w:bookmarkEnd w:id="72"/>
      <w:bookmarkEnd w:id="73"/>
      <w:bookmarkEnd w:id="74"/>
      <w:bookmarkEnd w:id="75"/>
      <w:bookmarkEnd w:id="76"/>
    </w:p>
    <w:p>
      <w:pPr>
        <w:pStyle w:val="17"/>
        <w:pageBreakBefore w:val="0"/>
        <w:wordWrap/>
        <w:overflowPunct/>
        <w:topLinePunct w:val="0"/>
        <w:bidi w:val="0"/>
        <w:spacing w:line="580" w:lineRule="exact"/>
        <w:ind w:left="0" w:leftChars="0" w:firstLine="640" w:firstLineChars="200"/>
        <w:rPr>
          <w:rFonts w:hint="eastAsia" w:ascii="仿宋" w:hAnsi="仿宋" w:eastAsia="仿宋" w:cs="Times New Roman"/>
          <w:b w:val="0"/>
          <w:bCs/>
          <w:color w:val="000000"/>
          <w:kern w:val="2"/>
          <w:sz w:val="32"/>
          <w:szCs w:val="32"/>
          <w:lang w:val="en-US" w:eastAsia="zh-CN" w:bidi="ar-SA"/>
        </w:rPr>
      </w:pPr>
      <w:bookmarkStart w:id="77" w:name="_Toc19720"/>
      <w:bookmarkStart w:id="78" w:name="_Toc32489"/>
      <w:bookmarkStart w:id="79" w:name="_Toc15396606"/>
      <w:bookmarkStart w:id="80" w:name="_Toc15377208"/>
      <w:r>
        <w:rPr>
          <w:rFonts w:hint="eastAsia" w:ascii="仿宋" w:hAnsi="仿宋" w:eastAsia="仿宋" w:cs="Times New Roman"/>
          <w:b w:val="0"/>
          <w:bCs/>
          <w:color w:val="000000"/>
          <w:kern w:val="2"/>
          <w:sz w:val="32"/>
          <w:szCs w:val="32"/>
          <w:lang w:val="en-US" w:eastAsia="zh-CN" w:bidi="ar-SA"/>
        </w:rPr>
        <w:t>2021年本年支出合计172.01万元，其中：基本支出169.91万元，占98.78%；项目支出2.10万元，占1.22%；上缴上级支出0万元，</w:t>
      </w:r>
      <w:r>
        <w:rPr>
          <w:rFonts w:hint="eastAsia" w:ascii="仿宋" w:hAnsi="仿宋" w:eastAsia="仿宋"/>
          <w:b w:val="0"/>
          <w:bCs/>
          <w:color w:val="000000"/>
          <w:sz w:val="32"/>
          <w:szCs w:val="32"/>
          <w:lang w:eastAsia="zh-CN"/>
        </w:rPr>
        <w:t>年初未安排预算</w:t>
      </w:r>
      <w:r>
        <w:rPr>
          <w:rFonts w:hint="eastAsia" w:ascii="仿宋" w:hAnsi="仿宋" w:eastAsia="仿宋" w:cs="Times New Roman"/>
          <w:b w:val="0"/>
          <w:bCs/>
          <w:color w:val="000000"/>
          <w:kern w:val="2"/>
          <w:sz w:val="32"/>
          <w:szCs w:val="32"/>
          <w:lang w:val="en-US" w:eastAsia="zh-CN" w:bidi="ar-SA"/>
        </w:rPr>
        <w:t>；经营支出0万元，</w:t>
      </w:r>
      <w:r>
        <w:rPr>
          <w:rFonts w:hint="eastAsia" w:ascii="仿宋" w:hAnsi="仿宋" w:eastAsia="仿宋"/>
          <w:b w:val="0"/>
          <w:bCs/>
          <w:color w:val="000000"/>
          <w:sz w:val="32"/>
          <w:szCs w:val="32"/>
          <w:lang w:eastAsia="zh-CN"/>
        </w:rPr>
        <w:t>年初未安排预算</w:t>
      </w:r>
      <w:r>
        <w:rPr>
          <w:rFonts w:hint="eastAsia" w:ascii="仿宋" w:hAnsi="仿宋" w:eastAsia="仿宋" w:cs="Times New Roman"/>
          <w:b w:val="0"/>
          <w:bCs/>
          <w:color w:val="000000"/>
          <w:kern w:val="2"/>
          <w:sz w:val="32"/>
          <w:szCs w:val="32"/>
          <w:lang w:val="en-US" w:eastAsia="zh-CN" w:bidi="ar-SA"/>
        </w:rPr>
        <w:t>；对附属单位补助支出0万元，</w:t>
      </w:r>
      <w:r>
        <w:rPr>
          <w:rFonts w:hint="eastAsia" w:ascii="仿宋" w:hAnsi="仿宋" w:eastAsia="仿宋"/>
          <w:b w:val="0"/>
          <w:bCs/>
          <w:color w:val="000000"/>
          <w:sz w:val="32"/>
          <w:szCs w:val="32"/>
          <w:lang w:eastAsia="zh-CN"/>
        </w:rPr>
        <w:t>年初未安排预算</w:t>
      </w:r>
      <w:r>
        <w:rPr>
          <w:rFonts w:hint="eastAsia" w:ascii="仿宋" w:hAnsi="仿宋" w:eastAsia="仿宋" w:cs="Times New Roman"/>
          <w:b w:val="0"/>
          <w:bCs/>
          <w:color w:val="000000"/>
          <w:kern w:val="2"/>
          <w:sz w:val="32"/>
          <w:szCs w:val="32"/>
          <w:lang w:val="en-US" w:eastAsia="zh-CN" w:bidi="ar-SA"/>
        </w:rPr>
        <w:t>。</w:t>
      </w:r>
      <w:bookmarkEnd w:id="77"/>
      <w:bookmarkEnd w:id="78"/>
    </w:p>
    <w:p>
      <w:pPr>
        <w:keepNext w:val="0"/>
        <w:keepLines w:val="0"/>
        <w:pageBreakBefore w:val="0"/>
        <w:widowControl/>
        <w:suppressLineNumbers w:val="0"/>
        <w:wordWrap/>
        <w:overflowPunct/>
        <w:topLinePunct w:val="0"/>
        <w:bidi w:val="0"/>
        <w:spacing w:line="240" w:lineRule="auto"/>
        <w:jc w:val="center"/>
      </w:pPr>
      <w:r>
        <w:pict>
          <v:shape id="_x0000_i1027" o:spt="75" type="#_x0000_t75" style="height:150pt;width:331.5pt;" filled="f" o:preferrelative="t" stroked="f" coordsize="21600,21600">
            <v:path/>
            <v:fill on="f" focussize="0,0"/>
            <v:stroke on="f"/>
            <v:imagedata r:id="rId10" o:title=""/>
            <o:lock v:ext="edit" aspectratio="t"/>
            <w10:wrap type="none"/>
            <w10:anchorlock/>
          </v:shape>
        </w:pict>
      </w:r>
    </w:p>
    <w:p>
      <w:pPr>
        <w:pageBreakBefore w:val="0"/>
        <w:wordWrap/>
        <w:overflowPunct/>
        <w:topLinePunct w:val="0"/>
        <w:bidi w:val="0"/>
        <w:spacing w:line="580" w:lineRule="exact"/>
        <w:ind w:left="0" w:leftChars="0" w:firstLine="0" w:firstLineChars="0"/>
        <w:jc w:val="center"/>
        <w:rPr>
          <w:rFonts w:hint="eastAsia"/>
          <w:sz w:val="24"/>
          <w:szCs w:val="24"/>
        </w:rPr>
      </w:pPr>
      <w:r>
        <w:rPr>
          <w:rFonts w:hint="eastAsia" w:ascii="仿宋" w:hAnsi="仿宋" w:eastAsia="仿宋"/>
          <w:color w:val="auto"/>
          <w:sz w:val="24"/>
          <w:szCs w:val="24"/>
          <w:highlight w:val="none"/>
        </w:rPr>
        <w:t>（图3：支出决算结构图）（饼状图）</w:t>
      </w:r>
    </w:p>
    <w:p>
      <w:pPr>
        <w:spacing w:line="600" w:lineRule="exact"/>
        <w:ind w:firstLine="640" w:firstLineChars="200"/>
        <w:outlineLvl w:val="1"/>
        <w:rPr>
          <w:rStyle w:val="13"/>
          <w:rFonts w:ascii="黑体" w:hAnsi="黑体" w:eastAsia="黑体"/>
          <w:b w:val="0"/>
        </w:rPr>
      </w:pPr>
      <w:bookmarkStart w:id="81" w:name="_Toc24472"/>
      <w:bookmarkStart w:id="82" w:name="_Toc9516"/>
      <w:bookmarkStart w:id="83" w:name="_Toc25213"/>
      <w:r>
        <w:rPr>
          <w:rFonts w:hint="eastAsia" w:ascii="黑体" w:hAnsi="黑体" w:eastAsia="黑体"/>
          <w:color w:val="auto"/>
          <w:sz w:val="32"/>
          <w:szCs w:val="32"/>
        </w:rPr>
        <w:t>四</w:t>
      </w:r>
      <w:r>
        <w:rPr>
          <w:rFonts w:hint="eastAsia" w:ascii="黑体" w:hAnsi="黑体" w:eastAsia="黑体"/>
          <w:color w:val="000000"/>
          <w:sz w:val="32"/>
          <w:szCs w:val="32"/>
        </w:rPr>
        <w:t>、</w:t>
      </w:r>
      <w:bookmarkEnd w:id="79"/>
      <w:bookmarkEnd w:id="80"/>
      <w:bookmarkEnd w:id="81"/>
      <w:r>
        <w:rPr>
          <w:rFonts w:hint="eastAsia" w:ascii="黑体" w:hAnsi="黑体" w:eastAsia="黑体"/>
          <w:color w:val="auto"/>
          <w:sz w:val="32"/>
          <w:szCs w:val="32"/>
          <w:highlight w:val="none"/>
        </w:rPr>
        <w:t>财</w:t>
      </w:r>
      <w:r>
        <w:rPr>
          <w:rStyle w:val="31"/>
          <w:rFonts w:hint="eastAsia" w:ascii="黑体" w:hAnsi="黑体" w:eastAsia="黑体"/>
          <w:b w:val="0"/>
          <w:color w:val="auto"/>
          <w:highlight w:val="none"/>
        </w:rPr>
        <w:t>政拨款收入支出决算总体情况说明</w:t>
      </w:r>
      <w:bookmarkEnd w:id="82"/>
      <w:bookmarkEnd w:id="83"/>
    </w:p>
    <w:p>
      <w:pPr>
        <w:pageBreakBefore w:val="0"/>
        <w:wordWrap/>
        <w:overflowPunct/>
        <w:topLinePunct w:val="0"/>
        <w:bidi w:val="0"/>
        <w:spacing w:line="580" w:lineRule="exact"/>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2022</w:t>
      </w:r>
      <w:r>
        <w:rPr>
          <w:rFonts w:hint="eastAsia" w:ascii="仿宋" w:hAnsi="仿宋" w:eastAsia="仿宋"/>
          <w:color w:val="000000"/>
          <w:sz w:val="32"/>
          <w:szCs w:val="32"/>
        </w:rPr>
        <w:t>年财政拨款收、支总计</w:t>
      </w:r>
      <w:r>
        <w:rPr>
          <w:rFonts w:hint="eastAsia" w:ascii="仿宋" w:hAnsi="仿宋" w:eastAsia="仿宋"/>
          <w:color w:val="000000"/>
          <w:sz w:val="32"/>
          <w:szCs w:val="32"/>
          <w:lang w:eastAsia="zh-CN"/>
        </w:rPr>
        <w:t>各</w:t>
      </w:r>
      <w:r>
        <w:rPr>
          <w:rFonts w:hint="eastAsia" w:ascii="仿宋" w:hAnsi="仿宋" w:eastAsia="仿宋"/>
          <w:color w:val="000000"/>
          <w:sz w:val="32"/>
          <w:szCs w:val="32"/>
          <w:lang w:val="en-US" w:eastAsia="zh-CN"/>
        </w:rPr>
        <w:t>93.99</w:t>
      </w:r>
      <w:r>
        <w:rPr>
          <w:rFonts w:hint="eastAsia" w:ascii="仿宋" w:hAnsi="仿宋" w:eastAsia="仿宋"/>
          <w:color w:val="000000"/>
          <w:sz w:val="32"/>
          <w:szCs w:val="32"/>
        </w:rPr>
        <w:t>万元。与</w:t>
      </w:r>
      <w:r>
        <w:rPr>
          <w:rFonts w:hint="eastAsia" w:ascii="仿宋" w:hAnsi="仿宋" w:eastAsia="仿宋"/>
          <w:color w:val="000000"/>
          <w:sz w:val="32"/>
          <w:szCs w:val="32"/>
          <w:lang w:eastAsia="zh-CN"/>
        </w:rPr>
        <w:t>202</w:t>
      </w:r>
      <w:r>
        <w:rPr>
          <w:rFonts w:hint="eastAsia" w:ascii="仿宋" w:hAnsi="仿宋" w:eastAsia="仿宋"/>
          <w:color w:val="000000"/>
          <w:sz w:val="32"/>
          <w:szCs w:val="32"/>
          <w:lang w:val="en-US" w:eastAsia="zh-CN"/>
        </w:rPr>
        <w:t>1年</w:t>
      </w:r>
    </w:p>
    <w:p>
      <w:pPr>
        <w:spacing w:line="600" w:lineRule="exact"/>
        <w:ind w:left="0" w:leftChars="0" w:firstLine="0" w:firstLineChars="0"/>
        <w:rPr>
          <w:rStyle w:val="28"/>
          <w:rFonts w:hint="default" w:ascii="仿宋_GB2312" w:eastAsia="仿宋"/>
          <w:b w:val="0"/>
          <w:color w:val="000000"/>
          <w:sz w:val="32"/>
          <w:szCs w:val="32"/>
          <w:lang w:val="en-US" w:eastAsia="zh-CN"/>
        </w:rPr>
      </w:pPr>
      <w:r>
        <w:rPr>
          <w:rFonts w:hint="eastAsia" w:ascii="仿宋" w:hAnsi="仿宋" w:eastAsia="仿宋"/>
          <w:color w:val="000000"/>
          <w:sz w:val="32"/>
          <w:szCs w:val="32"/>
        </w:rPr>
        <w:t>相比，财政拨款收、支总计各</w:t>
      </w:r>
      <w:r>
        <w:rPr>
          <w:rFonts w:hint="eastAsia" w:ascii="仿宋" w:hAnsi="仿宋" w:eastAsia="仿宋"/>
          <w:color w:val="000000"/>
          <w:sz w:val="32"/>
          <w:szCs w:val="32"/>
          <w:lang w:eastAsia="zh-CN"/>
        </w:rPr>
        <w:t>减少了</w:t>
      </w:r>
      <w:r>
        <w:rPr>
          <w:rFonts w:hint="eastAsia" w:ascii="仿宋" w:hAnsi="仿宋" w:eastAsia="仿宋"/>
          <w:color w:val="000000"/>
          <w:sz w:val="32"/>
          <w:szCs w:val="32"/>
          <w:lang w:val="en-US" w:eastAsia="zh-CN"/>
        </w:rPr>
        <w:t>36.57</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减少</w:t>
      </w:r>
      <w:r>
        <w:rPr>
          <w:rFonts w:hint="eastAsia" w:ascii="仿宋" w:hAnsi="仿宋" w:eastAsia="仿宋"/>
          <w:color w:val="000000"/>
          <w:sz w:val="32"/>
          <w:szCs w:val="32"/>
          <w:lang w:val="en-US" w:eastAsia="zh-CN"/>
        </w:rPr>
        <w:t>28.01%</w:t>
      </w:r>
      <w:r>
        <w:rPr>
          <w:rFonts w:hint="eastAsia" w:ascii="仿宋" w:hAnsi="仿宋" w:eastAsia="仿宋"/>
          <w:color w:val="000000"/>
          <w:sz w:val="32"/>
          <w:szCs w:val="32"/>
          <w:lang w:eastAsia="zh-CN"/>
        </w:rPr>
        <w:t>了</w:t>
      </w:r>
      <w:r>
        <w:rPr>
          <w:rFonts w:hint="eastAsia" w:ascii="仿宋" w:hAnsi="仿宋" w:eastAsia="仿宋"/>
          <w:color w:val="000000"/>
          <w:sz w:val="32"/>
          <w:szCs w:val="32"/>
          <w:lang w:val="en-US" w:eastAsia="zh-CN"/>
        </w:rPr>
        <w:t>28.01%。</w:t>
      </w:r>
      <w:r>
        <w:rPr>
          <w:rFonts w:hint="eastAsia" w:ascii="仿宋" w:hAnsi="仿宋" w:eastAsia="仿宋"/>
          <w:color w:val="auto"/>
          <w:sz w:val="32"/>
          <w:szCs w:val="32"/>
          <w:highlight w:val="none"/>
          <w:lang w:val="en-US" w:eastAsia="zh-CN"/>
        </w:rPr>
        <w:t>2022年收入</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是医院合并，预算减少</w:t>
      </w:r>
      <w:r>
        <w:rPr>
          <w:rFonts w:hint="eastAsia" w:ascii="仿宋" w:hAnsi="仿宋" w:eastAsia="仿宋"/>
          <w:color w:val="auto"/>
          <w:sz w:val="32"/>
          <w:szCs w:val="32"/>
          <w:highlight w:val="none"/>
          <w:lang w:val="en-US" w:eastAsia="zh-CN"/>
        </w:rPr>
        <w:t>，</w:t>
      </w:r>
      <w:r>
        <w:rPr>
          <w:rFonts w:hint="eastAsia" w:ascii="仿宋" w:hAnsi="仿宋" w:eastAsia="仿宋"/>
          <w:color w:val="auto"/>
          <w:sz w:val="32"/>
          <w:szCs w:val="32"/>
          <w:highlight w:val="none"/>
          <w:lang w:eastAsia="zh-CN"/>
        </w:rPr>
        <w:t>一般公共预算拨款减少</w:t>
      </w:r>
      <w:r>
        <w:rPr>
          <w:rFonts w:hint="eastAsia" w:ascii="仿宋" w:hAnsi="仿宋" w:eastAsia="仿宋" w:cs="仿宋"/>
          <w:color w:val="auto"/>
          <w:sz w:val="32"/>
          <w:szCs w:val="32"/>
          <w:lang w:val="en-US" w:eastAsia="zh-CN"/>
        </w:rPr>
        <w:t>了38.67万元。2022年支出变动的主要原因是医院合并，预算减少，卫生健康支出减少了42.24万元，住房保障支出增加1.11万元。</w:t>
      </w:r>
    </w:p>
    <w:p>
      <w:pPr>
        <w:keepNext w:val="0"/>
        <w:keepLines w:val="0"/>
        <w:pageBreakBefore w:val="0"/>
        <w:widowControl/>
        <w:suppressLineNumbers w:val="0"/>
        <w:wordWrap/>
        <w:overflowPunct/>
        <w:topLinePunct w:val="0"/>
        <w:bidi w:val="0"/>
        <w:spacing w:line="240" w:lineRule="auto"/>
        <w:jc w:val="center"/>
      </w:pPr>
      <w:r>
        <w:pict>
          <v:shape id="_x0000_i1028" o:spt="75" type="#_x0000_t75" style="height:132pt;width:312pt;" filled="f" stroked="f" coordsize="21600,21600">
            <v:path/>
            <v:fill on="f" focussize="0,0"/>
            <v:stroke on="f"/>
            <v:imagedata r:id="rId11" o:title=""/>
            <o:lock v:ext="edit" aspectratio="t"/>
            <w10:wrap type="none"/>
            <w10:anchorlock/>
          </v:shape>
        </w:pict>
      </w:r>
    </w:p>
    <w:p>
      <w:pPr>
        <w:pageBreakBefore w:val="0"/>
        <w:wordWrap/>
        <w:overflowPunct/>
        <w:topLinePunct w:val="0"/>
        <w:bidi w:val="0"/>
        <w:spacing w:line="580" w:lineRule="exact"/>
        <w:ind w:left="0" w:leftChars="0" w:firstLine="0" w:firstLineChars="0"/>
        <w:jc w:val="center"/>
        <w:rPr>
          <w:sz w:val="24"/>
          <w:szCs w:val="24"/>
        </w:rPr>
      </w:pPr>
      <w:r>
        <w:rPr>
          <w:rFonts w:hint="eastAsia" w:ascii="仿宋" w:hAnsi="仿宋" w:eastAsia="仿宋"/>
          <w:color w:val="auto"/>
          <w:sz w:val="24"/>
          <w:szCs w:val="24"/>
          <w:highlight w:val="none"/>
        </w:rPr>
        <w:t>（图4：财政拨款收、支决算总计变动情况）（柱状图）</w:t>
      </w:r>
    </w:p>
    <w:p>
      <w:pPr>
        <w:spacing w:line="600" w:lineRule="exact"/>
        <w:ind w:firstLine="640" w:firstLineChars="200"/>
        <w:outlineLvl w:val="1"/>
        <w:rPr>
          <w:rStyle w:val="31"/>
          <w:rFonts w:ascii="黑体" w:hAnsi="黑体" w:eastAsia="黑体"/>
          <w:b w:val="0"/>
          <w:color w:val="auto"/>
          <w:highlight w:val="none"/>
        </w:rPr>
      </w:pPr>
      <w:bookmarkStart w:id="84" w:name="_Toc24490"/>
      <w:bookmarkStart w:id="85" w:name="_Toc15377209"/>
      <w:bookmarkStart w:id="86" w:name="_Toc1971"/>
      <w:bookmarkStart w:id="87" w:name="_Toc15396607"/>
      <w:bookmarkStart w:id="88" w:name="_Toc15377210"/>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1"/>
          <w:rFonts w:hint="eastAsia" w:ascii="黑体" w:hAnsi="黑体" w:eastAsia="黑体"/>
          <w:b w:val="0"/>
          <w:color w:val="auto"/>
          <w:highlight w:val="none"/>
        </w:rPr>
        <w:t>般公共预算财政拨款支出决算情况说明</w:t>
      </w:r>
      <w:bookmarkEnd w:id="84"/>
      <w:bookmarkEnd w:id="85"/>
      <w:bookmarkEnd w:id="86"/>
      <w:bookmarkEnd w:id="87"/>
    </w:p>
    <w:bookmarkEnd w:id="88"/>
    <w:p>
      <w:pPr>
        <w:spacing w:line="600" w:lineRule="exact"/>
        <w:ind w:firstLine="643" w:firstLineChars="200"/>
        <w:outlineLvl w:val="2"/>
        <w:rPr>
          <w:rFonts w:ascii="仿宋" w:hAnsi="仿宋" w:eastAsia="仿宋"/>
          <w:b/>
          <w:color w:val="auto"/>
          <w:sz w:val="32"/>
          <w:szCs w:val="32"/>
          <w:highlight w:val="none"/>
        </w:rPr>
      </w:pPr>
      <w:bookmarkStart w:id="89" w:name="_Toc15164"/>
      <w:r>
        <w:rPr>
          <w:rFonts w:hint="eastAsia" w:ascii="仿宋" w:hAnsi="仿宋" w:eastAsia="仿宋"/>
          <w:b/>
          <w:color w:val="auto"/>
          <w:sz w:val="32"/>
          <w:szCs w:val="32"/>
          <w:highlight w:val="none"/>
        </w:rPr>
        <w:t>（一）一般公共预算财政拨款支出决算总体情况</w:t>
      </w:r>
      <w:bookmarkEnd w:id="89"/>
    </w:p>
    <w:p>
      <w:pPr>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olor w:val="000000"/>
          <w:sz w:val="32"/>
          <w:szCs w:val="32"/>
          <w:lang w:eastAsia="zh-CN"/>
        </w:rPr>
        <w:t>202</w:t>
      </w: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91.89</w:t>
      </w:r>
      <w:r>
        <w:rPr>
          <w:rFonts w:hint="eastAsia" w:ascii="仿宋" w:hAnsi="仿宋" w:eastAsia="仿宋"/>
          <w:color w:val="000000"/>
          <w:sz w:val="32"/>
          <w:szCs w:val="32"/>
        </w:rPr>
        <w:t>万元，占本年支出合计的</w:t>
      </w:r>
      <w:r>
        <w:rPr>
          <w:rFonts w:hint="eastAsia" w:ascii="仿宋" w:hAnsi="仿宋" w:eastAsia="仿宋"/>
          <w:color w:val="000000"/>
          <w:sz w:val="32"/>
          <w:szCs w:val="32"/>
          <w:lang w:val="en-US" w:eastAsia="zh-CN"/>
        </w:rPr>
        <w:t>53.42</w:t>
      </w:r>
      <w:r>
        <w:rPr>
          <w:rFonts w:ascii="仿宋" w:hAnsi="仿宋" w:eastAsia="仿宋"/>
          <w:color w:val="000000"/>
          <w:sz w:val="32"/>
          <w:szCs w:val="32"/>
        </w:rPr>
        <w:t>%</w:t>
      </w:r>
      <w:r>
        <w:rPr>
          <w:rFonts w:hint="eastAsia" w:ascii="仿宋" w:hAnsi="仿宋" w:eastAsia="仿宋"/>
          <w:color w:val="000000"/>
          <w:sz w:val="32"/>
          <w:szCs w:val="32"/>
        </w:rPr>
        <w:t>。与</w:t>
      </w:r>
      <w:r>
        <w:rPr>
          <w:rFonts w:hint="eastAsia" w:ascii="仿宋" w:hAnsi="仿宋" w:eastAsia="仿宋"/>
          <w:color w:val="000000"/>
          <w:sz w:val="32"/>
          <w:szCs w:val="32"/>
          <w:lang w:eastAsia="zh-CN"/>
        </w:rPr>
        <w:t>202</w:t>
      </w:r>
      <w:r>
        <w:rPr>
          <w:rFonts w:hint="eastAsia" w:ascii="仿宋" w:hAnsi="仿宋" w:eastAsia="仿宋"/>
          <w:color w:val="000000"/>
          <w:sz w:val="32"/>
          <w:szCs w:val="32"/>
          <w:lang w:val="en-US" w:eastAsia="zh-CN"/>
        </w:rPr>
        <w:t>1</w:t>
      </w:r>
      <w:r>
        <w:rPr>
          <w:rFonts w:hint="eastAsia" w:ascii="仿宋" w:hAnsi="仿宋" w:eastAsia="仿宋"/>
          <w:color w:val="000000"/>
          <w:sz w:val="32"/>
          <w:szCs w:val="32"/>
        </w:rPr>
        <w:t>年相比，一般公共预算财政拨款</w:t>
      </w:r>
      <w:r>
        <w:rPr>
          <w:rFonts w:hint="eastAsia" w:ascii="仿宋" w:hAnsi="仿宋" w:eastAsia="仿宋"/>
          <w:color w:val="000000"/>
          <w:sz w:val="32"/>
          <w:szCs w:val="32"/>
          <w:lang w:eastAsia="zh-CN"/>
        </w:rPr>
        <w:t>支出减少</w:t>
      </w:r>
      <w:r>
        <w:rPr>
          <w:rFonts w:hint="eastAsia" w:ascii="仿宋" w:hAnsi="仿宋" w:eastAsia="仿宋"/>
          <w:color w:val="000000"/>
          <w:sz w:val="32"/>
          <w:szCs w:val="32"/>
          <w:lang w:val="en-US" w:eastAsia="zh-CN"/>
        </w:rPr>
        <w:t>38.67</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减少</w:t>
      </w:r>
      <w:r>
        <w:rPr>
          <w:rFonts w:hint="eastAsia" w:ascii="仿宋" w:hAnsi="仿宋" w:eastAsia="仿宋"/>
          <w:color w:val="000000"/>
          <w:sz w:val="32"/>
          <w:szCs w:val="32"/>
          <w:lang w:val="en-US" w:eastAsia="zh-CN"/>
        </w:rPr>
        <w:t>29.62</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基层医院合并，预算减少</w:t>
      </w:r>
      <w:r>
        <w:rPr>
          <w:rFonts w:hint="eastAsia" w:ascii="仿宋" w:hAnsi="仿宋" w:eastAsia="仿宋"/>
          <w:color w:val="auto"/>
          <w:sz w:val="32"/>
          <w:szCs w:val="32"/>
          <w:highlight w:val="none"/>
          <w:lang w:val="en-US" w:eastAsia="zh-CN"/>
        </w:rPr>
        <w:t>，项目支出增加了2.1万元。</w:t>
      </w:r>
    </w:p>
    <w:p>
      <w:pPr>
        <w:keepNext w:val="0"/>
        <w:keepLines w:val="0"/>
        <w:pageBreakBefore w:val="0"/>
        <w:widowControl/>
        <w:suppressLineNumbers w:val="0"/>
        <w:wordWrap/>
        <w:overflowPunct/>
        <w:topLinePunct w:val="0"/>
        <w:bidi w:val="0"/>
        <w:spacing w:line="240" w:lineRule="auto"/>
        <w:ind w:left="0" w:leftChars="0" w:firstLine="0" w:firstLineChars="0"/>
        <w:jc w:val="center"/>
      </w:pPr>
      <w:r>
        <w:pict>
          <v:shape id="_x0000_i1029" o:spt="75" type="#_x0000_t75" style="height:136.5pt;width:277.5pt;" filled="f" stroked="f" coordsize="21600,21600">
            <v:path/>
            <v:fill on="f" focussize="0,0"/>
            <v:stroke on="f"/>
            <v:imagedata r:id="rId12" o:title=""/>
            <o:lock v:ext="edit" aspectratio="t"/>
            <w10:wrap type="none"/>
            <w10:anchorlock/>
          </v:shape>
        </w:pict>
      </w:r>
    </w:p>
    <w:p>
      <w:pPr>
        <w:keepNext w:val="0"/>
        <w:keepLines w:val="0"/>
        <w:pageBreakBefore w:val="0"/>
        <w:widowControl/>
        <w:suppressLineNumbers w:val="0"/>
        <w:wordWrap/>
        <w:overflowPunct/>
        <w:topLinePunct w:val="0"/>
        <w:bidi w:val="0"/>
        <w:spacing w:line="580" w:lineRule="exact"/>
        <w:ind w:left="420" w:leftChars="0" w:hanging="104" w:firstLineChars="0"/>
        <w:jc w:val="center"/>
        <w:rPr>
          <w:rFonts w:hint="default"/>
          <w:sz w:val="24"/>
          <w:szCs w:val="24"/>
          <w:lang w:val="en-US" w:eastAsia="zh-CN"/>
        </w:rPr>
      </w:pPr>
      <w:r>
        <w:rPr>
          <w:rFonts w:hint="eastAsia" w:ascii="仿宋" w:hAnsi="仿宋" w:eastAsia="仿宋"/>
          <w:color w:val="auto"/>
          <w:sz w:val="32"/>
          <w:szCs w:val="32"/>
          <w:highlight w:val="none"/>
        </w:rPr>
        <w:t>（</w:t>
      </w:r>
      <w:r>
        <w:rPr>
          <w:rFonts w:hint="eastAsia" w:ascii="仿宋" w:hAnsi="仿宋" w:eastAsia="仿宋"/>
          <w:color w:val="auto"/>
          <w:sz w:val="24"/>
          <w:szCs w:val="24"/>
          <w:highlight w:val="none"/>
        </w:rPr>
        <w:t>图5：一般公共预算财政拨款支出决算变动情况）（柱状图）</w:t>
      </w:r>
    </w:p>
    <w:p>
      <w:pPr>
        <w:spacing w:line="600" w:lineRule="exact"/>
        <w:ind w:firstLine="643" w:firstLineChars="200"/>
        <w:outlineLvl w:val="2"/>
        <w:rPr>
          <w:rFonts w:ascii="仿宋" w:hAnsi="仿宋" w:eastAsia="仿宋"/>
          <w:b/>
          <w:color w:val="auto"/>
          <w:sz w:val="32"/>
          <w:szCs w:val="32"/>
          <w:highlight w:val="none"/>
        </w:rPr>
      </w:pPr>
      <w:bookmarkStart w:id="90" w:name="_Toc15377211"/>
      <w:bookmarkStart w:id="91" w:name="_Toc5930"/>
      <w:r>
        <w:rPr>
          <w:rFonts w:hint="eastAsia" w:ascii="仿宋" w:hAnsi="仿宋" w:eastAsia="仿宋"/>
          <w:b/>
          <w:color w:val="auto"/>
          <w:sz w:val="32"/>
          <w:szCs w:val="32"/>
          <w:highlight w:val="none"/>
        </w:rPr>
        <w:t>（二）一般公共预算财政拨款支出决算结构情况</w:t>
      </w:r>
      <w:bookmarkEnd w:id="90"/>
      <w:bookmarkEnd w:id="91"/>
    </w:p>
    <w:p>
      <w:pPr>
        <w:pageBreakBefore w:val="0"/>
        <w:wordWrap/>
        <w:overflowPunct/>
        <w:topLinePunct w:val="0"/>
        <w:bidi w:val="0"/>
        <w:spacing w:line="58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lang w:eastAsia="zh-CN"/>
        </w:rPr>
        <w:t>202</w:t>
      </w: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91.89</w:t>
      </w:r>
      <w:r>
        <w:rPr>
          <w:rFonts w:hint="eastAsia" w:ascii="仿宋" w:hAnsi="仿宋" w:eastAsia="仿宋"/>
          <w:color w:val="000000"/>
          <w:sz w:val="32"/>
          <w:szCs w:val="32"/>
        </w:rPr>
        <w:t>万元，主要用</w:t>
      </w:r>
      <w:r>
        <w:rPr>
          <w:rFonts w:hint="eastAsia" w:ascii="仿宋" w:hAnsi="仿宋" w:eastAsia="仿宋"/>
          <w:color w:val="000000"/>
          <w:sz w:val="32"/>
          <w:szCs w:val="32"/>
          <w:lang w:eastAsia="zh-CN"/>
        </w:rPr>
        <w:t>于</w:t>
      </w:r>
      <w:r>
        <w:rPr>
          <w:rFonts w:hint="eastAsia" w:ascii="仿宋" w:hAnsi="仿宋" w:eastAsia="仿宋"/>
          <w:color w:val="000000"/>
          <w:sz w:val="32"/>
          <w:szCs w:val="32"/>
        </w:rPr>
        <w:t>；</w:t>
      </w:r>
      <w:r>
        <w:rPr>
          <w:rFonts w:hint="eastAsia" w:ascii="仿宋" w:hAnsi="仿宋" w:eastAsia="仿宋"/>
          <w:b/>
          <w:color w:val="000000"/>
          <w:sz w:val="32"/>
          <w:szCs w:val="32"/>
        </w:rPr>
        <w:t>社会保障和就业（类）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9.74</w:t>
      </w:r>
      <w:r>
        <w:rPr>
          <w:rFonts w:hint="eastAsia" w:ascii="仿宋" w:hAnsi="仿宋" w:eastAsia="仿宋"/>
          <w:color w:val="000000"/>
          <w:sz w:val="32"/>
          <w:szCs w:val="32"/>
        </w:rPr>
        <w:t>万元，占</w:t>
      </w:r>
      <w:r>
        <w:rPr>
          <w:rFonts w:hint="eastAsia" w:ascii="仿宋" w:hAnsi="仿宋" w:eastAsia="仿宋" w:cs="Times New Roman"/>
          <w:b/>
          <w:bCs/>
          <w:color w:val="000000"/>
          <w:sz w:val="32"/>
          <w:szCs w:val="32"/>
          <w:lang w:val="en-US" w:eastAsia="zh-CN"/>
        </w:rPr>
        <w:t>10.60%</w:t>
      </w:r>
      <w:r>
        <w:rPr>
          <w:rFonts w:hint="eastAsia" w:ascii="仿宋" w:hAnsi="仿宋" w:eastAsia="仿宋"/>
          <w:color w:val="000000"/>
          <w:sz w:val="32"/>
          <w:szCs w:val="32"/>
          <w:lang w:val="en-US" w:eastAsia="zh-CN"/>
        </w:rPr>
        <w:t>；</w:t>
      </w:r>
      <w:r>
        <w:rPr>
          <w:rFonts w:hint="eastAsia" w:ascii="仿宋" w:hAnsi="仿宋" w:eastAsia="仿宋"/>
          <w:b/>
          <w:bCs/>
          <w:color w:val="000000"/>
          <w:sz w:val="32"/>
          <w:szCs w:val="32"/>
        </w:rPr>
        <w:t>卫生健康支出</w:t>
      </w:r>
      <w:r>
        <w:rPr>
          <w:rFonts w:hint="eastAsia" w:ascii="仿宋" w:hAnsi="仿宋" w:eastAsia="仿宋"/>
          <w:color w:val="000000"/>
          <w:sz w:val="32"/>
          <w:szCs w:val="32"/>
          <w:lang w:val="en-US" w:eastAsia="zh-CN"/>
        </w:rPr>
        <w:t>76.92</w:t>
      </w:r>
      <w:r>
        <w:rPr>
          <w:rFonts w:hint="eastAsia" w:ascii="仿宋" w:hAnsi="仿宋" w:eastAsia="仿宋"/>
          <w:color w:val="000000"/>
          <w:sz w:val="32"/>
          <w:szCs w:val="32"/>
        </w:rPr>
        <w:t>万元，占</w:t>
      </w:r>
      <w:r>
        <w:rPr>
          <w:rFonts w:hint="eastAsia" w:ascii="仿宋" w:hAnsi="仿宋" w:eastAsia="仿宋" w:cs="Times New Roman"/>
          <w:b/>
          <w:bCs/>
          <w:color w:val="000000"/>
          <w:sz w:val="32"/>
          <w:szCs w:val="32"/>
          <w:lang w:val="en-US" w:eastAsia="zh-CN"/>
        </w:rPr>
        <w:t>83.71%</w:t>
      </w:r>
      <w:r>
        <w:rPr>
          <w:rFonts w:hint="eastAsia" w:ascii="仿宋" w:hAnsi="仿宋" w:eastAsia="仿宋"/>
          <w:color w:val="000000"/>
          <w:sz w:val="32"/>
          <w:szCs w:val="32"/>
          <w:lang w:val="en-US" w:eastAsia="zh-CN"/>
        </w:rPr>
        <w:t>；</w:t>
      </w:r>
      <w:r>
        <w:rPr>
          <w:rFonts w:hint="eastAsia" w:ascii="仿宋" w:hAnsi="仿宋" w:eastAsia="仿宋"/>
          <w:b/>
          <w:bCs/>
          <w:color w:val="000000"/>
          <w:sz w:val="32"/>
          <w:szCs w:val="32"/>
        </w:rPr>
        <w:t>住房保障支出</w:t>
      </w:r>
      <w:r>
        <w:rPr>
          <w:rFonts w:hint="eastAsia" w:ascii="仿宋" w:hAnsi="仿宋" w:eastAsia="仿宋"/>
          <w:b/>
          <w:bCs/>
          <w:color w:val="000000"/>
          <w:sz w:val="32"/>
          <w:szCs w:val="32"/>
          <w:lang w:val="en-US" w:eastAsia="zh-CN"/>
        </w:rPr>
        <w:t>5.23</w:t>
      </w:r>
      <w:r>
        <w:rPr>
          <w:rFonts w:hint="eastAsia" w:ascii="仿宋" w:hAnsi="仿宋" w:eastAsia="仿宋"/>
          <w:color w:val="000000"/>
          <w:sz w:val="32"/>
          <w:szCs w:val="32"/>
        </w:rPr>
        <w:t>万元，占</w:t>
      </w:r>
      <w:r>
        <w:rPr>
          <w:rFonts w:hint="eastAsia" w:ascii="仿宋" w:hAnsi="仿宋" w:eastAsia="仿宋"/>
          <w:b/>
          <w:bCs/>
          <w:color w:val="000000"/>
          <w:sz w:val="32"/>
          <w:szCs w:val="32"/>
          <w:lang w:val="en-US" w:eastAsia="zh-CN"/>
        </w:rPr>
        <w:t>5.69</w:t>
      </w:r>
      <w:r>
        <w:rPr>
          <w:rFonts w:ascii="仿宋" w:hAnsi="仿宋" w:eastAsia="仿宋"/>
          <w:b/>
          <w:bCs/>
          <w:color w:val="000000"/>
          <w:sz w:val="32"/>
          <w:szCs w:val="32"/>
        </w:rPr>
        <w:t>%</w:t>
      </w:r>
      <w:r>
        <w:rPr>
          <w:rFonts w:hint="eastAsia" w:ascii="仿宋" w:hAnsi="仿宋" w:eastAsia="仿宋"/>
          <w:color w:val="000000"/>
          <w:sz w:val="32"/>
          <w:szCs w:val="32"/>
        </w:rPr>
        <w:t>；</w:t>
      </w:r>
    </w:p>
    <w:p>
      <w:pPr>
        <w:pStyle w:val="17"/>
        <w:pageBreakBefore w:val="0"/>
        <w:wordWrap/>
        <w:overflowPunct/>
        <w:topLinePunct w:val="0"/>
        <w:bidi w:val="0"/>
        <w:spacing w:line="240" w:lineRule="auto"/>
        <w:ind w:firstLine="0" w:firstLineChars="0"/>
        <w:jc w:val="center"/>
      </w:pPr>
      <w:r>
        <w:pict>
          <v:shape id="_x0000_i1030" o:spt="75" type="#_x0000_t75" style="height:163.5pt;width:319.5pt;" filled="f" stroked="f" coordsize="21600,21600">
            <v:path/>
            <v:fill on="f" focussize="0,0"/>
            <v:stroke on="f"/>
            <v:imagedata r:id="rId13" o:title=""/>
            <o:lock v:ext="edit" aspectratio="t"/>
            <w10:wrap type="none"/>
            <w10:anchorlock/>
          </v:shape>
        </w:pict>
      </w:r>
    </w:p>
    <w:p>
      <w:pPr>
        <w:pageBreakBefore w:val="0"/>
        <w:wordWrap/>
        <w:overflowPunct/>
        <w:topLinePunct w:val="0"/>
        <w:bidi w:val="0"/>
        <w:spacing w:line="580" w:lineRule="exact"/>
        <w:ind w:left="0" w:leftChars="0" w:firstLine="0" w:firstLineChars="0"/>
        <w:jc w:val="center"/>
        <w:rPr>
          <w:rFonts w:ascii="仿宋" w:hAnsi="仿宋" w:eastAsia="仿宋"/>
          <w:color w:val="000000"/>
          <w:sz w:val="24"/>
          <w:szCs w:val="24"/>
        </w:rPr>
      </w:pPr>
      <w:r>
        <w:rPr>
          <w:rFonts w:hint="eastAsia" w:ascii="仿宋" w:hAnsi="仿宋" w:eastAsia="仿宋"/>
          <w:color w:val="auto"/>
          <w:sz w:val="24"/>
          <w:szCs w:val="24"/>
          <w:highlight w:val="none"/>
        </w:rPr>
        <w:t>（图6：一般公共预算财政拨款支出决算结构）（饼状图）</w:t>
      </w:r>
    </w:p>
    <w:p>
      <w:pPr>
        <w:spacing w:line="600" w:lineRule="exact"/>
        <w:ind w:firstLine="643" w:firstLineChars="200"/>
        <w:outlineLvl w:val="2"/>
        <w:rPr>
          <w:rFonts w:ascii="仿宋" w:hAnsi="仿宋" w:eastAsia="仿宋"/>
          <w:b/>
          <w:color w:val="auto"/>
          <w:sz w:val="32"/>
          <w:szCs w:val="32"/>
          <w:highlight w:val="none"/>
        </w:rPr>
      </w:pPr>
      <w:bookmarkStart w:id="92" w:name="_Toc16289"/>
      <w:bookmarkStart w:id="93" w:name="_Toc15377212"/>
      <w:bookmarkStart w:id="94" w:name="_Toc15377213"/>
      <w:bookmarkStart w:id="95" w:name="_Toc15378460"/>
      <w:bookmarkStart w:id="96" w:name="_Toc15377444"/>
      <w:r>
        <w:rPr>
          <w:rFonts w:hint="eastAsia" w:ascii="仿宋" w:hAnsi="仿宋" w:eastAsia="仿宋"/>
          <w:b/>
          <w:color w:val="auto"/>
          <w:sz w:val="32"/>
          <w:szCs w:val="32"/>
          <w:highlight w:val="none"/>
        </w:rPr>
        <w:t>（三）一般公共预算财政拨款支出决算具体情况</w:t>
      </w:r>
      <w:bookmarkEnd w:id="92"/>
      <w:bookmarkEnd w:id="93"/>
    </w:p>
    <w:p>
      <w:pPr>
        <w:pageBreakBefore w:val="0"/>
        <w:wordWrap/>
        <w:overflowPunct/>
        <w:topLinePunct w:val="0"/>
        <w:bidi w:val="0"/>
        <w:spacing w:line="580" w:lineRule="exact"/>
        <w:ind w:firstLine="643" w:firstLineChars="200"/>
        <w:outlineLvl w:val="1"/>
        <w:rPr>
          <w:rStyle w:val="28"/>
          <w:rFonts w:hint="eastAsia" w:ascii="仿宋" w:hAnsi="仿宋" w:eastAsia="仿宋"/>
          <w:bCs/>
          <w:color w:val="000000"/>
          <w:sz w:val="32"/>
          <w:szCs w:val="32"/>
        </w:rPr>
      </w:pPr>
      <w:bookmarkStart w:id="97" w:name="_Toc14562"/>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w:t>
      </w:r>
      <w:r>
        <w:rPr>
          <w:rFonts w:hint="eastAsia" w:ascii="仿宋" w:hAnsi="仿宋" w:eastAsia="仿宋"/>
          <w:b/>
          <w:color w:val="auto"/>
          <w:sz w:val="32"/>
          <w:szCs w:val="32"/>
          <w:highlight w:val="none"/>
          <w:lang w:eastAsia="zh-CN"/>
        </w:rPr>
        <w:t>为</w:t>
      </w:r>
      <w:r>
        <w:rPr>
          <w:rFonts w:hint="eastAsia" w:ascii="仿宋" w:hAnsi="仿宋" w:eastAsia="仿宋"/>
          <w:b/>
          <w:color w:val="000000"/>
          <w:sz w:val="32"/>
          <w:szCs w:val="32"/>
          <w:lang w:val="en-US" w:eastAsia="zh-CN"/>
        </w:rPr>
        <w:t>91.89万元</w:t>
      </w:r>
      <w:r>
        <w:rPr>
          <w:rFonts w:hint="eastAsia" w:ascii="仿宋" w:hAnsi="仿宋" w:eastAsia="仿宋"/>
          <w:color w:val="000000"/>
          <w:sz w:val="32"/>
          <w:szCs w:val="32"/>
        </w:rPr>
        <w:t>，</w:t>
      </w:r>
      <w:r>
        <w:rPr>
          <w:rStyle w:val="28"/>
          <w:rFonts w:hint="eastAsia" w:ascii="仿宋" w:hAnsi="仿宋" w:eastAsia="仿宋"/>
          <w:bCs/>
          <w:color w:val="000000"/>
          <w:sz w:val="32"/>
          <w:szCs w:val="32"/>
        </w:rPr>
        <w:t>完成预算</w:t>
      </w:r>
      <w:r>
        <w:rPr>
          <w:rStyle w:val="28"/>
          <w:rFonts w:hint="eastAsia" w:ascii="仿宋" w:hAnsi="仿宋" w:eastAsia="仿宋"/>
          <w:bCs/>
          <w:color w:val="000000"/>
          <w:sz w:val="32"/>
          <w:szCs w:val="32"/>
          <w:lang w:val="en-US" w:eastAsia="zh-CN"/>
        </w:rPr>
        <w:t>100</w:t>
      </w:r>
      <w:r>
        <w:rPr>
          <w:rStyle w:val="28"/>
          <w:rFonts w:ascii="仿宋" w:hAnsi="仿宋" w:eastAsia="仿宋"/>
          <w:bCs/>
          <w:color w:val="000000"/>
          <w:sz w:val="32"/>
          <w:szCs w:val="32"/>
        </w:rPr>
        <w:t>%</w:t>
      </w:r>
      <w:r>
        <w:rPr>
          <w:rStyle w:val="28"/>
          <w:rFonts w:hint="eastAsia" w:ascii="仿宋" w:hAnsi="仿宋" w:eastAsia="仿宋"/>
          <w:bCs/>
          <w:color w:val="000000"/>
          <w:sz w:val="32"/>
          <w:szCs w:val="32"/>
        </w:rPr>
        <w:t>。其中：</w:t>
      </w:r>
      <w:bookmarkEnd w:id="94"/>
      <w:bookmarkEnd w:id="95"/>
      <w:bookmarkEnd w:id="96"/>
      <w:bookmarkEnd w:id="97"/>
    </w:p>
    <w:p>
      <w:pPr>
        <w:pageBreakBefore w:val="0"/>
        <w:wordWrap/>
        <w:overflowPunct/>
        <w:topLinePunct w:val="0"/>
        <w:bidi w:val="0"/>
        <w:spacing w:line="580" w:lineRule="exact"/>
        <w:ind w:firstLine="643" w:firstLineChars="200"/>
        <w:rPr>
          <w:rFonts w:hint="eastAsia" w:ascii="仿宋_GB2312" w:eastAsia="仿宋_GB2312"/>
          <w:color w:val="000000"/>
          <w:sz w:val="32"/>
          <w:szCs w:val="32"/>
        </w:rPr>
      </w:pPr>
      <w:r>
        <w:rPr>
          <w:rFonts w:hint="eastAsia" w:ascii="仿宋" w:hAnsi="仿宋" w:eastAsia="仿宋"/>
          <w:b/>
          <w:bCs/>
          <w:color w:val="000000"/>
          <w:sz w:val="32"/>
          <w:szCs w:val="32"/>
        </w:rPr>
        <w:t>卫生健康支出</w:t>
      </w:r>
      <w:r>
        <w:rPr>
          <w:rFonts w:hint="eastAsia" w:ascii="仿宋_GB2312" w:eastAsia="仿宋_GB2312"/>
          <w:b/>
          <w:color w:val="000000"/>
          <w:sz w:val="32"/>
          <w:szCs w:val="32"/>
        </w:rPr>
        <w:t>（类）基层医疗卫生机构（款）</w:t>
      </w:r>
      <w:r>
        <w:rPr>
          <w:rStyle w:val="28"/>
          <w:rFonts w:hint="eastAsia" w:ascii="仿宋_GB2312" w:eastAsia="仿宋_GB2312"/>
          <w:color w:val="000000"/>
          <w:sz w:val="32"/>
          <w:szCs w:val="32"/>
        </w:rPr>
        <w:t>乡镇卫生院（项）</w:t>
      </w:r>
      <w:r>
        <w:rPr>
          <w:rStyle w:val="28"/>
          <w:rFonts w:hint="eastAsia" w:ascii="仿宋_GB2312" w:eastAsia="仿宋_GB2312"/>
          <w:color w:val="000000"/>
          <w:sz w:val="32"/>
          <w:szCs w:val="32"/>
          <w:lang w:eastAsia="zh-CN"/>
        </w:rPr>
        <w:t>：</w:t>
      </w:r>
      <w:r>
        <w:rPr>
          <w:rStyle w:val="28"/>
          <w:rFonts w:hint="eastAsia" w:ascii="仿宋_GB2312" w:eastAsia="仿宋_GB2312"/>
          <w:b w:val="0"/>
          <w:color w:val="000000"/>
          <w:sz w:val="32"/>
          <w:szCs w:val="32"/>
        </w:rPr>
        <w:t>主要</w:t>
      </w:r>
      <w:r>
        <w:rPr>
          <w:rStyle w:val="28"/>
          <w:rFonts w:hint="eastAsia" w:ascii="仿宋_GB2312" w:eastAsia="仿宋_GB2312"/>
          <w:b w:val="0"/>
          <w:color w:val="000000"/>
          <w:sz w:val="32"/>
          <w:szCs w:val="32"/>
          <w:lang w:eastAsia="zh-CN"/>
        </w:rPr>
        <w:t>用于乡镇</w:t>
      </w:r>
      <w:r>
        <w:rPr>
          <w:rStyle w:val="28"/>
          <w:rFonts w:hint="eastAsia" w:ascii="仿宋_GB2312" w:eastAsia="仿宋_GB2312"/>
          <w:b w:val="0"/>
          <w:color w:val="000000"/>
          <w:sz w:val="32"/>
          <w:szCs w:val="32"/>
        </w:rPr>
        <w:t>卫生院人员经费</w:t>
      </w:r>
      <w:r>
        <w:rPr>
          <w:rStyle w:val="28"/>
          <w:rFonts w:hint="eastAsia" w:ascii="仿宋_GB2312" w:eastAsia="仿宋_GB2312"/>
          <w:b w:val="0"/>
          <w:color w:val="000000"/>
          <w:sz w:val="32"/>
          <w:szCs w:val="32"/>
          <w:lang w:eastAsia="zh-CN"/>
        </w:rPr>
        <w:t>，</w:t>
      </w:r>
      <w:r>
        <w:rPr>
          <w:rStyle w:val="28"/>
          <w:rFonts w:hint="eastAsia" w:ascii="仿宋_GB2312" w:eastAsia="仿宋_GB2312"/>
          <w:b w:val="0"/>
          <w:bCs/>
          <w:color w:val="000000"/>
          <w:sz w:val="32"/>
          <w:szCs w:val="32"/>
        </w:rPr>
        <w:t>决算数</w:t>
      </w:r>
      <w:r>
        <w:rPr>
          <w:rStyle w:val="28"/>
          <w:rFonts w:hint="eastAsia" w:ascii="仿宋" w:hAnsi="仿宋" w:eastAsia="仿宋"/>
          <w:b w:val="0"/>
          <w:bCs/>
          <w:color w:val="000000"/>
          <w:sz w:val="32"/>
          <w:szCs w:val="32"/>
          <w:lang w:val="en-US" w:eastAsia="zh-CN"/>
        </w:rPr>
        <w:t>74.05</w:t>
      </w:r>
      <w:r>
        <w:rPr>
          <w:rStyle w:val="28"/>
          <w:rFonts w:hint="eastAsia" w:ascii="仿宋_GB2312" w:eastAsia="仿宋_GB2312"/>
          <w:b w:val="0"/>
          <w:bCs/>
          <w:color w:val="000000"/>
          <w:sz w:val="32"/>
          <w:szCs w:val="32"/>
        </w:rPr>
        <w:t>万元</w:t>
      </w:r>
      <w:r>
        <w:rPr>
          <w:rStyle w:val="28"/>
          <w:rFonts w:hint="eastAsia" w:ascii="仿宋_GB2312" w:eastAsia="仿宋_GB2312"/>
          <w:color w:val="000000"/>
          <w:sz w:val="32"/>
          <w:szCs w:val="32"/>
        </w:rPr>
        <w:t>，</w:t>
      </w:r>
      <w:r>
        <w:rPr>
          <w:rFonts w:hint="eastAsia" w:ascii="仿宋_GB2312" w:eastAsia="仿宋_GB2312"/>
          <w:color w:val="000000"/>
          <w:sz w:val="32"/>
          <w:szCs w:val="32"/>
        </w:rPr>
        <w:t>完成预算</w:t>
      </w:r>
      <w:r>
        <w:rPr>
          <w:rFonts w:hint="eastAsia" w:ascii="仿宋_GB2312" w:eastAsia="仿宋_GB2312"/>
          <w:color w:val="000000"/>
          <w:sz w:val="32"/>
          <w:szCs w:val="32"/>
          <w:lang w:val="en-US" w:eastAsia="zh-CN"/>
        </w:rPr>
        <w:t>100</w:t>
      </w:r>
      <w:r>
        <w:rPr>
          <w:rFonts w:hint="eastAsia" w:ascii="仿宋_GB2312" w:eastAsia="仿宋_GB2312"/>
          <w:color w:val="000000"/>
          <w:sz w:val="32"/>
          <w:szCs w:val="32"/>
        </w:rPr>
        <w:t>%。</w:t>
      </w:r>
    </w:p>
    <w:p>
      <w:pPr>
        <w:pageBreakBefore w:val="0"/>
        <w:wordWrap/>
        <w:overflowPunct/>
        <w:topLinePunct w:val="0"/>
        <w:bidi w:val="0"/>
        <w:spacing w:line="580" w:lineRule="exact"/>
        <w:ind w:firstLine="643" w:firstLineChars="200"/>
        <w:rPr>
          <w:rStyle w:val="28"/>
          <w:rFonts w:ascii="仿宋_GB2312" w:eastAsia="仿宋_GB2312"/>
          <w:b w:val="0"/>
          <w:color w:val="000000"/>
          <w:sz w:val="32"/>
          <w:szCs w:val="32"/>
        </w:rPr>
      </w:pPr>
      <w:r>
        <w:rPr>
          <w:rStyle w:val="28"/>
          <w:rFonts w:hint="eastAsia" w:ascii="仿宋_GB2312" w:eastAsia="仿宋_GB2312"/>
          <w:color w:val="000000"/>
          <w:sz w:val="32"/>
          <w:szCs w:val="32"/>
        </w:rPr>
        <w:t>卫生健康支出</w:t>
      </w:r>
      <w:r>
        <w:rPr>
          <w:rFonts w:hint="eastAsia" w:ascii="仿宋_GB2312" w:eastAsia="仿宋_GB2312"/>
          <w:b/>
          <w:color w:val="000000"/>
          <w:sz w:val="32"/>
          <w:szCs w:val="32"/>
        </w:rPr>
        <w:t>（类）基层医疗卫生机构（款）其他基层医疗卫生机构支出（项）：</w:t>
      </w:r>
      <w:r>
        <w:rPr>
          <w:rStyle w:val="28"/>
          <w:rFonts w:hint="eastAsia" w:ascii="仿宋_GB2312" w:eastAsia="仿宋_GB2312"/>
          <w:b w:val="0"/>
          <w:color w:val="000000"/>
          <w:sz w:val="32"/>
          <w:szCs w:val="32"/>
        </w:rPr>
        <w:t>主要用于村卫生站实行基本药物制度后弥补人员经费。</w:t>
      </w:r>
      <w:r>
        <w:rPr>
          <w:rFonts w:hint="eastAsia" w:ascii="仿宋_GB2312" w:eastAsia="仿宋_GB2312"/>
          <w:color w:val="000000"/>
          <w:sz w:val="32"/>
          <w:szCs w:val="32"/>
          <w:lang w:val="en-US" w:eastAsia="zh-CN"/>
        </w:rPr>
        <w:t>2022</w:t>
      </w:r>
      <w:r>
        <w:rPr>
          <w:rFonts w:hint="eastAsia" w:ascii="仿宋_GB2312" w:eastAsia="仿宋_GB2312"/>
          <w:color w:val="000000"/>
          <w:sz w:val="32"/>
          <w:szCs w:val="32"/>
        </w:rPr>
        <w:t>年决算数为</w:t>
      </w:r>
      <w:r>
        <w:rPr>
          <w:rFonts w:hint="eastAsia" w:ascii="仿宋_GB2312" w:eastAsia="仿宋_GB2312"/>
          <w:color w:val="000000"/>
          <w:sz w:val="32"/>
          <w:szCs w:val="32"/>
          <w:lang w:val="en-US" w:eastAsia="zh-CN"/>
        </w:rPr>
        <w:t>0</w:t>
      </w:r>
      <w:r>
        <w:rPr>
          <w:rFonts w:hint="eastAsia" w:ascii="仿宋_GB2312" w:eastAsia="仿宋_GB2312"/>
          <w:sz w:val="32"/>
          <w:szCs w:val="32"/>
        </w:rPr>
        <w:t>万元。</w:t>
      </w:r>
    </w:p>
    <w:p>
      <w:pPr>
        <w:pageBreakBefore w:val="0"/>
        <w:wordWrap/>
        <w:overflowPunct/>
        <w:topLinePunct w:val="0"/>
        <w:bidi w:val="0"/>
        <w:spacing w:line="580" w:lineRule="exact"/>
        <w:ind w:firstLine="643" w:firstLineChars="200"/>
        <w:rPr>
          <w:color w:val="000000"/>
          <w:sz w:val="32"/>
          <w:szCs w:val="32"/>
        </w:rPr>
      </w:pPr>
      <w:r>
        <w:rPr>
          <w:rStyle w:val="28"/>
          <w:rFonts w:hint="eastAsia" w:ascii="仿宋_GB2312" w:eastAsia="仿宋_GB2312"/>
          <w:bCs/>
          <w:color w:val="000000"/>
          <w:sz w:val="32"/>
          <w:szCs w:val="32"/>
        </w:rPr>
        <w:t>卫生健康支出（类）公共卫生（款）</w:t>
      </w:r>
      <w:r>
        <w:rPr>
          <w:rStyle w:val="28"/>
          <w:rFonts w:hint="eastAsia" w:ascii="仿宋_GB2312" w:eastAsia="仿宋_GB2312"/>
          <w:color w:val="000000"/>
          <w:sz w:val="32"/>
          <w:szCs w:val="32"/>
        </w:rPr>
        <w:t>基本公共卫生服务（项）:</w:t>
      </w:r>
      <w:r>
        <w:rPr>
          <w:rStyle w:val="28"/>
          <w:rFonts w:hint="eastAsia" w:ascii="仿宋_GB2312" w:eastAsia="仿宋_GB2312"/>
          <w:b w:val="0"/>
          <w:color w:val="000000"/>
          <w:sz w:val="32"/>
          <w:szCs w:val="32"/>
        </w:rPr>
        <w:t>主要用于乡镇卫生院、村卫生站开展基本公共卫生服务活动支出。</w:t>
      </w:r>
      <w:r>
        <w:rPr>
          <w:rFonts w:hint="eastAsia" w:ascii="仿宋_GB2312" w:eastAsia="仿宋_GB2312"/>
          <w:color w:val="000000"/>
          <w:sz w:val="32"/>
          <w:szCs w:val="32"/>
          <w:lang w:val="en-US" w:eastAsia="zh-CN"/>
        </w:rPr>
        <w:t>2022</w:t>
      </w:r>
      <w:r>
        <w:rPr>
          <w:rFonts w:hint="eastAsia" w:ascii="仿宋_GB2312" w:eastAsia="仿宋_GB2312"/>
          <w:color w:val="000000"/>
          <w:sz w:val="32"/>
          <w:szCs w:val="32"/>
        </w:rPr>
        <w:t>年决算数</w:t>
      </w:r>
      <w:r>
        <w:rPr>
          <w:rFonts w:hint="eastAsia" w:ascii="仿宋_GB2312" w:eastAsia="仿宋_GB2312"/>
          <w:color w:val="000000"/>
          <w:sz w:val="32"/>
          <w:szCs w:val="32"/>
          <w:lang w:val="en-US" w:eastAsia="zh-CN"/>
        </w:rPr>
        <w:t>0万元</w:t>
      </w:r>
      <w:r>
        <w:rPr>
          <w:rFonts w:hint="eastAsia"/>
          <w:color w:val="000000"/>
          <w:sz w:val="32"/>
          <w:szCs w:val="32"/>
        </w:rPr>
        <w:t>。</w:t>
      </w:r>
    </w:p>
    <w:p>
      <w:pPr>
        <w:pageBreakBefore w:val="0"/>
        <w:wordWrap/>
        <w:overflowPunct/>
        <w:topLinePunct w:val="0"/>
        <w:bidi w:val="0"/>
        <w:spacing w:line="580" w:lineRule="exact"/>
        <w:ind w:firstLine="643" w:firstLineChars="200"/>
        <w:rPr>
          <w:rFonts w:ascii="仿宋_GB2312" w:eastAsia="仿宋_GB2312"/>
          <w:color w:val="000000"/>
          <w:sz w:val="32"/>
          <w:szCs w:val="32"/>
        </w:rPr>
      </w:pPr>
      <w:r>
        <w:rPr>
          <w:rStyle w:val="28"/>
          <w:rFonts w:hint="eastAsia" w:ascii="仿宋_GB2312" w:eastAsia="仿宋_GB2312"/>
          <w:bCs/>
          <w:color w:val="000000"/>
          <w:sz w:val="32"/>
          <w:szCs w:val="32"/>
        </w:rPr>
        <w:t>卫生健康支出（类）行政事业单位（款）事业单位医疗（项）</w:t>
      </w:r>
      <w:r>
        <w:rPr>
          <w:rStyle w:val="28"/>
          <w:rFonts w:hint="eastAsia" w:ascii="仿宋_GB2312" w:eastAsia="仿宋_GB2312"/>
          <w:b w:val="0"/>
          <w:color w:val="000000"/>
          <w:sz w:val="32"/>
          <w:szCs w:val="32"/>
        </w:rPr>
        <w:t>：用于在职</w:t>
      </w:r>
      <w:r>
        <w:rPr>
          <w:rStyle w:val="28"/>
          <w:rFonts w:hint="eastAsia" w:ascii="仿宋_GB2312" w:eastAsia="仿宋_GB2312"/>
          <w:b w:val="0"/>
          <w:color w:val="000000"/>
          <w:sz w:val="32"/>
          <w:szCs w:val="32"/>
          <w:lang w:eastAsia="zh-CN"/>
        </w:rPr>
        <w:t>在编人员</w:t>
      </w:r>
      <w:r>
        <w:rPr>
          <w:rStyle w:val="28"/>
          <w:rFonts w:hint="eastAsia" w:ascii="仿宋_GB2312" w:eastAsia="仿宋_GB2312"/>
          <w:b w:val="0"/>
          <w:color w:val="000000"/>
          <w:sz w:val="32"/>
          <w:szCs w:val="32"/>
        </w:rPr>
        <w:t>医疗保险支出，</w:t>
      </w:r>
      <w:r>
        <w:rPr>
          <w:rStyle w:val="28"/>
          <w:rFonts w:hint="eastAsia" w:ascii="仿宋_GB2312" w:eastAsia="仿宋_GB2312"/>
          <w:b w:val="0"/>
          <w:color w:val="000000"/>
          <w:sz w:val="32"/>
          <w:szCs w:val="32"/>
          <w:lang w:val="en-US" w:eastAsia="zh-CN"/>
        </w:rPr>
        <w:t>2022</w:t>
      </w:r>
      <w:r>
        <w:rPr>
          <w:rStyle w:val="28"/>
          <w:rFonts w:hint="eastAsia" w:ascii="仿宋_GB2312" w:eastAsia="仿宋_GB2312"/>
          <w:b w:val="0"/>
          <w:color w:val="000000"/>
          <w:sz w:val="32"/>
          <w:szCs w:val="32"/>
        </w:rPr>
        <w:t>年决算数</w:t>
      </w:r>
      <w:r>
        <w:rPr>
          <w:rStyle w:val="28"/>
          <w:rFonts w:hint="eastAsia" w:ascii="仿宋_GB2312" w:eastAsia="仿宋_GB2312"/>
          <w:b w:val="0"/>
          <w:color w:val="000000"/>
          <w:sz w:val="32"/>
          <w:szCs w:val="32"/>
          <w:lang w:val="en-US" w:eastAsia="zh-CN"/>
        </w:rPr>
        <w:t>2.87</w:t>
      </w:r>
      <w:r>
        <w:rPr>
          <w:rStyle w:val="28"/>
          <w:rFonts w:hint="eastAsia" w:ascii="仿宋_GB2312" w:eastAsia="仿宋_GB2312"/>
          <w:b w:val="0"/>
          <w:color w:val="000000"/>
          <w:sz w:val="32"/>
          <w:szCs w:val="32"/>
        </w:rPr>
        <w:t>万元，</w:t>
      </w:r>
      <w:r>
        <w:rPr>
          <w:rFonts w:hint="eastAsia" w:ascii="仿宋_GB2312" w:eastAsia="仿宋_GB2312"/>
          <w:color w:val="000000"/>
          <w:sz w:val="32"/>
          <w:szCs w:val="32"/>
        </w:rPr>
        <w:t>完成预算100%。</w:t>
      </w:r>
    </w:p>
    <w:p>
      <w:pPr>
        <w:pageBreakBefore w:val="0"/>
        <w:wordWrap/>
        <w:overflowPunct/>
        <w:topLinePunct w:val="0"/>
        <w:bidi w:val="0"/>
        <w:spacing w:line="580" w:lineRule="exact"/>
        <w:ind w:firstLine="643" w:firstLineChars="200"/>
        <w:rPr>
          <w:rStyle w:val="28"/>
          <w:rFonts w:hint="eastAsia" w:ascii="仿宋_GB2312" w:eastAsia="仿宋_GB2312"/>
          <w:b w:val="0"/>
          <w:color w:val="000000"/>
          <w:sz w:val="32"/>
          <w:szCs w:val="32"/>
          <w:lang w:eastAsia="zh-CN"/>
        </w:rPr>
      </w:pPr>
      <w:r>
        <w:rPr>
          <w:rStyle w:val="28"/>
          <w:rFonts w:hint="eastAsia" w:ascii="仿宋_GB2312" w:eastAsia="仿宋_GB2312"/>
          <w:color w:val="000000"/>
          <w:sz w:val="32"/>
          <w:szCs w:val="32"/>
        </w:rPr>
        <w:t>住房保障支出（类）住房改革支出（款）</w:t>
      </w:r>
      <w:r>
        <w:rPr>
          <w:rStyle w:val="28"/>
          <w:rFonts w:hint="eastAsia" w:ascii="仿宋_GB2312" w:eastAsia="仿宋_GB2312"/>
          <w:bCs/>
          <w:color w:val="000000"/>
          <w:sz w:val="32"/>
          <w:szCs w:val="32"/>
        </w:rPr>
        <w:t>住房公积金支出（项）</w:t>
      </w:r>
      <w:r>
        <w:rPr>
          <w:rStyle w:val="28"/>
          <w:rFonts w:hint="eastAsia" w:ascii="仿宋_GB2312" w:eastAsia="仿宋_GB2312"/>
          <w:b w:val="0"/>
          <w:color w:val="000000"/>
          <w:sz w:val="32"/>
          <w:szCs w:val="32"/>
        </w:rPr>
        <w:t>:主要用于</w:t>
      </w:r>
      <w:r>
        <w:rPr>
          <w:rStyle w:val="28"/>
          <w:rFonts w:hint="eastAsia" w:ascii="仿宋_GB2312" w:eastAsia="仿宋_GB2312"/>
          <w:b w:val="0"/>
          <w:color w:val="000000"/>
          <w:sz w:val="32"/>
          <w:szCs w:val="32"/>
          <w:lang w:eastAsia="zh-CN"/>
        </w:rPr>
        <w:t>在职在编人员</w:t>
      </w:r>
      <w:r>
        <w:rPr>
          <w:rStyle w:val="28"/>
          <w:rFonts w:hint="eastAsia" w:ascii="仿宋_GB2312" w:eastAsia="仿宋_GB2312"/>
          <w:b w:val="0"/>
          <w:color w:val="000000"/>
          <w:sz w:val="32"/>
          <w:szCs w:val="32"/>
        </w:rPr>
        <w:t>缴纳住房公积金支出。</w:t>
      </w:r>
      <w:r>
        <w:rPr>
          <w:rStyle w:val="28"/>
          <w:rFonts w:hint="eastAsia" w:ascii="仿宋_GB2312" w:eastAsia="仿宋_GB2312"/>
          <w:b w:val="0"/>
          <w:color w:val="000000"/>
          <w:sz w:val="32"/>
          <w:szCs w:val="32"/>
          <w:lang w:val="en-US" w:eastAsia="zh-CN"/>
        </w:rPr>
        <w:t>2022</w:t>
      </w:r>
      <w:r>
        <w:rPr>
          <w:rStyle w:val="28"/>
          <w:rFonts w:hint="eastAsia" w:ascii="仿宋_GB2312" w:eastAsia="仿宋_GB2312"/>
          <w:b w:val="0"/>
          <w:color w:val="000000"/>
          <w:sz w:val="32"/>
          <w:szCs w:val="32"/>
        </w:rPr>
        <w:t>年决算数为</w:t>
      </w:r>
      <w:r>
        <w:rPr>
          <w:rStyle w:val="28"/>
          <w:rFonts w:hint="eastAsia" w:ascii="仿宋_GB2312" w:eastAsia="仿宋_GB2312"/>
          <w:b w:val="0"/>
          <w:color w:val="000000"/>
          <w:sz w:val="32"/>
          <w:szCs w:val="32"/>
          <w:lang w:val="en-US" w:eastAsia="zh-CN"/>
        </w:rPr>
        <w:t>5.23</w:t>
      </w:r>
      <w:r>
        <w:rPr>
          <w:rStyle w:val="28"/>
          <w:rFonts w:hint="eastAsia" w:ascii="仿宋_GB2312" w:eastAsia="仿宋_GB2312"/>
          <w:b w:val="0"/>
          <w:color w:val="000000"/>
          <w:sz w:val="32"/>
          <w:szCs w:val="32"/>
        </w:rPr>
        <w:t>万元，完成预算</w:t>
      </w:r>
      <w:r>
        <w:rPr>
          <w:rStyle w:val="28"/>
          <w:rFonts w:hint="eastAsia" w:ascii="仿宋_GB2312" w:eastAsia="仿宋_GB2312"/>
          <w:b w:val="0"/>
          <w:color w:val="000000"/>
          <w:sz w:val="32"/>
          <w:szCs w:val="32"/>
          <w:lang w:val="en-US" w:eastAsia="zh-CN"/>
        </w:rPr>
        <w:t>100</w:t>
      </w:r>
      <w:r>
        <w:rPr>
          <w:rStyle w:val="28"/>
          <w:rFonts w:hint="eastAsia" w:ascii="仿宋_GB2312" w:eastAsia="仿宋_GB2312"/>
          <w:b w:val="0"/>
          <w:color w:val="000000"/>
          <w:sz w:val="32"/>
          <w:szCs w:val="32"/>
        </w:rPr>
        <w:t>%</w:t>
      </w:r>
      <w:r>
        <w:rPr>
          <w:rStyle w:val="28"/>
          <w:rFonts w:hint="eastAsia" w:ascii="仿宋_GB2312" w:eastAsia="仿宋_GB2312"/>
          <w:b w:val="0"/>
          <w:color w:val="000000"/>
          <w:sz w:val="32"/>
          <w:szCs w:val="32"/>
          <w:lang w:eastAsia="zh-CN"/>
        </w:rPr>
        <w:t>。</w:t>
      </w:r>
    </w:p>
    <w:p>
      <w:pPr>
        <w:pageBreakBefore w:val="0"/>
        <w:wordWrap/>
        <w:overflowPunct/>
        <w:topLinePunct w:val="0"/>
        <w:bidi w:val="0"/>
        <w:spacing w:line="580" w:lineRule="exact"/>
        <w:ind w:firstLine="643" w:firstLineChars="200"/>
        <w:rPr>
          <w:rFonts w:ascii="仿宋_GB2312" w:eastAsia="仿宋_GB2312"/>
          <w:sz w:val="32"/>
          <w:szCs w:val="32"/>
        </w:rPr>
      </w:pPr>
      <w:r>
        <w:rPr>
          <w:rStyle w:val="28"/>
          <w:rFonts w:hint="eastAsia" w:ascii="仿宋_GB2312" w:eastAsia="仿宋_GB2312"/>
          <w:color w:val="000000"/>
          <w:sz w:val="32"/>
          <w:szCs w:val="32"/>
        </w:rPr>
        <w:t>社会保障和就业支出(类)行政事业单位离退休（款）</w:t>
      </w:r>
      <w:r>
        <w:rPr>
          <w:rFonts w:hint="eastAsia" w:ascii="仿宋_GB2312" w:eastAsia="仿宋_GB2312"/>
          <w:b/>
          <w:color w:val="000000"/>
          <w:sz w:val="32"/>
          <w:szCs w:val="32"/>
        </w:rPr>
        <w:t>机关事业单位基本养老保险缴费支出（项）：</w:t>
      </w:r>
      <w:r>
        <w:rPr>
          <w:rFonts w:hint="eastAsia" w:ascii="仿宋_GB2312" w:eastAsia="仿宋_GB2312"/>
          <w:b w:val="0"/>
          <w:bCs/>
          <w:color w:val="000000"/>
          <w:sz w:val="32"/>
          <w:szCs w:val="32"/>
          <w:lang w:eastAsia="zh-CN"/>
        </w:rPr>
        <w:t>主要用于在职在编人员基本养老保险支出，</w:t>
      </w:r>
      <w:r>
        <w:rPr>
          <w:rFonts w:hint="eastAsia" w:ascii="仿宋_GB2312" w:eastAsia="仿宋_GB2312"/>
          <w:sz w:val="32"/>
          <w:szCs w:val="32"/>
          <w:lang w:val="en-US" w:eastAsia="zh-CN"/>
        </w:rPr>
        <w:t>2022</w:t>
      </w:r>
      <w:r>
        <w:rPr>
          <w:rFonts w:hint="eastAsia" w:ascii="仿宋_GB2312" w:eastAsia="仿宋_GB2312"/>
          <w:sz w:val="32"/>
          <w:szCs w:val="32"/>
        </w:rPr>
        <w:t>年决算数为</w:t>
      </w:r>
      <w:r>
        <w:rPr>
          <w:rFonts w:hint="eastAsia" w:ascii="仿宋_GB2312" w:eastAsia="仿宋_GB2312"/>
          <w:sz w:val="32"/>
          <w:szCs w:val="32"/>
          <w:lang w:val="en-US" w:eastAsia="zh-CN"/>
        </w:rPr>
        <w:t>6.79</w:t>
      </w:r>
      <w:r>
        <w:rPr>
          <w:rFonts w:hint="eastAsia" w:ascii="仿宋_GB2312" w:eastAsia="仿宋_GB2312"/>
          <w:sz w:val="32"/>
          <w:szCs w:val="32"/>
        </w:rPr>
        <w:t>万元，完成预算100%。</w:t>
      </w:r>
    </w:p>
    <w:p>
      <w:pPr>
        <w:pageBreakBefore w:val="0"/>
        <w:wordWrap/>
        <w:overflowPunct/>
        <w:topLinePunct w:val="0"/>
        <w:bidi w:val="0"/>
        <w:spacing w:line="580" w:lineRule="exact"/>
        <w:ind w:firstLine="643" w:firstLineChars="200"/>
        <w:rPr>
          <w:rFonts w:hint="default" w:ascii="仿宋_GB2312" w:eastAsia="仿宋_GB2312"/>
          <w:sz w:val="32"/>
          <w:szCs w:val="32"/>
          <w:lang w:val="en-US" w:eastAsia="zh-CN"/>
        </w:rPr>
      </w:pPr>
      <w:r>
        <w:rPr>
          <w:rStyle w:val="28"/>
          <w:rFonts w:hint="eastAsia" w:ascii="仿宋_GB2312" w:eastAsia="仿宋_GB2312"/>
          <w:color w:val="000000"/>
          <w:sz w:val="32"/>
          <w:szCs w:val="32"/>
        </w:rPr>
        <w:t>社会保障和就业支出(类)行政事业单位离退休（款）</w:t>
      </w:r>
      <w:r>
        <w:rPr>
          <w:rFonts w:hint="eastAsia" w:ascii="仿宋_GB2312" w:eastAsia="仿宋_GB2312"/>
          <w:b/>
          <w:sz w:val="32"/>
          <w:szCs w:val="32"/>
        </w:rPr>
        <w:t>机关事业单位职业年金缴费支出（项）：</w:t>
      </w:r>
      <w:r>
        <w:rPr>
          <w:rFonts w:hint="eastAsia" w:ascii="仿宋_GB2312" w:eastAsia="仿宋_GB2312"/>
          <w:b w:val="0"/>
          <w:bCs/>
          <w:color w:val="000000"/>
          <w:sz w:val="32"/>
          <w:szCs w:val="32"/>
          <w:lang w:eastAsia="zh-CN"/>
        </w:rPr>
        <w:t>主要用于在职在编人员职业年金支出，</w:t>
      </w:r>
      <w:r>
        <w:rPr>
          <w:rFonts w:hint="eastAsia" w:ascii="仿宋_GB2312" w:eastAsia="仿宋_GB2312"/>
          <w:sz w:val="32"/>
          <w:szCs w:val="32"/>
          <w:lang w:val="en-US" w:eastAsia="zh-CN"/>
        </w:rPr>
        <w:t>2022</w:t>
      </w:r>
      <w:r>
        <w:rPr>
          <w:rFonts w:hint="eastAsia" w:ascii="仿宋_GB2312" w:eastAsia="仿宋_GB2312"/>
          <w:sz w:val="32"/>
          <w:szCs w:val="32"/>
        </w:rPr>
        <w:t>年决算数为</w:t>
      </w:r>
      <w:r>
        <w:rPr>
          <w:rFonts w:hint="eastAsia" w:ascii="仿宋_GB2312" w:eastAsia="仿宋_GB2312"/>
          <w:sz w:val="32"/>
          <w:szCs w:val="32"/>
          <w:lang w:val="en-US" w:eastAsia="zh-CN"/>
        </w:rPr>
        <w:t>2.95万元，</w:t>
      </w:r>
      <w:r>
        <w:rPr>
          <w:rFonts w:hint="eastAsia" w:ascii="仿宋_GB2312" w:eastAsia="仿宋_GB2312"/>
          <w:sz w:val="32"/>
          <w:szCs w:val="32"/>
        </w:rPr>
        <w:t>完成预算100%。</w:t>
      </w:r>
    </w:p>
    <w:p>
      <w:pPr>
        <w:pageBreakBefore w:val="0"/>
        <w:tabs>
          <w:tab w:val="right" w:pos="8306"/>
        </w:tabs>
        <w:wordWrap/>
        <w:overflowPunct/>
        <w:topLinePunct w:val="0"/>
        <w:bidi w:val="0"/>
        <w:spacing w:line="580" w:lineRule="exact"/>
        <w:ind w:firstLine="640" w:firstLineChars="200"/>
        <w:outlineLvl w:val="1"/>
        <w:rPr>
          <w:rStyle w:val="13"/>
        </w:rPr>
      </w:pPr>
      <w:bookmarkStart w:id="98" w:name="_Toc5172"/>
      <w:bookmarkStart w:id="99" w:name="_Toc15377214"/>
      <w:bookmarkStart w:id="100" w:name="_Toc16092"/>
      <w:bookmarkStart w:id="101"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1"/>
          <w:rFonts w:hint="eastAsia" w:ascii="黑体" w:hAnsi="黑体" w:eastAsia="黑体"/>
          <w:b w:val="0"/>
          <w:color w:val="auto"/>
          <w:highlight w:val="none"/>
        </w:rPr>
        <w:t>般公共预算财政拨款基本支出决算情况说明</w:t>
      </w:r>
      <w:bookmarkEnd w:id="98"/>
      <w:bookmarkEnd w:id="99"/>
      <w:bookmarkEnd w:id="100"/>
      <w:bookmarkEnd w:id="101"/>
      <w:r>
        <w:rPr>
          <w:rStyle w:val="13"/>
          <w:rFonts w:ascii="黑体" w:hAnsi="黑体" w:eastAsia="黑体"/>
          <w:b w:val="0"/>
        </w:rPr>
        <w:tab/>
      </w:r>
    </w:p>
    <w:p>
      <w:pPr>
        <w:pageBreakBefore w:val="0"/>
        <w:wordWrap/>
        <w:overflowPunct/>
        <w:topLinePunct w:val="0"/>
        <w:bidi w:val="0"/>
        <w:spacing w:line="580" w:lineRule="exact"/>
        <w:ind w:firstLine="645"/>
        <w:rPr>
          <w:rFonts w:hint="eastAsia" w:ascii="仿宋" w:hAnsi="仿宋" w:eastAsia="仿宋"/>
          <w:color w:val="000000"/>
          <w:sz w:val="32"/>
          <w:szCs w:val="32"/>
          <w:lang w:eastAsia="zh-CN"/>
        </w:rPr>
      </w:pPr>
      <w:r>
        <w:rPr>
          <w:rFonts w:hint="eastAsia" w:ascii="仿宋" w:hAnsi="仿宋" w:eastAsia="仿宋"/>
          <w:color w:val="000000"/>
          <w:sz w:val="32"/>
          <w:szCs w:val="32"/>
          <w:lang w:eastAsia="zh-CN"/>
        </w:rPr>
        <w:t>2021</w:t>
      </w:r>
      <w:r>
        <w:rPr>
          <w:rFonts w:hint="eastAsia" w:ascii="仿宋" w:hAnsi="仿宋" w:eastAsia="仿宋"/>
          <w:color w:val="000000"/>
          <w:sz w:val="32"/>
          <w:szCs w:val="32"/>
        </w:rPr>
        <w:t>年一般公共预算财政拨款基本支出</w:t>
      </w:r>
      <w:r>
        <w:rPr>
          <w:rFonts w:hint="eastAsia" w:ascii="仿宋" w:hAnsi="仿宋" w:eastAsia="仿宋"/>
          <w:color w:val="000000"/>
          <w:sz w:val="32"/>
          <w:szCs w:val="32"/>
          <w:lang w:val="en-US" w:eastAsia="zh-CN"/>
        </w:rPr>
        <w:t>91.89</w:t>
      </w:r>
      <w:r>
        <w:rPr>
          <w:rFonts w:hint="eastAsia" w:ascii="仿宋" w:hAnsi="仿宋" w:eastAsia="仿宋"/>
          <w:color w:val="000000"/>
          <w:sz w:val="32"/>
          <w:szCs w:val="32"/>
        </w:rPr>
        <w:t>万元，其中：人员经费</w:t>
      </w:r>
      <w:r>
        <w:rPr>
          <w:rFonts w:hint="eastAsia" w:ascii="仿宋" w:hAnsi="仿宋" w:eastAsia="仿宋"/>
          <w:color w:val="000000"/>
          <w:sz w:val="32"/>
          <w:szCs w:val="32"/>
          <w:lang w:val="en-US" w:eastAsia="zh-CN"/>
        </w:rPr>
        <w:t>91.89</w:t>
      </w:r>
      <w:r>
        <w:rPr>
          <w:rFonts w:hint="eastAsia" w:ascii="仿宋" w:hAnsi="仿宋" w:eastAsia="仿宋"/>
          <w:color w:val="000000"/>
          <w:sz w:val="32"/>
          <w:szCs w:val="32"/>
        </w:rPr>
        <w:t>万元，主要包括：基本工资</w:t>
      </w:r>
      <w:r>
        <w:rPr>
          <w:rFonts w:hint="eastAsia" w:ascii="仿宋" w:hAnsi="仿宋" w:eastAsia="仿宋"/>
          <w:color w:val="000000"/>
          <w:sz w:val="32"/>
          <w:szCs w:val="32"/>
          <w:lang w:val="en-US" w:eastAsia="zh-CN"/>
        </w:rPr>
        <w:t>30.16</w:t>
      </w:r>
      <w:r>
        <w:rPr>
          <w:rFonts w:hint="eastAsia" w:ascii="仿宋" w:hAnsi="仿宋" w:eastAsia="仿宋"/>
          <w:color w:val="000000"/>
          <w:sz w:val="32"/>
          <w:szCs w:val="32"/>
          <w:lang w:eastAsia="zh-CN"/>
        </w:rPr>
        <w:t>万元</w:t>
      </w:r>
      <w:r>
        <w:rPr>
          <w:rFonts w:hint="eastAsia" w:ascii="仿宋" w:hAnsi="仿宋" w:eastAsia="仿宋"/>
          <w:color w:val="000000"/>
          <w:sz w:val="32"/>
          <w:szCs w:val="32"/>
        </w:rPr>
        <w:t>、津贴补贴</w:t>
      </w:r>
      <w:r>
        <w:rPr>
          <w:rFonts w:hint="eastAsia" w:ascii="仿宋" w:hAnsi="仿宋" w:eastAsia="仿宋"/>
          <w:color w:val="000000"/>
          <w:sz w:val="32"/>
          <w:szCs w:val="32"/>
          <w:lang w:val="en-US" w:eastAsia="zh-CN"/>
        </w:rPr>
        <w:t>3.85</w:t>
      </w:r>
      <w:r>
        <w:rPr>
          <w:rFonts w:hint="eastAsia" w:ascii="仿宋" w:hAnsi="仿宋" w:eastAsia="仿宋"/>
          <w:color w:val="000000"/>
          <w:sz w:val="32"/>
          <w:szCs w:val="32"/>
          <w:lang w:eastAsia="zh-CN"/>
        </w:rPr>
        <w:t>万元</w:t>
      </w:r>
      <w:r>
        <w:rPr>
          <w:rFonts w:hint="eastAsia" w:ascii="仿宋" w:hAnsi="仿宋" w:eastAsia="仿宋"/>
          <w:color w:val="000000"/>
          <w:sz w:val="32"/>
          <w:szCs w:val="32"/>
        </w:rPr>
        <w:t>、绩效工资</w:t>
      </w:r>
      <w:r>
        <w:rPr>
          <w:rFonts w:hint="eastAsia" w:ascii="仿宋" w:hAnsi="仿宋" w:eastAsia="仿宋"/>
          <w:color w:val="000000"/>
          <w:sz w:val="32"/>
          <w:szCs w:val="32"/>
          <w:lang w:val="en-US" w:eastAsia="zh-CN"/>
        </w:rPr>
        <w:t>40.04</w:t>
      </w:r>
      <w:r>
        <w:rPr>
          <w:rFonts w:hint="eastAsia" w:ascii="仿宋" w:hAnsi="仿宋" w:eastAsia="仿宋"/>
          <w:color w:val="000000"/>
          <w:sz w:val="32"/>
          <w:szCs w:val="32"/>
          <w:lang w:eastAsia="zh-CN"/>
        </w:rPr>
        <w:t>万元</w:t>
      </w:r>
      <w:r>
        <w:rPr>
          <w:rFonts w:hint="eastAsia" w:ascii="仿宋" w:hAnsi="仿宋" w:eastAsia="仿宋"/>
          <w:color w:val="000000"/>
          <w:sz w:val="32"/>
          <w:szCs w:val="32"/>
        </w:rPr>
        <w:t>、机关事业单位基本养老保险缴费</w:t>
      </w:r>
      <w:r>
        <w:rPr>
          <w:rFonts w:hint="eastAsia" w:ascii="仿宋" w:hAnsi="仿宋" w:eastAsia="仿宋"/>
          <w:color w:val="000000"/>
          <w:sz w:val="32"/>
          <w:szCs w:val="32"/>
          <w:lang w:val="en-US" w:eastAsia="zh-CN"/>
        </w:rPr>
        <w:t>6.79</w:t>
      </w:r>
      <w:r>
        <w:rPr>
          <w:rFonts w:hint="eastAsia" w:ascii="仿宋" w:hAnsi="仿宋" w:eastAsia="仿宋"/>
          <w:color w:val="000000"/>
          <w:sz w:val="32"/>
          <w:szCs w:val="32"/>
          <w:lang w:eastAsia="zh-CN"/>
        </w:rPr>
        <w:t>万元</w:t>
      </w:r>
      <w:r>
        <w:rPr>
          <w:rFonts w:hint="eastAsia" w:ascii="仿宋" w:hAnsi="仿宋" w:eastAsia="仿宋"/>
          <w:color w:val="000000"/>
          <w:sz w:val="32"/>
          <w:szCs w:val="32"/>
        </w:rPr>
        <w:t>、职业年金缴费</w:t>
      </w:r>
      <w:r>
        <w:rPr>
          <w:rFonts w:hint="eastAsia" w:ascii="仿宋" w:hAnsi="仿宋" w:eastAsia="仿宋"/>
          <w:color w:val="000000"/>
          <w:sz w:val="32"/>
          <w:szCs w:val="32"/>
          <w:lang w:val="en-US" w:eastAsia="zh-CN"/>
        </w:rPr>
        <w:t>2.95</w:t>
      </w:r>
      <w:r>
        <w:rPr>
          <w:rFonts w:hint="eastAsia" w:ascii="仿宋" w:hAnsi="仿宋" w:eastAsia="仿宋"/>
          <w:color w:val="000000"/>
          <w:sz w:val="32"/>
          <w:szCs w:val="32"/>
          <w:lang w:eastAsia="zh-CN"/>
        </w:rPr>
        <w:t>万元</w:t>
      </w:r>
      <w:r>
        <w:rPr>
          <w:rFonts w:hint="eastAsia" w:ascii="仿宋" w:hAnsi="仿宋" w:eastAsia="仿宋"/>
          <w:color w:val="000000"/>
          <w:sz w:val="32"/>
          <w:szCs w:val="32"/>
        </w:rPr>
        <w:t>、</w:t>
      </w:r>
      <w:r>
        <w:rPr>
          <w:rFonts w:hint="eastAsia" w:ascii="仿宋" w:hAnsi="仿宋" w:eastAsia="仿宋"/>
          <w:color w:val="000000"/>
          <w:sz w:val="32"/>
          <w:szCs w:val="32"/>
          <w:lang w:eastAsia="zh-CN"/>
        </w:rPr>
        <w:t>基本医疗保险</w:t>
      </w:r>
      <w:r>
        <w:rPr>
          <w:rFonts w:hint="eastAsia" w:ascii="仿宋" w:hAnsi="仿宋" w:eastAsia="仿宋"/>
          <w:color w:val="000000"/>
          <w:sz w:val="32"/>
          <w:szCs w:val="32"/>
        </w:rPr>
        <w:t>缴费</w:t>
      </w:r>
      <w:r>
        <w:rPr>
          <w:rFonts w:hint="eastAsia" w:ascii="仿宋" w:hAnsi="仿宋" w:eastAsia="仿宋"/>
          <w:color w:val="000000"/>
          <w:sz w:val="32"/>
          <w:szCs w:val="32"/>
          <w:lang w:val="en-US" w:eastAsia="zh-CN"/>
        </w:rPr>
        <w:t>2.87</w:t>
      </w:r>
      <w:r>
        <w:rPr>
          <w:rFonts w:hint="eastAsia" w:ascii="仿宋" w:hAnsi="仿宋" w:eastAsia="仿宋"/>
          <w:color w:val="000000"/>
          <w:sz w:val="32"/>
          <w:szCs w:val="32"/>
          <w:lang w:eastAsia="zh-CN"/>
        </w:rPr>
        <w:t>万元</w:t>
      </w:r>
      <w:r>
        <w:rPr>
          <w:rFonts w:hint="eastAsia" w:ascii="仿宋" w:hAnsi="仿宋" w:eastAsia="仿宋"/>
          <w:color w:val="000000"/>
          <w:sz w:val="32"/>
          <w:szCs w:val="32"/>
        </w:rPr>
        <w:t>、住房公积金</w:t>
      </w:r>
      <w:r>
        <w:rPr>
          <w:rFonts w:hint="eastAsia" w:ascii="仿宋" w:hAnsi="仿宋" w:eastAsia="仿宋"/>
          <w:color w:val="000000"/>
          <w:sz w:val="32"/>
          <w:szCs w:val="32"/>
          <w:lang w:val="en-US" w:eastAsia="zh-CN"/>
        </w:rPr>
        <w:t>5.23万元</w:t>
      </w:r>
      <w:r>
        <w:rPr>
          <w:rFonts w:hint="eastAsia" w:ascii="仿宋" w:hAnsi="仿宋" w:eastAsia="仿宋"/>
          <w:color w:val="000000"/>
          <w:sz w:val="32"/>
          <w:szCs w:val="32"/>
          <w:lang w:eastAsia="zh-CN"/>
        </w:rPr>
        <w:t>。</w:t>
      </w:r>
    </w:p>
    <w:p>
      <w:pPr>
        <w:spacing w:line="600" w:lineRule="exact"/>
        <w:ind w:firstLine="640"/>
        <w:outlineLvl w:val="1"/>
        <w:rPr>
          <w:rStyle w:val="31"/>
          <w:rFonts w:ascii="黑体" w:hAnsi="黑体" w:eastAsia="黑体"/>
          <w:b w:val="0"/>
          <w:color w:val="auto"/>
          <w:highlight w:val="none"/>
        </w:rPr>
      </w:pPr>
      <w:bookmarkStart w:id="102" w:name="_Toc13536"/>
      <w:bookmarkStart w:id="103" w:name="_Toc15396609"/>
      <w:bookmarkStart w:id="104" w:name="_Toc15377215"/>
      <w:bookmarkStart w:id="105" w:name="_Toc15020"/>
      <w:bookmarkStart w:id="106" w:name="_Toc15377216"/>
      <w:r>
        <w:rPr>
          <w:rFonts w:hint="eastAsia" w:ascii="黑体" w:eastAsia="黑体"/>
          <w:color w:val="auto"/>
          <w:sz w:val="32"/>
          <w:szCs w:val="32"/>
          <w:highlight w:val="none"/>
        </w:rPr>
        <w:t>七、</w:t>
      </w:r>
      <w:r>
        <w:rPr>
          <w:rStyle w:val="31"/>
          <w:rFonts w:hint="eastAsia" w:ascii="黑体" w:hAnsi="黑体" w:eastAsia="黑体"/>
          <w:b w:val="0"/>
          <w:color w:val="auto"/>
          <w:highlight w:val="none"/>
        </w:rPr>
        <w:t>财政拨款</w:t>
      </w:r>
      <w:r>
        <w:rPr>
          <w:rStyle w:val="31"/>
          <w:rFonts w:hint="eastAsia" w:ascii="黑体" w:hAnsi="黑体" w:eastAsia="黑体"/>
          <w:color w:val="auto"/>
          <w:highlight w:val="none"/>
        </w:rPr>
        <w:t>“</w:t>
      </w:r>
      <w:r>
        <w:rPr>
          <w:rStyle w:val="31"/>
          <w:rFonts w:hint="eastAsia" w:ascii="黑体" w:hAnsi="黑体" w:eastAsia="黑体"/>
          <w:b w:val="0"/>
          <w:color w:val="auto"/>
          <w:highlight w:val="none"/>
        </w:rPr>
        <w:t>三公”经费支出决算情况说明</w:t>
      </w:r>
      <w:bookmarkEnd w:id="102"/>
      <w:bookmarkEnd w:id="103"/>
      <w:bookmarkEnd w:id="104"/>
      <w:bookmarkEnd w:id="105"/>
    </w:p>
    <w:p>
      <w:pPr>
        <w:pageBreakBefore w:val="0"/>
        <w:wordWrap/>
        <w:overflowPunct/>
        <w:topLinePunct w:val="0"/>
        <w:bidi w:val="0"/>
        <w:spacing w:line="580" w:lineRule="exact"/>
        <w:ind w:firstLine="640"/>
        <w:outlineLvl w:val="2"/>
        <w:rPr>
          <w:rFonts w:hint="eastAsia" w:ascii="仿宋" w:hAnsi="仿宋" w:eastAsia="仿宋" w:cs="仿宋"/>
          <w:b/>
          <w:color w:val="000000"/>
          <w:sz w:val="32"/>
          <w:szCs w:val="32"/>
        </w:rPr>
      </w:pPr>
      <w:bookmarkStart w:id="107" w:name="_Toc13623"/>
      <w:r>
        <w:rPr>
          <w:rFonts w:hint="eastAsia" w:ascii="仿宋" w:hAnsi="仿宋" w:eastAsia="仿宋" w:cs="仿宋"/>
          <w:b/>
          <w:color w:val="000000"/>
          <w:sz w:val="32"/>
          <w:szCs w:val="32"/>
        </w:rPr>
        <w:t>（一）“三公”经费财政拨款支出决算总体情况说明</w:t>
      </w:r>
      <w:bookmarkEnd w:id="106"/>
      <w:bookmarkEnd w:id="107"/>
    </w:p>
    <w:p>
      <w:pPr>
        <w:pageBreakBefore w:val="0"/>
        <w:wordWrap/>
        <w:overflowPunct/>
        <w:topLinePunct w:val="0"/>
        <w:bidi w:val="0"/>
        <w:spacing w:line="580" w:lineRule="exact"/>
        <w:ind w:firstLine="640"/>
        <w:rPr>
          <w:rFonts w:hint="eastAsia" w:ascii="仿宋" w:hAnsi="仿宋" w:eastAsia="仿宋" w:cs="仿宋"/>
          <w:color w:val="000000"/>
          <w:sz w:val="32"/>
          <w:szCs w:val="32"/>
        </w:rPr>
      </w:pPr>
      <w:r>
        <w:rPr>
          <w:rFonts w:hint="eastAsia" w:ascii="仿宋" w:hAnsi="仿宋" w:eastAsia="仿宋" w:cs="仿宋"/>
          <w:color w:val="000000"/>
          <w:sz w:val="32"/>
          <w:szCs w:val="32"/>
          <w:highlight w:val="none"/>
          <w:lang w:eastAsia="zh-CN"/>
        </w:rPr>
        <w:t>2021</w:t>
      </w:r>
      <w:r>
        <w:rPr>
          <w:rFonts w:hint="eastAsia" w:ascii="仿宋" w:hAnsi="仿宋" w:eastAsia="仿宋" w:cs="仿宋"/>
          <w:color w:val="000000"/>
          <w:sz w:val="32"/>
          <w:szCs w:val="32"/>
          <w:highlight w:val="none"/>
        </w:rPr>
        <w:t>年“三公”经费财政拨款支出决算为</w:t>
      </w:r>
      <w:r>
        <w:rPr>
          <w:rFonts w:hint="eastAsia" w:ascii="仿宋" w:hAnsi="仿宋" w:eastAsia="仿宋" w:cs="仿宋"/>
          <w:color w:val="000000"/>
          <w:sz w:val="32"/>
          <w:szCs w:val="32"/>
          <w:highlight w:val="none"/>
          <w:lang w:val="en-US" w:eastAsia="zh-CN"/>
        </w:rPr>
        <w:t>0</w:t>
      </w:r>
      <w:r>
        <w:rPr>
          <w:rFonts w:hint="eastAsia" w:ascii="仿宋" w:hAnsi="仿宋" w:eastAsia="仿宋" w:cs="仿宋"/>
          <w:color w:val="000000"/>
          <w:sz w:val="32"/>
          <w:szCs w:val="32"/>
          <w:highlight w:val="none"/>
        </w:rPr>
        <w:t>万元，</w:t>
      </w:r>
      <w:bookmarkStart w:id="108" w:name="_Toc15377217"/>
      <w:r>
        <w:rPr>
          <w:rFonts w:hint="eastAsia" w:ascii="仿宋" w:hAnsi="仿宋" w:eastAsia="仿宋" w:cs="仿宋"/>
          <w:color w:val="000000"/>
          <w:sz w:val="32"/>
          <w:szCs w:val="32"/>
        </w:rPr>
        <w:t>年初未安排预算。</w:t>
      </w:r>
    </w:p>
    <w:p>
      <w:pPr>
        <w:pageBreakBefore w:val="0"/>
        <w:wordWrap/>
        <w:overflowPunct/>
        <w:topLinePunct w:val="0"/>
        <w:bidi w:val="0"/>
        <w:spacing w:line="580" w:lineRule="exact"/>
        <w:ind w:firstLine="640"/>
        <w:outlineLvl w:val="2"/>
        <w:rPr>
          <w:rFonts w:hint="eastAsia" w:ascii="仿宋" w:hAnsi="仿宋" w:eastAsia="仿宋" w:cs="仿宋"/>
          <w:b/>
          <w:color w:val="000000"/>
          <w:sz w:val="32"/>
          <w:szCs w:val="32"/>
        </w:rPr>
      </w:pPr>
      <w:bookmarkStart w:id="109" w:name="_Toc30226"/>
      <w:r>
        <w:rPr>
          <w:rFonts w:hint="eastAsia" w:ascii="仿宋" w:hAnsi="仿宋" w:eastAsia="仿宋" w:cs="仿宋"/>
          <w:b/>
          <w:color w:val="000000"/>
          <w:sz w:val="32"/>
          <w:szCs w:val="32"/>
        </w:rPr>
        <w:t>（二）“三公”经费财政拨款支出决算具体情况说明</w:t>
      </w:r>
      <w:bookmarkEnd w:id="108"/>
      <w:bookmarkEnd w:id="109"/>
    </w:p>
    <w:p>
      <w:pPr>
        <w:pageBreakBefore w:val="0"/>
        <w:wordWrap/>
        <w:overflowPunct/>
        <w:topLinePunct w:val="0"/>
        <w:bidi w:val="0"/>
        <w:spacing w:line="580" w:lineRule="exact"/>
        <w:ind w:firstLine="640"/>
        <w:rPr>
          <w:rFonts w:hint="eastAsia" w:ascii="仿宋" w:hAnsi="仿宋" w:eastAsia="仿宋"/>
          <w:color w:val="000000"/>
          <w:sz w:val="32"/>
          <w:szCs w:val="32"/>
          <w:lang w:eastAsia="zh-CN"/>
        </w:rPr>
      </w:pPr>
      <w:r>
        <w:rPr>
          <w:rFonts w:hint="eastAsia" w:ascii="仿宋" w:hAnsi="仿宋" w:eastAsia="仿宋" w:cs="仿宋"/>
          <w:color w:val="000000"/>
          <w:sz w:val="32"/>
          <w:szCs w:val="32"/>
          <w:lang w:val="en-US" w:eastAsia="zh-CN"/>
        </w:rPr>
        <w:t>2021</w:t>
      </w:r>
      <w:r>
        <w:rPr>
          <w:rFonts w:hint="eastAsia" w:ascii="仿宋" w:hAnsi="仿宋" w:eastAsia="仿宋" w:cs="仿宋"/>
          <w:color w:val="000000"/>
          <w:sz w:val="32"/>
          <w:szCs w:val="32"/>
        </w:rPr>
        <w:t>年“三公”经费财政拨款支出决算中，因公出国（境）费支出决算0万元，年初未安排预算；公务用车购置及运行维护费支出决算</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万元，年初未安排预算，与上年数持平</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公务接待费总支出决算</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万元，年初未安排预算</w:t>
      </w:r>
      <w:r>
        <w:rPr>
          <w:rFonts w:hint="eastAsia" w:ascii="仿宋" w:hAnsi="仿宋" w:eastAsia="仿宋" w:cs="仿宋"/>
          <w:color w:val="000000"/>
          <w:sz w:val="32"/>
          <w:szCs w:val="32"/>
          <w:lang w:eastAsia="zh-CN"/>
        </w:rPr>
        <w:t>。</w:t>
      </w:r>
    </w:p>
    <w:p>
      <w:pPr>
        <w:pageBreakBefore w:val="0"/>
        <w:wordWrap/>
        <w:overflowPunct/>
        <w:topLinePunct w:val="0"/>
        <w:bidi w:val="0"/>
        <w:spacing w:line="580" w:lineRule="exact"/>
        <w:ind w:firstLine="640"/>
        <w:rPr>
          <w:rFonts w:hint="eastAsia" w:ascii="仿宋" w:hAnsi="仿宋" w:eastAsia="仿宋" w:cs="仿宋"/>
          <w:b/>
          <w:color w:val="000000"/>
          <w:sz w:val="32"/>
          <w:szCs w:val="32"/>
        </w:rPr>
      </w:pPr>
      <w:r>
        <w:rPr>
          <w:rFonts w:hint="eastAsia" w:ascii="仿宋" w:hAnsi="仿宋" w:eastAsia="仿宋" w:cs="仿宋"/>
          <w:b/>
          <w:color w:val="000000"/>
          <w:sz w:val="32"/>
          <w:szCs w:val="32"/>
        </w:rPr>
        <w:t>1.因公出国（境）经费支出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万元，年初未安排预算</w:t>
      </w:r>
      <w:r>
        <w:rPr>
          <w:rStyle w:val="28"/>
          <w:rFonts w:hint="eastAsia" w:ascii="仿宋" w:hAnsi="仿宋" w:eastAsia="仿宋" w:cs="仿宋"/>
          <w:b w:val="0"/>
          <w:bCs/>
          <w:color w:val="000000"/>
          <w:sz w:val="32"/>
          <w:szCs w:val="32"/>
        </w:rPr>
        <w:t>。</w:t>
      </w:r>
      <w:r>
        <w:rPr>
          <w:rFonts w:hint="eastAsia" w:ascii="仿宋" w:hAnsi="仿宋" w:eastAsia="仿宋" w:cs="仿宋"/>
          <w:color w:val="000000"/>
          <w:sz w:val="32"/>
          <w:szCs w:val="32"/>
        </w:rPr>
        <w:t>年初未安排预算</w:t>
      </w:r>
      <w:r>
        <w:rPr>
          <w:rFonts w:hint="eastAsia" w:ascii="仿宋" w:hAnsi="仿宋" w:eastAsia="仿宋" w:cs="仿宋"/>
          <w:color w:val="000000"/>
          <w:sz w:val="32"/>
          <w:szCs w:val="32"/>
          <w:lang w:eastAsia="zh-CN"/>
        </w:rPr>
        <w:t>，</w:t>
      </w:r>
      <w:r>
        <w:rPr>
          <w:rStyle w:val="28"/>
          <w:rFonts w:hint="eastAsia" w:ascii="仿宋" w:hAnsi="仿宋" w:eastAsia="仿宋" w:cs="仿宋"/>
          <w:b w:val="0"/>
          <w:bCs/>
          <w:color w:val="000000"/>
          <w:sz w:val="32"/>
          <w:szCs w:val="32"/>
        </w:rPr>
        <w:t>与上年数持平。</w:t>
      </w:r>
    </w:p>
    <w:p>
      <w:pPr>
        <w:pageBreakBefore w:val="0"/>
        <w:wordWrap/>
        <w:overflowPunct/>
        <w:topLinePunct w:val="0"/>
        <w:bidi w:val="0"/>
        <w:spacing w:line="580" w:lineRule="exact"/>
        <w:ind w:firstLine="640"/>
        <w:rPr>
          <w:rFonts w:hint="eastAsia" w:ascii="仿宋" w:hAnsi="仿宋" w:eastAsia="仿宋" w:cs="仿宋"/>
          <w:color w:val="000000"/>
          <w:sz w:val="32"/>
          <w:szCs w:val="32"/>
          <w:lang w:val="en-US" w:eastAsia="zh-CN"/>
        </w:rPr>
      </w:pPr>
      <w:r>
        <w:rPr>
          <w:rFonts w:hint="eastAsia" w:ascii="仿宋" w:hAnsi="仿宋" w:eastAsia="仿宋" w:cs="仿宋"/>
          <w:b/>
          <w:color w:val="000000"/>
          <w:sz w:val="32"/>
          <w:szCs w:val="32"/>
        </w:rPr>
        <w:t>2.公务用车购置及运行维护费支出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万元,年初未安排预算</w:t>
      </w:r>
      <w:r>
        <w:rPr>
          <w:rStyle w:val="28"/>
          <w:rFonts w:hint="eastAsia" w:ascii="仿宋" w:hAnsi="仿宋" w:eastAsia="仿宋" w:cs="仿宋"/>
          <w:b w:val="0"/>
          <w:bCs/>
          <w:color w:val="000000"/>
          <w:sz w:val="32"/>
          <w:szCs w:val="32"/>
        </w:rPr>
        <w:t>。</w:t>
      </w:r>
    </w:p>
    <w:p>
      <w:pPr>
        <w:pageBreakBefore w:val="0"/>
        <w:wordWrap/>
        <w:overflowPunct/>
        <w:topLinePunct w:val="0"/>
        <w:bidi w:val="0"/>
        <w:spacing w:line="580" w:lineRule="exact"/>
        <w:ind w:firstLine="640"/>
        <w:rPr>
          <w:rFonts w:hint="eastAsia" w:ascii="仿宋" w:hAnsi="仿宋" w:eastAsia="仿宋" w:cs="仿宋"/>
          <w:color w:val="000000"/>
          <w:sz w:val="32"/>
          <w:szCs w:val="32"/>
        </w:rPr>
      </w:pPr>
      <w:r>
        <w:rPr>
          <w:rFonts w:hint="eastAsia" w:ascii="仿宋" w:hAnsi="仿宋" w:eastAsia="仿宋" w:cs="仿宋"/>
          <w:b/>
          <w:color w:val="000000"/>
          <w:sz w:val="32"/>
          <w:szCs w:val="32"/>
          <w:lang w:val="en-US" w:eastAsia="zh-CN"/>
        </w:rPr>
        <w:t>3.</w:t>
      </w:r>
      <w:r>
        <w:rPr>
          <w:rFonts w:hint="eastAsia" w:ascii="仿宋" w:hAnsi="仿宋" w:eastAsia="仿宋" w:cs="仿宋"/>
          <w:b/>
          <w:color w:val="000000"/>
          <w:sz w:val="32"/>
          <w:szCs w:val="32"/>
        </w:rPr>
        <w:t>公务用车运行维护费支出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，年初未安排预算</w:t>
      </w:r>
      <w:r>
        <w:rPr>
          <w:rFonts w:hint="eastAsia" w:ascii="仿宋" w:hAnsi="仿宋" w:eastAsia="仿宋" w:cs="仿宋"/>
          <w:color w:val="000000"/>
          <w:sz w:val="32"/>
          <w:szCs w:val="32"/>
        </w:rPr>
        <w:t>。</w:t>
      </w:r>
    </w:p>
    <w:p>
      <w:pPr>
        <w:pageBreakBefore w:val="0"/>
        <w:wordWrap/>
        <w:overflowPunct/>
        <w:topLinePunct w:val="0"/>
        <w:bidi w:val="0"/>
        <w:spacing w:line="580" w:lineRule="exact"/>
        <w:ind w:firstLine="640"/>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lang w:val="en-US" w:eastAsia="zh-CN"/>
        </w:rPr>
        <w:t>4</w:t>
      </w:r>
      <w:r>
        <w:rPr>
          <w:rFonts w:hint="eastAsia" w:ascii="仿宋" w:hAnsi="仿宋" w:eastAsia="仿宋" w:cs="仿宋"/>
          <w:b/>
          <w:color w:val="000000"/>
          <w:sz w:val="32"/>
          <w:szCs w:val="32"/>
        </w:rPr>
        <w:t>.公务接待费支出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万元，年初未安排预算</w:t>
      </w:r>
      <w:r>
        <w:rPr>
          <w:rStyle w:val="28"/>
          <w:rFonts w:hint="eastAsia" w:ascii="仿宋" w:hAnsi="仿宋" w:eastAsia="仿宋" w:cs="仿宋"/>
          <w:b w:val="0"/>
          <w:bCs/>
          <w:color w:val="000000"/>
          <w:sz w:val="32"/>
          <w:szCs w:val="32"/>
        </w:rPr>
        <w:t>。</w:t>
      </w:r>
    </w:p>
    <w:p>
      <w:pPr>
        <w:spacing w:line="600" w:lineRule="exact"/>
        <w:ind w:firstLine="640"/>
        <w:outlineLvl w:val="1"/>
        <w:rPr>
          <w:rFonts w:hint="eastAsia" w:ascii="黑体" w:eastAsia="黑体" w:cs="Times New Roman"/>
          <w:color w:val="auto"/>
          <w:sz w:val="32"/>
          <w:szCs w:val="32"/>
          <w:highlight w:val="none"/>
        </w:rPr>
      </w:pPr>
      <w:bookmarkStart w:id="110" w:name="_Toc29372"/>
      <w:bookmarkStart w:id="111" w:name="_Toc15377218"/>
      <w:bookmarkStart w:id="112" w:name="_Toc25241"/>
      <w:bookmarkStart w:id="113" w:name="_Toc6402"/>
      <w:bookmarkStart w:id="114" w:name="_Toc15396610"/>
      <w:r>
        <w:rPr>
          <w:rFonts w:hint="eastAsia" w:ascii="黑体" w:eastAsia="黑体" w:cs="Times New Roman"/>
          <w:color w:val="auto"/>
          <w:sz w:val="32"/>
          <w:szCs w:val="32"/>
          <w:highlight w:val="none"/>
        </w:rPr>
        <w:t>八、政府性基金预算支出决算情况说明</w:t>
      </w:r>
      <w:bookmarkEnd w:id="110"/>
      <w:bookmarkEnd w:id="111"/>
      <w:bookmarkEnd w:id="112"/>
      <w:bookmarkEnd w:id="113"/>
      <w:bookmarkEnd w:id="114"/>
    </w:p>
    <w:p>
      <w:pPr>
        <w:pageBreakBefore w:val="0"/>
        <w:wordWrap/>
        <w:overflowPunct/>
        <w:topLinePunct w:val="0"/>
        <w:bidi w:val="0"/>
        <w:spacing w:line="580" w:lineRule="exact"/>
        <w:ind w:firstLine="640"/>
        <w:rPr>
          <w:rFonts w:hint="eastAsia" w:ascii="仿宋" w:hAnsi="仿宋" w:eastAsia="仿宋" w:cs="仿宋"/>
          <w:color w:val="000000"/>
          <w:sz w:val="32"/>
          <w:szCs w:val="32"/>
          <w:lang w:val="en-US"/>
        </w:rPr>
      </w:pPr>
      <w:r>
        <w:rPr>
          <w:rFonts w:hint="eastAsia" w:ascii="仿宋" w:hAnsi="仿宋" w:eastAsia="仿宋" w:cs="仿宋"/>
          <w:color w:val="000000"/>
          <w:sz w:val="32"/>
          <w:szCs w:val="32"/>
          <w:lang w:eastAsia="zh-CN"/>
        </w:rPr>
        <w:t>2021</w:t>
      </w:r>
      <w:r>
        <w:rPr>
          <w:rFonts w:hint="eastAsia" w:ascii="仿宋" w:hAnsi="仿宋" w:eastAsia="仿宋" w:cs="仿宋"/>
          <w:color w:val="000000"/>
          <w:sz w:val="32"/>
          <w:szCs w:val="32"/>
        </w:rPr>
        <w:t>年政府性基金预算拨款支出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，决算支出</w:t>
      </w:r>
      <w:r>
        <w:rPr>
          <w:rFonts w:hint="eastAsia" w:ascii="仿宋" w:hAnsi="仿宋" w:eastAsia="仿宋" w:cs="仿宋"/>
          <w:color w:val="000000"/>
          <w:sz w:val="32"/>
          <w:szCs w:val="32"/>
          <w:lang w:val="en-US" w:eastAsia="zh-CN"/>
        </w:rPr>
        <w:t>0万元。</w:t>
      </w:r>
    </w:p>
    <w:p>
      <w:pPr>
        <w:spacing w:line="600" w:lineRule="exact"/>
        <w:ind w:firstLine="640"/>
        <w:outlineLvl w:val="1"/>
        <w:rPr>
          <w:rFonts w:hint="eastAsia" w:ascii="黑体" w:eastAsia="黑体" w:cs="Times New Roman"/>
          <w:color w:val="auto"/>
          <w:sz w:val="32"/>
          <w:szCs w:val="32"/>
          <w:highlight w:val="none"/>
        </w:rPr>
      </w:pPr>
      <w:bookmarkStart w:id="115" w:name="_Toc15377219"/>
      <w:bookmarkStart w:id="116" w:name="_Toc4125"/>
      <w:bookmarkStart w:id="117" w:name="_Toc15396611"/>
      <w:bookmarkStart w:id="118" w:name="_Toc3324"/>
      <w:bookmarkStart w:id="119" w:name="_Toc6210"/>
      <w:r>
        <w:rPr>
          <w:rFonts w:hint="eastAsia" w:ascii="黑体" w:eastAsia="黑体" w:cs="Times New Roman"/>
          <w:color w:val="auto"/>
          <w:sz w:val="32"/>
          <w:szCs w:val="32"/>
          <w:highlight w:val="none"/>
          <w:lang w:eastAsia="zh-CN"/>
        </w:rPr>
        <w:t>九、</w:t>
      </w:r>
      <w:r>
        <w:rPr>
          <w:rFonts w:hint="eastAsia" w:ascii="黑体" w:eastAsia="黑体" w:cs="Times New Roman"/>
          <w:color w:val="auto"/>
          <w:sz w:val="32"/>
          <w:szCs w:val="32"/>
          <w:highlight w:val="none"/>
        </w:rPr>
        <w:t>国有资本经营预算支出决算情况说明</w:t>
      </w:r>
      <w:bookmarkEnd w:id="115"/>
      <w:bookmarkEnd w:id="116"/>
      <w:bookmarkEnd w:id="117"/>
      <w:bookmarkEnd w:id="118"/>
      <w:bookmarkEnd w:id="119"/>
    </w:p>
    <w:p>
      <w:pPr>
        <w:pageBreakBefore w:val="0"/>
        <w:wordWrap/>
        <w:overflowPunct/>
        <w:topLinePunct w:val="0"/>
        <w:bidi w:val="0"/>
        <w:spacing w:line="580" w:lineRule="exact"/>
        <w:ind w:firstLine="640"/>
        <w:rPr>
          <w:rFonts w:hint="eastAsia" w:ascii="仿宋" w:hAnsi="仿宋" w:eastAsia="仿宋" w:cs="仿宋"/>
          <w:color w:val="000000"/>
          <w:sz w:val="32"/>
          <w:szCs w:val="32"/>
        </w:rPr>
      </w:pPr>
      <w:r>
        <w:rPr>
          <w:rFonts w:hint="eastAsia" w:ascii="仿宋" w:hAnsi="仿宋" w:eastAsia="仿宋" w:cs="仿宋"/>
          <w:color w:val="000000"/>
          <w:sz w:val="32"/>
          <w:szCs w:val="32"/>
          <w:lang w:eastAsia="zh-CN"/>
        </w:rPr>
        <w:t>2021</w:t>
      </w:r>
      <w:r>
        <w:rPr>
          <w:rFonts w:hint="eastAsia" w:ascii="仿宋" w:hAnsi="仿宋" w:eastAsia="仿宋" w:cs="仿宋"/>
          <w:color w:val="000000"/>
          <w:sz w:val="32"/>
          <w:szCs w:val="32"/>
        </w:rPr>
        <w:t>年国有资本经营预算拨款支出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p>
    <w:p>
      <w:pPr>
        <w:numPr>
          <w:ilvl w:val="0"/>
          <w:numId w:val="0"/>
        </w:numPr>
        <w:spacing w:line="600" w:lineRule="exact"/>
        <w:ind w:left="630" w:leftChars="0"/>
        <w:outlineLvl w:val="1"/>
        <w:rPr>
          <w:rStyle w:val="31"/>
          <w:rFonts w:hint="eastAsia" w:ascii="黑体" w:hAnsi="黑体" w:eastAsia="黑体"/>
          <w:b w:val="0"/>
          <w:color w:val="auto"/>
          <w:highlight w:val="none"/>
        </w:rPr>
      </w:pPr>
      <w:bookmarkStart w:id="120" w:name="_Toc7800"/>
      <w:bookmarkStart w:id="121" w:name="_Toc15377221"/>
      <w:bookmarkStart w:id="122" w:name="_Toc15396612"/>
      <w:bookmarkStart w:id="123" w:name="_Toc25517"/>
      <w:r>
        <w:rPr>
          <w:rStyle w:val="31"/>
          <w:rFonts w:hint="eastAsia" w:ascii="黑体" w:hAnsi="黑体" w:eastAsia="黑体"/>
          <w:b w:val="0"/>
          <w:color w:val="auto"/>
          <w:highlight w:val="none"/>
          <w:lang w:eastAsia="zh-CN"/>
        </w:rPr>
        <w:t>十、</w:t>
      </w:r>
      <w:r>
        <w:rPr>
          <w:rStyle w:val="31"/>
          <w:rFonts w:hint="eastAsia" w:ascii="黑体" w:hAnsi="黑体" w:eastAsia="黑体"/>
          <w:b w:val="0"/>
          <w:color w:val="auto"/>
          <w:highlight w:val="none"/>
        </w:rPr>
        <w:t>其他重要事项的情况说明</w:t>
      </w:r>
      <w:bookmarkEnd w:id="120"/>
      <w:bookmarkEnd w:id="121"/>
      <w:bookmarkEnd w:id="122"/>
      <w:bookmarkEnd w:id="123"/>
    </w:p>
    <w:p>
      <w:pPr>
        <w:spacing w:line="600" w:lineRule="exact"/>
        <w:ind w:firstLine="643" w:firstLineChars="200"/>
        <w:outlineLvl w:val="2"/>
        <w:rPr>
          <w:rFonts w:hint="eastAsia" w:ascii="仿宋" w:hAnsi="仿宋" w:eastAsia="仿宋" w:cs="仿宋"/>
          <w:color w:val="auto"/>
          <w:sz w:val="32"/>
          <w:szCs w:val="32"/>
          <w:highlight w:val="none"/>
        </w:rPr>
      </w:pPr>
      <w:bookmarkStart w:id="124" w:name="_Toc11450"/>
      <w:r>
        <w:rPr>
          <w:rFonts w:hint="eastAsia" w:ascii="仿宋" w:hAnsi="仿宋" w:eastAsia="仿宋" w:cs="仿宋"/>
          <w:b/>
          <w:color w:val="auto"/>
          <w:sz w:val="32"/>
          <w:szCs w:val="32"/>
          <w:highlight w:val="none"/>
        </w:rPr>
        <w:t>（一）</w:t>
      </w:r>
      <w:r>
        <w:rPr>
          <w:rFonts w:hint="eastAsia" w:ascii="仿宋" w:hAnsi="仿宋" w:eastAsia="仿宋" w:cs="仿宋"/>
          <w:b/>
          <w:color w:val="auto"/>
          <w:sz w:val="32"/>
          <w:szCs w:val="32"/>
          <w:highlight w:val="none"/>
          <w:lang w:eastAsia="zh-CN"/>
        </w:rPr>
        <w:t>单位</w:t>
      </w:r>
      <w:r>
        <w:rPr>
          <w:rFonts w:hint="eastAsia" w:ascii="仿宋" w:hAnsi="仿宋" w:eastAsia="仿宋" w:cs="仿宋"/>
          <w:b/>
          <w:color w:val="auto"/>
          <w:sz w:val="32"/>
          <w:szCs w:val="32"/>
          <w:highlight w:val="none"/>
        </w:rPr>
        <w:t>运行经费支出情况</w:t>
      </w:r>
      <w:bookmarkEnd w:id="124"/>
    </w:p>
    <w:p>
      <w:pPr>
        <w:spacing w:line="60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未发生机关运行经费支出，与上年决算数持平。</w:t>
      </w:r>
    </w:p>
    <w:p>
      <w:pPr>
        <w:autoSpaceDE w:val="0"/>
        <w:autoSpaceDN w:val="0"/>
        <w:adjustRightInd w:val="0"/>
        <w:spacing w:line="600" w:lineRule="exact"/>
        <w:ind w:firstLine="643" w:firstLineChars="200"/>
        <w:jc w:val="left"/>
        <w:outlineLvl w:val="2"/>
        <w:rPr>
          <w:rFonts w:hint="eastAsia" w:ascii="仿宋" w:hAnsi="仿宋" w:eastAsia="仿宋" w:cs="仿宋"/>
          <w:b/>
          <w:color w:val="auto"/>
          <w:sz w:val="32"/>
          <w:szCs w:val="32"/>
          <w:highlight w:val="none"/>
        </w:rPr>
      </w:pPr>
      <w:bookmarkStart w:id="125" w:name="_Toc29161"/>
      <w:r>
        <w:rPr>
          <w:rFonts w:hint="eastAsia" w:ascii="仿宋" w:hAnsi="仿宋" w:eastAsia="仿宋" w:cs="仿宋"/>
          <w:b/>
          <w:color w:val="auto"/>
          <w:sz w:val="32"/>
          <w:szCs w:val="32"/>
          <w:highlight w:val="none"/>
        </w:rPr>
        <w:t>（二）政府采购支出情况</w:t>
      </w:r>
      <w:bookmarkEnd w:id="125"/>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白果卫生院采购</w:t>
      </w:r>
      <w:r>
        <w:rPr>
          <w:rFonts w:hint="eastAsia" w:ascii="仿宋" w:hAnsi="仿宋" w:eastAsia="仿宋" w:cs="仿宋"/>
          <w:color w:val="auto"/>
          <w:sz w:val="32"/>
          <w:szCs w:val="32"/>
          <w:highlight w:val="none"/>
          <w:lang w:val="en-US" w:eastAsia="zh-CN"/>
        </w:rPr>
        <w:t>0万元</w:t>
      </w:r>
      <w:r>
        <w:rPr>
          <w:rFonts w:hint="eastAsia" w:ascii="仿宋" w:hAnsi="仿宋" w:eastAsia="仿宋" w:cs="仿宋"/>
          <w:color w:val="auto"/>
          <w:sz w:val="32"/>
          <w:szCs w:val="32"/>
          <w:highlight w:val="none"/>
        </w:rPr>
        <w:t>。</w:t>
      </w:r>
    </w:p>
    <w:p>
      <w:pPr>
        <w:autoSpaceDE w:val="0"/>
        <w:autoSpaceDN w:val="0"/>
        <w:adjustRightInd w:val="0"/>
        <w:spacing w:line="600" w:lineRule="exact"/>
        <w:ind w:firstLine="643" w:firstLineChars="200"/>
        <w:jc w:val="left"/>
        <w:outlineLvl w:val="2"/>
        <w:rPr>
          <w:rFonts w:hint="eastAsia" w:ascii="仿宋" w:hAnsi="仿宋" w:eastAsia="仿宋" w:cs="仿宋"/>
          <w:b/>
          <w:color w:val="auto"/>
          <w:sz w:val="32"/>
          <w:szCs w:val="32"/>
          <w:highlight w:val="none"/>
        </w:rPr>
      </w:pPr>
      <w:bookmarkStart w:id="126" w:name="_Toc27211"/>
      <w:r>
        <w:rPr>
          <w:rFonts w:hint="eastAsia" w:ascii="仿宋" w:hAnsi="仿宋" w:eastAsia="仿宋" w:cs="仿宋"/>
          <w:b/>
          <w:color w:val="auto"/>
          <w:sz w:val="32"/>
          <w:szCs w:val="32"/>
          <w:highlight w:val="none"/>
        </w:rPr>
        <w:t>（三）国有资产占有使用情况</w:t>
      </w:r>
      <w:bookmarkEnd w:id="126"/>
    </w:p>
    <w:p>
      <w:pPr>
        <w:autoSpaceDE w:val="0"/>
        <w:autoSpaceDN w:val="0"/>
        <w:adjustRightInd w:val="0"/>
        <w:spacing w:line="60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截至20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年12月31日，</w:t>
      </w:r>
      <w:r>
        <w:rPr>
          <w:rFonts w:hint="eastAsia" w:ascii="仿宋" w:hAnsi="仿宋" w:eastAsia="仿宋" w:cs="仿宋"/>
          <w:color w:val="auto"/>
          <w:sz w:val="32"/>
          <w:szCs w:val="32"/>
          <w:highlight w:val="none"/>
          <w:lang w:eastAsia="zh-CN"/>
        </w:rPr>
        <w:t>白果卫生院</w:t>
      </w:r>
      <w:r>
        <w:rPr>
          <w:rFonts w:hint="eastAsia" w:ascii="仿宋" w:hAnsi="仿宋" w:eastAsia="仿宋" w:cs="仿宋"/>
          <w:color w:val="auto"/>
          <w:sz w:val="32"/>
          <w:szCs w:val="32"/>
          <w:highlight w:val="none"/>
        </w:rPr>
        <w:t>共有车辆</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单价100万元以上专用设备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w:t>
      </w:r>
    </w:p>
    <w:p>
      <w:pPr>
        <w:autoSpaceDE w:val="0"/>
        <w:autoSpaceDN w:val="0"/>
        <w:adjustRightInd w:val="0"/>
        <w:spacing w:line="600" w:lineRule="exact"/>
        <w:ind w:firstLine="643" w:firstLineChars="200"/>
        <w:jc w:val="left"/>
        <w:outlineLvl w:val="2"/>
        <w:rPr>
          <w:rFonts w:hint="eastAsia" w:ascii="仿宋" w:hAnsi="仿宋" w:eastAsia="仿宋" w:cs="仿宋"/>
          <w:b/>
          <w:color w:val="auto"/>
          <w:sz w:val="32"/>
          <w:szCs w:val="32"/>
          <w:highlight w:val="none"/>
          <w:lang w:eastAsia="zh-CN"/>
        </w:rPr>
      </w:pPr>
      <w:bookmarkStart w:id="127" w:name="_Toc28295"/>
      <w:r>
        <w:rPr>
          <w:rFonts w:hint="eastAsia" w:ascii="仿宋" w:hAnsi="仿宋" w:eastAsia="仿宋" w:cs="仿宋"/>
          <w:b/>
          <w:color w:val="auto"/>
          <w:sz w:val="32"/>
          <w:szCs w:val="32"/>
          <w:highlight w:val="none"/>
        </w:rPr>
        <w:t>（四）预算绩效管理情况</w:t>
      </w:r>
      <w:bookmarkEnd w:id="127"/>
    </w:p>
    <w:p>
      <w:pPr>
        <w:pStyle w:val="10"/>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根据预算绩效管理要求，本单位在202</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年度预算编制阶段，组织对</w:t>
      </w:r>
      <w:r>
        <w:rPr>
          <w:rFonts w:hint="eastAsia" w:ascii="仿宋" w:hAnsi="仿宋" w:eastAsia="仿宋" w:cs="仿宋"/>
          <w:color w:val="auto"/>
          <w:sz w:val="32"/>
          <w:szCs w:val="32"/>
          <w:highlight w:val="none"/>
          <w:lang w:val="en-US" w:eastAsia="zh-CN"/>
        </w:rPr>
        <w:t>1个</w:t>
      </w:r>
      <w:r>
        <w:rPr>
          <w:rFonts w:hint="eastAsia" w:ascii="仿宋" w:hAnsi="仿宋" w:eastAsia="仿宋" w:cs="仿宋"/>
          <w:color w:val="auto"/>
          <w:sz w:val="32"/>
          <w:szCs w:val="32"/>
          <w:highlight w:val="none"/>
        </w:rPr>
        <w:t>项目</w:t>
      </w:r>
      <w:r>
        <w:rPr>
          <w:rFonts w:hint="eastAsia" w:ascii="仿宋" w:hAnsi="仿宋" w:eastAsia="仿宋" w:cs="仿宋"/>
          <w:color w:val="auto"/>
          <w:sz w:val="32"/>
          <w:szCs w:val="32"/>
          <w:highlight w:val="none"/>
          <w:lang w:eastAsia="zh-CN"/>
        </w:rPr>
        <w:t>二类疫苗服务费</w:t>
      </w:r>
      <w:r>
        <w:rPr>
          <w:rFonts w:hint="eastAsia" w:ascii="仿宋" w:hAnsi="仿宋" w:eastAsia="仿宋" w:cs="仿宋"/>
          <w:color w:val="auto"/>
          <w:sz w:val="32"/>
          <w:szCs w:val="32"/>
          <w:highlight w:val="none"/>
        </w:rPr>
        <w:t>开展了预算事前绩效评估，</w:t>
      </w:r>
      <w:r>
        <w:rPr>
          <w:rFonts w:hint="eastAsia" w:ascii="仿宋" w:hAnsi="仿宋" w:eastAsia="仿宋" w:cs="仿宋"/>
          <w:color w:val="auto"/>
          <w:sz w:val="32"/>
          <w:szCs w:val="32"/>
          <w:highlight w:val="none"/>
          <w:lang w:eastAsia="zh-CN"/>
        </w:rPr>
        <w:t>并对这个项目</w:t>
      </w:r>
      <w:r>
        <w:rPr>
          <w:rFonts w:hint="eastAsia" w:ascii="仿宋" w:hAnsi="仿宋" w:eastAsia="仿宋" w:cs="仿宋"/>
          <w:color w:val="auto"/>
          <w:sz w:val="32"/>
          <w:szCs w:val="32"/>
          <w:highlight w:val="none"/>
        </w:rPr>
        <w:t>编制了绩效目标</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开展绩效监控，组织对</w:t>
      </w:r>
      <w:r>
        <w:rPr>
          <w:rFonts w:hint="eastAsia" w:ascii="仿宋" w:hAnsi="仿宋" w:eastAsia="仿宋" w:cs="仿宋"/>
          <w:color w:val="auto"/>
          <w:sz w:val="32"/>
          <w:szCs w:val="32"/>
          <w:highlight w:val="none"/>
          <w:lang w:eastAsia="zh-CN"/>
        </w:rPr>
        <w:t>该项目</w:t>
      </w:r>
      <w:r>
        <w:rPr>
          <w:rFonts w:hint="eastAsia" w:ascii="仿宋" w:hAnsi="仿宋" w:eastAsia="仿宋" w:cs="仿宋"/>
          <w:color w:val="auto"/>
          <w:sz w:val="32"/>
          <w:szCs w:val="32"/>
          <w:highlight w:val="none"/>
        </w:rPr>
        <w:t>绩效自评，绩效自评表详见</w:t>
      </w:r>
      <w:r>
        <w:rPr>
          <w:rFonts w:hint="eastAsia" w:ascii="仿宋" w:hAnsi="仿宋" w:eastAsia="仿宋" w:cs="仿宋"/>
          <w:color w:val="auto"/>
          <w:sz w:val="32"/>
          <w:szCs w:val="32"/>
          <w:highlight w:val="none"/>
          <w:lang w:eastAsia="zh-CN"/>
        </w:rPr>
        <w:t>第四部分</w:t>
      </w:r>
      <w:r>
        <w:rPr>
          <w:rFonts w:hint="eastAsia" w:ascii="仿宋" w:hAnsi="仿宋" w:eastAsia="仿宋" w:cs="仿宋"/>
          <w:color w:val="auto"/>
          <w:sz w:val="32"/>
          <w:szCs w:val="32"/>
          <w:highlight w:val="none"/>
        </w:rPr>
        <w:t>附件。</w:t>
      </w:r>
    </w:p>
    <w:p>
      <w:pPr>
        <w:pStyle w:val="10"/>
        <w:numPr>
          <w:ilvl w:val="0"/>
          <w:numId w:val="0"/>
        </w:numPr>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1.二类疫苗服务费绩效评价</w:t>
      </w:r>
      <w:r>
        <w:rPr>
          <w:rFonts w:hint="eastAsia" w:ascii="仿宋" w:hAnsi="仿宋" w:eastAsia="仿宋" w:cs="仿宋"/>
          <w:color w:val="000000"/>
          <w:sz w:val="32"/>
          <w:szCs w:val="32"/>
        </w:rPr>
        <w:t>《四川省发展和改革委员会四川省财政厅关于疫苗预防接种服务收费标准及有关问题的通知》（川发改价格〔2018〕331号）制定了我省非免疫规划疫苗预防接种服务费收费标准，试行期2年。从试行情况看，该收费政策对加强我省非免疫规划疫苗接种管理，规范收费行为起到了积极作用。结合试行期收支情况和国家相关文件精神</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非免疫规划疫苗预防接种服务费收费属行政事业性收费，</w:t>
      </w:r>
      <w:r>
        <w:rPr>
          <w:rFonts w:hint="eastAsia" w:ascii="仿宋" w:hAnsi="仿宋" w:eastAsia="仿宋" w:cs="仿宋"/>
          <w:color w:val="000000"/>
          <w:sz w:val="32"/>
          <w:szCs w:val="32"/>
          <w:lang w:eastAsia="zh-CN"/>
        </w:rPr>
        <w:t>我单位</w:t>
      </w:r>
      <w:r>
        <w:rPr>
          <w:rFonts w:hint="eastAsia" w:ascii="仿宋" w:hAnsi="仿宋" w:eastAsia="仿宋" w:cs="仿宋"/>
          <w:color w:val="000000"/>
          <w:sz w:val="32"/>
          <w:szCs w:val="32"/>
        </w:rPr>
        <w:t>按规定做好收费公示工作，在门户网站、收费场所醒目位置公示收费项目、收费性质、收费标准、收费依据和价格监督电话等信息，接受社会监督。</w:t>
      </w:r>
      <w:r>
        <w:rPr>
          <w:rFonts w:hint="eastAsia" w:ascii="仿宋" w:hAnsi="仿宋" w:eastAsia="仿宋" w:cs="仿宋"/>
          <w:color w:val="000000"/>
          <w:sz w:val="32"/>
          <w:szCs w:val="32"/>
          <w:lang w:eastAsia="zh-CN"/>
        </w:rPr>
        <w:t>我单位</w:t>
      </w:r>
      <w:r>
        <w:rPr>
          <w:rFonts w:hint="eastAsia" w:ascii="仿宋" w:hAnsi="仿宋" w:eastAsia="仿宋" w:cs="仿宋"/>
          <w:color w:val="000000"/>
          <w:sz w:val="32"/>
          <w:szCs w:val="32"/>
        </w:rPr>
        <w:t>使用省级财政监（印）制的财政票据，收费收入全额上缴地方国库，纳入财政预算管理。</w:t>
      </w:r>
      <w:r>
        <w:rPr>
          <w:rFonts w:hint="eastAsia" w:ascii="仿宋" w:hAnsi="仿宋" w:eastAsia="仿宋" w:cs="仿宋"/>
          <w:color w:val="000000"/>
          <w:sz w:val="32"/>
          <w:szCs w:val="32"/>
          <w:lang w:val="en-US" w:eastAsia="zh-CN"/>
        </w:rPr>
        <w:t>我单位</w:t>
      </w:r>
      <w:r>
        <w:rPr>
          <w:rFonts w:hint="eastAsia" w:ascii="仿宋" w:hAnsi="仿宋" w:eastAsia="仿宋" w:cs="仿宋"/>
          <w:color w:val="000000"/>
          <w:sz w:val="32"/>
          <w:szCs w:val="32"/>
        </w:rPr>
        <w:t>建立健全非免疫规划疫苗管理制度，明确行业系统内部管理职责和程序，完善期间成本资料，减少非必要成本支出，整合现有资源降低接种服务成本。要加强对疫苗接种管理，确保非免疫规划疫苗接种工作的顺利开展，有效维护公共卫生安全。</w:t>
      </w:r>
    </w:p>
    <w:p>
      <w:pPr>
        <w:pStyle w:val="10"/>
        <w:numPr>
          <w:ilvl w:val="0"/>
          <w:numId w:val="0"/>
        </w:num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单位</w:t>
      </w:r>
      <w:r>
        <w:rPr>
          <w:rFonts w:hint="eastAsia" w:ascii="仿宋" w:hAnsi="仿宋" w:eastAsia="仿宋" w:cs="仿宋"/>
          <w:color w:val="000000"/>
          <w:sz w:val="32"/>
          <w:szCs w:val="32"/>
        </w:rPr>
        <w:t>整体支出绩效自评开展情况。</w:t>
      </w:r>
      <w:r>
        <w:rPr>
          <w:rFonts w:hint="eastAsia" w:ascii="仿宋" w:hAnsi="仿宋" w:eastAsia="仿宋" w:cs="仿宋"/>
          <w:sz w:val="32"/>
          <w:szCs w:val="32"/>
        </w:rPr>
        <w:t>本</w:t>
      </w:r>
      <w:r>
        <w:rPr>
          <w:rFonts w:hint="eastAsia" w:ascii="仿宋" w:hAnsi="仿宋" w:eastAsia="仿宋" w:cs="仿宋"/>
          <w:sz w:val="32"/>
          <w:szCs w:val="32"/>
          <w:lang w:eastAsia="zh-CN"/>
        </w:rPr>
        <w:t>单位</w:t>
      </w:r>
      <w:r>
        <w:rPr>
          <w:rFonts w:hint="eastAsia" w:ascii="仿宋" w:hAnsi="仿宋" w:eastAsia="仿宋" w:cs="仿宋"/>
          <w:sz w:val="32"/>
          <w:szCs w:val="32"/>
        </w:rPr>
        <w:t>按要求对</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r>
        <w:rPr>
          <w:rFonts w:hint="eastAsia" w:ascii="仿宋" w:hAnsi="仿宋" w:eastAsia="仿宋" w:cs="仿宋"/>
          <w:sz w:val="32"/>
          <w:szCs w:val="32"/>
          <w:lang w:eastAsia="zh-CN"/>
        </w:rPr>
        <w:t>单位</w:t>
      </w:r>
      <w:r>
        <w:rPr>
          <w:rFonts w:hint="eastAsia" w:ascii="仿宋" w:hAnsi="仿宋" w:eastAsia="仿宋" w:cs="仿宋"/>
          <w:sz w:val="32"/>
          <w:szCs w:val="32"/>
        </w:rPr>
        <w:t>整体支出开展绩效自评，</w:t>
      </w:r>
      <w:r>
        <w:rPr>
          <w:rFonts w:hint="eastAsia" w:ascii="仿宋" w:hAnsi="仿宋" w:eastAsia="仿宋" w:cs="仿宋"/>
          <w:color w:val="000000"/>
          <w:sz w:val="32"/>
          <w:szCs w:val="32"/>
        </w:rPr>
        <w:t>从评价情况来看未发现虚列支出，所有财政资金支出均履行了严格审批手续，未发现挤占、挪用、转移财政资金行为。基本支出严格执行国家有关政策及规定，无擅自扩大开支范围</w:t>
      </w:r>
      <w:r>
        <w:rPr>
          <w:rFonts w:hint="eastAsia" w:ascii="仿宋" w:hAnsi="仿宋" w:eastAsia="仿宋" w:cs="仿宋"/>
          <w:color w:val="000000"/>
          <w:sz w:val="32"/>
          <w:szCs w:val="32"/>
          <w:lang w:eastAsia="zh-CN"/>
        </w:rPr>
        <w:t>和</w:t>
      </w:r>
      <w:r>
        <w:rPr>
          <w:rFonts w:hint="eastAsia" w:ascii="仿宋" w:hAnsi="仿宋" w:eastAsia="仿宋" w:cs="仿宋"/>
          <w:color w:val="000000"/>
          <w:sz w:val="32"/>
          <w:szCs w:val="32"/>
        </w:rPr>
        <w:t>提高开支标准，单位津补贴、奖金和福利均按照国家或地方的规定发放，项目支出均按照批准的项目和用途以及项目实施方案执行，无自行改变项目内容，扩大支出范围现象。本</w:t>
      </w:r>
      <w:r>
        <w:rPr>
          <w:rFonts w:hint="eastAsia" w:ascii="仿宋" w:hAnsi="仿宋" w:eastAsia="仿宋" w:cs="仿宋"/>
          <w:color w:val="000000"/>
          <w:sz w:val="32"/>
          <w:szCs w:val="32"/>
          <w:lang w:eastAsia="zh-CN"/>
        </w:rPr>
        <w:t>单位</w:t>
      </w:r>
      <w:r>
        <w:rPr>
          <w:rFonts w:hint="eastAsia" w:ascii="仿宋" w:hAnsi="仿宋" w:eastAsia="仿宋" w:cs="仿宋"/>
          <w:color w:val="000000"/>
          <w:sz w:val="32"/>
          <w:szCs w:val="32"/>
        </w:rPr>
        <w:t>还自行组织了项目绩效评价，从评价情况来看我局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rPr>
          <w:rFonts w:hint="eastAsia" w:ascii="仿宋_GB2312" w:eastAsia="仿宋_GB2312"/>
          <w:color w:val="000000"/>
          <w:sz w:val="32"/>
          <w:szCs w:val="32"/>
        </w:rPr>
      </w:pPr>
    </w:p>
    <w:p>
      <w:pPr>
        <w:pStyle w:val="10"/>
        <w:rPr>
          <w:rFonts w:hint="eastAsia" w:ascii="仿宋_GB2312" w:eastAsia="仿宋_GB2312"/>
          <w:color w:val="000000"/>
          <w:sz w:val="32"/>
          <w:szCs w:val="32"/>
        </w:rPr>
      </w:pPr>
    </w:p>
    <w:p>
      <w:pPr>
        <w:rPr>
          <w:rFonts w:hint="eastAsia" w:ascii="仿宋_GB2312" w:eastAsia="仿宋_GB2312"/>
          <w:color w:val="000000"/>
          <w:sz w:val="32"/>
          <w:szCs w:val="32"/>
        </w:rPr>
      </w:pPr>
    </w:p>
    <w:p>
      <w:pPr>
        <w:pStyle w:val="10"/>
        <w:rPr>
          <w:rFonts w:hint="eastAsia" w:ascii="仿宋_GB2312" w:eastAsia="仿宋_GB2312"/>
          <w:color w:val="000000"/>
          <w:sz w:val="32"/>
          <w:szCs w:val="32"/>
        </w:rPr>
      </w:pPr>
    </w:p>
    <w:p>
      <w:pPr>
        <w:rPr>
          <w:rFonts w:hint="eastAsia" w:ascii="仿宋_GB2312" w:eastAsia="仿宋_GB2312"/>
          <w:color w:val="000000"/>
          <w:sz w:val="32"/>
          <w:szCs w:val="32"/>
        </w:rPr>
      </w:pPr>
    </w:p>
    <w:p>
      <w:pPr>
        <w:pStyle w:val="10"/>
        <w:rPr>
          <w:rFonts w:hint="eastAsia" w:ascii="仿宋_GB2312" w:eastAsia="仿宋_GB2312"/>
          <w:color w:val="000000"/>
          <w:sz w:val="32"/>
          <w:szCs w:val="32"/>
        </w:rPr>
      </w:pPr>
    </w:p>
    <w:p>
      <w:pPr>
        <w:rPr>
          <w:rFonts w:hint="eastAsia" w:ascii="仿宋_GB2312" w:eastAsia="仿宋_GB2312"/>
          <w:color w:val="000000"/>
          <w:sz w:val="32"/>
          <w:szCs w:val="32"/>
        </w:rPr>
      </w:pPr>
    </w:p>
    <w:p>
      <w:pPr>
        <w:pStyle w:val="10"/>
        <w:rPr>
          <w:rFonts w:hint="eastAsia" w:ascii="仿宋_GB2312" w:eastAsia="仿宋_GB2312"/>
          <w:color w:val="000000"/>
          <w:sz w:val="32"/>
          <w:szCs w:val="32"/>
        </w:rPr>
      </w:pPr>
    </w:p>
    <w:p>
      <w:pPr>
        <w:rPr>
          <w:rFonts w:hint="eastAsia" w:ascii="仿宋_GB2312" w:eastAsia="仿宋_GB2312"/>
          <w:color w:val="000000"/>
          <w:sz w:val="32"/>
          <w:szCs w:val="32"/>
        </w:rPr>
      </w:pPr>
    </w:p>
    <w:p>
      <w:pPr>
        <w:pStyle w:val="10"/>
        <w:rPr>
          <w:rFonts w:hint="eastAsia" w:ascii="仿宋_GB2312" w:eastAsia="仿宋_GB2312"/>
          <w:color w:val="000000"/>
          <w:sz w:val="32"/>
          <w:szCs w:val="32"/>
        </w:rPr>
      </w:pPr>
    </w:p>
    <w:p>
      <w:pPr>
        <w:rPr>
          <w:rFonts w:hint="eastAsia"/>
        </w:rPr>
      </w:pPr>
    </w:p>
    <w:p/>
    <w:p>
      <w:pPr>
        <w:pageBreakBefore w:val="0"/>
        <w:numPr>
          <w:ilvl w:val="0"/>
          <w:numId w:val="3"/>
        </w:numPr>
        <w:wordWrap/>
        <w:overflowPunct/>
        <w:topLinePunct w:val="0"/>
        <w:bidi w:val="0"/>
        <w:spacing w:after="159" w:afterLines="50" w:afterAutospacing="0" w:line="240" w:lineRule="auto"/>
        <w:ind w:left="840" w:leftChars="0" w:firstLine="0" w:firstLineChars="0"/>
        <w:jc w:val="center"/>
        <w:outlineLvl w:val="0"/>
        <w:rPr>
          <w:rFonts w:ascii="宋体"/>
          <w:b/>
          <w:color w:val="000000"/>
          <w:sz w:val="44"/>
          <w:szCs w:val="44"/>
        </w:rPr>
      </w:pPr>
      <w:bookmarkStart w:id="128" w:name="_Toc2591"/>
      <w:bookmarkStart w:id="129" w:name="_Toc25403"/>
      <w:bookmarkStart w:id="130" w:name="_Toc15396613"/>
      <w:bookmarkStart w:id="131" w:name="_Toc15829"/>
      <w:bookmarkStart w:id="132" w:name="_Toc15377225"/>
      <w:r>
        <w:rPr>
          <w:rFonts w:hint="eastAsia" w:ascii="黑体" w:hAnsi="黑体" w:eastAsia="黑体"/>
          <w:color w:val="000000"/>
          <w:sz w:val="44"/>
          <w:szCs w:val="44"/>
        </w:rPr>
        <w:t>名</w:t>
      </w:r>
      <w:r>
        <w:rPr>
          <w:rStyle w:val="12"/>
          <w:rFonts w:hint="eastAsia" w:ascii="黑体" w:hAnsi="黑体" w:eastAsia="黑体"/>
          <w:b w:val="0"/>
        </w:rPr>
        <w:t>词解释</w:t>
      </w:r>
      <w:bookmarkEnd w:id="128"/>
      <w:bookmarkEnd w:id="129"/>
      <w:bookmarkEnd w:id="130"/>
      <w:bookmarkEnd w:id="131"/>
      <w:bookmarkEnd w:id="132"/>
    </w:p>
    <w:p>
      <w:pPr>
        <w:pStyle w:val="36"/>
        <w:pageBreakBefore w:val="0"/>
        <w:wordWrap/>
        <w:overflowPunct/>
        <w:topLinePunct w:val="0"/>
        <w:bidi w:val="0"/>
        <w:spacing w:beforeAutospacing="0"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1.财政拨款收入：指单位从同级财政</w:t>
      </w:r>
      <w:r>
        <w:rPr>
          <w:rFonts w:hint="eastAsia" w:ascii="仿宋" w:hAnsi="仿宋" w:eastAsia="仿宋" w:cs="仿宋"/>
          <w:sz w:val="32"/>
          <w:szCs w:val="32"/>
          <w:lang w:eastAsia="zh-CN"/>
        </w:rPr>
        <w:t>单位</w:t>
      </w:r>
      <w:r>
        <w:rPr>
          <w:rFonts w:hint="eastAsia" w:ascii="仿宋" w:hAnsi="仿宋" w:eastAsia="仿宋" w:cs="仿宋"/>
          <w:sz w:val="32"/>
          <w:szCs w:val="32"/>
        </w:rPr>
        <w:t>取得的</w:t>
      </w:r>
      <w:r>
        <w:rPr>
          <w:rFonts w:hint="eastAsia" w:ascii="仿宋" w:hAnsi="仿宋" w:eastAsia="仿宋" w:cs="仿宋"/>
          <w:sz w:val="32"/>
          <w:szCs w:val="32"/>
          <w:lang w:eastAsia="zh-CN"/>
        </w:rPr>
        <w:t>各类拨款</w:t>
      </w:r>
      <w:r>
        <w:rPr>
          <w:rFonts w:hint="eastAsia" w:ascii="仿宋" w:hAnsi="仿宋" w:eastAsia="仿宋" w:cs="仿宋"/>
          <w:sz w:val="32"/>
          <w:szCs w:val="32"/>
        </w:rPr>
        <w:t>。</w:t>
      </w:r>
    </w:p>
    <w:p>
      <w:pPr>
        <w:pStyle w:val="36"/>
        <w:pageBreakBefore w:val="0"/>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2.事业收入：指事业单位开展专业业务活动及辅助活动取得的收入。如</w:t>
      </w:r>
      <w:r>
        <w:rPr>
          <w:rFonts w:hint="eastAsia" w:ascii="仿宋" w:hAnsi="仿宋" w:eastAsia="仿宋" w:cs="仿宋"/>
          <w:sz w:val="32"/>
          <w:szCs w:val="32"/>
          <w:lang w:eastAsia="zh-CN"/>
        </w:rPr>
        <w:t>区人民医院、</w:t>
      </w:r>
      <w:r>
        <w:rPr>
          <w:rFonts w:hint="eastAsia" w:hAnsi="仿宋" w:cs="仿宋"/>
          <w:sz w:val="32"/>
          <w:szCs w:val="32"/>
          <w:lang w:eastAsia="zh-CN"/>
        </w:rPr>
        <w:t>区</w:t>
      </w:r>
      <w:r>
        <w:rPr>
          <w:rFonts w:hint="eastAsia" w:ascii="仿宋" w:hAnsi="仿宋" w:eastAsia="仿宋" w:cs="仿宋"/>
          <w:sz w:val="32"/>
          <w:szCs w:val="32"/>
        </w:rPr>
        <w:t>妇幼保健</w:t>
      </w:r>
      <w:r>
        <w:rPr>
          <w:rFonts w:hint="eastAsia" w:hAnsi="仿宋" w:cs="仿宋"/>
          <w:sz w:val="32"/>
          <w:szCs w:val="32"/>
          <w:lang w:eastAsia="zh-CN"/>
        </w:rPr>
        <w:t>计划</w:t>
      </w:r>
      <w:bookmarkStart w:id="180" w:name="_GoBack"/>
      <w:bookmarkEnd w:id="180"/>
      <w:r>
        <w:rPr>
          <w:rFonts w:hint="eastAsia" w:ascii="仿宋" w:hAnsi="仿宋" w:eastAsia="仿宋" w:cs="仿宋"/>
          <w:sz w:val="32"/>
          <w:szCs w:val="32"/>
          <w:lang w:eastAsia="zh-CN"/>
        </w:rPr>
        <w:t>生育</w:t>
      </w:r>
      <w:r>
        <w:rPr>
          <w:rFonts w:hint="eastAsia" w:ascii="仿宋" w:hAnsi="仿宋" w:eastAsia="仿宋" w:cs="仿宋"/>
          <w:sz w:val="32"/>
          <w:szCs w:val="32"/>
        </w:rPr>
        <w:t>服务中心</w:t>
      </w:r>
      <w:r>
        <w:rPr>
          <w:rFonts w:hint="eastAsia" w:hAnsi="仿宋" w:cs="仿宋"/>
          <w:sz w:val="32"/>
          <w:szCs w:val="32"/>
          <w:lang w:eastAsia="zh-CN"/>
        </w:rPr>
        <w:t>、</w:t>
      </w:r>
      <w:r>
        <w:rPr>
          <w:rFonts w:hint="eastAsia" w:ascii="仿宋" w:hAnsi="仿宋" w:eastAsia="仿宋" w:cs="仿宋"/>
          <w:sz w:val="32"/>
          <w:szCs w:val="32"/>
          <w:lang w:eastAsia="zh-CN"/>
        </w:rPr>
        <w:t>区中医医院、乡镇卫生院医疗收入</w:t>
      </w:r>
      <w:r>
        <w:rPr>
          <w:rFonts w:hint="eastAsia" w:ascii="仿宋" w:hAnsi="仿宋" w:eastAsia="仿宋" w:cs="仿宋"/>
          <w:sz w:val="32"/>
          <w:szCs w:val="32"/>
        </w:rPr>
        <w:t>等。</w:t>
      </w:r>
    </w:p>
    <w:p>
      <w:pPr>
        <w:pStyle w:val="36"/>
        <w:pageBreakBefore w:val="0"/>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.其他收入：指单位取得的除上述收入以外的各项收入。主要是</w:t>
      </w:r>
      <w:r>
        <w:rPr>
          <w:rFonts w:hint="eastAsia" w:ascii="仿宋" w:hAnsi="仿宋" w:eastAsia="仿宋" w:cs="仿宋"/>
          <w:sz w:val="32"/>
          <w:szCs w:val="32"/>
          <w:lang w:eastAsia="zh-CN"/>
        </w:rPr>
        <w:t>利息收入</w:t>
      </w:r>
      <w:r>
        <w:rPr>
          <w:rFonts w:hint="eastAsia" w:ascii="仿宋" w:hAnsi="仿宋" w:eastAsia="仿宋" w:cs="仿宋"/>
          <w:sz w:val="32"/>
          <w:szCs w:val="32"/>
        </w:rPr>
        <w:t>等。</w:t>
      </w:r>
    </w:p>
    <w:p>
      <w:pPr>
        <w:pStyle w:val="36"/>
        <w:pageBreakBefore w:val="0"/>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36"/>
        <w:pageBreakBefore w:val="0"/>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.年初结转和结余：指以前年度尚未完成、结转到本年按有关规定继续使用的资金。</w:t>
      </w:r>
    </w:p>
    <w:p>
      <w:pPr>
        <w:pStyle w:val="36"/>
        <w:pageBreakBefore w:val="0"/>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w:t>
      </w:r>
      <w:r>
        <w:rPr>
          <w:rFonts w:hint="eastAsia" w:ascii="仿宋" w:hAnsi="仿宋" w:eastAsia="仿宋" w:cs="仿宋"/>
          <w:sz w:val="32"/>
          <w:szCs w:val="32"/>
          <w:lang w:eastAsia="zh-CN"/>
        </w:rPr>
        <w:t>本年盈余</w:t>
      </w:r>
      <w:r>
        <w:rPr>
          <w:rFonts w:hint="eastAsia" w:ascii="仿宋" w:hAnsi="仿宋" w:eastAsia="仿宋" w:cs="仿宋"/>
          <w:sz w:val="32"/>
          <w:szCs w:val="32"/>
        </w:rPr>
        <w:t>分配：指事业单位按照</w:t>
      </w:r>
      <w:r>
        <w:rPr>
          <w:rFonts w:hint="eastAsia" w:ascii="仿宋" w:hAnsi="仿宋" w:eastAsia="仿宋" w:cs="仿宋"/>
          <w:sz w:val="32"/>
          <w:szCs w:val="32"/>
          <w:lang w:eastAsia="zh-CN"/>
        </w:rPr>
        <w:t>政府</w:t>
      </w:r>
      <w:r>
        <w:rPr>
          <w:rFonts w:hint="eastAsia" w:ascii="仿宋" w:hAnsi="仿宋" w:eastAsia="仿宋" w:cs="仿宋"/>
          <w:sz w:val="32"/>
          <w:szCs w:val="32"/>
        </w:rPr>
        <w:t>会计制度的规定从非财政</w:t>
      </w:r>
      <w:r>
        <w:rPr>
          <w:rFonts w:hint="eastAsia" w:ascii="仿宋" w:hAnsi="仿宋" w:eastAsia="仿宋" w:cs="仿宋"/>
          <w:sz w:val="32"/>
          <w:szCs w:val="32"/>
          <w:lang w:eastAsia="zh-CN"/>
        </w:rPr>
        <w:t>拨款</w:t>
      </w:r>
      <w:r>
        <w:rPr>
          <w:rFonts w:hint="eastAsia" w:ascii="仿宋" w:hAnsi="仿宋" w:eastAsia="仿宋" w:cs="仿宋"/>
          <w:sz w:val="32"/>
          <w:szCs w:val="32"/>
        </w:rPr>
        <w:t>结余</w:t>
      </w:r>
      <w:r>
        <w:rPr>
          <w:rFonts w:hint="eastAsia" w:ascii="仿宋" w:hAnsi="仿宋" w:eastAsia="仿宋" w:cs="仿宋"/>
          <w:sz w:val="32"/>
          <w:szCs w:val="32"/>
          <w:lang w:eastAsia="zh-CN"/>
        </w:rPr>
        <w:t>或事业结余</w:t>
      </w:r>
      <w:r>
        <w:rPr>
          <w:rFonts w:hint="eastAsia" w:ascii="仿宋" w:hAnsi="仿宋" w:eastAsia="仿宋" w:cs="仿宋"/>
          <w:sz w:val="32"/>
          <w:szCs w:val="32"/>
        </w:rPr>
        <w:t>中</w:t>
      </w:r>
      <w:r>
        <w:rPr>
          <w:rFonts w:hint="eastAsia" w:ascii="仿宋" w:hAnsi="仿宋" w:eastAsia="仿宋" w:cs="仿宋"/>
          <w:sz w:val="32"/>
          <w:szCs w:val="32"/>
          <w:lang w:eastAsia="zh-CN"/>
        </w:rPr>
        <w:t>提取</w:t>
      </w:r>
      <w:r>
        <w:rPr>
          <w:rFonts w:hint="eastAsia" w:ascii="仿宋" w:hAnsi="仿宋" w:eastAsia="仿宋" w:cs="仿宋"/>
          <w:sz w:val="32"/>
          <w:szCs w:val="32"/>
        </w:rPr>
        <w:t>的</w:t>
      </w:r>
      <w:r>
        <w:rPr>
          <w:rFonts w:hint="eastAsia" w:ascii="仿宋" w:hAnsi="仿宋" w:eastAsia="仿宋" w:cs="仿宋"/>
          <w:sz w:val="32"/>
          <w:szCs w:val="32"/>
          <w:lang w:eastAsia="zh-CN"/>
        </w:rPr>
        <w:t>奖励</w:t>
      </w:r>
      <w:r>
        <w:rPr>
          <w:rFonts w:hint="eastAsia" w:ascii="仿宋" w:hAnsi="仿宋" w:eastAsia="仿宋" w:cs="仿宋"/>
          <w:sz w:val="32"/>
          <w:szCs w:val="32"/>
        </w:rPr>
        <w:t>基金和职工福利基金等。</w:t>
      </w:r>
    </w:p>
    <w:p>
      <w:pPr>
        <w:pStyle w:val="36"/>
        <w:pageBreakBefore w:val="0"/>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年末结转和结余：指单位按有关规定结转到下年或以后年度继续使用的资金。</w:t>
      </w:r>
    </w:p>
    <w:p>
      <w:pPr>
        <w:pageBreakBefore w:val="0"/>
        <w:wordWrap/>
        <w:overflowPunct/>
        <w:topLinePunct w:val="0"/>
        <w:bidi w:val="0"/>
        <w:spacing w:line="580" w:lineRule="exact"/>
        <w:ind w:firstLine="640" w:firstLineChars="200"/>
        <w:rPr>
          <w:rStyle w:val="28"/>
          <w:rFonts w:hint="eastAsia" w:ascii="仿宋" w:hAnsi="仿宋" w:eastAsia="仿宋" w:cs="仿宋"/>
          <w:b w:val="0"/>
          <w:color w:val="000000"/>
          <w:sz w:val="32"/>
          <w:szCs w:val="32"/>
        </w:rPr>
      </w:pPr>
      <w:r>
        <w:rPr>
          <w:rFonts w:hint="eastAsia" w:ascii="仿宋" w:hAnsi="仿宋" w:eastAsia="仿宋" w:cs="仿宋"/>
          <w:color w:val="000000"/>
          <w:sz w:val="32"/>
          <w:szCs w:val="32"/>
        </w:rPr>
        <w:t>8.卫生健康支出（类）基层医疗卫生机构（款）</w:t>
      </w:r>
      <w:r>
        <w:rPr>
          <w:rStyle w:val="28"/>
          <w:rFonts w:hint="eastAsia" w:ascii="仿宋" w:hAnsi="仿宋" w:eastAsia="仿宋" w:cs="仿宋"/>
          <w:b w:val="0"/>
          <w:color w:val="000000"/>
          <w:sz w:val="32"/>
          <w:szCs w:val="32"/>
        </w:rPr>
        <w:t>乡镇卫生院（项）</w:t>
      </w:r>
      <w:r>
        <w:rPr>
          <w:rFonts w:hint="eastAsia" w:ascii="仿宋" w:hAnsi="仿宋" w:eastAsia="仿宋" w:cs="仿宋"/>
          <w:color w:val="000000"/>
          <w:sz w:val="32"/>
          <w:szCs w:val="32"/>
        </w:rPr>
        <w:t>：反映乡镇卫生院的支出；</w:t>
      </w:r>
      <w:r>
        <w:rPr>
          <w:rStyle w:val="28"/>
          <w:rFonts w:hint="eastAsia" w:ascii="仿宋" w:hAnsi="仿宋" w:eastAsia="仿宋" w:cs="仿宋"/>
          <w:b w:val="0"/>
          <w:color w:val="000000"/>
          <w:sz w:val="32"/>
          <w:szCs w:val="32"/>
        </w:rPr>
        <w:t>卫生健康支出（类）公共卫生（款）基本公共卫生服务（项）</w:t>
      </w:r>
      <w:r>
        <w:rPr>
          <w:rFonts w:hint="eastAsia" w:ascii="仿宋" w:hAnsi="仿宋" w:eastAsia="仿宋" w:cs="仿宋"/>
          <w:color w:val="000000"/>
          <w:sz w:val="32"/>
          <w:szCs w:val="32"/>
        </w:rPr>
        <w:t>：反映乡镇卫生院、社区卫生机构开展基本公共卫生服务的支出；</w:t>
      </w:r>
      <w:r>
        <w:rPr>
          <w:rStyle w:val="28"/>
          <w:rFonts w:hint="eastAsia" w:ascii="仿宋" w:hAnsi="仿宋" w:eastAsia="仿宋" w:cs="仿宋"/>
          <w:b w:val="0"/>
          <w:color w:val="000000"/>
          <w:sz w:val="32"/>
          <w:szCs w:val="32"/>
        </w:rPr>
        <w:t>卫生健康支出</w:t>
      </w:r>
      <w:r>
        <w:rPr>
          <w:rFonts w:hint="eastAsia" w:ascii="仿宋" w:hAnsi="仿宋" w:eastAsia="仿宋" w:cs="仿宋"/>
          <w:color w:val="000000"/>
          <w:sz w:val="32"/>
          <w:szCs w:val="32"/>
        </w:rPr>
        <w:t>（类）基层医疗卫生机构（款）其他基层医疗卫生机构支出（项）</w:t>
      </w:r>
      <w:r>
        <w:rPr>
          <w:rStyle w:val="28"/>
          <w:rFonts w:hint="eastAsia" w:ascii="仿宋" w:hAnsi="仿宋" w:eastAsia="仿宋" w:cs="仿宋"/>
          <w:b w:val="0"/>
          <w:color w:val="000000"/>
          <w:sz w:val="32"/>
          <w:szCs w:val="32"/>
        </w:rPr>
        <w:t>：反映除乡镇卫生院、城市社区卫生机构以外的其他用于基层医疗卫生机构的支出；卫生健康支出（类）行政事业单位医疗</w:t>
      </w:r>
      <w:r>
        <w:rPr>
          <w:rFonts w:hint="eastAsia" w:ascii="仿宋" w:hAnsi="仿宋" w:eastAsia="仿宋" w:cs="仿宋"/>
          <w:color w:val="000000"/>
          <w:sz w:val="32"/>
          <w:szCs w:val="32"/>
        </w:rPr>
        <w:t>（款）事业单位医疗（项）</w:t>
      </w:r>
      <w:r>
        <w:rPr>
          <w:rStyle w:val="28"/>
          <w:rFonts w:hint="eastAsia" w:ascii="仿宋" w:hAnsi="仿宋" w:eastAsia="仿宋" w:cs="仿宋"/>
          <w:b w:val="0"/>
          <w:color w:val="000000"/>
          <w:sz w:val="32"/>
          <w:szCs w:val="32"/>
        </w:rPr>
        <w:t>:</w:t>
      </w:r>
      <w:r>
        <w:rPr>
          <w:rStyle w:val="28"/>
          <w:rFonts w:hint="eastAsia" w:ascii="仿宋" w:hAnsi="仿宋" w:eastAsia="仿宋" w:cs="仿宋"/>
          <w:b w:val="0"/>
          <w:sz w:val="32"/>
          <w:szCs w:val="32"/>
        </w:rPr>
        <w:t>反映</w:t>
      </w:r>
      <w:r>
        <w:rPr>
          <w:rStyle w:val="28"/>
          <w:rFonts w:hint="eastAsia" w:ascii="仿宋" w:hAnsi="仿宋" w:eastAsia="仿宋" w:cs="仿宋"/>
          <w:b w:val="0"/>
          <w:color w:val="000000"/>
          <w:sz w:val="32"/>
          <w:szCs w:val="32"/>
        </w:rPr>
        <w:t>卫生健康支出中的在职人员医疗保险。</w:t>
      </w:r>
    </w:p>
    <w:p>
      <w:pPr>
        <w:pageBreakBefore w:val="0"/>
        <w:wordWrap/>
        <w:overflowPunct/>
        <w:topLinePunct w:val="0"/>
        <w:bidi w:val="0"/>
        <w:spacing w:line="580" w:lineRule="exact"/>
        <w:ind w:firstLine="640" w:firstLineChars="200"/>
        <w:rPr>
          <w:rFonts w:hint="eastAsia" w:ascii="仿宋" w:hAnsi="仿宋" w:eastAsia="仿宋" w:cs="仿宋"/>
          <w:sz w:val="32"/>
          <w:szCs w:val="32"/>
          <w:lang w:val="en-US" w:eastAsia="zh-CN" w:bidi="en-AU"/>
        </w:rPr>
      </w:pPr>
      <w:r>
        <w:rPr>
          <w:rFonts w:hint="eastAsia" w:ascii="仿宋" w:hAnsi="仿宋" w:eastAsia="仿宋" w:cs="仿宋"/>
          <w:sz w:val="32"/>
          <w:szCs w:val="32"/>
          <w:lang w:val="en-US" w:eastAsia="zh-CN" w:bidi="en-AU"/>
        </w:rPr>
        <w:t>9.社会保障和就业支出：反映政府在社会保障和就业方面的支出。</w:t>
      </w:r>
    </w:p>
    <w:p>
      <w:pPr>
        <w:pageBreakBefore w:val="0"/>
        <w:wordWrap/>
        <w:overflowPunct/>
        <w:topLinePunct w:val="0"/>
        <w:bidi w:val="0"/>
        <w:spacing w:line="580" w:lineRule="exact"/>
        <w:ind w:firstLine="640" w:firstLineChars="200"/>
        <w:rPr>
          <w:rFonts w:hint="eastAsia" w:ascii="仿宋" w:hAnsi="仿宋" w:eastAsia="仿宋" w:cs="仿宋"/>
          <w:sz w:val="32"/>
          <w:szCs w:val="32"/>
          <w:lang w:val="en-US" w:eastAsia="zh-CN" w:bidi="en-AU"/>
        </w:rPr>
      </w:pPr>
      <w:r>
        <w:rPr>
          <w:rFonts w:hint="eastAsia" w:ascii="仿宋" w:hAnsi="仿宋" w:eastAsia="仿宋" w:cs="仿宋"/>
          <w:sz w:val="32"/>
          <w:szCs w:val="32"/>
          <w:lang w:val="en-US" w:eastAsia="zh-CN" w:bidi="en-AU"/>
        </w:rPr>
        <w:t>社会保障和就业支出-行政事业单位离退休-机关事业单位基本养老保险缴费支出：反映机关事业单位实施养老保险制度由单位缴纳的基本养老保险支出；</w:t>
      </w:r>
    </w:p>
    <w:p>
      <w:pPr>
        <w:pageBreakBefore w:val="0"/>
        <w:wordWrap/>
        <w:overflowPunct/>
        <w:topLinePunct w:val="0"/>
        <w:bidi w:val="0"/>
        <w:spacing w:line="580" w:lineRule="exact"/>
        <w:ind w:firstLine="640" w:firstLineChars="200"/>
        <w:rPr>
          <w:rStyle w:val="28"/>
          <w:rFonts w:hint="eastAsia" w:ascii="仿宋" w:hAnsi="仿宋" w:eastAsia="仿宋" w:cs="仿宋"/>
          <w:b w:val="0"/>
          <w:bCs w:val="0"/>
          <w:color w:val="000000"/>
          <w:sz w:val="32"/>
          <w:szCs w:val="32"/>
          <w:lang w:eastAsia="zh-CN"/>
        </w:rPr>
      </w:pPr>
      <w:r>
        <w:rPr>
          <w:rFonts w:hint="eastAsia" w:ascii="仿宋" w:hAnsi="仿宋" w:eastAsia="仿宋" w:cs="仿宋"/>
          <w:sz w:val="32"/>
          <w:szCs w:val="32"/>
          <w:lang w:val="en-US" w:eastAsia="zh-CN" w:bidi="en-AU"/>
        </w:rPr>
        <w:t>10.住房保障支出：住房保障支出-住房改革支出-住房公积金：反映行政事业单位按人力资源和社会保障部、财政部规定的基本工资和津贴补贴以及规定比例为职工缴纳的住房公积金。</w:t>
      </w:r>
    </w:p>
    <w:p>
      <w:pPr>
        <w:pageBreakBefore w:val="0"/>
        <w:wordWrap/>
        <w:overflowPunct/>
        <w:topLinePunct w:val="0"/>
        <w:bidi w:val="0"/>
        <w:spacing w:line="58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11</w:t>
      </w:r>
      <w:r>
        <w:rPr>
          <w:rFonts w:hint="eastAsia" w:ascii="仿宋" w:hAnsi="仿宋" w:eastAsia="仿宋" w:cs="仿宋"/>
          <w:color w:val="000000"/>
          <w:sz w:val="32"/>
          <w:szCs w:val="32"/>
        </w:rPr>
        <w:t>.基本支出：指为保障机构正常运转、完成日常工作任务而发生的人员支出和公用支出。</w:t>
      </w:r>
    </w:p>
    <w:p>
      <w:pPr>
        <w:pageBreakBefore w:val="0"/>
        <w:wordWrap/>
        <w:overflowPunct/>
        <w:topLinePunct w:val="0"/>
        <w:bidi w:val="0"/>
        <w:spacing w:line="58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12</w:t>
      </w:r>
      <w:r>
        <w:rPr>
          <w:rFonts w:hint="eastAsia" w:ascii="仿宋" w:hAnsi="仿宋" w:eastAsia="仿宋" w:cs="仿宋"/>
          <w:color w:val="000000"/>
          <w:sz w:val="32"/>
          <w:szCs w:val="32"/>
        </w:rPr>
        <w:t>.项目支出：指在基本支出之外为完成特定行政任务和事业发展目标所发生的支出。</w:t>
      </w:r>
    </w:p>
    <w:p>
      <w:pPr>
        <w:pStyle w:val="36"/>
        <w:pageBreakBefore w:val="0"/>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13</w:t>
      </w:r>
      <w:r>
        <w:rPr>
          <w:rFonts w:hint="eastAsia" w:ascii="仿宋" w:hAnsi="仿宋" w:eastAsia="仿宋" w:cs="仿宋"/>
          <w:sz w:val="32"/>
          <w:szCs w:val="32"/>
        </w:rPr>
        <w:t>.“三公”经费：指</w:t>
      </w:r>
      <w:r>
        <w:rPr>
          <w:rFonts w:hint="eastAsia" w:ascii="仿宋" w:hAnsi="仿宋" w:eastAsia="仿宋" w:cs="仿宋"/>
          <w:sz w:val="32"/>
          <w:szCs w:val="32"/>
          <w:lang w:eastAsia="zh-CN"/>
        </w:rPr>
        <w:t>单位</w:t>
      </w:r>
      <w:r>
        <w:rPr>
          <w:rFonts w:hint="eastAsia" w:ascii="仿宋" w:hAnsi="仿宋" w:eastAsia="仿宋" w:cs="仿宋"/>
          <w:sz w:val="32"/>
          <w:szCs w:val="32"/>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6"/>
        <w:pageBreakBefore w:val="0"/>
        <w:kinsoku/>
        <w:wordWrap/>
        <w:overflowPunct/>
        <w:topLinePunct w:val="0"/>
        <w:bidi w:val="0"/>
        <w:spacing w:afterAutospacing="0" w:line="580" w:lineRule="exact"/>
        <w:ind w:firstLine="640" w:firstLineChars="200"/>
        <w:rPr>
          <w:rFonts w:hint="eastAsia" w:ascii="仿宋" w:hAnsi="仿宋" w:eastAsia="仿宋" w:cs="仿宋"/>
          <w:color w:val="000000"/>
          <w:sz w:val="44"/>
          <w:szCs w:val="44"/>
        </w:rPr>
      </w:pPr>
      <w:r>
        <w:rPr>
          <w:rFonts w:hint="eastAsia" w:ascii="仿宋" w:hAnsi="仿宋" w:eastAsia="仿宋" w:cs="仿宋"/>
          <w:sz w:val="32"/>
          <w:szCs w:val="32"/>
          <w:lang w:val="en-US" w:eastAsia="zh-CN"/>
        </w:rPr>
        <w:t>14</w:t>
      </w:r>
      <w:r>
        <w:rPr>
          <w:rFonts w:hint="eastAsia" w:ascii="仿宋" w:hAnsi="仿宋" w:eastAsia="仿宋" w:cs="仿宋"/>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133" w:name="_Toc28740"/>
      <w:bookmarkStart w:id="134" w:name="_Toc15396614"/>
      <w:bookmarkStart w:id="135" w:name="_Toc15377226"/>
    </w:p>
    <w:p>
      <w:pPr>
        <w:pageBreakBefore w:val="0"/>
        <w:wordWrap/>
        <w:overflowPunct/>
        <w:topLinePunct w:val="0"/>
        <w:bidi w:val="0"/>
        <w:spacing w:beforeAutospacing="0" w:after="110" w:afterLines="35" w:afterAutospacing="0" w:line="240" w:lineRule="auto"/>
        <w:jc w:val="center"/>
        <w:outlineLvl w:val="0"/>
        <w:rPr>
          <w:rFonts w:hint="eastAsia" w:ascii="黑体" w:hAnsi="黑体" w:eastAsia="黑体"/>
          <w:color w:val="000000"/>
          <w:sz w:val="44"/>
          <w:szCs w:val="44"/>
        </w:rPr>
      </w:pPr>
      <w:bookmarkStart w:id="136" w:name="_Toc11555"/>
      <w:bookmarkStart w:id="137" w:name="_Toc20509"/>
    </w:p>
    <w:p>
      <w:pPr>
        <w:pageBreakBefore w:val="0"/>
        <w:wordWrap/>
        <w:overflowPunct/>
        <w:topLinePunct w:val="0"/>
        <w:bidi w:val="0"/>
        <w:spacing w:beforeAutospacing="0" w:after="110" w:afterLines="35" w:afterAutospacing="0" w:line="240" w:lineRule="auto"/>
        <w:jc w:val="center"/>
        <w:outlineLvl w:val="0"/>
        <w:rPr>
          <w:rFonts w:hint="eastAsia" w:ascii="黑体" w:hAnsi="黑体" w:eastAsia="黑体"/>
          <w:color w:val="000000"/>
          <w:sz w:val="44"/>
          <w:szCs w:val="44"/>
        </w:rPr>
      </w:pPr>
    </w:p>
    <w:p>
      <w:pPr>
        <w:pageBreakBefore w:val="0"/>
        <w:wordWrap/>
        <w:overflowPunct/>
        <w:topLinePunct w:val="0"/>
        <w:bidi w:val="0"/>
        <w:spacing w:beforeAutospacing="0" w:after="110" w:afterLines="35" w:afterAutospacing="0" w:line="240" w:lineRule="auto"/>
        <w:jc w:val="center"/>
        <w:outlineLvl w:val="0"/>
        <w:rPr>
          <w:rFonts w:hint="eastAsia" w:ascii="黑体" w:hAnsi="黑体" w:eastAsia="黑体"/>
          <w:color w:val="000000"/>
          <w:sz w:val="44"/>
          <w:szCs w:val="44"/>
        </w:rPr>
      </w:pPr>
    </w:p>
    <w:p>
      <w:pPr>
        <w:pageBreakBefore w:val="0"/>
        <w:wordWrap/>
        <w:overflowPunct/>
        <w:topLinePunct w:val="0"/>
        <w:bidi w:val="0"/>
        <w:spacing w:beforeAutospacing="0" w:after="110" w:afterLines="35" w:afterAutospacing="0" w:line="240" w:lineRule="auto"/>
        <w:jc w:val="center"/>
        <w:outlineLvl w:val="0"/>
        <w:rPr>
          <w:rFonts w:hint="eastAsia" w:ascii="黑体" w:hAnsi="黑体" w:eastAsia="黑体"/>
          <w:color w:val="000000"/>
          <w:sz w:val="44"/>
          <w:szCs w:val="44"/>
        </w:rPr>
      </w:pPr>
    </w:p>
    <w:p>
      <w:pPr>
        <w:pageBreakBefore w:val="0"/>
        <w:wordWrap/>
        <w:overflowPunct/>
        <w:topLinePunct w:val="0"/>
        <w:bidi w:val="0"/>
        <w:spacing w:beforeAutospacing="0" w:after="110" w:afterLines="35" w:afterAutospacing="0" w:line="240" w:lineRule="auto"/>
        <w:jc w:val="center"/>
        <w:outlineLvl w:val="0"/>
        <w:rPr>
          <w:rFonts w:hint="eastAsia" w:ascii="黑体" w:hAnsi="黑体" w:eastAsia="黑体"/>
          <w:color w:val="000000"/>
          <w:sz w:val="44"/>
          <w:szCs w:val="44"/>
        </w:rPr>
      </w:pPr>
    </w:p>
    <w:p>
      <w:pPr>
        <w:pageBreakBefore w:val="0"/>
        <w:wordWrap/>
        <w:overflowPunct/>
        <w:topLinePunct w:val="0"/>
        <w:bidi w:val="0"/>
        <w:spacing w:beforeAutospacing="0" w:after="110" w:afterLines="35" w:afterAutospacing="0" w:line="240" w:lineRule="auto"/>
        <w:jc w:val="center"/>
        <w:outlineLvl w:val="0"/>
        <w:rPr>
          <w:rFonts w:hint="eastAsia" w:ascii="黑体" w:hAnsi="黑体" w:eastAsia="黑体"/>
          <w:color w:val="000000"/>
          <w:sz w:val="44"/>
          <w:szCs w:val="44"/>
        </w:rPr>
      </w:pPr>
    </w:p>
    <w:p>
      <w:pPr>
        <w:pageBreakBefore w:val="0"/>
        <w:wordWrap/>
        <w:overflowPunct/>
        <w:topLinePunct w:val="0"/>
        <w:bidi w:val="0"/>
        <w:spacing w:beforeAutospacing="0" w:after="110" w:afterLines="35" w:afterAutospacing="0" w:line="240" w:lineRule="auto"/>
        <w:jc w:val="center"/>
        <w:outlineLvl w:val="0"/>
        <w:rPr>
          <w:rFonts w:hint="eastAsia" w:ascii="黑体" w:hAnsi="黑体" w:eastAsia="黑体"/>
          <w:color w:val="000000"/>
          <w:sz w:val="44"/>
          <w:szCs w:val="44"/>
        </w:rPr>
      </w:pPr>
    </w:p>
    <w:p>
      <w:pPr>
        <w:pageBreakBefore w:val="0"/>
        <w:wordWrap/>
        <w:overflowPunct/>
        <w:topLinePunct w:val="0"/>
        <w:bidi w:val="0"/>
        <w:spacing w:beforeAutospacing="0" w:after="110" w:afterLines="35" w:afterAutospacing="0" w:line="240" w:lineRule="auto"/>
        <w:jc w:val="center"/>
        <w:outlineLvl w:val="0"/>
        <w:rPr>
          <w:rFonts w:hint="eastAsia" w:ascii="黑体" w:hAnsi="黑体" w:eastAsia="黑体"/>
          <w:color w:val="000000"/>
          <w:sz w:val="44"/>
          <w:szCs w:val="44"/>
        </w:rPr>
      </w:pPr>
    </w:p>
    <w:p>
      <w:pPr>
        <w:pageBreakBefore w:val="0"/>
        <w:wordWrap/>
        <w:overflowPunct/>
        <w:topLinePunct w:val="0"/>
        <w:bidi w:val="0"/>
        <w:spacing w:beforeAutospacing="0" w:after="110" w:afterLines="35" w:afterAutospacing="0" w:line="240" w:lineRule="auto"/>
        <w:jc w:val="center"/>
        <w:outlineLvl w:val="0"/>
        <w:rPr>
          <w:rFonts w:hint="eastAsia" w:ascii="黑体" w:hAnsi="黑体" w:eastAsia="黑体"/>
          <w:color w:val="000000"/>
          <w:sz w:val="44"/>
          <w:szCs w:val="44"/>
        </w:rPr>
      </w:pPr>
    </w:p>
    <w:p>
      <w:pPr>
        <w:pageBreakBefore w:val="0"/>
        <w:wordWrap/>
        <w:overflowPunct/>
        <w:topLinePunct w:val="0"/>
        <w:bidi w:val="0"/>
        <w:spacing w:beforeAutospacing="0" w:after="110" w:afterLines="35" w:afterAutospacing="0" w:line="240" w:lineRule="auto"/>
        <w:jc w:val="center"/>
        <w:outlineLvl w:val="0"/>
        <w:rPr>
          <w:rFonts w:hint="eastAsia" w:ascii="黑体" w:hAnsi="黑体" w:eastAsia="黑体"/>
          <w:color w:val="000000"/>
          <w:sz w:val="44"/>
          <w:szCs w:val="44"/>
        </w:rPr>
      </w:pPr>
    </w:p>
    <w:p>
      <w:pPr>
        <w:pageBreakBefore w:val="0"/>
        <w:wordWrap/>
        <w:overflowPunct/>
        <w:topLinePunct w:val="0"/>
        <w:bidi w:val="0"/>
        <w:spacing w:beforeAutospacing="0" w:after="110" w:afterLines="35" w:afterAutospacing="0" w:line="240" w:lineRule="auto"/>
        <w:jc w:val="center"/>
        <w:outlineLvl w:val="0"/>
        <w:rPr>
          <w:rFonts w:hint="eastAsia" w:ascii="黑体" w:hAnsi="黑体" w:eastAsia="黑体"/>
          <w:color w:val="000000"/>
          <w:sz w:val="44"/>
          <w:szCs w:val="44"/>
        </w:rPr>
      </w:pPr>
    </w:p>
    <w:p>
      <w:pPr>
        <w:pageBreakBefore w:val="0"/>
        <w:wordWrap/>
        <w:overflowPunct/>
        <w:topLinePunct w:val="0"/>
        <w:bidi w:val="0"/>
        <w:spacing w:beforeAutospacing="0" w:after="110" w:afterLines="35" w:afterAutospacing="0" w:line="240" w:lineRule="auto"/>
        <w:jc w:val="center"/>
        <w:outlineLvl w:val="0"/>
        <w:rPr>
          <w:rFonts w:hint="eastAsia" w:ascii="黑体" w:hAnsi="黑体" w:eastAsia="黑体"/>
          <w:color w:val="000000"/>
          <w:sz w:val="44"/>
          <w:szCs w:val="44"/>
        </w:rPr>
      </w:pPr>
    </w:p>
    <w:p>
      <w:pPr>
        <w:pageBreakBefore w:val="0"/>
        <w:wordWrap/>
        <w:overflowPunct/>
        <w:topLinePunct w:val="0"/>
        <w:bidi w:val="0"/>
        <w:spacing w:beforeAutospacing="0" w:after="110" w:afterLines="35" w:afterAutospacing="0" w:line="240" w:lineRule="auto"/>
        <w:jc w:val="center"/>
        <w:outlineLvl w:val="0"/>
        <w:rPr>
          <w:rStyle w:val="12"/>
          <w:rFonts w:ascii="黑体" w:hAnsi="黑体" w:eastAsia="黑体"/>
          <w:b w:val="0"/>
        </w:rPr>
      </w:pPr>
      <w:r>
        <w:rPr>
          <w:rFonts w:hint="eastAsia" w:ascii="黑体" w:hAnsi="黑体" w:eastAsia="黑体"/>
          <w:color w:val="000000"/>
          <w:sz w:val="44"/>
          <w:szCs w:val="44"/>
        </w:rPr>
        <w:t>第</w:t>
      </w:r>
      <w:r>
        <w:rPr>
          <w:rStyle w:val="12"/>
          <w:rFonts w:hint="eastAsia" w:ascii="黑体" w:hAnsi="黑体" w:eastAsia="黑体"/>
          <w:b w:val="0"/>
        </w:rPr>
        <w:t>四部分</w:t>
      </w:r>
      <w:r>
        <w:rPr>
          <w:rStyle w:val="12"/>
          <w:rFonts w:ascii="黑体" w:hAnsi="黑体" w:eastAsia="黑体"/>
          <w:b w:val="0"/>
        </w:rPr>
        <w:t xml:space="preserve"> </w:t>
      </w:r>
      <w:r>
        <w:rPr>
          <w:rStyle w:val="12"/>
          <w:rFonts w:hint="eastAsia" w:ascii="黑体" w:hAnsi="黑体" w:eastAsia="黑体"/>
          <w:b w:val="0"/>
        </w:rPr>
        <w:t>附件</w:t>
      </w:r>
      <w:bookmarkEnd w:id="133"/>
      <w:bookmarkEnd w:id="134"/>
      <w:bookmarkEnd w:id="136"/>
      <w:bookmarkEnd w:id="137"/>
    </w:p>
    <w:tbl>
      <w:tblPr>
        <w:tblStyle w:val="9"/>
        <w:tblW w:w="8380" w:type="dxa"/>
        <w:jc w:val="center"/>
        <w:shd w:val="clear" w:color="auto" w:fill="auto"/>
        <w:tblLayout w:type="fixed"/>
        <w:tblCellMar>
          <w:top w:w="0" w:type="dxa"/>
          <w:left w:w="0" w:type="dxa"/>
          <w:bottom w:w="0" w:type="dxa"/>
          <w:right w:w="0" w:type="dxa"/>
        </w:tblCellMar>
      </w:tblPr>
      <w:tblGrid>
        <w:gridCol w:w="866"/>
        <w:gridCol w:w="1347"/>
        <w:gridCol w:w="503"/>
        <w:gridCol w:w="995"/>
        <w:gridCol w:w="359"/>
        <w:gridCol w:w="424"/>
        <w:gridCol w:w="698"/>
        <w:gridCol w:w="924"/>
        <w:gridCol w:w="515"/>
        <w:gridCol w:w="871"/>
        <w:gridCol w:w="878"/>
      </w:tblGrid>
      <w:tr>
        <w:tblPrEx>
          <w:shd w:val="clear" w:color="auto" w:fill="auto"/>
          <w:tblCellMar>
            <w:top w:w="0" w:type="dxa"/>
            <w:left w:w="0" w:type="dxa"/>
            <w:bottom w:w="0" w:type="dxa"/>
            <w:right w:w="0" w:type="dxa"/>
          </w:tblCellMar>
        </w:tblPrEx>
        <w:trPr>
          <w:trHeight w:val="652" w:hRule="atLeast"/>
          <w:jc w:val="center"/>
        </w:trPr>
        <w:tc>
          <w:tcPr>
            <w:tcW w:w="8380" w:type="dxa"/>
            <w:gridSpan w:val="11"/>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en-AU"/>
              </w:rPr>
              <w:t>部门预算项目支出绩效自评表（2022年度）</w:t>
            </w:r>
          </w:p>
        </w:tc>
      </w:tr>
      <w:tr>
        <w:tblPrEx>
          <w:tblCellMar>
            <w:top w:w="0" w:type="dxa"/>
            <w:left w:w="0" w:type="dxa"/>
            <w:bottom w:w="0" w:type="dxa"/>
            <w:right w:w="0" w:type="dxa"/>
          </w:tblCellMar>
        </w:tblPrEx>
        <w:trPr>
          <w:trHeight w:val="416" w:hRule="atLeast"/>
          <w:jc w:val="center"/>
        </w:trPr>
        <w:tc>
          <w:tcPr>
            <w:tcW w:w="2213"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项目名称</w:t>
            </w:r>
          </w:p>
        </w:tc>
        <w:tc>
          <w:tcPr>
            <w:tcW w:w="6167" w:type="dxa"/>
            <w:gridSpan w:val="9"/>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51081122T000006832293-二类疫苗服务费</w:t>
            </w:r>
          </w:p>
        </w:tc>
      </w:tr>
      <w:tr>
        <w:tblPrEx>
          <w:tblCellMar>
            <w:top w:w="0" w:type="dxa"/>
            <w:left w:w="0" w:type="dxa"/>
            <w:bottom w:w="0" w:type="dxa"/>
            <w:right w:w="0" w:type="dxa"/>
          </w:tblCellMar>
        </w:tblPrEx>
        <w:trPr>
          <w:trHeight w:val="652" w:hRule="atLeast"/>
          <w:jc w:val="center"/>
        </w:trPr>
        <w:tc>
          <w:tcPr>
            <w:tcW w:w="2213"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主管部门</w:t>
            </w:r>
          </w:p>
        </w:tc>
        <w:tc>
          <w:tcPr>
            <w:tcW w:w="2979" w:type="dxa"/>
            <w:gridSpan w:val="5"/>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广元市昭化区卫生健康局部门</w:t>
            </w:r>
          </w:p>
        </w:tc>
        <w:tc>
          <w:tcPr>
            <w:tcW w:w="924" w:type="dxa"/>
            <w:tcBorders>
              <w:top w:val="nil"/>
              <w:left w:val="nil"/>
              <w:bottom w:val="nil"/>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en-AU"/>
              </w:rPr>
              <w:t>实施单位 （盖章）</w:t>
            </w:r>
          </w:p>
        </w:tc>
        <w:tc>
          <w:tcPr>
            <w:tcW w:w="2264"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en-AU"/>
              </w:rPr>
              <w:t>白果</w:t>
            </w:r>
            <w:r>
              <w:rPr>
                <w:rFonts w:ascii="宋体" w:hAnsi="宋体" w:eastAsia="宋体" w:cs="宋体"/>
                <w:i w:val="0"/>
                <w:color w:val="000000"/>
                <w:kern w:val="0"/>
                <w:sz w:val="18"/>
                <w:szCs w:val="18"/>
                <w:u w:val="none"/>
                <w:lang w:val="en-US" w:eastAsia="zh-CN" w:bidi="en-AU"/>
              </w:rPr>
              <w:t>乡卫生院</w:t>
            </w:r>
          </w:p>
        </w:tc>
      </w:tr>
      <w:tr>
        <w:tblPrEx>
          <w:tblCellMar>
            <w:top w:w="0" w:type="dxa"/>
            <w:left w:w="0" w:type="dxa"/>
            <w:bottom w:w="0" w:type="dxa"/>
            <w:right w:w="0" w:type="dxa"/>
          </w:tblCellMar>
        </w:tblPrEx>
        <w:trPr>
          <w:trHeight w:val="336" w:hRule="atLeast"/>
          <w:jc w:val="center"/>
        </w:trPr>
        <w:tc>
          <w:tcPr>
            <w:tcW w:w="866"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项目基本情况</w:t>
            </w:r>
          </w:p>
        </w:tc>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1.项目年度目标完成情况</w:t>
            </w:r>
          </w:p>
        </w:tc>
        <w:tc>
          <w:tcPr>
            <w:tcW w:w="2979" w:type="dxa"/>
            <w:gridSpan w:val="5"/>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项目年度目标</w:t>
            </w:r>
          </w:p>
        </w:tc>
        <w:tc>
          <w:tcPr>
            <w:tcW w:w="3188"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en-AU"/>
              </w:rPr>
              <w:t>年度目标完成情况</w:t>
            </w:r>
          </w:p>
        </w:tc>
      </w:tr>
      <w:tr>
        <w:tblPrEx>
          <w:tblCellMar>
            <w:top w:w="0" w:type="dxa"/>
            <w:left w:w="0" w:type="dxa"/>
            <w:bottom w:w="0" w:type="dxa"/>
            <w:right w:w="0" w:type="dxa"/>
          </w:tblCellMar>
        </w:tblPrEx>
        <w:trPr>
          <w:trHeight w:val="336" w:hRule="atLeast"/>
          <w:jc w:val="center"/>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2979" w:type="dxa"/>
            <w:gridSpan w:val="5"/>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 xml:space="preserve">           2.19万元</w:t>
            </w:r>
          </w:p>
        </w:tc>
        <w:tc>
          <w:tcPr>
            <w:tcW w:w="3188"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lang w:val="en-US"/>
              </w:rPr>
            </w:pPr>
            <w:r>
              <w:rPr>
                <w:rFonts w:hint="eastAsia" w:ascii="黑体" w:hAnsi="黑体" w:eastAsia="黑体" w:cs="黑体"/>
                <w:i w:val="0"/>
                <w:color w:val="000000"/>
                <w:kern w:val="0"/>
                <w:sz w:val="18"/>
                <w:szCs w:val="18"/>
                <w:u w:val="none"/>
                <w:lang w:val="en-US" w:eastAsia="zh-CN" w:bidi="en-AU"/>
              </w:rPr>
              <w:t>100%</w:t>
            </w:r>
          </w:p>
        </w:tc>
      </w:tr>
      <w:tr>
        <w:tblPrEx>
          <w:tblCellMar>
            <w:top w:w="0" w:type="dxa"/>
            <w:left w:w="0" w:type="dxa"/>
            <w:bottom w:w="0" w:type="dxa"/>
            <w:right w:w="0" w:type="dxa"/>
          </w:tblCellMar>
        </w:tblPrEx>
        <w:trPr>
          <w:trHeight w:val="968" w:hRule="atLeast"/>
          <w:jc w:val="center"/>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2.项目实施内容及过程概述</w:t>
            </w:r>
          </w:p>
        </w:tc>
        <w:tc>
          <w:tcPr>
            <w:tcW w:w="6167" w:type="dxa"/>
            <w:gridSpan w:val="9"/>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按照《四川省发展和改革委员会四川省财政厅关于疫苗预防接种服务收费标准及有关问题的通知》（川发改价格〔2020〕640号）文件精神，二类疫苗接种服务费收入全额上缴国库，纳入财政预算管理。</w:t>
            </w:r>
          </w:p>
        </w:tc>
      </w:tr>
      <w:tr>
        <w:tblPrEx>
          <w:tblCellMar>
            <w:top w:w="0" w:type="dxa"/>
            <w:left w:w="0" w:type="dxa"/>
            <w:bottom w:w="0" w:type="dxa"/>
            <w:right w:w="0" w:type="dxa"/>
          </w:tblCellMar>
        </w:tblPrEx>
        <w:trPr>
          <w:trHeight w:val="652" w:hRule="atLeast"/>
          <w:jc w:val="center"/>
        </w:trPr>
        <w:tc>
          <w:tcPr>
            <w:tcW w:w="866"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预算执行情况（10分）</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年度预算数（万元）</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年初预算</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调整后预算数</w:t>
            </w:r>
          </w:p>
        </w:tc>
        <w:tc>
          <w:tcPr>
            <w:tcW w:w="1481"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预算执行数</w:t>
            </w:r>
          </w:p>
        </w:tc>
        <w:tc>
          <w:tcPr>
            <w:tcW w:w="92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预算执行率</w:t>
            </w:r>
          </w:p>
        </w:tc>
        <w:tc>
          <w:tcPr>
            <w:tcW w:w="51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权重</w:t>
            </w:r>
          </w:p>
        </w:tc>
        <w:tc>
          <w:tcPr>
            <w:tcW w:w="87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得分</w:t>
            </w:r>
          </w:p>
        </w:tc>
        <w:tc>
          <w:tcPr>
            <w:tcW w:w="878" w:type="dxa"/>
            <w:tcBorders>
              <w:top w:val="single" w:color="000000" w:sz="4" w:space="0"/>
              <w:left w:val="single" w:color="000000" w:sz="4" w:space="0"/>
              <w:bottom w:val="nil"/>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未完成原因分析</w:t>
            </w:r>
          </w:p>
        </w:tc>
      </w:tr>
      <w:tr>
        <w:tblPrEx>
          <w:tblCellMar>
            <w:top w:w="0" w:type="dxa"/>
            <w:left w:w="0" w:type="dxa"/>
            <w:bottom w:w="0" w:type="dxa"/>
            <w:right w:w="0" w:type="dxa"/>
          </w:tblCellMar>
        </w:tblPrEx>
        <w:trPr>
          <w:trHeight w:val="336" w:hRule="atLeast"/>
          <w:jc w:val="center"/>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总额</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ascii="宋体" w:hAnsi="宋体" w:eastAsia="宋体" w:cs="宋体"/>
                <w:i w:val="0"/>
                <w:color w:val="000000"/>
                <w:kern w:val="0"/>
                <w:sz w:val="18"/>
                <w:szCs w:val="18"/>
                <w:u w:val="none"/>
                <w:lang w:val="en-US" w:eastAsia="zh-CN" w:bidi="en-AU"/>
              </w:rPr>
              <w:t>2.1</w:t>
            </w:r>
            <w:r>
              <w:rPr>
                <w:rFonts w:hint="eastAsia" w:ascii="宋体" w:hAnsi="宋体" w:eastAsia="宋体" w:cs="宋体"/>
                <w:i w:val="0"/>
                <w:color w:val="000000"/>
                <w:kern w:val="0"/>
                <w:sz w:val="18"/>
                <w:szCs w:val="18"/>
                <w:u w:val="none"/>
                <w:lang w:val="en-US" w:eastAsia="zh-CN" w:bidi="en-AU"/>
              </w:rPr>
              <w:t>9</w:t>
            </w:r>
          </w:p>
        </w:tc>
        <w:tc>
          <w:tcPr>
            <w:tcW w:w="1481"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ascii="宋体" w:hAnsi="宋体" w:eastAsia="宋体" w:cs="宋体"/>
                <w:i w:val="0"/>
                <w:color w:val="000000"/>
                <w:kern w:val="0"/>
                <w:sz w:val="18"/>
                <w:szCs w:val="18"/>
                <w:u w:val="none"/>
                <w:lang w:val="en-US" w:eastAsia="zh-CN" w:bidi="en-AU"/>
              </w:rPr>
              <w:t>2.1</w:t>
            </w:r>
            <w:r>
              <w:rPr>
                <w:rFonts w:hint="eastAsia" w:ascii="宋体" w:hAnsi="宋体" w:eastAsia="宋体" w:cs="宋体"/>
                <w:i w:val="0"/>
                <w:color w:val="000000"/>
                <w:kern w:val="0"/>
                <w:sz w:val="18"/>
                <w:szCs w:val="18"/>
                <w:u w:val="none"/>
                <w:lang w:val="en-US" w:eastAsia="zh-CN" w:bidi="en-AU"/>
              </w:rPr>
              <w:t>9</w:t>
            </w:r>
          </w:p>
        </w:tc>
        <w:tc>
          <w:tcPr>
            <w:tcW w:w="92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100.00%</w:t>
            </w:r>
          </w:p>
        </w:tc>
        <w:tc>
          <w:tcPr>
            <w:tcW w:w="51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w:t>
            </w:r>
          </w:p>
        </w:tc>
        <w:tc>
          <w:tcPr>
            <w:tcW w:w="871" w:type="dxa"/>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trHeight w:val="506" w:hRule="atLeast"/>
          <w:jc w:val="center"/>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其中：财政资金</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ascii="宋体" w:hAnsi="宋体" w:eastAsia="宋体" w:cs="宋体"/>
                <w:i w:val="0"/>
                <w:color w:val="000000"/>
                <w:kern w:val="0"/>
                <w:sz w:val="18"/>
                <w:szCs w:val="18"/>
                <w:u w:val="none"/>
                <w:lang w:val="en-US" w:eastAsia="zh-CN" w:bidi="en-AU"/>
              </w:rPr>
              <w:t>2.1</w:t>
            </w:r>
            <w:r>
              <w:rPr>
                <w:rFonts w:hint="eastAsia" w:ascii="宋体" w:hAnsi="宋体" w:eastAsia="宋体" w:cs="宋体"/>
                <w:i w:val="0"/>
                <w:color w:val="000000"/>
                <w:kern w:val="0"/>
                <w:sz w:val="18"/>
                <w:szCs w:val="18"/>
                <w:u w:val="none"/>
                <w:lang w:val="en-US" w:eastAsia="zh-CN" w:bidi="en-AU"/>
              </w:rPr>
              <w:t>9</w:t>
            </w:r>
          </w:p>
        </w:tc>
        <w:tc>
          <w:tcPr>
            <w:tcW w:w="1481"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ascii="宋体" w:hAnsi="宋体" w:eastAsia="宋体" w:cs="宋体"/>
                <w:i w:val="0"/>
                <w:color w:val="000000"/>
                <w:kern w:val="0"/>
                <w:sz w:val="18"/>
                <w:szCs w:val="18"/>
                <w:u w:val="none"/>
                <w:lang w:val="en-US" w:eastAsia="zh-CN" w:bidi="en-AU"/>
              </w:rPr>
              <w:t>2.1</w:t>
            </w:r>
            <w:r>
              <w:rPr>
                <w:rFonts w:hint="eastAsia" w:ascii="宋体" w:hAnsi="宋体" w:eastAsia="宋体" w:cs="宋体"/>
                <w:i w:val="0"/>
                <w:color w:val="000000"/>
                <w:kern w:val="0"/>
                <w:sz w:val="18"/>
                <w:szCs w:val="18"/>
                <w:u w:val="none"/>
                <w:lang w:val="en-US" w:eastAsia="zh-CN" w:bidi="en-AU"/>
              </w:rPr>
              <w:t>9</w:t>
            </w:r>
          </w:p>
        </w:tc>
        <w:tc>
          <w:tcPr>
            <w:tcW w:w="92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100.00%</w:t>
            </w:r>
          </w:p>
        </w:tc>
        <w:tc>
          <w:tcPr>
            <w:tcW w:w="51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871" w:type="dxa"/>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trHeight w:val="652" w:hRule="atLeast"/>
          <w:jc w:val="center"/>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财政专户管理资金</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1481"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92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51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871" w:type="dxa"/>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trHeight w:val="336" w:hRule="atLeast"/>
          <w:jc w:val="center"/>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单位资金</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1481"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92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51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871" w:type="dxa"/>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trHeight w:val="336" w:hRule="atLeast"/>
          <w:jc w:val="center"/>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其他资金</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1481" w:type="dxa"/>
            <w:gridSpan w:val="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871" w:type="dxa"/>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trHeight w:val="730" w:hRule="atLeast"/>
          <w:jc w:val="center"/>
        </w:trPr>
        <w:tc>
          <w:tcPr>
            <w:tcW w:w="866"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绩效指标（90分）</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一级指标</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二级指标</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三级指标</w:t>
            </w:r>
          </w:p>
        </w:tc>
        <w:tc>
          <w:tcPr>
            <w:tcW w:w="35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指标性质</w:t>
            </w:r>
          </w:p>
        </w:tc>
        <w:tc>
          <w:tcPr>
            <w:tcW w:w="42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指标值</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度量单位</w:t>
            </w:r>
          </w:p>
        </w:tc>
        <w:tc>
          <w:tcPr>
            <w:tcW w:w="92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完成值</w:t>
            </w:r>
          </w:p>
        </w:tc>
        <w:tc>
          <w:tcPr>
            <w:tcW w:w="51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权重</w:t>
            </w:r>
          </w:p>
        </w:tc>
        <w:tc>
          <w:tcPr>
            <w:tcW w:w="871" w:type="dxa"/>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得分</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36" w:hRule="atLeast"/>
          <w:jc w:val="center"/>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35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42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878" w:type="dxa"/>
            <w:tcBorders>
              <w:top w:val="nil"/>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36" w:hRule="atLeast"/>
          <w:jc w:val="center"/>
        </w:trPr>
        <w:tc>
          <w:tcPr>
            <w:tcW w:w="6116" w:type="dxa"/>
            <w:gridSpan w:val="8"/>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合计</w:t>
            </w:r>
          </w:p>
        </w:tc>
        <w:tc>
          <w:tcPr>
            <w:tcW w:w="51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w:t>
            </w:r>
          </w:p>
        </w:tc>
        <w:tc>
          <w:tcPr>
            <w:tcW w:w="87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25" w:hRule="atLeast"/>
          <w:jc w:val="center"/>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评价结论</w:t>
            </w:r>
          </w:p>
        </w:tc>
        <w:tc>
          <w:tcPr>
            <w:tcW w:w="7514" w:type="dxa"/>
            <w:gridSpan w:val="10"/>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en-AU"/>
              </w:rPr>
              <w:t>二类疫苗接种服务费收入全额上缴国库，纳入财政预算管理，实施效果较好</w:t>
            </w:r>
          </w:p>
        </w:tc>
      </w:tr>
      <w:tr>
        <w:tblPrEx>
          <w:tblCellMar>
            <w:top w:w="0" w:type="dxa"/>
            <w:left w:w="0" w:type="dxa"/>
            <w:bottom w:w="0" w:type="dxa"/>
            <w:right w:w="0" w:type="dxa"/>
          </w:tblCellMar>
        </w:tblPrEx>
        <w:trPr>
          <w:trHeight w:val="336" w:hRule="atLeast"/>
          <w:jc w:val="center"/>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存在问题</w:t>
            </w:r>
          </w:p>
        </w:tc>
        <w:tc>
          <w:tcPr>
            <w:tcW w:w="7514" w:type="dxa"/>
            <w:gridSpan w:val="10"/>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en-AU"/>
              </w:rPr>
              <w:t>无</w:t>
            </w:r>
          </w:p>
        </w:tc>
      </w:tr>
      <w:tr>
        <w:tblPrEx>
          <w:tblCellMar>
            <w:top w:w="0" w:type="dxa"/>
            <w:left w:w="0" w:type="dxa"/>
            <w:bottom w:w="0" w:type="dxa"/>
            <w:right w:w="0" w:type="dxa"/>
          </w:tblCellMar>
        </w:tblPrEx>
        <w:trPr>
          <w:trHeight w:val="336" w:hRule="atLeast"/>
          <w:jc w:val="center"/>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改进措施</w:t>
            </w:r>
          </w:p>
        </w:tc>
        <w:tc>
          <w:tcPr>
            <w:tcW w:w="7514" w:type="dxa"/>
            <w:gridSpan w:val="10"/>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en-AU"/>
              </w:rPr>
              <w:t>无</w:t>
            </w:r>
          </w:p>
        </w:tc>
      </w:tr>
      <w:tr>
        <w:tblPrEx>
          <w:tblCellMar>
            <w:top w:w="0" w:type="dxa"/>
            <w:left w:w="0" w:type="dxa"/>
            <w:bottom w:w="0" w:type="dxa"/>
            <w:right w:w="0" w:type="dxa"/>
          </w:tblCellMar>
        </w:tblPrEx>
        <w:trPr>
          <w:trHeight w:val="346" w:hRule="atLeast"/>
          <w:jc w:val="center"/>
        </w:trPr>
        <w:tc>
          <w:tcPr>
            <w:tcW w:w="4070" w:type="dxa"/>
            <w:gridSpan w:val="5"/>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en-AU"/>
              </w:rPr>
              <w:t>项目负责人：</w:t>
            </w:r>
          </w:p>
        </w:tc>
        <w:tc>
          <w:tcPr>
            <w:tcW w:w="4310" w:type="dxa"/>
            <w:gridSpan w:val="6"/>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en-AU"/>
              </w:rPr>
              <w:t>财务负责人：</w:t>
            </w:r>
          </w:p>
        </w:tc>
      </w:tr>
    </w:tbl>
    <w:p>
      <w:pPr>
        <w:keepNext w:val="0"/>
        <w:keepLines w:val="0"/>
        <w:pageBreakBefore w:val="0"/>
        <w:widowControl/>
        <w:numPr>
          <w:ilvl w:val="0"/>
          <w:numId w:val="0"/>
        </w:numPr>
        <w:pBdr>
          <w:bottom w:val="single" w:color="FFFFFF" w:sz="8" w:space="31"/>
        </w:pBdr>
        <w:shd w:val="clear" w:color="auto" w:fill="FFFFFF"/>
        <w:tabs>
          <w:tab w:val="left" w:pos="219"/>
        </w:tabs>
        <w:kinsoku/>
        <w:wordWrap/>
        <w:overflowPunct/>
        <w:topLinePunct w:val="0"/>
        <w:autoSpaceDE/>
        <w:autoSpaceDN/>
        <w:bidi w:val="0"/>
        <w:adjustRightInd/>
        <w:snapToGrid/>
        <w:spacing w:before="471" w:beforeLines="150" w:beforeAutospacing="0" w:after="256" w:afterLines="82" w:afterAutospacing="0" w:line="500" w:lineRule="exact"/>
        <w:ind w:left="0" w:leftChars="0" w:firstLine="0" w:firstLineChars="0"/>
        <w:jc w:val="both"/>
        <w:textAlignment w:val="auto"/>
        <w:rPr>
          <w:rStyle w:val="12"/>
          <w:rFonts w:hint="eastAsia" w:ascii="黑体" w:hAnsi="黑体" w:eastAsia="黑体"/>
          <w:b w:val="0"/>
          <w:lang w:eastAsia="zh-CN"/>
        </w:rPr>
      </w:pPr>
      <w:bookmarkStart w:id="138" w:name="_Toc15396618"/>
      <w:bookmarkStart w:id="139" w:name="_Toc28634"/>
      <w:bookmarkStart w:id="140" w:name="_Toc6423"/>
      <w:bookmarkStart w:id="141" w:name="_Toc22179"/>
    </w:p>
    <w:p>
      <w:pPr>
        <w:keepNext w:val="0"/>
        <w:keepLines w:val="0"/>
        <w:pageBreakBefore w:val="0"/>
        <w:widowControl/>
        <w:numPr>
          <w:ilvl w:val="0"/>
          <w:numId w:val="0"/>
        </w:numPr>
        <w:pBdr>
          <w:bottom w:val="single" w:color="FFFFFF" w:sz="8" w:space="31"/>
        </w:pBdr>
        <w:shd w:val="clear" w:color="auto" w:fill="FFFFFF"/>
        <w:tabs>
          <w:tab w:val="left" w:pos="219"/>
        </w:tabs>
        <w:kinsoku/>
        <w:wordWrap/>
        <w:overflowPunct/>
        <w:topLinePunct w:val="0"/>
        <w:autoSpaceDE/>
        <w:autoSpaceDN/>
        <w:bidi w:val="0"/>
        <w:adjustRightInd/>
        <w:snapToGrid/>
        <w:spacing w:before="471" w:beforeLines="150" w:beforeAutospacing="0" w:after="256" w:afterLines="82" w:afterAutospacing="0" w:line="500" w:lineRule="exact"/>
        <w:ind w:left="0" w:leftChars="0" w:firstLine="0" w:firstLineChars="0"/>
        <w:jc w:val="both"/>
        <w:textAlignment w:val="auto"/>
        <w:rPr>
          <w:rStyle w:val="12"/>
          <w:rFonts w:hint="eastAsia" w:ascii="黑体" w:hAnsi="黑体" w:eastAsia="黑体"/>
          <w:b w:val="0"/>
          <w:lang w:eastAsia="zh-CN"/>
        </w:rPr>
      </w:pPr>
    </w:p>
    <w:p>
      <w:pPr>
        <w:keepNext w:val="0"/>
        <w:keepLines w:val="0"/>
        <w:pageBreakBefore w:val="0"/>
        <w:widowControl/>
        <w:numPr>
          <w:ilvl w:val="0"/>
          <w:numId w:val="0"/>
        </w:numPr>
        <w:pBdr>
          <w:bottom w:val="single" w:color="FFFFFF" w:sz="8" w:space="31"/>
        </w:pBdr>
        <w:shd w:val="clear" w:color="auto" w:fill="FFFFFF"/>
        <w:tabs>
          <w:tab w:val="left" w:pos="219"/>
        </w:tabs>
        <w:kinsoku/>
        <w:wordWrap/>
        <w:overflowPunct/>
        <w:topLinePunct w:val="0"/>
        <w:autoSpaceDE/>
        <w:autoSpaceDN/>
        <w:bidi w:val="0"/>
        <w:adjustRightInd/>
        <w:snapToGrid/>
        <w:spacing w:before="471" w:beforeLines="150" w:beforeAutospacing="0" w:after="256" w:afterLines="82" w:afterAutospacing="0" w:line="500" w:lineRule="exact"/>
        <w:ind w:left="0" w:leftChars="0" w:firstLine="0" w:firstLineChars="0"/>
        <w:jc w:val="both"/>
        <w:textAlignment w:val="auto"/>
        <w:rPr>
          <w:rStyle w:val="12"/>
          <w:rFonts w:hint="eastAsia" w:ascii="黑体" w:hAnsi="黑体" w:eastAsia="黑体"/>
          <w:b w:val="0"/>
          <w:lang w:eastAsia="zh-CN"/>
        </w:rPr>
      </w:pPr>
    </w:p>
    <w:p>
      <w:pPr>
        <w:keepNext w:val="0"/>
        <w:keepLines w:val="0"/>
        <w:pageBreakBefore w:val="0"/>
        <w:widowControl/>
        <w:numPr>
          <w:ilvl w:val="0"/>
          <w:numId w:val="0"/>
        </w:numPr>
        <w:pBdr>
          <w:bottom w:val="single" w:color="FFFFFF" w:sz="8" w:space="31"/>
        </w:pBdr>
        <w:shd w:val="clear" w:color="auto" w:fill="FFFFFF"/>
        <w:tabs>
          <w:tab w:val="left" w:pos="219"/>
        </w:tabs>
        <w:kinsoku/>
        <w:wordWrap/>
        <w:overflowPunct/>
        <w:topLinePunct w:val="0"/>
        <w:autoSpaceDE/>
        <w:autoSpaceDN/>
        <w:bidi w:val="0"/>
        <w:adjustRightInd/>
        <w:snapToGrid/>
        <w:spacing w:before="471" w:beforeLines="150" w:beforeAutospacing="0" w:after="256" w:afterLines="82" w:afterAutospacing="0" w:line="500" w:lineRule="exact"/>
        <w:ind w:left="0" w:leftChars="0" w:firstLine="0" w:firstLineChars="0"/>
        <w:jc w:val="center"/>
        <w:textAlignment w:val="auto"/>
        <w:rPr>
          <w:rStyle w:val="12"/>
          <w:rFonts w:hint="eastAsia" w:ascii="黑体" w:hAnsi="黑体" w:eastAsia="黑体"/>
          <w:b w:val="0"/>
        </w:rPr>
      </w:pPr>
      <w:r>
        <w:rPr>
          <w:rStyle w:val="12"/>
          <w:rFonts w:hint="eastAsia" w:ascii="黑体" w:hAnsi="黑体" w:eastAsia="黑体"/>
          <w:b w:val="0"/>
          <w:lang w:eastAsia="zh-CN"/>
        </w:rPr>
        <w:t>第五部分</w:t>
      </w:r>
      <w:r>
        <w:rPr>
          <w:rStyle w:val="12"/>
          <w:rFonts w:hint="eastAsia" w:ascii="黑体" w:hAnsi="黑体" w:eastAsia="黑体"/>
          <w:b w:val="0"/>
          <w:lang w:val="en-US" w:eastAsia="zh-CN"/>
        </w:rPr>
        <w:t xml:space="preserve"> </w:t>
      </w:r>
      <w:r>
        <w:rPr>
          <w:rStyle w:val="12"/>
          <w:rFonts w:hint="eastAsia" w:ascii="黑体" w:hAnsi="黑体" w:eastAsia="黑体"/>
          <w:b w:val="0"/>
        </w:rPr>
        <w:t>附表</w:t>
      </w:r>
      <w:bookmarkEnd w:id="135"/>
      <w:bookmarkEnd w:id="138"/>
      <w:bookmarkEnd w:id="139"/>
    </w:p>
    <w:bookmarkEnd w:id="140"/>
    <w:bookmarkEnd w:id="141"/>
    <w:p>
      <w:pPr>
        <w:keepNext w:val="0"/>
        <w:keepLines w:val="0"/>
        <w:pageBreakBefore w:val="0"/>
        <w:widowControl/>
        <w:numPr>
          <w:ilvl w:val="0"/>
          <w:numId w:val="4"/>
        </w:numPr>
        <w:pBdr>
          <w:bottom w:val="single" w:color="FFFFFF" w:sz="8" w:space="31"/>
        </w:pBdr>
        <w:shd w:val="clear" w:color="auto" w:fill="FFFFFF"/>
        <w:tabs>
          <w:tab w:val="left" w:pos="219"/>
        </w:tabs>
        <w:kinsoku/>
        <w:wordWrap/>
        <w:overflowPunct/>
        <w:topLinePunct w:val="0"/>
        <w:autoSpaceDE/>
        <w:autoSpaceDN/>
        <w:bidi w:val="0"/>
        <w:adjustRightInd/>
        <w:snapToGrid/>
        <w:spacing w:before="471" w:beforeLines="150" w:beforeAutospacing="0" w:after="256" w:afterLines="82" w:afterAutospacing="0" w:line="500" w:lineRule="exact"/>
        <w:ind w:left="0" w:leftChars="0" w:firstLine="0" w:firstLineChars="0"/>
        <w:jc w:val="both"/>
        <w:textAlignment w:val="auto"/>
        <w:rPr>
          <w:rStyle w:val="31"/>
          <w:rFonts w:hint="eastAsia" w:ascii="仿宋" w:hAnsi="仿宋" w:eastAsia="仿宋"/>
          <w:b w:val="0"/>
          <w:bCs w:val="0"/>
          <w:color w:val="auto"/>
          <w:highlight w:val="none"/>
        </w:rPr>
      </w:pPr>
      <w:bookmarkStart w:id="142" w:name="_Toc3044"/>
      <w:bookmarkStart w:id="143" w:name="_Toc1712"/>
      <w:r>
        <w:rPr>
          <w:rStyle w:val="31"/>
          <w:rFonts w:hint="eastAsia" w:ascii="仿宋" w:hAnsi="仿宋" w:eastAsia="仿宋" w:cs="Times New Roman"/>
          <w:b w:val="0"/>
          <w:bCs w:val="0"/>
          <w:color w:val="auto"/>
          <w:highlight w:val="none"/>
        </w:rPr>
        <w:t>收入</w:t>
      </w:r>
      <w:r>
        <w:rPr>
          <w:rStyle w:val="31"/>
          <w:rFonts w:hint="eastAsia" w:ascii="仿宋" w:hAnsi="仿宋" w:eastAsia="仿宋"/>
          <w:b w:val="0"/>
          <w:bCs w:val="0"/>
          <w:color w:val="auto"/>
          <w:highlight w:val="none"/>
        </w:rPr>
        <w:t>支出决算总表</w:t>
      </w:r>
      <w:bookmarkStart w:id="144" w:name="_Toc15396620"/>
    </w:p>
    <w:bookmarkEnd w:id="142"/>
    <w:bookmarkEnd w:id="143"/>
    <w:p>
      <w:pPr>
        <w:keepNext w:val="0"/>
        <w:keepLines w:val="0"/>
        <w:pageBreakBefore w:val="0"/>
        <w:widowControl/>
        <w:numPr>
          <w:ilvl w:val="0"/>
          <w:numId w:val="0"/>
        </w:numPr>
        <w:pBdr>
          <w:bottom w:val="single" w:color="FFFFFF" w:sz="8" w:space="31"/>
        </w:pBdr>
        <w:shd w:val="clear" w:color="auto" w:fill="FFFFFF"/>
        <w:tabs>
          <w:tab w:val="left" w:pos="219"/>
        </w:tabs>
        <w:kinsoku/>
        <w:wordWrap/>
        <w:overflowPunct/>
        <w:topLinePunct w:val="0"/>
        <w:autoSpaceDE/>
        <w:autoSpaceDN/>
        <w:bidi w:val="0"/>
        <w:adjustRightInd/>
        <w:snapToGrid/>
        <w:spacing w:before="471" w:beforeLines="150" w:beforeAutospacing="0" w:after="256" w:afterLines="82" w:afterAutospacing="0" w:line="500" w:lineRule="exact"/>
        <w:ind w:leftChars="0"/>
        <w:jc w:val="both"/>
        <w:textAlignment w:val="auto"/>
        <w:rPr>
          <w:rFonts w:ascii="仿宋" w:hAnsi="仿宋" w:eastAsia="仿宋"/>
          <w:color w:val="auto"/>
          <w:highlight w:val="none"/>
        </w:rPr>
      </w:pPr>
      <w:bookmarkStart w:id="145" w:name="_Toc8891"/>
      <w:bookmarkStart w:id="146" w:name="_Toc1101"/>
      <w:r>
        <w:rPr>
          <w:rStyle w:val="31"/>
          <w:rFonts w:hint="eastAsia" w:ascii="仿宋" w:hAnsi="仿宋" w:eastAsia="仿宋" w:cs="Times New Roman"/>
          <w:b w:val="0"/>
          <w:bCs w:val="0"/>
          <w:color w:val="auto"/>
          <w:highlight w:val="none"/>
        </w:rPr>
        <w:t>二、收入</w:t>
      </w:r>
      <w:r>
        <w:rPr>
          <w:rStyle w:val="31"/>
          <w:rFonts w:hint="eastAsia" w:ascii="仿宋" w:hAnsi="仿宋" w:eastAsia="仿宋"/>
          <w:b w:val="0"/>
          <w:bCs w:val="0"/>
          <w:color w:val="auto"/>
          <w:highlight w:val="none"/>
        </w:rPr>
        <w:t>决算表</w:t>
      </w:r>
      <w:bookmarkEnd w:id="144"/>
      <w:bookmarkEnd w:id="145"/>
      <w:bookmarkEnd w:id="146"/>
      <w:bookmarkStart w:id="147" w:name="_Toc15396621"/>
    </w:p>
    <w:p>
      <w:pPr>
        <w:keepNext w:val="0"/>
        <w:keepLines w:val="0"/>
        <w:pageBreakBefore w:val="0"/>
        <w:widowControl/>
        <w:numPr>
          <w:ilvl w:val="0"/>
          <w:numId w:val="0"/>
        </w:numPr>
        <w:pBdr>
          <w:bottom w:val="single" w:color="FFFFFF" w:sz="8" w:space="31"/>
        </w:pBdr>
        <w:shd w:val="clear" w:color="auto" w:fill="FFFFFF"/>
        <w:tabs>
          <w:tab w:val="left" w:pos="219"/>
        </w:tabs>
        <w:kinsoku/>
        <w:wordWrap/>
        <w:overflowPunct/>
        <w:topLinePunct w:val="0"/>
        <w:autoSpaceDE/>
        <w:autoSpaceDN/>
        <w:bidi w:val="0"/>
        <w:adjustRightInd/>
        <w:snapToGrid/>
        <w:spacing w:before="471" w:beforeLines="150" w:beforeAutospacing="0" w:after="256" w:afterLines="82" w:afterAutospacing="0" w:line="500" w:lineRule="exact"/>
        <w:ind w:leftChars="0"/>
        <w:jc w:val="both"/>
        <w:textAlignment w:val="auto"/>
        <w:rPr>
          <w:rFonts w:ascii="仿宋" w:hAnsi="仿宋" w:eastAsia="仿宋"/>
          <w:b w:val="0"/>
          <w:color w:val="auto"/>
          <w:highlight w:val="none"/>
        </w:rPr>
      </w:pPr>
      <w:bookmarkStart w:id="148" w:name="_Toc26581"/>
      <w:bookmarkStart w:id="149" w:name="_Toc18221"/>
      <w:r>
        <w:rPr>
          <w:rStyle w:val="31"/>
          <w:rFonts w:hint="eastAsia" w:ascii="仿宋" w:hAnsi="仿宋" w:eastAsia="仿宋"/>
          <w:b w:val="0"/>
          <w:bCs w:val="0"/>
          <w:color w:val="auto"/>
          <w:highlight w:val="none"/>
        </w:rPr>
        <w:t>三、</w:t>
      </w:r>
      <w:r>
        <w:rPr>
          <w:rStyle w:val="31"/>
          <w:rFonts w:hint="eastAsia" w:ascii="仿宋" w:hAnsi="仿宋" w:eastAsia="仿宋" w:cs="Times New Roman"/>
          <w:b w:val="0"/>
          <w:bCs w:val="0"/>
          <w:color w:val="auto"/>
          <w:highlight w:val="none"/>
        </w:rPr>
        <w:t>支出</w:t>
      </w:r>
      <w:r>
        <w:rPr>
          <w:rStyle w:val="31"/>
          <w:rFonts w:hint="eastAsia" w:ascii="仿宋" w:hAnsi="仿宋" w:eastAsia="仿宋"/>
          <w:b w:val="0"/>
          <w:bCs w:val="0"/>
          <w:color w:val="auto"/>
          <w:highlight w:val="none"/>
        </w:rPr>
        <w:t>决算表</w:t>
      </w:r>
      <w:bookmarkEnd w:id="147"/>
      <w:bookmarkEnd w:id="148"/>
      <w:bookmarkEnd w:id="149"/>
      <w:bookmarkStart w:id="150" w:name="_Toc15396622"/>
    </w:p>
    <w:p>
      <w:pPr>
        <w:keepNext w:val="0"/>
        <w:keepLines w:val="0"/>
        <w:pageBreakBefore w:val="0"/>
        <w:widowControl/>
        <w:numPr>
          <w:ilvl w:val="0"/>
          <w:numId w:val="0"/>
        </w:numPr>
        <w:pBdr>
          <w:bottom w:val="single" w:color="FFFFFF" w:sz="8" w:space="31"/>
        </w:pBdr>
        <w:shd w:val="clear" w:color="auto" w:fill="FFFFFF"/>
        <w:tabs>
          <w:tab w:val="left" w:pos="219"/>
        </w:tabs>
        <w:kinsoku/>
        <w:wordWrap/>
        <w:overflowPunct/>
        <w:topLinePunct w:val="0"/>
        <w:autoSpaceDE/>
        <w:autoSpaceDN/>
        <w:bidi w:val="0"/>
        <w:adjustRightInd/>
        <w:snapToGrid/>
        <w:spacing w:before="471" w:beforeLines="150" w:beforeAutospacing="0" w:after="256" w:afterLines="82" w:afterAutospacing="0" w:line="500" w:lineRule="exact"/>
        <w:ind w:leftChars="0"/>
        <w:jc w:val="both"/>
        <w:textAlignment w:val="auto"/>
        <w:rPr>
          <w:rStyle w:val="31"/>
          <w:rFonts w:ascii="仿宋" w:hAnsi="仿宋" w:eastAsia="仿宋"/>
          <w:b w:val="0"/>
          <w:bCs w:val="0"/>
          <w:color w:val="auto"/>
          <w:highlight w:val="none"/>
        </w:rPr>
      </w:pPr>
      <w:bookmarkStart w:id="151" w:name="_Toc15078"/>
      <w:bookmarkStart w:id="152" w:name="_Toc22290"/>
      <w:r>
        <w:rPr>
          <w:rStyle w:val="31"/>
          <w:rFonts w:hint="eastAsia" w:ascii="仿宋" w:hAnsi="仿宋" w:eastAsia="仿宋"/>
          <w:b w:val="0"/>
          <w:bCs w:val="0"/>
          <w:color w:val="auto"/>
          <w:highlight w:val="none"/>
        </w:rPr>
        <w:t>四、</w:t>
      </w:r>
      <w:r>
        <w:rPr>
          <w:rStyle w:val="31"/>
          <w:rFonts w:hint="eastAsia" w:ascii="仿宋" w:hAnsi="仿宋" w:eastAsia="仿宋" w:cs="Times New Roman"/>
          <w:b w:val="0"/>
          <w:bCs w:val="0"/>
          <w:color w:val="auto"/>
          <w:highlight w:val="none"/>
        </w:rPr>
        <w:t>财政拨款</w:t>
      </w:r>
      <w:r>
        <w:rPr>
          <w:rStyle w:val="31"/>
          <w:rFonts w:hint="eastAsia" w:ascii="仿宋" w:hAnsi="仿宋" w:eastAsia="仿宋"/>
          <w:b w:val="0"/>
          <w:bCs w:val="0"/>
          <w:color w:val="auto"/>
          <w:highlight w:val="none"/>
        </w:rPr>
        <w:t>收入支出决算总表</w:t>
      </w:r>
      <w:bookmarkEnd w:id="150"/>
      <w:bookmarkStart w:id="153" w:name="_Toc15396623"/>
    </w:p>
    <w:bookmarkEnd w:id="151"/>
    <w:bookmarkEnd w:id="152"/>
    <w:p>
      <w:pPr>
        <w:keepNext w:val="0"/>
        <w:keepLines w:val="0"/>
        <w:pageBreakBefore w:val="0"/>
        <w:widowControl/>
        <w:numPr>
          <w:ilvl w:val="0"/>
          <w:numId w:val="0"/>
        </w:numPr>
        <w:pBdr>
          <w:bottom w:val="single" w:color="FFFFFF" w:sz="8" w:space="31"/>
        </w:pBdr>
        <w:shd w:val="clear" w:color="auto" w:fill="FFFFFF"/>
        <w:tabs>
          <w:tab w:val="left" w:pos="219"/>
        </w:tabs>
        <w:kinsoku/>
        <w:wordWrap/>
        <w:overflowPunct/>
        <w:topLinePunct w:val="0"/>
        <w:autoSpaceDE/>
        <w:autoSpaceDN/>
        <w:bidi w:val="0"/>
        <w:adjustRightInd/>
        <w:snapToGrid/>
        <w:spacing w:before="471" w:beforeLines="150" w:beforeAutospacing="0" w:after="256" w:afterLines="82" w:afterAutospacing="0" w:line="500" w:lineRule="exact"/>
        <w:ind w:leftChars="0"/>
        <w:jc w:val="both"/>
        <w:textAlignment w:val="auto"/>
        <w:rPr>
          <w:rFonts w:ascii="仿宋" w:hAnsi="仿宋" w:eastAsia="仿宋"/>
          <w:color w:val="auto"/>
          <w:highlight w:val="none"/>
        </w:rPr>
      </w:pPr>
      <w:bookmarkStart w:id="154" w:name="_Toc28434"/>
      <w:bookmarkStart w:id="155" w:name="_Toc10435"/>
      <w:r>
        <w:rPr>
          <w:rStyle w:val="31"/>
          <w:rFonts w:hint="eastAsia" w:ascii="仿宋" w:hAnsi="仿宋" w:eastAsia="仿宋"/>
          <w:b w:val="0"/>
          <w:bCs w:val="0"/>
          <w:color w:val="auto"/>
          <w:highlight w:val="none"/>
        </w:rPr>
        <w:t>五、</w:t>
      </w:r>
      <w:r>
        <w:rPr>
          <w:rStyle w:val="31"/>
          <w:rFonts w:hint="eastAsia" w:ascii="仿宋" w:hAnsi="仿宋" w:eastAsia="仿宋" w:cs="Times New Roman"/>
          <w:b w:val="0"/>
          <w:bCs w:val="0"/>
          <w:color w:val="auto"/>
          <w:highlight w:val="none"/>
        </w:rPr>
        <w:t>财政</w:t>
      </w:r>
      <w:r>
        <w:rPr>
          <w:rStyle w:val="31"/>
          <w:rFonts w:hint="eastAsia" w:ascii="仿宋" w:hAnsi="仿宋" w:eastAsia="仿宋"/>
          <w:b w:val="0"/>
          <w:bCs w:val="0"/>
          <w:color w:val="auto"/>
          <w:highlight w:val="none"/>
        </w:rPr>
        <w:t>拨款支出决算明细表</w:t>
      </w:r>
      <w:bookmarkEnd w:id="153"/>
      <w:bookmarkEnd w:id="154"/>
      <w:bookmarkEnd w:id="155"/>
      <w:bookmarkStart w:id="156" w:name="_Toc15396624"/>
    </w:p>
    <w:p>
      <w:pPr>
        <w:keepNext w:val="0"/>
        <w:keepLines w:val="0"/>
        <w:pageBreakBefore w:val="0"/>
        <w:widowControl/>
        <w:numPr>
          <w:ilvl w:val="0"/>
          <w:numId w:val="0"/>
        </w:numPr>
        <w:pBdr>
          <w:bottom w:val="single" w:color="FFFFFF" w:sz="8" w:space="31"/>
        </w:pBdr>
        <w:shd w:val="clear" w:color="auto" w:fill="FFFFFF"/>
        <w:tabs>
          <w:tab w:val="left" w:pos="219"/>
        </w:tabs>
        <w:kinsoku/>
        <w:wordWrap/>
        <w:overflowPunct/>
        <w:topLinePunct w:val="0"/>
        <w:autoSpaceDE/>
        <w:autoSpaceDN/>
        <w:bidi w:val="0"/>
        <w:adjustRightInd/>
        <w:snapToGrid/>
        <w:spacing w:before="471" w:beforeLines="150" w:beforeAutospacing="0" w:after="256" w:afterLines="82" w:afterAutospacing="0" w:line="500" w:lineRule="exact"/>
        <w:ind w:leftChars="0"/>
        <w:jc w:val="both"/>
        <w:textAlignment w:val="auto"/>
        <w:rPr>
          <w:rFonts w:ascii="仿宋" w:hAnsi="仿宋" w:eastAsia="仿宋"/>
          <w:color w:val="auto"/>
          <w:highlight w:val="none"/>
        </w:rPr>
      </w:pPr>
      <w:bookmarkStart w:id="157" w:name="_Toc32643"/>
      <w:bookmarkStart w:id="158" w:name="_Toc7261"/>
      <w:r>
        <w:rPr>
          <w:rStyle w:val="31"/>
          <w:rFonts w:hint="eastAsia" w:ascii="仿宋" w:hAnsi="仿宋" w:eastAsia="仿宋"/>
          <w:b w:val="0"/>
          <w:bCs w:val="0"/>
          <w:color w:val="auto"/>
          <w:highlight w:val="none"/>
        </w:rPr>
        <w:t>六、</w:t>
      </w:r>
      <w:bookmarkEnd w:id="157"/>
      <w:bookmarkEnd w:id="158"/>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般公共预算财政拨款支出决算表</w:t>
      </w:r>
      <w:bookmarkEnd w:id="156"/>
      <w:bookmarkStart w:id="159" w:name="_Toc15396625"/>
    </w:p>
    <w:p>
      <w:pPr>
        <w:keepNext w:val="0"/>
        <w:keepLines w:val="0"/>
        <w:pageBreakBefore w:val="0"/>
        <w:widowControl/>
        <w:numPr>
          <w:ilvl w:val="0"/>
          <w:numId w:val="0"/>
        </w:numPr>
        <w:pBdr>
          <w:bottom w:val="single" w:color="FFFFFF" w:sz="8" w:space="31"/>
        </w:pBdr>
        <w:shd w:val="clear" w:color="auto" w:fill="FFFFFF"/>
        <w:tabs>
          <w:tab w:val="left" w:pos="219"/>
        </w:tabs>
        <w:kinsoku/>
        <w:wordWrap/>
        <w:overflowPunct/>
        <w:topLinePunct w:val="0"/>
        <w:autoSpaceDE/>
        <w:autoSpaceDN/>
        <w:bidi w:val="0"/>
        <w:adjustRightInd/>
        <w:snapToGrid/>
        <w:spacing w:before="471" w:beforeLines="150" w:beforeAutospacing="0" w:after="256" w:afterLines="82" w:afterAutospacing="0" w:line="500" w:lineRule="exact"/>
        <w:ind w:leftChars="0"/>
        <w:jc w:val="both"/>
        <w:textAlignment w:val="auto"/>
        <w:rPr>
          <w:rFonts w:ascii="仿宋" w:hAnsi="仿宋" w:eastAsia="仿宋"/>
          <w:color w:val="auto"/>
          <w:highlight w:val="none"/>
        </w:rPr>
      </w:pPr>
      <w:bookmarkStart w:id="160" w:name="_Toc26602"/>
      <w:bookmarkStart w:id="161" w:name="_Toc330"/>
      <w:r>
        <w:rPr>
          <w:rStyle w:val="31"/>
          <w:rFonts w:hint="eastAsia" w:ascii="仿宋" w:hAnsi="仿宋" w:eastAsia="仿宋"/>
          <w:b w:val="0"/>
          <w:bCs w:val="0"/>
          <w:color w:val="auto"/>
          <w:highlight w:val="none"/>
        </w:rPr>
        <w:t>七、</w:t>
      </w:r>
      <w:bookmarkEnd w:id="160"/>
      <w:bookmarkEnd w:id="161"/>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般公共预算财政拨款支出决算明细表</w:t>
      </w:r>
      <w:bookmarkEnd w:id="159"/>
      <w:bookmarkStart w:id="162" w:name="_Toc15396626"/>
    </w:p>
    <w:p>
      <w:pPr>
        <w:keepNext w:val="0"/>
        <w:keepLines w:val="0"/>
        <w:pageBreakBefore w:val="0"/>
        <w:widowControl/>
        <w:numPr>
          <w:ilvl w:val="0"/>
          <w:numId w:val="0"/>
        </w:numPr>
        <w:pBdr>
          <w:bottom w:val="single" w:color="FFFFFF" w:sz="8" w:space="31"/>
        </w:pBdr>
        <w:shd w:val="clear" w:color="auto" w:fill="FFFFFF"/>
        <w:tabs>
          <w:tab w:val="left" w:pos="219"/>
        </w:tabs>
        <w:kinsoku/>
        <w:wordWrap/>
        <w:overflowPunct/>
        <w:topLinePunct w:val="0"/>
        <w:autoSpaceDE/>
        <w:autoSpaceDN/>
        <w:bidi w:val="0"/>
        <w:adjustRightInd/>
        <w:snapToGrid/>
        <w:spacing w:before="471" w:beforeLines="150" w:beforeAutospacing="0" w:after="256" w:afterLines="82" w:afterAutospacing="0" w:line="500" w:lineRule="exact"/>
        <w:ind w:leftChars="0"/>
        <w:jc w:val="both"/>
        <w:textAlignment w:val="auto"/>
        <w:rPr>
          <w:rFonts w:ascii="仿宋" w:hAnsi="仿宋" w:eastAsia="仿宋"/>
          <w:color w:val="auto"/>
          <w:highlight w:val="none"/>
        </w:rPr>
      </w:pPr>
      <w:bookmarkStart w:id="163" w:name="_Toc26122"/>
      <w:bookmarkStart w:id="164" w:name="_Toc16299"/>
      <w:r>
        <w:rPr>
          <w:rStyle w:val="31"/>
          <w:rFonts w:hint="eastAsia" w:ascii="仿宋" w:hAnsi="仿宋" w:eastAsia="仿宋"/>
          <w:b w:val="0"/>
          <w:bCs w:val="0"/>
          <w:color w:val="auto"/>
          <w:highlight w:val="none"/>
        </w:rPr>
        <w:t>八、</w:t>
      </w:r>
      <w:bookmarkEnd w:id="163"/>
      <w:bookmarkEnd w:id="164"/>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般公共预算财政拨款基本支出决算表</w:t>
      </w:r>
      <w:bookmarkEnd w:id="162"/>
      <w:bookmarkStart w:id="165" w:name="_Toc15396627"/>
    </w:p>
    <w:p>
      <w:pPr>
        <w:keepNext w:val="0"/>
        <w:keepLines w:val="0"/>
        <w:pageBreakBefore w:val="0"/>
        <w:widowControl/>
        <w:numPr>
          <w:ilvl w:val="0"/>
          <w:numId w:val="0"/>
        </w:numPr>
        <w:pBdr>
          <w:bottom w:val="single" w:color="FFFFFF" w:sz="8" w:space="31"/>
        </w:pBdr>
        <w:shd w:val="clear" w:color="auto" w:fill="FFFFFF"/>
        <w:tabs>
          <w:tab w:val="left" w:pos="219"/>
        </w:tabs>
        <w:kinsoku/>
        <w:wordWrap/>
        <w:overflowPunct/>
        <w:topLinePunct w:val="0"/>
        <w:autoSpaceDE/>
        <w:autoSpaceDN/>
        <w:bidi w:val="0"/>
        <w:adjustRightInd/>
        <w:snapToGrid/>
        <w:spacing w:before="471" w:beforeLines="150" w:beforeAutospacing="0" w:after="256" w:afterLines="82" w:afterAutospacing="0" w:line="500" w:lineRule="exact"/>
        <w:ind w:leftChars="0"/>
        <w:jc w:val="both"/>
        <w:textAlignment w:val="auto"/>
        <w:rPr>
          <w:rFonts w:ascii="仿宋" w:hAnsi="仿宋" w:eastAsia="仿宋"/>
          <w:color w:val="auto"/>
          <w:highlight w:val="none"/>
        </w:rPr>
      </w:pPr>
      <w:bookmarkStart w:id="166" w:name="_Toc16570"/>
      <w:bookmarkStart w:id="167" w:name="_Toc12132"/>
      <w:r>
        <w:rPr>
          <w:rStyle w:val="31"/>
          <w:rFonts w:hint="eastAsia" w:ascii="仿宋" w:hAnsi="仿宋" w:eastAsia="仿宋"/>
          <w:b w:val="0"/>
          <w:bCs w:val="0"/>
          <w:color w:val="auto"/>
          <w:highlight w:val="none"/>
        </w:rPr>
        <w:t>九、</w:t>
      </w:r>
      <w:bookmarkEnd w:id="166"/>
      <w:bookmarkEnd w:id="167"/>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般公共预算财政拨款项目支出决算表</w:t>
      </w:r>
      <w:bookmarkEnd w:id="165"/>
      <w:bookmarkStart w:id="168" w:name="_Toc15396628"/>
    </w:p>
    <w:p>
      <w:pPr>
        <w:keepNext w:val="0"/>
        <w:keepLines w:val="0"/>
        <w:pageBreakBefore w:val="0"/>
        <w:widowControl/>
        <w:numPr>
          <w:ilvl w:val="0"/>
          <w:numId w:val="0"/>
        </w:numPr>
        <w:pBdr>
          <w:bottom w:val="single" w:color="FFFFFF" w:sz="8" w:space="31"/>
        </w:pBdr>
        <w:shd w:val="clear" w:color="auto" w:fill="FFFFFF"/>
        <w:tabs>
          <w:tab w:val="left" w:pos="219"/>
        </w:tabs>
        <w:kinsoku/>
        <w:wordWrap/>
        <w:overflowPunct/>
        <w:topLinePunct w:val="0"/>
        <w:autoSpaceDE/>
        <w:autoSpaceDN/>
        <w:bidi w:val="0"/>
        <w:adjustRightInd/>
        <w:snapToGrid/>
        <w:spacing w:before="471" w:beforeLines="150" w:beforeAutospacing="0" w:after="256" w:afterLines="82" w:afterAutospacing="0" w:line="500" w:lineRule="exact"/>
        <w:ind w:leftChars="0"/>
        <w:jc w:val="both"/>
        <w:textAlignment w:val="auto"/>
        <w:rPr>
          <w:rFonts w:ascii="仿宋" w:hAnsi="仿宋" w:eastAsia="仿宋"/>
          <w:color w:val="auto"/>
          <w:highlight w:val="none"/>
        </w:rPr>
      </w:pPr>
      <w:bookmarkStart w:id="169" w:name="_Toc5620"/>
      <w:bookmarkStart w:id="170" w:name="_Toc13067"/>
      <w:r>
        <w:rPr>
          <w:rStyle w:val="31"/>
          <w:rFonts w:hint="eastAsia" w:ascii="仿宋" w:hAnsi="仿宋" w:eastAsia="仿宋"/>
          <w:b w:val="0"/>
          <w:bCs w:val="0"/>
          <w:color w:val="auto"/>
          <w:highlight w:val="none"/>
        </w:rPr>
        <w:t>十、</w:t>
      </w:r>
      <w:bookmarkEnd w:id="168"/>
      <w:r>
        <w:rPr>
          <w:rStyle w:val="31"/>
          <w:rFonts w:hint="eastAsia" w:ascii="仿宋" w:hAnsi="仿宋" w:eastAsia="仿宋" w:cs="Times New Roman"/>
          <w:b w:val="0"/>
          <w:bCs w:val="0"/>
          <w:color w:val="auto"/>
          <w:highlight w:val="none"/>
        </w:rPr>
        <w:t>政府性</w:t>
      </w:r>
      <w:r>
        <w:rPr>
          <w:rStyle w:val="31"/>
          <w:rFonts w:hint="eastAsia" w:ascii="仿宋" w:hAnsi="仿宋" w:eastAsia="仿宋"/>
          <w:b w:val="0"/>
          <w:bCs w:val="0"/>
          <w:color w:val="auto"/>
          <w:highlight w:val="none"/>
        </w:rPr>
        <w:t>基金预算财政拨款收入支出决算表</w:t>
      </w:r>
      <w:bookmarkEnd w:id="169"/>
      <w:bookmarkEnd w:id="170"/>
      <w:bookmarkStart w:id="171" w:name="_Toc15396629"/>
    </w:p>
    <w:p>
      <w:pPr>
        <w:keepNext w:val="0"/>
        <w:keepLines w:val="0"/>
        <w:pageBreakBefore w:val="0"/>
        <w:widowControl/>
        <w:numPr>
          <w:ilvl w:val="0"/>
          <w:numId w:val="0"/>
        </w:numPr>
        <w:pBdr>
          <w:bottom w:val="single" w:color="FFFFFF" w:sz="8" w:space="31"/>
        </w:pBdr>
        <w:shd w:val="clear" w:color="auto" w:fill="FFFFFF"/>
        <w:tabs>
          <w:tab w:val="left" w:pos="219"/>
        </w:tabs>
        <w:kinsoku/>
        <w:wordWrap/>
        <w:overflowPunct/>
        <w:topLinePunct w:val="0"/>
        <w:autoSpaceDE/>
        <w:autoSpaceDN/>
        <w:bidi w:val="0"/>
        <w:adjustRightInd/>
        <w:snapToGrid/>
        <w:spacing w:before="471" w:beforeLines="150" w:beforeAutospacing="0" w:after="256" w:afterLines="82" w:afterAutospacing="0" w:line="500" w:lineRule="exact"/>
        <w:ind w:leftChars="0"/>
        <w:jc w:val="both"/>
        <w:textAlignment w:val="auto"/>
        <w:rPr>
          <w:rFonts w:ascii="仿宋" w:hAnsi="仿宋" w:eastAsia="仿宋"/>
          <w:color w:val="auto"/>
          <w:highlight w:val="none"/>
        </w:rPr>
      </w:pPr>
      <w:bookmarkStart w:id="172" w:name="_Toc24093"/>
      <w:bookmarkStart w:id="173" w:name="_Toc4174"/>
      <w:r>
        <w:rPr>
          <w:rStyle w:val="31"/>
          <w:rFonts w:hint="eastAsia" w:ascii="仿宋" w:hAnsi="仿宋" w:eastAsia="仿宋"/>
          <w:b w:val="0"/>
          <w:bCs w:val="0"/>
          <w:color w:val="auto"/>
          <w:highlight w:val="none"/>
        </w:rPr>
        <w:t>十一、</w:t>
      </w:r>
      <w:bookmarkEnd w:id="171"/>
      <w:r>
        <w:rPr>
          <w:rStyle w:val="31"/>
          <w:rFonts w:hint="eastAsia" w:ascii="仿宋" w:hAnsi="仿宋" w:eastAsia="仿宋" w:cs="Times New Roman"/>
          <w:b w:val="0"/>
          <w:bCs w:val="0"/>
          <w:color w:val="auto"/>
          <w:highlight w:val="none"/>
        </w:rPr>
        <w:t>国有资</w:t>
      </w:r>
      <w:r>
        <w:rPr>
          <w:rStyle w:val="31"/>
          <w:rFonts w:hint="eastAsia" w:ascii="仿宋" w:hAnsi="仿宋" w:eastAsia="仿宋"/>
          <w:b w:val="0"/>
          <w:bCs w:val="0"/>
          <w:color w:val="auto"/>
          <w:highlight w:val="none"/>
        </w:rPr>
        <w:t>本经营预算</w:t>
      </w:r>
      <w:r>
        <w:rPr>
          <w:rStyle w:val="31"/>
          <w:rFonts w:hint="eastAsia" w:ascii="仿宋" w:hAnsi="仿宋" w:eastAsia="仿宋"/>
          <w:b w:val="0"/>
          <w:bCs w:val="0"/>
          <w:color w:val="auto"/>
          <w:highlight w:val="none"/>
          <w:lang w:eastAsia="zh-CN"/>
        </w:rPr>
        <w:t>财政拨款收入</w:t>
      </w:r>
      <w:r>
        <w:rPr>
          <w:rStyle w:val="31"/>
          <w:rFonts w:hint="eastAsia" w:ascii="仿宋" w:hAnsi="仿宋" w:eastAsia="仿宋"/>
          <w:b w:val="0"/>
          <w:bCs w:val="0"/>
          <w:color w:val="auto"/>
          <w:highlight w:val="none"/>
        </w:rPr>
        <w:t>支出决算表</w:t>
      </w:r>
      <w:bookmarkEnd w:id="172"/>
      <w:bookmarkEnd w:id="173"/>
      <w:bookmarkStart w:id="174" w:name="_Toc15396630"/>
    </w:p>
    <w:p>
      <w:pPr>
        <w:keepNext w:val="0"/>
        <w:keepLines w:val="0"/>
        <w:pageBreakBefore w:val="0"/>
        <w:widowControl/>
        <w:numPr>
          <w:ilvl w:val="0"/>
          <w:numId w:val="0"/>
        </w:numPr>
        <w:pBdr>
          <w:bottom w:val="single" w:color="FFFFFF" w:sz="8" w:space="31"/>
        </w:pBdr>
        <w:shd w:val="clear" w:color="auto" w:fill="FFFFFF"/>
        <w:tabs>
          <w:tab w:val="left" w:pos="219"/>
        </w:tabs>
        <w:kinsoku/>
        <w:wordWrap/>
        <w:overflowPunct/>
        <w:topLinePunct w:val="0"/>
        <w:autoSpaceDE/>
        <w:autoSpaceDN/>
        <w:bidi w:val="0"/>
        <w:adjustRightInd/>
        <w:snapToGrid/>
        <w:spacing w:before="471" w:beforeLines="150" w:beforeAutospacing="0" w:after="256" w:afterLines="82" w:afterAutospacing="0" w:line="500" w:lineRule="exact"/>
        <w:ind w:leftChars="0"/>
        <w:jc w:val="both"/>
        <w:textAlignment w:val="auto"/>
        <w:rPr>
          <w:rFonts w:hint="eastAsia" w:eastAsia="仿宋"/>
          <w:color w:val="auto"/>
          <w:highlight w:val="none"/>
          <w:lang w:eastAsia="zh-CN"/>
        </w:rPr>
      </w:pPr>
      <w:bookmarkStart w:id="175" w:name="_Toc1800"/>
      <w:bookmarkStart w:id="176" w:name="_Toc24016"/>
      <w:r>
        <w:rPr>
          <w:rStyle w:val="31"/>
          <w:rFonts w:hint="eastAsia" w:ascii="仿宋" w:hAnsi="仿宋" w:eastAsia="仿宋"/>
          <w:b w:val="0"/>
          <w:bCs w:val="0"/>
          <w:color w:val="auto"/>
          <w:highlight w:val="none"/>
        </w:rPr>
        <w:t>十二、</w:t>
      </w:r>
      <w:bookmarkEnd w:id="174"/>
      <w:r>
        <w:rPr>
          <w:rStyle w:val="31"/>
          <w:rFonts w:hint="eastAsia" w:ascii="仿宋" w:hAnsi="仿宋" w:eastAsia="仿宋"/>
          <w:b w:val="0"/>
          <w:bCs w:val="0"/>
          <w:color w:val="auto"/>
          <w:highlight w:val="none"/>
          <w:lang w:eastAsia="zh-CN"/>
        </w:rPr>
        <w:t>国有资本经营预算财政拨款支出决算表</w:t>
      </w:r>
      <w:bookmarkEnd w:id="175"/>
      <w:bookmarkEnd w:id="176"/>
      <w:bookmarkStart w:id="177" w:name="_Toc15396631"/>
    </w:p>
    <w:p>
      <w:pPr>
        <w:keepNext w:val="0"/>
        <w:keepLines w:val="0"/>
        <w:pageBreakBefore w:val="0"/>
        <w:widowControl/>
        <w:numPr>
          <w:ilvl w:val="0"/>
          <w:numId w:val="0"/>
        </w:numPr>
        <w:pBdr>
          <w:bottom w:val="single" w:color="FFFFFF" w:sz="8" w:space="31"/>
        </w:pBdr>
        <w:shd w:val="clear" w:color="auto" w:fill="FFFFFF"/>
        <w:tabs>
          <w:tab w:val="left" w:pos="219"/>
        </w:tabs>
        <w:kinsoku/>
        <w:wordWrap/>
        <w:overflowPunct/>
        <w:topLinePunct w:val="0"/>
        <w:autoSpaceDE/>
        <w:autoSpaceDN/>
        <w:bidi w:val="0"/>
        <w:adjustRightInd/>
        <w:snapToGrid/>
        <w:spacing w:before="471" w:beforeLines="150" w:beforeAutospacing="0" w:after="256" w:afterLines="82" w:afterAutospacing="0" w:line="500" w:lineRule="exact"/>
        <w:ind w:leftChars="0"/>
        <w:jc w:val="both"/>
        <w:textAlignment w:val="auto"/>
        <w:rPr>
          <w:rStyle w:val="13"/>
          <w:rFonts w:hint="eastAsia" w:ascii="仿宋" w:hAnsi="仿宋" w:eastAsia="仿宋"/>
          <w:b w:val="0"/>
          <w:bCs w:val="0"/>
          <w:lang w:val="en-US" w:eastAsia="zh-CN" w:bidi="ar-SA"/>
        </w:rPr>
      </w:pPr>
      <w:bookmarkStart w:id="178" w:name="_Toc32671"/>
      <w:bookmarkStart w:id="179" w:name="_Toc26947"/>
      <w:r>
        <w:rPr>
          <w:rStyle w:val="31"/>
          <w:rFonts w:hint="eastAsia" w:ascii="仿宋" w:hAnsi="仿宋" w:eastAsia="仿宋"/>
          <w:b w:val="0"/>
          <w:bCs w:val="0"/>
          <w:color w:val="auto"/>
          <w:highlight w:val="none"/>
        </w:rPr>
        <w:t>十三、</w:t>
      </w:r>
      <w:bookmarkEnd w:id="177"/>
      <w:r>
        <w:rPr>
          <w:rStyle w:val="31"/>
          <w:rFonts w:hint="eastAsia" w:ascii="仿宋" w:hAnsi="仿宋" w:eastAsia="仿宋"/>
          <w:b w:val="0"/>
          <w:bCs w:val="0"/>
          <w:color w:val="auto"/>
          <w:highlight w:val="none"/>
          <w:lang w:eastAsia="zh-CN"/>
        </w:rPr>
        <w:t>财政拨款“三公”经费支出决算表</w:t>
      </w:r>
      <w:bookmarkEnd w:id="178"/>
      <w:bookmarkEnd w:id="179"/>
    </w:p>
    <w:sectPr>
      <w:footerReference r:id="rId6"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decorative"/>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p>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p>
  <w:p>
    <w:pPr>
      <w:pStyle w:val="2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rPr>
        <w:sz w:val="18"/>
      </w:rPr>
      <w:pict>
        <v:shape id="文本框 8"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v:textbox inset="0mm,0mm,0mm,0mm" style="mso-fit-shape-to-text:t;">
            <w:txbxContent>
              <w:p>
                <w:pPr>
                  <w:pStyle w:val="21"/>
                  <w:jc w:val="center"/>
                </w:pPr>
                <w:r>
                  <w:fldChar w:fldCharType="begin"/>
                </w:r>
                <w:r>
                  <w:instrText xml:space="preserve">PAGE   \* MERGEFORMAT</w:instrText>
                </w:r>
                <w:r>
                  <w:fldChar w:fldCharType="separate"/>
                </w:r>
                <w:r>
                  <w:rPr>
                    <w:lang w:val="zh-CN"/>
                  </w:rPr>
                  <w:t>3</w:t>
                </w:r>
                <w:r>
                  <w:fldChar w:fldCharType="end"/>
                </w:r>
              </w:p>
            </w:txbxContent>
          </v:textbox>
        </v:shape>
      </w:pict>
    </w:r>
  </w:p>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1"/>
      <w:numFmt w:val="chineseCounting"/>
      <w:suff w:val="nothing"/>
      <w:lvlText w:val="%1、"/>
      <w:lvlJc w:val="left"/>
      <w:rPr>
        <w:rFonts w:hint="eastAsia"/>
      </w:rPr>
    </w:lvl>
  </w:abstractNum>
  <w:abstractNum w:abstractNumId="1">
    <w:nsid w:val="CF092B84"/>
    <w:multiLevelType w:val="multilevel"/>
    <w:tmpl w:val="CF092B84"/>
    <w:lvl w:ilvl="0" w:tentative="0">
      <w:start w:val="1"/>
      <w:numFmt w:val="japaneseCounting"/>
      <w:lvlText w:val="%1、"/>
      <w:lvlJc w:val="left"/>
      <w:pPr>
        <w:ind w:left="1360" w:hanging="720"/>
      </w:pPr>
      <w:rPr>
        <w:rFonts w:hint="eastAsia" w:cs="Times New Roman"/>
        <w:b w:val="0"/>
        <w:color w:val="auto"/>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2">
    <w:nsid w:val="0053208E"/>
    <w:multiLevelType w:val="singleLevel"/>
    <w:tmpl w:val="0053208E"/>
    <w:lvl w:ilvl="0" w:tentative="0">
      <w:start w:val="2"/>
      <w:numFmt w:val="chineseCounting"/>
      <w:suff w:val="nothing"/>
      <w:lvlText w:val="（%1）"/>
      <w:lvlJc w:val="left"/>
      <w:pPr>
        <w:ind w:left="480" w:firstLine="0"/>
      </w:pPr>
      <w:rPr>
        <w:rFonts w:hint="eastAsia"/>
      </w:rPr>
    </w:lvl>
  </w:abstractNum>
  <w:abstractNum w:abstractNumId="3">
    <w:nsid w:val="59ADCABA"/>
    <w:multiLevelType w:val="singleLevel"/>
    <w:tmpl w:val="59ADCABA"/>
    <w:lvl w:ilvl="0" w:tentative="0">
      <w:start w:val="3"/>
      <w:numFmt w:val="chineseCounting"/>
      <w:suff w:val="space"/>
      <w:lvlText w:val="第%1部分"/>
      <w:lvlJc w:val="left"/>
      <w:pPr>
        <w:ind w:left="840"/>
      </w:pPr>
      <w:rPr>
        <w:rFonts w:hint="eastAsia"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NotTrackMoves/>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5"/>
    <w:compatSetting w:name="enableOpenTypeFeatures" w:uri="http://schemas.microsoft.com/office/word" w:val="1"/>
    <w:compatSetting w:name="doNotFlipMirrorIndents" w:uri="http://schemas.microsoft.com/office/word" w:val="1"/>
  </w:compat>
  <w:docVars>
    <w:docVar w:name="commondata" w:val="eyJoZGlkIjoiZTBiNzA2ZjIyZTQwZmFmZGMwZjhhNjI3NTM3OGRmYjAifQ=="/>
  </w:docVars>
  <w:rsids>
    <w:rsidRoot w:val="00000000"/>
    <w:rsid w:val="09A533BA"/>
    <w:rsid w:val="1F48722E"/>
  </w:rsids>
  <m:mathPr>
    <m:brkBin m:val="before"/>
    <m:brkBinSub m:val="--"/>
    <m:smallFrac m:val="0"/>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30"/>
    <w:qFormat/>
    <w:uiPriority w:val="9"/>
    <w:pPr>
      <w:keepNext/>
      <w:keepLines/>
      <w:spacing w:before="340" w:after="330" w:line="578" w:lineRule="auto"/>
      <w:outlineLvl w:val="0"/>
    </w:pPr>
    <w:rPr>
      <w:b/>
      <w:bCs/>
      <w:kern w:val="44"/>
      <w:sz w:val="44"/>
      <w:szCs w:val="44"/>
    </w:rPr>
  </w:style>
  <w:style w:type="paragraph" w:customStyle="1" w:styleId="6">
    <w:name w:val="标题 21"/>
    <w:basedOn w:val="1"/>
    <w:next w:val="1"/>
    <w:link w:val="31"/>
    <w:unhideWhenUsed/>
    <w:qFormat/>
    <w:uiPriority w:val="9"/>
    <w:pPr>
      <w:keepNext/>
      <w:keepLines/>
      <w:spacing w:before="260" w:after="260" w:line="416" w:lineRule="auto"/>
      <w:outlineLvl w:val="1"/>
    </w:pPr>
    <w:rPr>
      <w:rFonts w:ascii="Cambria" w:hAnsi="Cambria"/>
      <w:b/>
      <w:bCs/>
      <w:sz w:val="32"/>
      <w:szCs w:val="32"/>
    </w:rPr>
  </w:style>
  <w:style w:type="paragraph" w:customStyle="1" w:styleId="7">
    <w:name w:val="标题 31"/>
    <w:basedOn w:val="1"/>
    <w:next w:val="1"/>
    <w:link w:val="14"/>
    <w:unhideWhenUsed/>
    <w:qFormat/>
    <w:uiPriority w:val="9"/>
    <w:pPr>
      <w:keepNext/>
      <w:keepLines/>
      <w:spacing w:before="260" w:after="260" w:line="416" w:lineRule="auto"/>
      <w:outlineLvl w:val="2"/>
    </w:pPr>
    <w:rPr>
      <w:b/>
      <w:bCs/>
      <w:sz w:val="32"/>
      <w:szCs w:val="32"/>
    </w:rPr>
  </w:style>
  <w:style w:type="character" w:customStyle="1" w:styleId="8">
    <w:name w:val="默认段落字体1"/>
    <w:unhideWhenUsed/>
    <w:uiPriority w:val="1"/>
  </w:style>
  <w:style w:type="table" w:customStyle="1" w:styleId="9">
    <w:name w:val="普通表格1"/>
    <w:unhideWhenUsed/>
    <w:qFormat/>
    <w:uiPriority w:val="99"/>
    <w:tblPr>
      <w:tblCellMar>
        <w:top w:w="0" w:type="dxa"/>
        <w:left w:w="108" w:type="dxa"/>
        <w:bottom w:w="0" w:type="dxa"/>
        <w:right w:w="108" w:type="dxa"/>
      </w:tblCellMar>
    </w:tblPr>
  </w:style>
  <w:style w:type="paragraph" w:customStyle="1" w:styleId="10">
    <w:name w:val="正文文本1"/>
    <w:basedOn w:val="1"/>
    <w:next w:val="1"/>
    <w:link w:val="11"/>
    <w:qFormat/>
    <w:uiPriority w:val="99"/>
    <w:pPr>
      <w:spacing w:beforeLines="30"/>
    </w:pPr>
    <w:rPr>
      <w:rFonts w:ascii="仿宋_GB2312" w:eastAsia="仿宋_GB2312"/>
      <w:kern w:val="0"/>
      <w:sz w:val="24"/>
      <w:szCs w:val="20"/>
    </w:rPr>
  </w:style>
  <w:style w:type="character" w:customStyle="1" w:styleId="11">
    <w:name w:val=" Char Char3"/>
    <w:link w:val="10"/>
    <w:qFormat/>
    <w:locked/>
    <w:uiPriority w:val="99"/>
    <w:rPr>
      <w:rFonts w:ascii="仿宋_GB2312" w:hAnsi="Times New Roman" w:eastAsia="仿宋_GB2312"/>
      <w:sz w:val="24"/>
    </w:rPr>
  </w:style>
  <w:style w:type="character" w:customStyle="1" w:styleId="12">
    <w:name w:val=" Char Char6"/>
    <w:basedOn w:val="8"/>
    <w:link w:val="5"/>
    <w:qFormat/>
    <w:locked/>
    <w:uiPriority w:val="9"/>
    <w:rPr>
      <w:rFonts w:ascii="Times New Roman" w:hAnsi="Times New Roman" w:cs="Times New Roman"/>
      <w:b/>
      <w:bCs/>
      <w:kern w:val="44"/>
      <w:sz w:val="44"/>
      <w:szCs w:val="44"/>
    </w:rPr>
  </w:style>
  <w:style w:type="character" w:customStyle="1" w:styleId="13">
    <w:name w:val=" Char Char5"/>
    <w:basedOn w:val="8"/>
    <w:link w:val="6"/>
    <w:qFormat/>
    <w:locked/>
    <w:uiPriority w:val="9"/>
    <w:rPr>
      <w:rFonts w:ascii="Cambria" w:hAnsi="Cambria" w:eastAsia="宋体" w:cs="Times New Roman"/>
      <w:b/>
      <w:bCs/>
      <w:kern w:val="2"/>
      <w:sz w:val="32"/>
      <w:szCs w:val="32"/>
    </w:rPr>
  </w:style>
  <w:style w:type="character" w:customStyle="1" w:styleId="14">
    <w:name w:val=" Char Char4"/>
    <w:basedOn w:val="8"/>
    <w:link w:val="7"/>
    <w:qFormat/>
    <w:locked/>
    <w:uiPriority w:val="9"/>
    <w:rPr>
      <w:rFonts w:ascii="Times New Roman" w:hAnsi="Times New Roman" w:cs="Times New Roman"/>
      <w:b/>
      <w:bCs/>
      <w:kern w:val="2"/>
      <w:sz w:val="32"/>
      <w:szCs w:val="32"/>
    </w:rPr>
  </w:style>
  <w:style w:type="paragraph" w:customStyle="1" w:styleId="15">
    <w:name w:val="称呼1"/>
    <w:basedOn w:val="1"/>
    <w:next w:val="1"/>
    <w:qFormat/>
    <w:uiPriority w:val="99"/>
    <w:rPr>
      <w:rFonts w:ascii="Times New Roman" w:hAnsi="Times New Roman"/>
      <w:szCs w:val="20"/>
    </w:rPr>
  </w:style>
  <w:style w:type="paragraph" w:customStyle="1" w:styleId="16">
    <w:name w:val="正文文本缩进1"/>
    <w:basedOn w:val="1"/>
    <w:next w:val="1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customStyle="1" w:styleId="17">
    <w:name w:val="正文首行缩进 21"/>
    <w:basedOn w:val="16"/>
    <w:next w:val="1"/>
    <w:qFormat/>
    <w:uiPriority w:val="0"/>
    <w:pPr>
      <w:ind w:firstLine="420" w:firstLineChars="200"/>
    </w:pPr>
  </w:style>
  <w:style w:type="paragraph" w:customStyle="1" w:styleId="18">
    <w:name w:val="目录 31"/>
    <w:basedOn w:val="1"/>
    <w:next w:val="1"/>
    <w:unhideWhenUsed/>
    <w:qFormat/>
    <w:uiPriority w:val="39"/>
    <w:pPr>
      <w:tabs>
        <w:tab w:val="right" w:leader="dot" w:pos="8296"/>
      </w:tabs>
      <w:ind w:left="840" w:leftChars="400"/>
    </w:pPr>
  </w:style>
  <w:style w:type="paragraph" w:customStyle="1" w:styleId="19">
    <w:name w:val="批注框文本1"/>
    <w:basedOn w:val="1"/>
    <w:link w:val="20"/>
    <w:unhideWhenUsed/>
    <w:qFormat/>
    <w:uiPriority w:val="99"/>
    <w:rPr>
      <w:sz w:val="18"/>
      <w:szCs w:val="18"/>
    </w:rPr>
  </w:style>
  <w:style w:type="character" w:customStyle="1" w:styleId="20">
    <w:name w:val=" Char Char2"/>
    <w:basedOn w:val="8"/>
    <w:link w:val="19"/>
    <w:semiHidden/>
    <w:qFormat/>
    <w:locked/>
    <w:uiPriority w:val="99"/>
    <w:rPr>
      <w:rFonts w:ascii="Times New Roman" w:hAnsi="Times New Roman" w:cs="Times New Roman"/>
      <w:kern w:val="2"/>
      <w:sz w:val="18"/>
      <w:szCs w:val="18"/>
    </w:rPr>
  </w:style>
  <w:style w:type="paragraph" w:customStyle="1" w:styleId="21">
    <w:name w:val="页脚1"/>
    <w:basedOn w:val="1"/>
    <w:link w:val="22"/>
    <w:qFormat/>
    <w:uiPriority w:val="99"/>
    <w:pPr>
      <w:tabs>
        <w:tab w:val="center" w:pos="4153"/>
        <w:tab w:val="right" w:pos="8306"/>
      </w:tabs>
      <w:snapToGrid w:val="0"/>
      <w:jc w:val="left"/>
    </w:pPr>
    <w:rPr>
      <w:rFonts w:ascii="Calibri" w:hAnsi="Calibri"/>
      <w:kern w:val="0"/>
      <w:sz w:val="18"/>
      <w:szCs w:val="20"/>
    </w:rPr>
  </w:style>
  <w:style w:type="character" w:customStyle="1" w:styleId="22">
    <w:name w:val=" Char Char1"/>
    <w:link w:val="21"/>
    <w:qFormat/>
    <w:locked/>
    <w:uiPriority w:val="99"/>
    <w:rPr>
      <w:sz w:val="18"/>
    </w:rPr>
  </w:style>
  <w:style w:type="paragraph" w:customStyle="1" w:styleId="23">
    <w:name w:val="页眉1"/>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character" w:customStyle="1" w:styleId="24">
    <w:name w:val=" Char Char"/>
    <w:link w:val="23"/>
    <w:semiHidden/>
    <w:qFormat/>
    <w:locked/>
    <w:uiPriority w:val="99"/>
    <w:rPr>
      <w:sz w:val="18"/>
    </w:rPr>
  </w:style>
  <w:style w:type="paragraph" w:customStyle="1" w:styleId="25">
    <w:name w:val="目录 11"/>
    <w:basedOn w:val="1"/>
    <w:next w:val="1"/>
    <w:unhideWhenUsed/>
    <w:qFormat/>
    <w:uiPriority w:val="39"/>
    <w:pPr>
      <w:tabs>
        <w:tab w:val="right" w:leader="dot" w:pos="8296"/>
      </w:tabs>
      <w:spacing w:before="93"/>
      <w:jc w:val="center"/>
    </w:pPr>
    <w:rPr>
      <w:rFonts w:ascii="仿宋" w:hAnsi="仿宋" w:eastAsia="仿宋"/>
      <w:sz w:val="28"/>
      <w:szCs w:val="28"/>
    </w:rPr>
  </w:style>
  <w:style w:type="paragraph" w:customStyle="1" w:styleId="26">
    <w:name w:val="目录 21"/>
    <w:basedOn w:val="1"/>
    <w:next w:val="1"/>
    <w:unhideWhenUsed/>
    <w:qFormat/>
    <w:uiPriority w:val="39"/>
    <w:pPr>
      <w:tabs>
        <w:tab w:val="right" w:leader="dot" w:pos="8296"/>
      </w:tabs>
      <w:ind w:left="420" w:leftChars="200"/>
    </w:pPr>
  </w:style>
  <w:style w:type="paragraph" w:customStyle="1" w:styleId="27">
    <w:name w:val="普通(网站)1"/>
    <w:basedOn w:val="1"/>
    <w:qFormat/>
    <w:uiPriority w:val="0"/>
    <w:pPr>
      <w:spacing w:before="100" w:beforeAutospacing="1" w:after="100" w:afterAutospacing="1"/>
      <w:ind w:left="0" w:right="0"/>
      <w:jc w:val="left"/>
    </w:pPr>
    <w:rPr>
      <w:kern w:val="0"/>
      <w:sz w:val="24"/>
      <w:lang w:val="en-US" w:eastAsia="zh-CN" w:bidi="en-AU"/>
    </w:rPr>
  </w:style>
  <w:style w:type="character" w:customStyle="1" w:styleId="28">
    <w:name w:val="要点1"/>
    <w:basedOn w:val="8"/>
    <w:qFormat/>
    <w:uiPriority w:val="99"/>
    <w:rPr>
      <w:rFonts w:cs="Times New Roman"/>
      <w:b/>
    </w:rPr>
  </w:style>
  <w:style w:type="character" w:customStyle="1" w:styleId="29">
    <w:name w:val="超链接1"/>
    <w:basedOn w:val="8"/>
    <w:unhideWhenUsed/>
    <w:qFormat/>
    <w:uiPriority w:val="99"/>
    <w:rPr>
      <w:rFonts w:cs="Times New Roman"/>
      <w:color w:val="0000FF"/>
      <w:u w:val="single"/>
    </w:rPr>
  </w:style>
  <w:style w:type="character" w:customStyle="1" w:styleId="30">
    <w:name w:val="标题 1 Char"/>
    <w:basedOn w:val="8"/>
    <w:link w:val="5"/>
    <w:qFormat/>
    <w:uiPriority w:val="9"/>
    <w:rPr>
      <w:rFonts w:ascii="Times New Roman" w:hAnsi="Times New Roman"/>
      <w:b/>
      <w:bCs/>
      <w:kern w:val="44"/>
      <w:sz w:val="44"/>
      <w:szCs w:val="44"/>
    </w:rPr>
  </w:style>
  <w:style w:type="character" w:customStyle="1" w:styleId="31">
    <w:name w:val="标题 2 Char"/>
    <w:basedOn w:val="8"/>
    <w:link w:val="6"/>
    <w:qFormat/>
    <w:uiPriority w:val="9"/>
    <w:rPr>
      <w:rFonts w:ascii="Cambria" w:hAnsi="Cambria" w:eastAsia="宋体" w:cs="Times New Roman"/>
      <w:b/>
      <w:bCs/>
      <w:kern w:val="2"/>
      <w:sz w:val="32"/>
      <w:szCs w:val="32"/>
    </w:rPr>
  </w:style>
  <w:style w:type="character" w:customStyle="1" w:styleId="32">
    <w:name w:val="Footer Char"/>
    <w:basedOn w:val="8"/>
    <w:semiHidden/>
    <w:qFormat/>
    <w:uiPriority w:val="99"/>
    <w:rPr>
      <w:rFonts w:ascii="Times New Roman" w:hAnsi="Times New Roman" w:cs="Times New Roman"/>
      <w:sz w:val="18"/>
      <w:szCs w:val="18"/>
    </w:rPr>
  </w:style>
  <w:style w:type="character" w:customStyle="1" w:styleId="33">
    <w:name w:val="Body Text Char"/>
    <w:basedOn w:val="8"/>
    <w:semiHidden/>
    <w:qFormat/>
    <w:uiPriority w:val="99"/>
    <w:rPr>
      <w:rFonts w:ascii="Times New Roman" w:hAnsi="Times New Roman" w:cs="Times New Roman"/>
      <w:sz w:val="24"/>
      <w:szCs w:val="24"/>
    </w:rPr>
  </w:style>
  <w:style w:type="character" w:customStyle="1" w:styleId="34">
    <w:name w:val="Header Char"/>
    <w:basedOn w:val="8"/>
    <w:semiHidden/>
    <w:qFormat/>
    <w:uiPriority w:val="99"/>
    <w:rPr>
      <w:rFonts w:ascii="Times New Roman" w:hAnsi="Times New Roman" w:cs="Times New Roman"/>
      <w:sz w:val="18"/>
      <w:szCs w:val="18"/>
    </w:rPr>
  </w:style>
  <w:style w:type="paragraph" w:customStyle="1" w:styleId="35">
    <w:name w:val="TOC 标题1"/>
    <w:basedOn w:val="5"/>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6">
    <w:name w:val="Default"/>
    <w:qFormat/>
    <w:uiPriority w:val="99"/>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37">
    <w:name w:val="Normal_0"/>
    <w:uiPriority w:val="0"/>
    <w:pPr>
      <w:jc w:val="both"/>
    </w:pPr>
    <w:rPr>
      <w:rFonts w:ascii="Times New Roman" w:hAnsi="Times New Roman" w:eastAsia="宋体" w:cs="Times New Roman"/>
      <w:kern w:val="2"/>
      <w:sz w:val="21"/>
      <w:szCs w:val="21"/>
      <w:lang w:val="en-US" w:eastAsia="zh-CN" w:bidi="ar-SA"/>
    </w:rPr>
  </w:style>
  <w:style w:type="paragraph" w:styleId="38">
    <w:name w:val="List Paragraph"/>
    <w:basedOn w:val="1"/>
    <w:qFormat/>
    <w:uiPriority w:val="34"/>
    <w:pPr>
      <w:ind w:firstLine="420" w:firstLineChars="200"/>
    </w:pPr>
  </w:style>
  <w:style w:type="paragraph" w:customStyle="1" w:styleId="39">
    <w:name w:val="WPSOffice手动目录 2"/>
    <w:qFormat/>
    <w:uiPriority w:val="0"/>
    <w:pPr>
      <w:ind w:leftChars="200"/>
    </w:pPr>
    <w:rPr>
      <w:rFonts w:ascii="Times New Roman" w:hAnsi="Times New Roman" w:eastAsia="宋体" w:cs="Times New Roman"/>
      <w:sz w:val="20"/>
      <w:szCs w:val="20"/>
    </w:rPr>
  </w:style>
  <w:style w:type="paragraph" w:customStyle="1" w:styleId="40">
    <w:name w:val="TOC Heading1"/>
    <w:basedOn w:val="5"/>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41">
    <w:name w:val="WPSOffice手动目录 1"/>
    <w:qFormat/>
    <w:uiPriority w:val="0"/>
    <w:pPr>
      <w:ind w:leftChars="0"/>
    </w:pPr>
    <w:rPr>
      <w:rFonts w:ascii="Times New Roman" w:hAnsi="Times New Roman" w:eastAsia="宋体" w:cs="Times New Roman"/>
      <w:sz w:val="20"/>
      <w:szCs w:val="20"/>
    </w:rPr>
  </w:style>
  <w:style w:type="paragraph" w:customStyle="1" w:styleId="42">
    <w:name w:val="p0"/>
    <w:basedOn w:val="1"/>
    <w:qFormat/>
    <w:uiPriority w:val="0"/>
    <w:pPr>
      <w:widowControl/>
    </w:pPr>
    <w:rPr>
      <w:kern w:val="0"/>
      <w:szCs w:val="21"/>
    </w:rPr>
  </w:style>
  <w:style w:type="character" w:customStyle="1" w:styleId="43">
    <w:name w:val="font51"/>
    <w:basedOn w:val="8"/>
    <w:uiPriority w:val="0"/>
    <w:rPr>
      <w:rFonts w:hint="eastAsia" w:ascii="宋体" w:hAnsi="宋体" w:eastAsia="宋体" w:cs="宋体"/>
      <w:color w:val="000000"/>
      <w:sz w:val="20"/>
      <w:szCs w:val="20"/>
      <w:u w:val="none"/>
    </w:rPr>
  </w:style>
  <w:style w:type="character" w:customStyle="1" w:styleId="44">
    <w:name w:val="font11"/>
    <w:basedOn w:val="8"/>
    <w:uiPriority w:val="0"/>
    <w:rPr>
      <w:rFonts w:hint="eastAsia" w:ascii="宋体" w:hAnsi="宋体" w:eastAsia="宋体" w:cs="宋体"/>
      <w:color w:val="000000"/>
      <w:sz w:val="20"/>
      <w:szCs w:val="20"/>
      <w:u w:val="none"/>
    </w:rPr>
  </w:style>
  <w:style w:type="character" w:customStyle="1" w:styleId="45">
    <w:name w:val="font141"/>
    <w:basedOn w:val="8"/>
    <w:uiPriority w:val="0"/>
    <w:rPr>
      <w:rFonts w:hint="eastAsia" w:ascii="宋体" w:hAnsi="宋体" w:eastAsia="宋体" w:cs="宋体"/>
      <w:color w:val="000000"/>
      <w:sz w:val="18"/>
      <w:szCs w:val="18"/>
      <w:u w:val="none"/>
    </w:rPr>
  </w:style>
  <w:style w:type="character" w:customStyle="1" w:styleId="46">
    <w:name w:val="font121"/>
    <w:basedOn w:val="8"/>
    <w:uiPriority w:val="0"/>
    <w:rPr>
      <w:rFonts w:hint="eastAsia" w:ascii="宋体" w:hAnsi="宋体" w:eastAsia="宋体" w:cs="宋体"/>
      <w:color w:val="000000"/>
      <w:sz w:val="18"/>
      <w:szCs w:val="18"/>
      <w:u w:val="none"/>
    </w:rPr>
  </w:style>
  <w:style w:type="paragraph" w:customStyle="1" w:styleId="47">
    <w:name w:val="列表段落1"/>
    <w:basedOn w:val="1"/>
    <w:qFormat/>
    <w:uiPriority w:val="34"/>
    <w:pPr>
      <w:ind w:firstLine="420" w:firstLineChars="200"/>
    </w:pPr>
  </w:style>
  <w:style w:type="paragraph" w:customStyle="1" w:styleId="48">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16</Pages>
  <Words>5791</Words>
  <Characters>6269</Characters>
  <Lines>61</Lines>
  <Paragraphs>17</Paragraphs>
  <TotalTime>157270563</TotalTime>
  <ScaleCrop>false</ScaleCrop>
  <LinksUpToDate>false</LinksUpToDate>
  <CharactersWithSpaces>6548</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2020-08-04T01:49:00Z</dcterms:created>
  <dc:creator>曹颖</dc:creator>
  <cp:lastModifiedBy>WPS_1651227375</cp:lastModifiedBy>
  <cp:lastPrinted>2021-10-11T04:02:00Z</cp:lastPrinted>
  <dcterms:modified xsi:type="dcterms:W3CDTF">2024-08-12T06:46:20Z</dcterms:modified>
  <dc:title>四川省_x002A__x002A__x002A_</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5A08903728264C57A937CC5721D53640</vt:lpwstr>
  </property>
</Properties>
</file>