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425"/>
      <w:bookmarkStart w:id="2" w:name="_Toc15378441"/>
      <w:bookmarkStart w:id="3" w:name="_Toc922"/>
      <w:bookmarkStart w:id="4" w:name="_Toc15377193"/>
      <w:bookmarkStart w:id="5" w:name="_Toc15396597"/>
      <w:bookmarkStart w:id="6" w:name="_Toc15396475"/>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15396476"/>
      <w:bookmarkStart w:id="8" w:name="_Toc15377194"/>
      <w:bookmarkStart w:id="9" w:name="_Toc15378442"/>
      <w:bookmarkStart w:id="10" w:name="_Toc15377426"/>
      <w:bookmarkStart w:id="11" w:name="_Toc15396598"/>
      <w:bookmarkStart w:id="12" w:name="_Toc20315"/>
      <w:r>
        <w:rPr>
          <w:rFonts w:hint="eastAsia" w:ascii="方正小标宋简体" w:hAnsi="方正小标宋简体" w:eastAsia="方正小标宋简体" w:cs="方正小标宋简体"/>
          <w:color w:val="auto"/>
          <w:sz w:val="72"/>
          <w:szCs w:val="72"/>
          <w:highlight w:val="none"/>
        </w:rPr>
        <w:t>四川省</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广元市昭化区紫云</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eastAsia="zh-CN"/>
        </w:rPr>
        <w:t>乡卫生院单位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pStyle w:val="12"/>
        <w:ind w:firstLine="1960" w:firstLineChars="700"/>
        <w:jc w:val="both"/>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 9</w:t>
      </w:r>
      <w:r>
        <w:rPr>
          <w:rFonts w:hint="eastAsia"/>
          <w:color w:val="auto"/>
          <w:highlight w:val="none"/>
        </w:rPr>
        <w:t>月</w:t>
      </w:r>
      <w:r>
        <w:rPr>
          <w:rFonts w:hint="eastAsia"/>
          <w:color w:val="auto"/>
          <w:highlight w:val="none"/>
          <w:lang w:val="en-US" w:eastAsia="zh-CN"/>
        </w:rPr>
        <w:t xml:space="preserve"> 28</w:t>
      </w:r>
      <w:r>
        <w:rPr>
          <w:rFonts w:hint="eastAsia"/>
          <w:color w:val="auto"/>
          <w:highlight w:val="none"/>
        </w:rPr>
        <w:t>日</w:t>
      </w:r>
    </w:p>
    <w:sdt>
      <w:sdtPr>
        <w:rPr>
          <w:rFonts w:ascii="宋体" w:hAnsi="宋体" w:eastAsia="宋体" w:cs="Times New Roman"/>
          <w:kern w:val="2"/>
          <w:sz w:val="21"/>
          <w:szCs w:val="24"/>
          <w:lang w:val="en-US" w:eastAsia="zh-CN" w:bidi="ar-SA"/>
        </w:rPr>
        <w:id w:val="147464636"/>
        <w15:color w:val="DBDBDB"/>
        <w:docPartObj>
          <w:docPartGallery w:val="Table of Contents"/>
          <w:docPartUnique/>
        </w:docPartObj>
      </w:sdtPr>
      <w:sdtEndPr>
        <w:rPr>
          <w:rFonts w:hint="eastAsia" w:ascii="仿宋" w:hAnsi="仿宋" w:eastAsia="仿宋" w:cs="仿宋"/>
          <w:b/>
          <w:bCs/>
          <w:color w:val="auto"/>
          <w:kern w:val="44"/>
          <w:sz w:val="24"/>
          <w:szCs w:val="24"/>
          <w:highlight w:val="none"/>
          <w:lang w:val="en-US" w:eastAsia="zh-CN" w:bidi="ar-SA"/>
        </w:rPr>
      </w:sdtEndPr>
      <w:sdtContent>
        <w:p>
          <w:pPr>
            <w:spacing w:before="0" w:beforeLines="0" w:after="0" w:afterLines="0" w:line="240" w:lineRule="auto"/>
            <w:ind w:left="0" w:leftChars="0" w:right="0" w:rightChars="0" w:firstLine="0" w:firstLineChars="0"/>
            <w:jc w:val="both"/>
            <w:rPr>
              <w:rFonts w:hint="eastAsia" w:ascii="仿宋" w:hAnsi="仿宋" w:eastAsia="仿宋" w:cs="仿宋"/>
              <w:sz w:val="24"/>
              <w:szCs w:val="24"/>
            </w:rPr>
          </w:pPr>
          <w:bookmarkStart w:id="14" w:name="_Toc15396599"/>
          <w:r>
            <w:rPr>
              <w:rFonts w:hint="eastAsia" w:ascii="仿宋" w:hAnsi="仿宋" w:eastAsia="仿宋" w:cs="仿宋"/>
              <w:b w:val="0"/>
              <w:color w:val="auto"/>
              <w:sz w:val="24"/>
              <w:szCs w:val="24"/>
              <w:highlight w:val="none"/>
            </w:rPr>
            <w:fldChar w:fldCharType="begin"/>
          </w:r>
          <w:r>
            <w:rPr>
              <w:rFonts w:hint="eastAsia" w:ascii="仿宋" w:hAnsi="仿宋" w:eastAsia="仿宋" w:cs="仿宋"/>
              <w:b w:val="0"/>
              <w:color w:val="auto"/>
              <w:sz w:val="24"/>
              <w:szCs w:val="24"/>
              <w:highlight w:val="none"/>
            </w:rPr>
            <w:instrText xml:space="preserve">TOC \o "1-3" \h \u</w:instrText>
          </w:r>
          <w:r>
            <w:rPr>
              <w:rFonts w:hint="eastAsia" w:ascii="仿宋" w:hAnsi="仿宋" w:eastAsia="仿宋" w:cs="仿宋"/>
              <w:b w:val="0"/>
              <w:color w:val="auto"/>
              <w:sz w:val="24"/>
              <w:szCs w:val="24"/>
              <w:highlight w:val="none"/>
            </w:rPr>
            <w:fldChar w:fldCharType="separate"/>
          </w:r>
          <w:r>
            <w:fldChar w:fldCharType="begin"/>
          </w:r>
          <w:r>
            <w:instrText xml:space="preserve"> HYPERLINK \l "_Toc23615"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lang w:val="en-US" w:eastAsia="zh-CN"/>
            </w:rPr>
          </w:pPr>
          <w:r>
            <w:fldChar w:fldCharType="begin"/>
          </w:r>
          <w:r>
            <w:instrText xml:space="preserve"> HYPERLINK \l "_Toc26701" </w:instrText>
          </w:r>
          <w:r>
            <w:fldChar w:fldCharType="separate"/>
          </w:r>
          <w:r>
            <w:rPr>
              <w:rFonts w:hint="eastAsia" w:ascii="仿宋" w:hAnsi="仿宋" w:eastAsia="仿宋" w:cs="仿宋"/>
              <w:sz w:val="24"/>
              <w:szCs w:val="24"/>
              <w:lang w:eastAsia="zh-CN"/>
            </w:rPr>
            <w:t>一、</w:t>
          </w:r>
          <w:r>
            <w:rPr>
              <w:rFonts w:hint="eastAsia" w:ascii="仿宋" w:hAnsi="仿宋" w:eastAsia="仿宋" w:cs="仿宋"/>
              <w:bCs w:val="0"/>
              <w:sz w:val="24"/>
              <w:szCs w:val="24"/>
              <w:highlight w:val="none"/>
              <w:lang w:eastAsia="zh-CN"/>
            </w:rPr>
            <w:t>主要职责</w:t>
          </w:r>
          <w:r>
            <w:rPr>
              <w:rFonts w:hint="eastAsia" w:ascii="仿宋" w:hAnsi="仿宋" w:eastAsia="仿宋" w:cs="仿宋"/>
              <w:sz w:val="24"/>
              <w:szCs w:val="24"/>
            </w:rPr>
            <w:tab/>
          </w:r>
          <w:r>
            <w:rPr>
              <w:rFonts w:hint="eastAsia" w:ascii="仿宋" w:hAnsi="仿宋" w:eastAsia="仿宋" w:cs="仿宋"/>
              <w:sz w:val="24"/>
              <w:szCs w:val="24"/>
            </w:rPr>
            <w:fldChar w:fldCharType="end"/>
          </w:r>
          <w:r>
            <w:rPr>
              <w:rFonts w:hint="eastAsia" w:ascii="仿宋" w:hAnsi="仿宋" w:eastAsia="仿宋" w:cs="仿宋"/>
              <w:color w:val="auto"/>
              <w:sz w:val="24"/>
              <w:szCs w:val="24"/>
              <w:highlight w:val="none"/>
              <w:lang w:val="en-US" w:eastAsia="zh-CN"/>
            </w:rPr>
            <w:t>1</w:t>
          </w:r>
        </w:p>
        <w:p>
          <w:pPr>
            <w:pStyle w:val="35"/>
            <w:tabs>
              <w:tab w:val="right" w:leader="dot" w:pos="8306"/>
            </w:tabs>
            <w:rPr>
              <w:rFonts w:hint="eastAsia" w:ascii="仿宋" w:hAnsi="仿宋" w:eastAsia="仿宋" w:cs="仿宋"/>
              <w:sz w:val="24"/>
              <w:szCs w:val="24"/>
            </w:rPr>
          </w:pPr>
          <w:r>
            <w:fldChar w:fldCharType="begin"/>
          </w:r>
          <w:r>
            <w:instrText xml:space="preserve"> HYPERLINK \l "_Toc13843" </w:instrText>
          </w:r>
          <w:r>
            <w:fldChar w:fldCharType="separate"/>
          </w:r>
          <w:r>
            <w:rPr>
              <w:rFonts w:hint="eastAsia" w:ascii="仿宋" w:hAnsi="仿宋" w:eastAsia="仿宋" w:cs="仿宋"/>
              <w:sz w:val="24"/>
              <w:szCs w:val="24"/>
              <w:highlight w:val="none"/>
              <w:lang w:eastAsia="zh-CN"/>
            </w:rPr>
            <w:t>二、机构设置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_Toc13843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4"/>
            <w:tabs>
              <w:tab w:val="right" w:leader="dot" w:pos="8306"/>
            </w:tabs>
            <w:rPr>
              <w:rFonts w:hint="eastAsia" w:ascii="仿宋" w:hAnsi="仿宋" w:eastAsia="仿宋" w:cs="仿宋"/>
              <w:sz w:val="24"/>
              <w:szCs w:val="24"/>
            </w:rPr>
          </w:pPr>
          <w:r>
            <w:fldChar w:fldCharType="begin"/>
          </w:r>
          <w:r>
            <w:instrText xml:space="preserve"> HYPERLINK \l "_Toc24350" </w:instrText>
          </w:r>
          <w:r>
            <w:fldChar w:fldCharType="separate"/>
          </w:r>
          <w:r>
            <w:rPr>
              <w:rFonts w:hint="eastAsia" w:ascii="仿宋" w:hAnsi="仿宋" w:eastAsia="仿宋" w:cs="仿宋"/>
              <w:bCs/>
              <w:sz w:val="24"/>
              <w:szCs w:val="24"/>
              <w:highlight w:val="none"/>
            </w:rPr>
            <w:t xml:space="preserve">第二部分 </w:t>
          </w:r>
          <w:r>
            <w:rPr>
              <w:rFonts w:hint="eastAsia" w:ascii="仿宋" w:hAnsi="仿宋" w:eastAsia="仿宋" w:cs="仿宋"/>
              <w:bCs/>
              <w:sz w:val="24"/>
              <w:szCs w:val="24"/>
              <w:highlight w:val="none"/>
              <w:lang w:val="en-US" w:eastAsia="zh-CN"/>
            </w:rPr>
            <w:t>2022年度</w:t>
          </w:r>
          <w:r>
            <w:rPr>
              <w:rFonts w:hint="eastAsia" w:ascii="仿宋" w:hAnsi="仿宋" w:eastAsia="仿宋" w:cs="仿宋"/>
              <w:bCs/>
              <w:sz w:val="24"/>
              <w:szCs w:val="24"/>
              <w:highlight w:val="none"/>
              <w:lang w:eastAsia="zh-CN"/>
            </w:rPr>
            <w:t>单位</w:t>
          </w:r>
          <w:r>
            <w:rPr>
              <w:rFonts w:hint="eastAsia" w:ascii="仿宋" w:hAnsi="仿宋" w:eastAsia="仿宋" w:cs="仿宋"/>
              <w:bCs/>
              <w:sz w:val="24"/>
              <w:szCs w:val="24"/>
              <w:highlight w:val="none"/>
            </w:rPr>
            <w:t>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_Toc24350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"_Toc31196" </w:instrText>
          </w:r>
          <w:r>
            <w:fldChar w:fldCharType="separate"/>
          </w:r>
          <w:r>
            <w:rPr>
              <w:rFonts w:hint="eastAsia" w:ascii="仿宋" w:hAnsi="仿宋" w:eastAsia="仿宋" w:cs="仿宋"/>
              <w:sz w:val="24"/>
              <w:szCs w:val="24"/>
            </w:rPr>
            <w:t xml:space="preserve">一、 </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_Toc31196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"_Toc8564" </w:instrText>
          </w:r>
          <w:r>
            <w:fldChar w:fldCharType="separate"/>
          </w:r>
          <w:r>
            <w:rPr>
              <w:rFonts w:hint="eastAsia" w:ascii="仿宋" w:hAnsi="仿宋" w:eastAsia="仿宋" w:cs="仿宋"/>
              <w:sz w:val="24"/>
              <w:szCs w:val="24"/>
            </w:rPr>
            <w:t xml:space="preserve">二、 </w:t>
          </w:r>
          <w:r>
            <w:rPr>
              <w:rFonts w:hint="eastAsia" w:ascii="仿宋" w:hAnsi="仿宋" w:eastAsia="仿宋" w:cs="仿宋"/>
              <w:sz w:val="24"/>
              <w:szCs w:val="24"/>
              <w:highlight w:val="none"/>
            </w:rPr>
            <w:t>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_Toc8564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"_Toc14025" </w:instrText>
          </w:r>
          <w:r>
            <w:fldChar w:fldCharType="separate"/>
          </w:r>
          <w:r>
            <w:rPr>
              <w:rFonts w:hint="eastAsia" w:ascii="仿宋" w:hAnsi="仿宋" w:eastAsia="仿宋" w:cs="仿宋"/>
              <w:sz w:val="24"/>
              <w:szCs w:val="24"/>
            </w:rPr>
            <w:t xml:space="preserve">三、 </w:t>
          </w:r>
          <w:r>
            <w:rPr>
              <w:rFonts w:hint="eastAsia" w:ascii="仿宋" w:hAnsi="仿宋" w:eastAsia="仿宋" w:cs="仿宋"/>
              <w:sz w:val="24"/>
              <w:szCs w:val="24"/>
              <w:highlight w:val="none"/>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_Toc14025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"_Toc12291"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_Toc12291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"_Toc24774"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_Toc24774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"_Toc8389" </w:instrText>
          </w:r>
          <w:r>
            <w:fldChar w:fldCharType="separate"/>
          </w:r>
          <w:r>
            <w:rPr>
              <w:rFonts w:hint="eastAsia" w:ascii="仿宋" w:hAnsi="仿宋" w:eastAsia="仿宋" w:cs="仿宋"/>
              <w:sz w:val="24"/>
              <w:szCs w:val="24"/>
              <w:highlight w:val="none"/>
            </w:rPr>
            <w:t>（一）一般公共预算财政拨款支出决算总体情况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_Toc8389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"_Toc31269" </w:instrText>
          </w:r>
          <w:r>
            <w:fldChar w:fldCharType="separate"/>
          </w:r>
          <w:r>
            <w:rPr>
              <w:rFonts w:hint="eastAsia" w:ascii="仿宋" w:hAnsi="仿宋" w:eastAsia="仿宋" w:cs="仿宋"/>
              <w:sz w:val="24"/>
              <w:szCs w:val="24"/>
              <w:highlight w:val="none"/>
            </w:rPr>
            <w:t>（二）一般公共预算财政拨款支出决算结构情况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_Toc31269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"_Toc12638" </w:instrText>
          </w:r>
          <w:r>
            <w:fldChar w:fldCharType="separate"/>
          </w:r>
          <w:r>
            <w:rPr>
              <w:rFonts w:hint="eastAsia" w:ascii="仿宋" w:hAnsi="仿宋" w:eastAsia="仿宋" w:cs="仿宋"/>
              <w:sz w:val="24"/>
              <w:szCs w:val="24"/>
              <w:highlight w:val="none"/>
            </w:rPr>
            <w:t>（三）一般公共预算财政拨款支出决算具体情况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_Toc12638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"_Toc8552"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_Toc8552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"_Toc14957" </w:instrText>
          </w:r>
          <w: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_Toc14957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"_Toc18476" </w:instrText>
          </w:r>
          <w:r>
            <w:fldChar w:fldCharType="separate"/>
          </w:r>
          <w:r>
            <w:rPr>
              <w:rFonts w:hint="eastAsia" w:ascii="仿宋" w:hAnsi="仿宋" w:eastAsia="仿宋" w:cs="仿宋"/>
              <w:sz w:val="24"/>
              <w:szCs w:val="24"/>
              <w:highlight w:val="none"/>
            </w:rPr>
            <w:t>（一）“三公”经费财政拨款支出决算总体情况说明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_Toc18476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"_Toc11572" </w:instrText>
          </w:r>
          <w:r>
            <w:fldChar w:fldCharType="separate"/>
          </w:r>
          <w:r>
            <w:rPr>
              <w:rFonts w:hint="eastAsia" w:ascii="仿宋" w:hAnsi="仿宋" w:eastAsia="仿宋" w:cs="仿宋"/>
              <w:sz w:val="24"/>
              <w:szCs w:val="24"/>
              <w:highlight w:val="none"/>
            </w:rPr>
            <w:t>（二）“三公”经费财政拨款支出决算具体情况说明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_Toc11572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"_Toc29163"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_Toc29163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"_Toc9974" </w:instrText>
          </w:r>
          <w:r>
            <w:fldChar w:fldCharType="separate"/>
          </w:r>
          <w:r>
            <w:rPr>
              <w:rFonts w:hint="eastAsia" w:ascii="仿宋" w:hAnsi="仿宋" w:eastAsia="仿宋" w:cs="仿宋"/>
              <w:sz w:val="24"/>
              <w:szCs w:val="24"/>
            </w:rPr>
            <w:t xml:space="preserve">九、 </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_Toc9974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"_Toc19028" </w:instrText>
          </w:r>
          <w:r>
            <w:fldChar w:fldCharType="separate"/>
          </w:r>
          <w:r>
            <w:rPr>
              <w:rFonts w:hint="eastAsia" w:ascii="仿宋" w:hAnsi="仿宋" w:eastAsia="仿宋" w:cs="仿宋"/>
              <w:sz w:val="24"/>
              <w:szCs w:val="24"/>
            </w:rPr>
            <w:t xml:space="preserve">十、 </w:t>
          </w:r>
          <w:r>
            <w:rPr>
              <w:rFonts w:hint="eastAsia" w:ascii="仿宋" w:hAnsi="仿宋" w:eastAsia="仿宋" w:cs="仿宋"/>
              <w:sz w:val="24"/>
              <w:szCs w:val="24"/>
              <w:highlight w:val="none"/>
            </w:rPr>
            <w:t>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_Toc19028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"_Toc27052" </w:instrText>
          </w:r>
          <w:r>
            <w:fldChar w:fldCharType="separate"/>
          </w:r>
          <w:r>
            <w:rPr>
              <w:rFonts w:hint="eastAsia" w:ascii="仿宋" w:hAnsi="仿宋" w:eastAsia="仿宋" w:cs="仿宋"/>
              <w:sz w:val="24"/>
              <w:szCs w:val="24"/>
              <w:highlight w:val="none"/>
            </w:rPr>
            <w:t>（一）机关运行经费支出情况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_Toc27052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"_Toc15486"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_Toc15486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"_Toc2534"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_Toc2534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6"/>
            <w:tabs>
              <w:tab w:val="right" w:leader="dot" w:pos="8306"/>
            </w:tabs>
            <w:rPr>
              <w:rFonts w:hint="eastAsia" w:ascii="仿宋" w:hAnsi="仿宋" w:eastAsia="仿宋" w:cs="仿宋"/>
              <w:sz w:val="24"/>
              <w:szCs w:val="24"/>
            </w:rPr>
          </w:pPr>
          <w:r>
            <w:fldChar w:fldCharType="begin"/>
          </w:r>
          <w:r>
            <w:instrText xml:space="preserve"> HYPERLINK \l "_Toc1733"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_Toc1733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4"/>
            <w:tabs>
              <w:tab w:val="right" w:leader="dot" w:pos="8306"/>
            </w:tabs>
            <w:rPr>
              <w:rFonts w:hint="eastAsia" w:ascii="仿宋" w:hAnsi="仿宋" w:eastAsia="仿宋" w:cs="仿宋"/>
              <w:sz w:val="24"/>
              <w:szCs w:val="24"/>
            </w:rPr>
          </w:pPr>
          <w:r>
            <w:fldChar w:fldCharType="begin"/>
          </w:r>
          <w:r>
            <w:instrText xml:space="preserve"> HYPERLINK \l "_Toc31955" </w:instrText>
          </w:r>
          <w:r>
            <w:fldChar w:fldCharType="separate"/>
          </w:r>
          <w:r>
            <w:rPr>
              <w:rFonts w:hint="eastAsia" w:ascii="仿宋" w:hAnsi="仿宋" w:eastAsia="仿宋" w:cs="仿宋"/>
              <w:sz w:val="24"/>
              <w:szCs w:val="24"/>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_Toc31955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4"/>
            <w:tabs>
              <w:tab w:val="right" w:leader="dot" w:pos="8306"/>
            </w:tabs>
            <w:rPr>
              <w:rFonts w:hint="eastAsia" w:ascii="仿宋" w:hAnsi="仿宋" w:eastAsia="仿宋" w:cs="仿宋"/>
              <w:sz w:val="24"/>
              <w:szCs w:val="24"/>
            </w:rPr>
          </w:pPr>
          <w:r>
            <w:fldChar w:fldCharType="begin"/>
          </w:r>
          <w:r>
            <w:instrText xml:space="preserve"> HYPERLINK \l "_Toc16594" </w:instrText>
          </w:r>
          <w:r>
            <w:fldChar w:fldCharType="separate"/>
          </w:r>
          <w:r>
            <w:rPr>
              <w:rFonts w:hint="eastAsia" w:ascii="仿宋" w:hAnsi="仿宋" w:eastAsia="仿宋" w:cs="仿宋"/>
              <w:sz w:val="24"/>
              <w:szCs w:val="24"/>
              <w:highlight w:val="none"/>
            </w:rPr>
            <w:t>第四部分 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_Toc16594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4"/>
            <w:tabs>
              <w:tab w:val="right" w:leader="dot" w:pos="8306"/>
            </w:tabs>
            <w:rPr>
              <w:rFonts w:hint="eastAsia" w:ascii="仿宋" w:hAnsi="仿宋" w:eastAsia="仿宋" w:cs="仿宋"/>
              <w:sz w:val="24"/>
              <w:szCs w:val="24"/>
            </w:rPr>
          </w:pPr>
          <w:r>
            <w:fldChar w:fldCharType="begin"/>
          </w:r>
          <w:r>
            <w:instrText xml:space="preserve"> HYPERLINK \l "_Toc32206"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_Toc32206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"_Toc31139" </w:instrText>
          </w:r>
          <w:r>
            <w:fldChar w:fldCharType="separate"/>
          </w:r>
          <w:r>
            <w:rPr>
              <w:rFonts w:hint="eastAsia" w:ascii="仿宋" w:hAnsi="仿宋" w:eastAsia="仿宋" w:cs="仿宋"/>
              <w:sz w:val="24"/>
              <w:szCs w:val="24"/>
              <w:highlight w:val="none"/>
            </w:rPr>
            <w:t>一、收</w:t>
          </w:r>
          <w:r>
            <w:rPr>
              <w:rFonts w:hint="eastAsia" w:ascii="仿宋" w:hAnsi="仿宋" w:eastAsia="仿宋" w:cs="仿宋"/>
              <w:bCs w:val="0"/>
              <w:sz w:val="24"/>
              <w:szCs w:val="24"/>
              <w:highlight w:val="none"/>
            </w:rPr>
            <w:t>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_Toc31139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"_Toc17591" </w:instrText>
          </w:r>
          <w:r>
            <w:fldChar w:fldCharType="separate"/>
          </w:r>
          <w:r>
            <w:rPr>
              <w:rFonts w:hint="eastAsia" w:ascii="仿宋" w:hAnsi="仿宋" w:eastAsia="仿宋" w:cs="仿宋"/>
              <w:sz w:val="24"/>
              <w:szCs w:val="24"/>
              <w:highlight w:val="none"/>
            </w:rPr>
            <w:t>二、收</w:t>
          </w:r>
          <w:r>
            <w:rPr>
              <w:rFonts w:hint="eastAsia" w:ascii="仿宋" w:hAnsi="仿宋" w:eastAsia="仿宋" w:cs="仿宋"/>
              <w:bCs w:val="0"/>
              <w:sz w:val="24"/>
              <w:szCs w:val="24"/>
              <w:highlight w:val="none"/>
            </w:rPr>
            <w:t>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_Toc17591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"_Toc25324" </w:instrText>
          </w:r>
          <w:r>
            <w:fldChar w:fldCharType="separate"/>
          </w:r>
          <w:r>
            <w:rPr>
              <w:rFonts w:hint="eastAsia" w:ascii="仿宋" w:hAnsi="仿宋" w:eastAsia="仿宋" w:cs="仿宋"/>
              <w:bCs w:val="0"/>
              <w:sz w:val="24"/>
              <w:szCs w:val="24"/>
              <w:highlight w:val="none"/>
            </w:rPr>
            <w:t>三、</w:t>
          </w:r>
          <w:r>
            <w:rPr>
              <w:rFonts w:hint="eastAsia" w:ascii="仿宋" w:hAnsi="仿宋" w:eastAsia="仿宋" w:cs="仿宋"/>
              <w:sz w:val="24"/>
              <w:szCs w:val="24"/>
              <w:highlight w:val="none"/>
            </w:rPr>
            <w:t>支</w:t>
          </w:r>
          <w:r>
            <w:rPr>
              <w:rFonts w:hint="eastAsia" w:ascii="仿宋" w:hAnsi="仿宋" w:eastAsia="仿宋" w:cs="仿宋"/>
              <w:bCs w:val="0"/>
              <w:sz w:val="24"/>
              <w:szCs w:val="24"/>
              <w:highlight w:val="none"/>
            </w:rPr>
            <w:t>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_Toc25324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"_Toc6251" </w:instrText>
          </w:r>
          <w:r>
            <w:fldChar w:fldCharType="separate"/>
          </w:r>
          <w:r>
            <w:rPr>
              <w:rFonts w:hint="eastAsia" w:ascii="仿宋" w:hAnsi="仿宋" w:eastAsia="仿宋" w:cs="仿宋"/>
              <w:bCs w:val="0"/>
              <w:sz w:val="24"/>
              <w:szCs w:val="24"/>
              <w:highlight w:val="none"/>
            </w:rPr>
            <w:t>四、</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_Toc6251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"_Toc23621" </w:instrText>
          </w:r>
          <w:r>
            <w:fldChar w:fldCharType="separate"/>
          </w:r>
          <w:r>
            <w:rPr>
              <w:rFonts w:hint="eastAsia" w:ascii="仿宋" w:hAnsi="仿宋" w:eastAsia="仿宋" w:cs="仿宋"/>
              <w:bCs w:val="0"/>
              <w:sz w:val="24"/>
              <w:szCs w:val="24"/>
              <w:highlight w:val="none"/>
            </w:rPr>
            <w:t>五、</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_Toc23621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"_Toc26017" </w:instrText>
          </w:r>
          <w:r>
            <w:fldChar w:fldCharType="separate"/>
          </w:r>
          <w:r>
            <w:rPr>
              <w:rFonts w:hint="eastAsia" w:ascii="仿宋" w:hAnsi="仿宋" w:eastAsia="仿宋" w:cs="仿宋"/>
              <w:bCs w:val="0"/>
              <w:sz w:val="24"/>
              <w:szCs w:val="24"/>
              <w:highlight w:val="none"/>
            </w:rPr>
            <w:t>六、</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_Toc26017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"_Toc1283" </w:instrText>
          </w:r>
          <w:r>
            <w:fldChar w:fldCharType="separate"/>
          </w:r>
          <w:r>
            <w:rPr>
              <w:rFonts w:hint="eastAsia" w:ascii="仿宋" w:hAnsi="仿宋" w:eastAsia="仿宋" w:cs="仿宋"/>
              <w:bCs w:val="0"/>
              <w:sz w:val="24"/>
              <w:szCs w:val="24"/>
              <w:highlight w:val="none"/>
            </w:rPr>
            <w:t>七、</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_Toc1283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"_Toc1516" </w:instrText>
          </w:r>
          <w:r>
            <w:fldChar w:fldCharType="separate"/>
          </w:r>
          <w:r>
            <w:rPr>
              <w:rFonts w:hint="eastAsia" w:ascii="仿宋" w:hAnsi="仿宋" w:eastAsia="仿宋" w:cs="仿宋"/>
              <w:bCs w:val="0"/>
              <w:sz w:val="24"/>
              <w:szCs w:val="24"/>
              <w:highlight w:val="none"/>
            </w:rPr>
            <w:t>八、</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_Toc1516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"_Toc29109" </w:instrText>
          </w:r>
          <w:r>
            <w:fldChar w:fldCharType="separate"/>
          </w:r>
          <w:r>
            <w:rPr>
              <w:rFonts w:hint="eastAsia" w:ascii="仿宋" w:hAnsi="仿宋" w:eastAsia="仿宋" w:cs="仿宋"/>
              <w:bCs w:val="0"/>
              <w:sz w:val="24"/>
              <w:szCs w:val="24"/>
              <w:highlight w:val="none"/>
            </w:rPr>
            <w:t>九、</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_Toc29109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"_Toc32706" </w:instrText>
          </w:r>
          <w:r>
            <w:fldChar w:fldCharType="separate"/>
          </w:r>
          <w:r>
            <w:rPr>
              <w:rFonts w:hint="eastAsia" w:ascii="仿宋" w:hAnsi="仿宋" w:eastAsia="仿宋" w:cs="仿宋"/>
              <w:bCs w:val="0"/>
              <w:sz w:val="24"/>
              <w:szCs w:val="24"/>
              <w:highlight w:val="none"/>
            </w:rPr>
            <w:t>十、</w:t>
          </w:r>
          <w:r>
            <w:rPr>
              <w:rFonts w:hint="eastAsia" w:ascii="仿宋" w:hAnsi="仿宋" w:eastAsia="仿宋" w:cs="仿宋"/>
              <w:sz w:val="24"/>
              <w:szCs w:val="24"/>
              <w:highlight w:val="none"/>
            </w:rPr>
            <w:t>政</w:t>
          </w:r>
          <w:r>
            <w:rPr>
              <w:rFonts w:hint="eastAsia" w:ascii="仿宋" w:hAnsi="仿宋" w:eastAsia="仿宋" w:cs="仿宋"/>
              <w:bCs w:val="0"/>
              <w:sz w:val="24"/>
              <w:szCs w:val="24"/>
              <w:highlight w:val="none"/>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_Toc32706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"_Toc19090" </w:instrText>
          </w:r>
          <w:r>
            <w:fldChar w:fldCharType="separate"/>
          </w:r>
          <w:r>
            <w:rPr>
              <w:rFonts w:hint="eastAsia" w:ascii="仿宋" w:hAnsi="仿宋" w:eastAsia="仿宋" w:cs="仿宋"/>
              <w:bCs w:val="0"/>
              <w:sz w:val="24"/>
              <w:szCs w:val="24"/>
              <w:highlight w:val="none"/>
            </w:rPr>
            <w:t>十一、</w:t>
          </w:r>
          <w:r>
            <w:rPr>
              <w:rFonts w:hint="eastAsia" w:ascii="仿宋" w:hAnsi="仿宋" w:eastAsia="仿宋" w:cs="仿宋"/>
              <w:sz w:val="24"/>
              <w:szCs w:val="24"/>
              <w:highlight w:val="none"/>
            </w:rPr>
            <w:t>国</w:t>
          </w:r>
          <w:r>
            <w:rPr>
              <w:rFonts w:hint="eastAsia" w:ascii="仿宋" w:hAnsi="仿宋" w:eastAsia="仿宋" w:cs="仿宋"/>
              <w:bCs w:val="0"/>
              <w:sz w:val="24"/>
              <w:szCs w:val="24"/>
              <w:highlight w:val="none"/>
            </w:rPr>
            <w:t>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_Toc19090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sz w:val="24"/>
              <w:szCs w:val="24"/>
            </w:rPr>
          </w:pPr>
          <w:r>
            <w:fldChar w:fldCharType="begin"/>
          </w:r>
          <w:r>
            <w:instrText xml:space="preserve"> HYPERLINK \l "_Toc4014"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_Toc4014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5"/>
            <w:tabs>
              <w:tab w:val="right" w:leader="dot" w:pos="8306"/>
            </w:tabs>
            <w:rPr>
              <w:rFonts w:hint="eastAsia" w:ascii="仿宋" w:hAnsi="仿宋" w:eastAsia="仿宋" w:cs="仿宋"/>
              <w:color w:val="auto"/>
              <w:sz w:val="24"/>
              <w:szCs w:val="24"/>
              <w:highlight w:val="none"/>
            </w:rPr>
          </w:pPr>
          <w:r>
            <w:fldChar w:fldCharType="begin"/>
          </w:r>
          <w:r>
            <w:instrText xml:space="preserve"> HYPERLINK \l "_Toc611"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_Toc611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r>
            <w:rPr>
              <w:rFonts w:hint="eastAsia" w:ascii="仿宋" w:hAnsi="仿宋" w:eastAsia="仿宋" w:cs="仿宋"/>
              <w:color w:val="auto"/>
              <w:sz w:val="24"/>
              <w:szCs w:val="24"/>
              <w:highlight w:val="none"/>
            </w:rPr>
            <w:fldChar w:fldCharType="end"/>
          </w:r>
        </w:p>
      </w:sdtContent>
    </w:sdt>
    <w:p>
      <w:pPr>
        <w:pStyle w:val="3"/>
        <w:ind w:firstLine="1760" w:firstLineChars="400"/>
        <w:jc w:val="both"/>
        <w:rPr>
          <w:rFonts w:hint="eastAsia" w:ascii="黑体" w:hAnsi="黑体" w:eastAsia="黑体"/>
          <w:b w:val="0"/>
          <w:color w:val="auto"/>
          <w:highlight w:val="none"/>
        </w:rPr>
        <w:sectPr>
          <w:footerReference r:id="rId5" w:type="default"/>
          <w:pgSz w:w="11906" w:h="16838"/>
          <w:pgMar w:top="1440" w:right="1800" w:bottom="1440" w:left="1800" w:header="851" w:footer="992" w:gutter="0"/>
          <w:pgNumType w:start="1"/>
          <w:cols w:space="425" w:num="1"/>
          <w:docGrid w:type="lines" w:linePitch="312" w:charSpace="0"/>
        </w:sectPr>
      </w:pPr>
    </w:p>
    <w:p>
      <w:pPr>
        <w:pStyle w:val="3"/>
        <w:ind w:firstLine="1760" w:firstLineChars="400"/>
        <w:jc w:val="both"/>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7"/>
          <w:rFonts w:hint="eastAsia" w:ascii="黑体" w:hAnsi="黑体" w:eastAsia="黑体"/>
          <w:b w:val="0"/>
          <w:bCs w:val="0"/>
          <w:color w:val="auto"/>
          <w:highlight w:val="none"/>
        </w:rPr>
        <w:t>概况</w:t>
      </w:r>
      <w:bookmarkEnd w:id="14"/>
    </w:p>
    <w:p>
      <w:pPr>
        <w:pStyle w:val="26"/>
        <w:numPr>
          <w:ilvl w:val="0"/>
          <w:numId w:val="0"/>
        </w:numPr>
        <w:spacing w:line="600" w:lineRule="exact"/>
        <w:ind w:leftChars="0" w:firstLine="320" w:firstLineChars="100"/>
        <w:outlineLvl w:val="1"/>
        <w:rPr>
          <w:rFonts w:hint="eastAsia" w:ascii="黑体" w:hAnsi="黑体" w:eastAsia="黑体" w:cs="Times New Roman"/>
          <w:color w:val="auto"/>
          <w:sz w:val="32"/>
          <w:szCs w:val="32"/>
          <w:highlight w:val="none"/>
          <w:lang w:eastAsia="zh-CN"/>
        </w:rPr>
      </w:pPr>
      <w:bookmarkStart w:id="15" w:name="_Toc26701"/>
      <w:bookmarkStart w:id="16" w:name="_Toc15396600"/>
      <w:bookmarkStart w:id="17" w:name="_Toc15377197"/>
      <w:r>
        <w:rPr>
          <w:rFonts w:hint="eastAsia" w:ascii="黑体" w:hAnsi="黑体" w:eastAsia="黑体" w:cs="Times New Roman"/>
          <w:color w:val="auto"/>
          <w:sz w:val="32"/>
          <w:szCs w:val="32"/>
          <w:highlight w:val="none"/>
          <w:lang w:eastAsia="zh-CN"/>
        </w:rPr>
        <w:t>一、主要职责</w:t>
      </w:r>
      <w:bookmarkEnd w:id="15"/>
    </w:p>
    <w:p>
      <w:pPr>
        <w:pStyle w:val="26"/>
        <w:numPr>
          <w:ilvl w:val="0"/>
          <w:numId w:val="0"/>
        </w:numPr>
        <w:spacing w:line="600" w:lineRule="exact"/>
        <w:ind w:leftChars="0" w:firstLine="640" w:firstLineChars="200"/>
        <w:outlineLvl w:val="1"/>
        <w:rPr>
          <w:rFonts w:hint="eastAsia" w:ascii="仿宋" w:eastAsia="仿宋" w:cs="仿宋"/>
          <w:kern w:val="0"/>
          <w:sz w:val="32"/>
          <w:szCs w:val="32"/>
          <w:lang w:val="en-US" w:eastAsia="zh-CN"/>
        </w:rPr>
      </w:pPr>
      <w:bookmarkStart w:id="18" w:name="_Toc25187"/>
      <w:r>
        <w:rPr>
          <w:rFonts w:hint="eastAsia" w:ascii="仿宋" w:hAnsi="Times New Roman" w:eastAsia="仿宋" w:cs="仿宋"/>
          <w:kern w:val="0"/>
          <w:sz w:val="32"/>
          <w:szCs w:val="32"/>
          <w:lang w:val="en-US" w:eastAsia="zh-CN"/>
        </w:rPr>
        <w:t>以公共卫生服务为主，综合提供预防、保健和基本医疗等服务。2、加强农村疾病预</w:t>
      </w:r>
      <w:r>
        <w:rPr>
          <w:rFonts w:hint="eastAsia" w:ascii="仿宋" w:eastAsia="仿宋" w:cs="仿宋"/>
          <w:kern w:val="0"/>
          <w:sz w:val="32"/>
          <w:szCs w:val="32"/>
          <w:lang w:val="en-US" w:eastAsia="zh-CN"/>
        </w:rPr>
        <w:t>防控制，做好传染病、地方病防治和疫情等农村突发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w:t>
      </w:r>
      <w:r>
        <w:rPr>
          <w:rFonts w:hint="eastAsia" w:ascii="黑体" w:hAnsi="黑体" w:eastAsia="黑体"/>
          <w:color w:val="auto"/>
          <w:sz w:val="32"/>
          <w:szCs w:val="32"/>
          <w:highlight w:val="none"/>
          <w:lang w:val="en-US" w:eastAsia="zh-CN"/>
        </w:rPr>
        <w:t>指</w:t>
      </w:r>
      <w:r>
        <w:rPr>
          <w:rFonts w:hint="eastAsia" w:ascii="仿宋" w:eastAsia="仿宋" w:cs="仿宋"/>
          <w:kern w:val="0"/>
          <w:sz w:val="32"/>
          <w:szCs w:val="32"/>
          <w:lang w:val="en-US" w:eastAsia="zh-CN"/>
        </w:rPr>
        <w:t>导群众改善居住、饮食、饮水和环境卫生条件，引导和帮助农民建立良好的卫生习惯。</w:t>
      </w:r>
      <w:bookmarkEnd w:id="18"/>
    </w:p>
    <w:p>
      <w:pPr>
        <w:pStyle w:val="26"/>
        <w:numPr>
          <w:ilvl w:val="0"/>
          <w:numId w:val="0"/>
        </w:numPr>
        <w:spacing w:line="600" w:lineRule="exact"/>
        <w:ind w:leftChars="0" w:firstLine="640" w:firstLineChars="200"/>
        <w:outlineLvl w:val="1"/>
        <w:rPr>
          <w:rFonts w:hint="eastAsia" w:ascii="黑体" w:hAnsi="黑体" w:eastAsia="黑体"/>
          <w:color w:val="auto"/>
          <w:sz w:val="32"/>
          <w:szCs w:val="32"/>
          <w:highlight w:val="none"/>
          <w:lang w:eastAsia="zh-CN"/>
        </w:rPr>
      </w:pPr>
      <w:bookmarkStart w:id="19" w:name="_Toc13843"/>
      <w:r>
        <w:rPr>
          <w:rFonts w:hint="eastAsia" w:ascii="黑体" w:hAnsi="黑体" w:eastAsia="黑体"/>
          <w:color w:val="auto"/>
          <w:sz w:val="32"/>
          <w:szCs w:val="32"/>
          <w:highlight w:val="none"/>
          <w:lang w:eastAsia="zh-CN"/>
        </w:rPr>
        <w:t>二、机构设置</w:t>
      </w:r>
      <w:bookmarkEnd w:id="1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紫云乡卫生院属主管部门下属单位，属于二级预算单位，无下属机构。</w:t>
      </w:r>
    </w:p>
    <w:p>
      <w:pPr>
        <w:pStyle w:val="2"/>
        <w:rPr>
          <w:rFonts w:hint="eastAsia" w:ascii="仿宋" w:hAnsi="仿宋" w:eastAsia="仿宋"/>
          <w:color w:val="auto"/>
          <w:sz w:val="32"/>
          <w:szCs w:val="32"/>
          <w:highlight w:val="none"/>
          <w:lang w:eastAsia="zh-CN"/>
        </w:rPr>
      </w:pPr>
    </w:p>
    <w:p>
      <w:pPr>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rPr>
          <w:rFonts w:hint="eastAsia"/>
          <w:lang w:val="en-US" w:eastAsia="zh-CN"/>
        </w:rPr>
      </w:pPr>
    </w:p>
    <w:bookmarkEnd w:id="16"/>
    <w:bookmarkEnd w:id="17"/>
    <w:p>
      <w:pPr>
        <w:pStyle w:val="2"/>
        <w:rPr>
          <w:rFonts w:hint="eastAsia"/>
          <w:lang w:val="en-US" w:eastAsia="zh-CN"/>
        </w:rPr>
      </w:pPr>
    </w:p>
    <w:p>
      <w:pPr>
        <w:pStyle w:val="3"/>
        <w:spacing w:after="0" w:afterAutospacing="0"/>
        <w:ind w:right="440"/>
        <w:jc w:val="center"/>
        <w:rPr>
          <w:color w:val="auto"/>
          <w:highlight w:val="none"/>
        </w:rPr>
      </w:pPr>
      <w:bookmarkStart w:id="20" w:name="_Toc15377204"/>
      <w:bookmarkStart w:id="21" w:name="_Toc15396602"/>
      <w:bookmarkStart w:id="22" w:name="_Toc24350"/>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7"/>
          <w:rFonts w:hint="eastAsia" w:ascii="黑体" w:hAnsi="黑体" w:eastAsia="黑体"/>
          <w:b w:val="0"/>
          <w:bCs/>
          <w:color w:val="auto"/>
          <w:highlight w:val="none"/>
          <w:lang w:eastAsia="zh-CN"/>
        </w:rPr>
        <w:t>单位</w:t>
      </w:r>
      <w:r>
        <w:rPr>
          <w:rStyle w:val="27"/>
          <w:rFonts w:hint="eastAsia" w:ascii="黑体" w:hAnsi="黑体" w:eastAsia="黑体"/>
          <w:b w:val="0"/>
          <w:bCs/>
          <w:color w:val="auto"/>
          <w:highlight w:val="none"/>
        </w:rPr>
        <w:t>决算情况说明</w:t>
      </w:r>
      <w:bookmarkEnd w:id="20"/>
      <w:bookmarkEnd w:id="21"/>
      <w:bookmarkEnd w:id="22"/>
    </w:p>
    <w:p>
      <w:pPr>
        <w:pStyle w:val="26"/>
        <w:numPr>
          <w:ilvl w:val="0"/>
          <w:numId w:val="1"/>
        </w:numPr>
        <w:spacing w:line="600" w:lineRule="exact"/>
        <w:ind w:firstLineChars="0"/>
        <w:outlineLvl w:val="1"/>
        <w:rPr>
          <w:rStyle w:val="28"/>
          <w:rFonts w:ascii="黑体" w:hAnsi="黑体" w:eastAsia="黑体"/>
          <w:b w:val="0"/>
          <w:color w:val="auto"/>
          <w:highlight w:val="none"/>
        </w:rPr>
      </w:pPr>
      <w:bookmarkStart w:id="23" w:name="_Toc31196"/>
      <w:bookmarkStart w:id="24" w:name="_Toc15396603"/>
      <w:bookmarkStart w:id="25" w:name="_Toc15377205"/>
      <w:r>
        <w:rPr>
          <w:rFonts w:hint="eastAsia" w:ascii="黑体" w:hAnsi="黑体" w:eastAsia="黑体"/>
          <w:color w:val="auto"/>
          <w:sz w:val="32"/>
          <w:szCs w:val="32"/>
          <w:highlight w:val="none"/>
        </w:rPr>
        <w:t>收</w:t>
      </w:r>
      <w:r>
        <w:rPr>
          <w:rStyle w:val="28"/>
          <w:rFonts w:hint="eastAsia" w:ascii="黑体" w:hAnsi="黑体" w:eastAsia="黑体"/>
          <w:b w:val="0"/>
          <w:color w:val="auto"/>
          <w:highlight w:val="none"/>
        </w:rPr>
        <w:t>入支出决算总体情况说明</w:t>
      </w:r>
      <w:bookmarkEnd w:id="23"/>
      <w:bookmarkEnd w:id="24"/>
      <w:bookmarkEnd w:id="25"/>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97.92</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了56.62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减少的主要原因是紫云乡卫生院</w:t>
      </w:r>
      <w:r>
        <w:rPr>
          <w:rFonts w:hint="eastAsia" w:ascii="仿宋" w:hAnsi="仿宋" w:eastAsia="仿宋"/>
          <w:color w:val="auto"/>
          <w:sz w:val="32"/>
          <w:szCs w:val="32"/>
          <w:highlight w:val="none"/>
          <w:lang w:val="en-US" w:eastAsia="zh-CN"/>
        </w:rPr>
        <w:t>2022年合并到社区卫生服务中心，人员较少2人，基本公共卫生经费、疫情防控经费拨款拨入社区卫生服务中心</w:t>
      </w:r>
      <w:r>
        <w:rPr>
          <w:rFonts w:hint="eastAsia" w:ascii="仿宋" w:hAnsi="仿宋" w:eastAsia="仿宋"/>
          <w:color w:val="auto"/>
          <w:sz w:val="32"/>
          <w:szCs w:val="32"/>
          <w:highlight w:val="none"/>
          <w:lang w:eastAsia="zh-CN"/>
        </w:rPr>
        <w:t>。</w:t>
      </w:r>
    </w:p>
    <w:p>
      <w:pPr>
        <w:pStyle w:val="7"/>
        <w:ind w:left="0" w:leftChars="0" w:firstLine="0" w:firstLineChars="0"/>
        <w:jc w:val="both"/>
        <w:rPr>
          <w:rFonts w:ascii="仿宋_GB2312" w:eastAsia="仿宋_GB2312"/>
          <w:color w:val="auto"/>
          <w:sz w:val="32"/>
          <w:szCs w:val="32"/>
          <w:highlight w:val="none"/>
        </w:rPr>
      </w:pPr>
      <w:r>
        <w:rPr>
          <w:rFonts w:hint="eastAsia"/>
          <w:lang w:val="en-US" w:eastAsia="zh-CN"/>
        </w:rPr>
        <w:t xml:space="preserve">         </w:t>
      </w:r>
      <w:r>
        <w:drawing>
          <wp:inline distT="0" distB="0" distL="114300" distR="114300">
            <wp:extent cx="3512820" cy="2103120"/>
            <wp:effectExtent l="0" t="0" r="11430"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pic:cNvPicPr>
                  </pic:nvPicPr>
                  <pic:blipFill>
                    <a:blip r:embed="rId8"/>
                    <a:stretch>
                      <a:fillRect/>
                    </a:stretch>
                  </pic:blipFill>
                  <pic:spPr>
                    <a:xfrm>
                      <a:off x="0" y="0"/>
                      <a:ext cx="3512820" cy="2103120"/>
                    </a:xfrm>
                    <a:prstGeom prst="rect">
                      <a:avLst/>
                    </a:prstGeom>
                    <a:noFill/>
                    <a:ln>
                      <a:noFill/>
                    </a:ln>
                  </pic:spPr>
                </pic:pic>
              </a:graphicData>
            </a:graphic>
          </wp:inline>
        </w:drawing>
      </w:r>
    </w:p>
    <w:p>
      <w:pPr>
        <w:pStyle w:val="26"/>
        <w:numPr>
          <w:ilvl w:val="0"/>
          <w:numId w:val="1"/>
        </w:numPr>
        <w:spacing w:line="600" w:lineRule="exact"/>
        <w:ind w:firstLineChars="0"/>
        <w:outlineLvl w:val="1"/>
        <w:rPr>
          <w:rStyle w:val="28"/>
          <w:rFonts w:ascii="黑体" w:hAnsi="黑体" w:eastAsia="黑体"/>
          <w:b w:val="0"/>
          <w:color w:val="auto"/>
          <w:highlight w:val="none"/>
        </w:rPr>
      </w:pPr>
      <w:bookmarkStart w:id="26" w:name="_Toc15377206"/>
      <w:bookmarkStart w:id="27" w:name="_Toc15396604"/>
      <w:bookmarkStart w:id="28" w:name="_Toc8564"/>
      <w:r>
        <w:rPr>
          <w:rFonts w:hint="eastAsia" w:ascii="黑体" w:hAnsi="黑体" w:eastAsia="黑体"/>
          <w:color w:val="auto"/>
          <w:sz w:val="32"/>
          <w:szCs w:val="32"/>
          <w:highlight w:val="none"/>
        </w:rPr>
        <w:t>收</w:t>
      </w:r>
      <w:r>
        <w:rPr>
          <w:rStyle w:val="28"/>
          <w:rFonts w:hint="eastAsia" w:ascii="黑体" w:hAnsi="黑体" w:eastAsia="黑体"/>
          <w:b w:val="0"/>
          <w:color w:val="auto"/>
          <w:highlight w:val="none"/>
        </w:rPr>
        <w:t>入决算情况说明</w:t>
      </w:r>
      <w:bookmarkEnd w:id="26"/>
      <w:bookmarkEnd w:id="27"/>
      <w:bookmarkEnd w:id="28"/>
    </w:p>
    <w:p>
      <w:pPr>
        <w:spacing w:line="600" w:lineRule="exact"/>
        <w:ind w:firstLine="640" w:firstLineChars="200"/>
        <w:outlineLvl w:val="1"/>
        <w:rPr>
          <w:rFonts w:ascii="仿宋" w:hAnsi="仿宋" w:eastAsia="仿宋"/>
          <w:color w:val="auto"/>
          <w:sz w:val="32"/>
          <w:szCs w:val="32"/>
          <w:highlight w:val="none"/>
        </w:rPr>
      </w:pPr>
      <w:bookmarkStart w:id="29" w:name="_Toc2224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97.92</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87.31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89.16</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2.47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2.52</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8.14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9"/>
    </w:p>
    <w:p>
      <w:pPr>
        <w:spacing w:line="600" w:lineRule="exact"/>
        <w:outlineLvl w:val="9"/>
        <w:rPr>
          <w:rFonts w:hint="eastAsia" w:ascii="仿宋" w:hAnsi="仿宋" w:eastAsia="仿宋"/>
          <w:b/>
          <w:color w:val="auto"/>
          <w:sz w:val="32"/>
          <w:szCs w:val="32"/>
          <w:highlight w:val="none"/>
        </w:rPr>
      </w:pPr>
    </w:p>
    <w:p>
      <w:pPr>
        <w:rPr>
          <w:rFonts w:hint="default" w:ascii="仿宋" w:hAnsi="仿宋" w:eastAsia="仿宋"/>
          <w:b/>
          <w:color w:val="auto"/>
          <w:sz w:val="32"/>
          <w:szCs w:val="32"/>
          <w:highlight w:val="none"/>
          <w:lang w:val="en-US" w:eastAsia="zh-CN"/>
        </w:rPr>
      </w:pPr>
      <w:r>
        <w:rPr>
          <w:rFonts w:hint="eastAsia" w:ascii="仿宋" w:hAnsi="仿宋" w:eastAsia="仿宋"/>
          <w:b/>
          <w:color w:val="auto"/>
          <w:sz w:val="32"/>
          <w:szCs w:val="32"/>
          <w:highlight w:val="none"/>
          <w:lang w:val="en-US" w:eastAsia="zh-CN"/>
        </w:rPr>
        <w:t xml:space="preserve">          </w:t>
      </w:r>
      <w:r>
        <w:drawing>
          <wp:inline distT="0" distB="0" distL="114300" distR="114300">
            <wp:extent cx="3580765" cy="2254885"/>
            <wp:effectExtent l="0" t="0" r="635" b="12065"/>
            <wp:docPr id="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5"/>
                    <pic:cNvPicPr>
                      <a:picLocks noChangeAspect="1"/>
                    </pic:cNvPicPr>
                  </pic:nvPicPr>
                  <pic:blipFill>
                    <a:blip r:embed="rId9"/>
                    <a:stretch>
                      <a:fillRect/>
                    </a:stretch>
                  </pic:blipFill>
                  <pic:spPr>
                    <a:xfrm>
                      <a:off x="0" y="0"/>
                      <a:ext cx="3580765" cy="2254885"/>
                    </a:xfrm>
                    <a:prstGeom prst="rect">
                      <a:avLst/>
                    </a:prstGeom>
                    <a:noFill/>
                    <a:ln>
                      <a:noFill/>
                    </a:ln>
                  </pic:spPr>
                </pic:pic>
              </a:graphicData>
            </a:graphic>
          </wp:inline>
        </w:drawing>
      </w:r>
    </w:p>
    <w:p>
      <w:pPr>
        <w:pStyle w:val="7"/>
        <w:rPr>
          <w:rFonts w:ascii="仿宋_GB2312" w:eastAsia="仿宋_GB2312"/>
          <w:color w:val="auto"/>
          <w:sz w:val="32"/>
          <w:szCs w:val="32"/>
          <w:highlight w:val="none"/>
        </w:rPr>
      </w:pPr>
      <w:r>
        <w:rPr>
          <w:rFonts w:hint="eastAsia" w:ascii="仿宋" w:hAnsi="仿宋" w:eastAsia="仿宋"/>
          <w:b/>
          <w:color w:val="auto"/>
          <w:sz w:val="32"/>
          <w:szCs w:val="32"/>
          <w:highlight w:val="none"/>
          <w:lang w:val="en-US" w:eastAsia="zh-CN"/>
        </w:rPr>
        <w:t xml:space="preserve">      </w:t>
      </w:r>
    </w:p>
    <w:p>
      <w:pPr>
        <w:pStyle w:val="26"/>
        <w:numPr>
          <w:ilvl w:val="0"/>
          <w:numId w:val="1"/>
        </w:numPr>
        <w:spacing w:line="600" w:lineRule="exact"/>
        <w:ind w:firstLineChars="0"/>
        <w:outlineLvl w:val="1"/>
        <w:rPr>
          <w:rStyle w:val="28"/>
          <w:rFonts w:ascii="黑体" w:hAnsi="黑体" w:eastAsia="黑体"/>
          <w:b w:val="0"/>
          <w:color w:val="auto"/>
          <w:highlight w:val="none"/>
        </w:rPr>
      </w:pPr>
      <w:bookmarkStart w:id="30" w:name="_Toc14025"/>
      <w:bookmarkStart w:id="31" w:name="_Toc15396605"/>
      <w:bookmarkStart w:id="32" w:name="_Toc15377207"/>
      <w:r>
        <w:rPr>
          <w:rFonts w:hint="eastAsia" w:ascii="黑体" w:hAnsi="黑体" w:eastAsia="黑体"/>
          <w:color w:val="auto"/>
          <w:sz w:val="32"/>
          <w:szCs w:val="32"/>
          <w:highlight w:val="none"/>
        </w:rPr>
        <w:t>支</w:t>
      </w:r>
      <w:r>
        <w:rPr>
          <w:rStyle w:val="28"/>
          <w:rFonts w:hint="eastAsia" w:ascii="黑体" w:hAnsi="黑体" w:eastAsia="黑体"/>
          <w:b w:val="0"/>
          <w:color w:val="auto"/>
          <w:highlight w:val="none"/>
        </w:rPr>
        <w:t>出决算情况说明</w:t>
      </w:r>
      <w:bookmarkEnd w:id="30"/>
      <w:bookmarkEnd w:id="31"/>
      <w:bookmarkEnd w:id="32"/>
    </w:p>
    <w:p>
      <w:pPr>
        <w:spacing w:line="600" w:lineRule="exact"/>
        <w:ind w:firstLine="640" w:firstLineChars="200"/>
        <w:outlineLvl w:val="1"/>
        <w:rPr>
          <w:rFonts w:ascii="仿宋" w:hAnsi="仿宋" w:eastAsia="仿宋"/>
          <w:color w:val="auto"/>
          <w:sz w:val="32"/>
          <w:szCs w:val="32"/>
          <w:highlight w:val="none"/>
        </w:rPr>
      </w:pPr>
      <w:bookmarkStart w:id="33" w:name="_Toc18339"/>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97.92</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95.45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97.48</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2.47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2.53</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3"/>
    </w:p>
    <w:p>
      <w:pPr>
        <w:rPr>
          <w:rFonts w:ascii="仿宋_GB2312" w:eastAsia="仿宋_GB2312"/>
          <w:color w:val="auto"/>
          <w:sz w:val="32"/>
          <w:szCs w:val="32"/>
          <w:highlight w:val="none"/>
        </w:rPr>
      </w:pPr>
      <w:r>
        <w:rPr>
          <w:rFonts w:hint="eastAsia"/>
          <w:lang w:val="en-US" w:eastAsia="zh-CN"/>
        </w:rPr>
        <w:t xml:space="preserve">               </w:t>
      </w:r>
      <w:r>
        <w:drawing>
          <wp:inline distT="0" distB="0" distL="114300" distR="114300">
            <wp:extent cx="3206115" cy="2261235"/>
            <wp:effectExtent l="0" t="0" r="13335" b="5715"/>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7"/>
                    <pic:cNvPicPr>
                      <a:picLocks noChangeAspect="1"/>
                    </pic:cNvPicPr>
                  </pic:nvPicPr>
                  <pic:blipFill>
                    <a:blip r:embed="rId10"/>
                    <a:stretch>
                      <a:fillRect/>
                    </a:stretch>
                  </pic:blipFill>
                  <pic:spPr>
                    <a:xfrm>
                      <a:off x="0" y="0"/>
                      <a:ext cx="3206115" cy="2261235"/>
                    </a:xfrm>
                    <a:prstGeom prst="rect">
                      <a:avLst/>
                    </a:prstGeom>
                    <a:noFill/>
                    <a:ln>
                      <a:noFill/>
                    </a:ln>
                  </pic:spPr>
                </pic:pic>
              </a:graphicData>
            </a:graphic>
          </wp:inline>
        </w:drawing>
      </w:r>
    </w:p>
    <w:p>
      <w:pPr>
        <w:spacing w:line="600" w:lineRule="exact"/>
        <w:ind w:firstLine="640" w:firstLineChars="200"/>
        <w:outlineLvl w:val="1"/>
        <w:rPr>
          <w:rStyle w:val="28"/>
          <w:rFonts w:ascii="黑体" w:hAnsi="黑体" w:eastAsia="黑体"/>
          <w:b w:val="0"/>
          <w:color w:val="auto"/>
          <w:highlight w:val="none"/>
        </w:rPr>
      </w:pPr>
      <w:bookmarkStart w:id="34" w:name="_Toc15396606"/>
      <w:bookmarkStart w:id="35" w:name="_Toc12291"/>
      <w:bookmarkStart w:id="36" w:name="_Toc15377208"/>
      <w:r>
        <w:rPr>
          <w:rFonts w:hint="eastAsia" w:ascii="黑体" w:hAnsi="黑体" w:eastAsia="黑体"/>
          <w:color w:val="auto"/>
          <w:sz w:val="32"/>
          <w:szCs w:val="32"/>
          <w:highlight w:val="none"/>
        </w:rPr>
        <w:t>四、财</w:t>
      </w:r>
      <w:r>
        <w:rPr>
          <w:rStyle w:val="28"/>
          <w:rFonts w:hint="eastAsia" w:ascii="黑体" w:hAnsi="黑体" w:eastAsia="黑体"/>
          <w:b w:val="0"/>
          <w:color w:val="auto"/>
          <w:highlight w:val="none"/>
        </w:rPr>
        <w:t>政拨款收入支出决算总体情况说明</w:t>
      </w:r>
      <w:bookmarkEnd w:id="34"/>
      <w:bookmarkEnd w:id="35"/>
      <w:bookmarkEnd w:id="36"/>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89.78</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39.91</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30.77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减少的主要原因是紫云乡卫生院</w:t>
      </w:r>
      <w:r>
        <w:rPr>
          <w:rFonts w:hint="eastAsia" w:ascii="仿宋" w:hAnsi="仿宋" w:eastAsia="仿宋"/>
          <w:color w:val="auto"/>
          <w:sz w:val="32"/>
          <w:szCs w:val="32"/>
          <w:highlight w:val="none"/>
          <w:lang w:val="en-US" w:eastAsia="zh-CN"/>
        </w:rPr>
        <w:t>2022年合并到社区卫生服务中心，人员较少2人，基本公共卫生经费、疫情防控经费拨款拨入社区卫生服务中心</w:t>
      </w:r>
      <w:r>
        <w:rPr>
          <w:rFonts w:hint="eastAsia" w:ascii="仿宋" w:hAnsi="仿宋" w:eastAsia="仿宋"/>
          <w:color w:val="auto"/>
          <w:sz w:val="32"/>
          <w:szCs w:val="32"/>
          <w:highlight w:val="none"/>
          <w:lang w:eastAsia="zh-CN"/>
        </w:rPr>
        <w:t>。</w:t>
      </w:r>
    </w:p>
    <w:p>
      <w:pPr>
        <w:spacing w:line="600" w:lineRule="exact"/>
        <w:ind w:firstLine="420" w:firstLineChars="200"/>
        <w:rPr>
          <w:rFonts w:hint="eastAsia" w:ascii="仿宋" w:hAnsi="仿宋" w:eastAsia="仿宋"/>
          <w:color w:val="auto"/>
          <w:sz w:val="32"/>
          <w:szCs w:val="32"/>
          <w:highlight w:val="none"/>
          <w:lang w:eastAsia="zh-CN"/>
        </w:rPr>
      </w:pPr>
      <w:r>
        <w:drawing>
          <wp:anchor distT="0" distB="0" distL="114300" distR="114300" simplePos="0" relativeHeight="251659264" behindDoc="1" locked="0" layoutInCell="1" allowOverlap="1">
            <wp:simplePos x="0" y="0"/>
            <wp:positionH relativeFrom="column">
              <wp:posOffset>1016000</wp:posOffset>
            </wp:positionH>
            <wp:positionV relativeFrom="paragraph">
              <wp:posOffset>179705</wp:posOffset>
            </wp:positionV>
            <wp:extent cx="3469005" cy="2245360"/>
            <wp:effectExtent l="0" t="0" r="0" b="0"/>
            <wp:wrapTight wrapText="bothSides">
              <wp:wrapPolygon>
                <wp:start x="0" y="0"/>
                <wp:lineTo x="0" y="21441"/>
                <wp:lineTo x="21470" y="21441"/>
                <wp:lineTo x="21470" y="0"/>
                <wp:lineTo x="0" y="0"/>
              </wp:wrapPolygon>
            </wp:wrapTight>
            <wp:docPr id="8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9"/>
                    <pic:cNvPicPr>
                      <a:picLocks noChangeAspect="1"/>
                    </pic:cNvPicPr>
                  </pic:nvPicPr>
                  <pic:blipFill>
                    <a:blip r:embed="rId11"/>
                    <a:stretch>
                      <a:fillRect/>
                    </a:stretch>
                  </pic:blipFill>
                  <pic:spPr>
                    <a:xfrm>
                      <a:off x="0" y="0"/>
                      <a:ext cx="3469005" cy="2245360"/>
                    </a:xfrm>
                    <a:prstGeom prst="rect">
                      <a:avLst/>
                    </a:prstGeom>
                    <a:noFill/>
                    <a:ln>
                      <a:noFill/>
                    </a:ln>
                  </pic:spPr>
                </pic:pic>
              </a:graphicData>
            </a:graphic>
          </wp:anchor>
        </w:drawing>
      </w:r>
    </w:p>
    <w:p>
      <w:pPr>
        <w:spacing w:line="600" w:lineRule="exact"/>
        <w:ind w:firstLine="640" w:firstLineChars="200"/>
        <w:rPr>
          <w:rFonts w:hint="eastAsia" w:ascii="仿宋" w:hAnsi="仿宋" w:eastAsia="仿宋"/>
          <w:color w:val="auto"/>
          <w:sz w:val="32"/>
          <w:szCs w:val="32"/>
          <w:highlight w:val="none"/>
          <w:lang w:eastAsia="zh-CN"/>
        </w:rPr>
      </w:pPr>
    </w:p>
    <w:p>
      <w:pPr>
        <w:spacing w:line="600" w:lineRule="exact"/>
        <w:ind w:firstLine="640" w:firstLineChars="200"/>
        <w:rPr>
          <w:rFonts w:hint="eastAsia" w:ascii="仿宋" w:hAnsi="仿宋" w:eastAsia="仿宋"/>
          <w:color w:val="auto"/>
          <w:sz w:val="32"/>
          <w:szCs w:val="32"/>
          <w:highlight w:val="none"/>
          <w:lang w:eastAsia="zh-CN"/>
        </w:rPr>
      </w:pPr>
    </w:p>
    <w:p>
      <w:pPr>
        <w:spacing w:line="600" w:lineRule="exact"/>
        <w:rPr>
          <w:rFonts w:hint="default" w:ascii="仿宋" w:hAnsi="仿宋" w:eastAsia="仿宋"/>
          <w:color w:val="auto"/>
          <w:sz w:val="32"/>
          <w:szCs w:val="32"/>
          <w:highlight w:val="none"/>
          <w:lang w:val="en-US" w:eastAsia="zh-CN"/>
        </w:rPr>
      </w:pPr>
    </w:p>
    <w:p>
      <w:pPr>
        <w:spacing w:line="600" w:lineRule="exact"/>
        <w:ind w:firstLine="640" w:firstLineChars="200"/>
        <w:rPr>
          <w:rFonts w:hint="eastAsia" w:ascii="仿宋" w:hAnsi="仿宋" w:eastAsia="仿宋"/>
          <w:color w:val="auto"/>
          <w:sz w:val="32"/>
          <w:szCs w:val="32"/>
          <w:highlight w:val="none"/>
          <w:lang w:eastAsia="zh-CN"/>
        </w:rPr>
      </w:pPr>
    </w:p>
    <w:p>
      <w:pPr>
        <w:spacing w:line="600" w:lineRule="exact"/>
        <w:rPr>
          <w:rFonts w:ascii="仿宋" w:hAnsi="仿宋" w:eastAsia="仿宋"/>
          <w:b/>
          <w:color w:val="auto"/>
          <w:sz w:val="32"/>
          <w:szCs w:val="32"/>
          <w:highlight w:val="none"/>
        </w:rPr>
      </w:pPr>
    </w:p>
    <w:p>
      <w:pPr>
        <w:spacing w:line="600" w:lineRule="exact"/>
        <w:ind w:firstLine="640" w:firstLineChars="200"/>
        <w:outlineLvl w:val="1"/>
        <w:rPr>
          <w:rStyle w:val="28"/>
          <w:rFonts w:ascii="黑体" w:hAnsi="黑体" w:eastAsia="黑体"/>
          <w:b w:val="0"/>
          <w:color w:val="auto"/>
          <w:highlight w:val="none"/>
        </w:rPr>
      </w:pPr>
      <w:bookmarkStart w:id="37" w:name="_Toc15377209"/>
      <w:bookmarkStart w:id="38" w:name="_Toc15396607"/>
      <w:bookmarkStart w:id="39" w:name="_Toc24774"/>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8"/>
          <w:rFonts w:hint="eastAsia" w:ascii="黑体" w:hAnsi="黑体" w:eastAsia="黑体"/>
          <w:b w:val="0"/>
          <w:color w:val="auto"/>
          <w:highlight w:val="none"/>
        </w:rPr>
        <w:t>般公共预算财政拨款支出决算情况说明</w:t>
      </w:r>
      <w:bookmarkEnd w:id="37"/>
      <w:bookmarkEnd w:id="38"/>
      <w:bookmarkEnd w:id="39"/>
    </w:p>
    <w:p>
      <w:pPr>
        <w:spacing w:line="600" w:lineRule="exact"/>
        <w:ind w:firstLine="643" w:firstLineChars="200"/>
        <w:outlineLvl w:val="2"/>
        <w:rPr>
          <w:rFonts w:ascii="仿宋" w:hAnsi="仿宋" w:eastAsia="仿宋"/>
          <w:b/>
          <w:color w:val="auto"/>
          <w:sz w:val="32"/>
          <w:szCs w:val="32"/>
          <w:highlight w:val="none"/>
        </w:rPr>
      </w:pPr>
      <w:bookmarkStart w:id="40" w:name="_Toc8389"/>
      <w:bookmarkStart w:id="41" w:name="_Toc15377210"/>
      <w:r>
        <w:rPr>
          <w:rFonts w:hint="eastAsia" w:ascii="仿宋" w:hAnsi="仿宋" w:eastAsia="仿宋"/>
          <w:b/>
          <w:color w:val="auto"/>
          <w:sz w:val="32"/>
          <w:szCs w:val="32"/>
          <w:highlight w:val="none"/>
        </w:rPr>
        <w:t>（一）一般公共预算财政拨款支出决算总体情况</w:t>
      </w:r>
      <w:bookmarkEnd w:id="40"/>
      <w:bookmarkEnd w:id="41"/>
    </w:p>
    <w:p>
      <w:pPr>
        <w:spacing w:line="600" w:lineRule="exact"/>
        <w:ind w:firstLine="640" w:firstLineChars="200"/>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87.31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89.16</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42.38</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32.68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减少的主要原因是紫云乡卫生院</w:t>
      </w:r>
      <w:r>
        <w:rPr>
          <w:rFonts w:hint="eastAsia" w:ascii="仿宋" w:hAnsi="仿宋" w:eastAsia="仿宋"/>
          <w:color w:val="auto"/>
          <w:sz w:val="32"/>
          <w:szCs w:val="32"/>
          <w:highlight w:val="none"/>
          <w:lang w:val="en-US" w:eastAsia="zh-CN"/>
        </w:rPr>
        <w:t>2022年合并到社区卫生服务中心，人员较少2人，基本公共卫生经费、疫情防控经费拨款拨入社区卫生服务中心</w:t>
      </w:r>
      <w:r>
        <w:rPr>
          <w:rFonts w:hint="eastAsia" w:ascii="仿宋" w:hAnsi="仿宋" w:eastAsia="仿宋"/>
          <w:color w:val="auto"/>
          <w:sz w:val="32"/>
          <w:szCs w:val="32"/>
          <w:highlight w:val="none"/>
          <w:lang w:eastAsia="zh-CN"/>
        </w:rPr>
        <w:t>。</w:t>
      </w:r>
    </w:p>
    <w:p>
      <w:pPr>
        <w:rPr>
          <w:rFonts w:hint="default"/>
          <w:lang w:val="en-US"/>
        </w:rPr>
      </w:pPr>
      <w:r>
        <w:rPr>
          <w:rFonts w:hint="eastAsia" w:ascii="仿宋" w:hAnsi="仿宋" w:eastAsia="仿宋"/>
          <w:color w:val="auto"/>
          <w:sz w:val="32"/>
          <w:szCs w:val="32"/>
          <w:highlight w:val="none"/>
          <w:lang w:val="en-US" w:eastAsia="zh-CN"/>
        </w:rPr>
        <w:t xml:space="preserve">          </w:t>
      </w:r>
      <w:r>
        <w:drawing>
          <wp:inline distT="0" distB="0" distL="114300" distR="114300">
            <wp:extent cx="3331210" cy="2466975"/>
            <wp:effectExtent l="0" t="0" r="2540" b="9525"/>
            <wp:docPr id="8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0"/>
                    <pic:cNvPicPr>
                      <a:picLocks noChangeAspect="1"/>
                    </pic:cNvPicPr>
                  </pic:nvPicPr>
                  <pic:blipFill>
                    <a:blip r:embed="rId12"/>
                    <a:stretch>
                      <a:fillRect/>
                    </a:stretch>
                  </pic:blipFill>
                  <pic:spPr>
                    <a:xfrm>
                      <a:off x="0" y="0"/>
                      <a:ext cx="3331210" cy="2466975"/>
                    </a:xfrm>
                    <a:prstGeom prst="rect">
                      <a:avLst/>
                    </a:prstGeom>
                    <a:noFill/>
                    <a:ln>
                      <a:noFill/>
                    </a:ln>
                  </pic:spPr>
                </pic:pic>
              </a:graphicData>
            </a:graphic>
          </wp:inline>
        </w:drawing>
      </w:r>
      <w:r>
        <w:rPr>
          <w:rFonts w:hint="eastAsia" w:ascii="仿宋" w:hAnsi="仿宋" w:eastAsia="仿宋"/>
          <w:color w:val="auto"/>
          <w:sz w:val="32"/>
          <w:szCs w:val="32"/>
          <w:highlight w:val="none"/>
          <w:lang w:val="en-US" w:eastAsia="zh-CN"/>
        </w:rPr>
        <w:t xml:space="preserve">      </w:t>
      </w:r>
    </w:p>
    <w:p>
      <w:pPr>
        <w:spacing w:line="600" w:lineRule="exact"/>
        <w:ind w:firstLine="643" w:firstLineChars="200"/>
        <w:outlineLvl w:val="2"/>
        <w:rPr>
          <w:rFonts w:ascii="仿宋" w:hAnsi="仿宋" w:eastAsia="仿宋"/>
          <w:b/>
          <w:color w:val="auto"/>
          <w:sz w:val="32"/>
          <w:szCs w:val="32"/>
          <w:highlight w:val="none"/>
        </w:rPr>
      </w:pPr>
      <w:bookmarkStart w:id="42" w:name="_Toc31269"/>
      <w:bookmarkStart w:id="43" w:name="_Toc15377211"/>
      <w:r>
        <w:rPr>
          <w:rFonts w:hint="eastAsia" w:ascii="仿宋" w:hAnsi="仿宋" w:eastAsia="仿宋"/>
          <w:b/>
          <w:color w:val="auto"/>
          <w:sz w:val="32"/>
          <w:szCs w:val="32"/>
          <w:highlight w:val="none"/>
        </w:rPr>
        <w:t>（二）一般公共预算财政拨款支出决算结构情况</w:t>
      </w:r>
      <w:bookmarkEnd w:id="42"/>
      <w:bookmarkEnd w:id="43"/>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87.31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10.34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11.84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70.45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80.7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6.52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7.47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Start w:id="44" w:name="_Toc15377212"/>
    </w:p>
    <w:p>
      <w:pPr>
        <w:rPr>
          <w:rFonts w:hint="eastAsia" w:ascii="仿宋" w:hAnsi="仿宋" w:eastAsia="仿宋"/>
          <w:b/>
          <w:color w:val="auto"/>
          <w:sz w:val="32"/>
          <w:szCs w:val="32"/>
          <w:highlight w:val="none"/>
        </w:rPr>
      </w:pPr>
      <w:r>
        <w:rPr>
          <w:rFonts w:hint="eastAsia" w:ascii="仿宋" w:hAnsi="仿宋" w:eastAsia="仿宋"/>
          <w:b/>
          <w:color w:val="auto"/>
          <w:sz w:val="32"/>
          <w:szCs w:val="32"/>
          <w:highlight w:val="none"/>
          <w:lang w:val="en-US" w:eastAsia="zh-CN"/>
        </w:rPr>
        <w:t xml:space="preserve">        </w:t>
      </w:r>
      <w:r>
        <w:drawing>
          <wp:inline distT="0" distB="0" distL="114300" distR="114300">
            <wp:extent cx="3672840" cy="2586990"/>
            <wp:effectExtent l="0" t="0" r="3810" b="3810"/>
            <wp:docPr id="9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4"/>
                    <pic:cNvPicPr>
                      <a:picLocks noChangeAspect="1"/>
                    </pic:cNvPicPr>
                  </pic:nvPicPr>
                  <pic:blipFill>
                    <a:blip r:embed="rId13"/>
                    <a:stretch>
                      <a:fillRect/>
                    </a:stretch>
                  </pic:blipFill>
                  <pic:spPr>
                    <a:xfrm>
                      <a:off x="0" y="0"/>
                      <a:ext cx="3672840" cy="2586990"/>
                    </a:xfrm>
                    <a:prstGeom prst="rect">
                      <a:avLst/>
                    </a:prstGeom>
                    <a:noFill/>
                    <a:ln>
                      <a:noFill/>
                    </a:ln>
                  </pic:spPr>
                </pic:pic>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45" w:name="_Toc12638"/>
      <w:r>
        <w:rPr>
          <w:rFonts w:hint="eastAsia" w:ascii="仿宋" w:hAnsi="仿宋" w:eastAsia="仿宋"/>
          <w:b/>
          <w:color w:val="auto"/>
          <w:sz w:val="32"/>
          <w:szCs w:val="32"/>
          <w:highlight w:val="none"/>
        </w:rPr>
        <w:t>（三）一般公共预算财政拨款支出决算具体情况</w:t>
      </w:r>
      <w:bookmarkEnd w:id="44"/>
      <w:bookmarkEnd w:id="45"/>
    </w:p>
    <w:p>
      <w:pPr>
        <w:spacing w:line="600" w:lineRule="exact"/>
        <w:ind w:firstLine="643" w:firstLineChars="200"/>
        <w:outlineLvl w:val="2"/>
        <w:rPr>
          <w:rFonts w:hint="eastAsia" w:ascii="仿宋" w:hAnsi="仿宋" w:eastAsia="仿宋" w:cs="仿宋"/>
          <w:color w:val="auto"/>
          <w:sz w:val="32"/>
          <w:szCs w:val="32"/>
          <w:highlight w:val="none"/>
        </w:rPr>
      </w:pPr>
      <w:bookmarkStart w:id="46" w:name="_Toc15377444"/>
      <w:bookmarkStart w:id="47" w:name="_Toc15377213"/>
      <w:bookmarkStart w:id="48" w:name="_Toc15378460"/>
      <w:bookmarkStart w:id="49" w:name="_Toc21336"/>
      <w:r>
        <w:rPr>
          <w:rFonts w:hint="eastAsia" w:ascii="仿宋" w:hAnsi="仿宋" w:eastAsia="仿宋" w:cs="仿宋"/>
          <w:b/>
          <w:color w:val="auto"/>
          <w:sz w:val="32"/>
          <w:szCs w:val="32"/>
          <w:highlight w:val="none"/>
        </w:rPr>
        <w:t>20</w:t>
      </w:r>
      <w:r>
        <w:rPr>
          <w:rFonts w:hint="eastAsia" w:ascii="仿宋" w:hAnsi="仿宋" w:eastAsia="仿宋" w:cs="仿宋"/>
          <w:b/>
          <w:color w:val="auto"/>
          <w:sz w:val="32"/>
          <w:szCs w:val="32"/>
          <w:highlight w:val="none"/>
          <w:lang w:val="en-US" w:eastAsia="zh-CN"/>
        </w:rPr>
        <w:t>22</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eastAsia="zh-CN"/>
        </w:rPr>
        <w:t>一</w:t>
      </w:r>
      <w:r>
        <w:rPr>
          <w:rFonts w:hint="eastAsia" w:ascii="仿宋" w:hAnsi="仿宋" w:eastAsia="仿宋" w:cs="仿宋"/>
          <w:b/>
          <w:color w:val="auto"/>
          <w:sz w:val="32"/>
          <w:szCs w:val="32"/>
          <w:highlight w:val="none"/>
        </w:rPr>
        <w:t>般公共预算支出决算数为</w:t>
      </w:r>
      <w:r>
        <w:rPr>
          <w:rFonts w:hint="eastAsia" w:ascii="仿宋" w:hAnsi="仿宋" w:eastAsia="仿宋" w:cs="仿宋"/>
          <w:b/>
          <w:color w:val="auto"/>
          <w:sz w:val="32"/>
          <w:szCs w:val="32"/>
          <w:highlight w:val="none"/>
          <w:lang w:val="en-US" w:eastAsia="zh-CN"/>
        </w:rPr>
        <w:t>87.31万元</w:t>
      </w:r>
      <w:r>
        <w:rPr>
          <w:rFonts w:hint="eastAsia" w:ascii="仿宋" w:hAnsi="仿宋" w:eastAsia="仿宋" w:cs="仿宋"/>
          <w:color w:val="auto"/>
          <w:sz w:val="32"/>
          <w:szCs w:val="32"/>
          <w:highlight w:val="none"/>
        </w:rPr>
        <w:t>，</w:t>
      </w:r>
      <w:r>
        <w:rPr>
          <w:rStyle w:val="17"/>
          <w:rFonts w:hint="eastAsia" w:ascii="仿宋" w:hAnsi="仿宋" w:eastAsia="仿宋" w:cs="仿宋"/>
          <w:bCs/>
          <w:color w:val="auto"/>
          <w:sz w:val="32"/>
          <w:szCs w:val="32"/>
          <w:highlight w:val="none"/>
        </w:rPr>
        <w:t>完成预算</w:t>
      </w:r>
      <w:r>
        <w:rPr>
          <w:rStyle w:val="17"/>
          <w:rFonts w:hint="eastAsia" w:ascii="仿宋" w:hAnsi="仿宋" w:eastAsia="仿宋" w:cs="仿宋"/>
          <w:bCs/>
          <w:color w:val="auto"/>
          <w:sz w:val="32"/>
          <w:szCs w:val="32"/>
          <w:highlight w:val="none"/>
          <w:lang w:val="en-US" w:eastAsia="zh-CN"/>
        </w:rPr>
        <w:t>100</w:t>
      </w:r>
      <w:r>
        <w:rPr>
          <w:rStyle w:val="17"/>
          <w:rFonts w:hint="eastAsia" w:ascii="仿宋" w:hAnsi="仿宋" w:eastAsia="仿宋" w:cs="仿宋"/>
          <w:bCs/>
          <w:color w:val="auto"/>
          <w:sz w:val="32"/>
          <w:szCs w:val="32"/>
          <w:highlight w:val="none"/>
        </w:rPr>
        <w:t>%。其中：</w:t>
      </w:r>
      <w:bookmarkEnd w:id="46"/>
      <w:bookmarkEnd w:id="47"/>
      <w:bookmarkEnd w:id="48"/>
      <w:bookmarkEnd w:id="49"/>
    </w:p>
    <w:p>
      <w:pPr>
        <w:spacing w:line="600" w:lineRule="exact"/>
        <w:ind w:firstLine="643" w:firstLineChars="200"/>
        <w:rPr>
          <w:rFonts w:hint="eastAsia" w:ascii="仿宋" w:hAnsi="仿宋" w:eastAsia="仿宋" w:cs="仿宋"/>
          <w:color w:val="000000"/>
          <w:sz w:val="32"/>
          <w:szCs w:val="32"/>
        </w:rPr>
      </w:pPr>
      <w:r>
        <w:rPr>
          <w:rFonts w:hint="eastAsia" w:ascii="仿宋" w:hAnsi="仿宋" w:eastAsia="仿宋" w:cs="仿宋"/>
          <w:b/>
          <w:bCs/>
          <w:color w:val="000000"/>
          <w:sz w:val="32"/>
          <w:szCs w:val="32"/>
        </w:rPr>
        <w:t>卫生健康支出</w:t>
      </w:r>
      <w:r>
        <w:rPr>
          <w:rFonts w:hint="eastAsia" w:ascii="仿宋" w:hAnsi="仿宋" w:eastAsia="仿宋" w:cs="仿宋"/>
          <w:b/>
          <w:color w:val="000000"/>
          <w:sz w:val="32"/>
          <w:szCs w:val="32"/>
        </w:rPr>
        <w:t>（类）基层医疗卫生机构（款）</w:t>
      </w:r>
      <w:r>
        <w:rPr>
          <w:rStyle w:val="17"/>
          <w:rFonts w:hint="eastAsia" w:ascii="仿宋" w:hAnsi="仿宋" w:eastAsia="仿宋" w:cs="仿宋"/>
          <w:color w:val="000000"/>
          <w:sz w:val="32"/>
          <w:szCs w:val="32"/>
        </w:rPr>
        <w:t>乡镇卫生院（项）</w:t>
      </w:r>
      <w:r>
        <w:rPr>
          <w:rStyle w:val="17"/>
          <w:rFonts w:hint="eastAsia" w:ascii="仿宋" w:hAnsi="仿宋" w:eastAsia="仿宋" w:cs="仿宋"/>
          <w:color w:val="000000"/>
          <w:sz w:val="32"/>
          <w:szCs w:val="32"/>
          <w:lang w:eastAsia="zh-CN"/>
        </w:rPr>
        <w:t>：</w:t>
      </w:r>
      <w:r>
        <w:rPr>
          <w:rStyle w:val="17"/>
          <w:rFonts w:hint="eastAsia" w:ascii="仿宋" w:hAnsi="仿宋" w:eastAsia="仿宋" w:cs="仿宋"/>
          <w:b w:val="0"/>
          <w:color w:val="000000"/>
          <w:sz w:val="32"/>
          <w:szCs w:val="32"/>
        </w:rPr>
        <w:t>主要</w:t>
      </w:r>
      <w:r>
        <w:rPr>
          <w:rStyle w:val="17"/>
          <w:rFonts w:hint="eastAsia" w:ascii="仿宋" w:hAnsi="仿宋" w:eastAsia="仿宋" w:cs="仿宋"/>
          <w:b w:val="0"/>
          <w:color w:val="000000"/>
          <w:sz w:val="32"/>
          <w:szCs w:val="32"/>
          <w:lang w:eastAsia="zh-CN"/>
        </w:rPr>
        <w:t>用于乡镇</w:t>
      </w:r>
      <w:r>
        <w:rPr>
          <w:rStyle w:val="17"/>
          <w:rFonts w:hint="eastAsia" w:ascii="仿宋" w:hAnsi="仿宋" w:eastAsia="仿宋" w:cs="仿宋"/>
          <w:b w:val="0"/>
          <w:color w:val="000000"/>
          <w:sz w:val="32"/>
          <w:szCs w:val="32"/>
        </w:rPr>
        <w:t>卫生院人员经费</w:t>
      </w:r>
      <w:r>
        <w:rPr>
          <w:rStyle w:val="17"/>
          <w:rFonts w:hint="eastAsia" w:ascii="仿宋" w:hAnsi="仿宋" w:eastAsia="仿宋" w:cs="仿宋"/>
          <w:b w:val="0"/>
          <w:color w:val="000000"/>
          <w:sz w:val="32"/>
          <w:szCs w:val="32"/>
          <w:lang w:eastAsia="zh-CN"/>
        </w:rPr>
        <w:t>，</w:t>
      </w:r>
      <w:r>
        <w:rPr>
          <w:rStyle w:val="17"/>
          <w:rFonts w:hint="eastAsia" w:ascii="仿宋" w:hAnsi="仿宋" w:eastAsia="仿宋" w:cs="仿宋"/>
          <w:b w:val="0"/>
          <w:bCs/>
          <w:color w:val="000000"/>
          <w:sz w:val="32"/>
          <w:szCs w:val="32"/>
        </w:rPr>
        <w:t>决算数</w:t>
      </w:r>
      <w:r>
        <w:rPr>
          <w:rStyle w:val="17"/>
          <w:rFonts w:hint="eastAsia" w:ascii="仿宋" w:hAnsi="仿宋" w:eastAsia="仿宋" w:cs="仿宋"/>
          <w:b w:val="0"/>
          <w:bCs/>
          <w:color w:val="000000"/>
          <w:sz w:val="32"/>
          <w:szCs w:val="32"/>
          <w:lang w:val="en-US" w:eastAsia="zh-CN"/>
        </w:rPr>
        <w:t>66.14</w:t>
      </w:r>
      <w:r>
        <w:rPr>
          <w:rStyle w:val="17"/>
          <w:rFonts w:hint="eastAsia" w:ascii="仿宋" w:hAnsi="仿宋" w:eastAsia="仿宋" w:cs="仿宋"/>
          <w:b w:val="0"/>
          <w:bCs/>
          <w:color w:val="000000"/>
          <w:sz w:val="32"/>
          <w:szCs w:val="32"/>
        </w:rPr>
        <w:t>万元</w:t>
      </w:r>
      <w:r>
        <w:rPr>
          <w:rStyle w:val="17"/>
          <w:rFonts w:hint="eastAsia" w:ascii="仿宋" w:hAnsi="仿宋" w:eastAsia="仿宋" w:cs="仿宋"/>
          <w:color w:val="000000"/>
          <w:sz w:val="32"/>
          <w:szCs w:val="32"/>
        </w:rPr>
        <w:t>，</w:t>
      </w:r>
      <w:r>
        <w:rPr>
          <w:rFonts w:hint="eastAsia" w:ascii="仿宋" w:hAnsi="仿宋" w:eastAsia="仿宋" w:cs="仿宋"/>
          <w:color w:val="000000"/>
          <w:sz w:val="32"/>
          <w:szCs w:val="32"/>
        </w:rPr>
        <w:t>完成预算</w:t>
      </w:r>
      <w:r>
        <w:rPr>
          <w:rFonts w:hint="eastAsia" w:ascii="仿宋" w:hAnsi="仿宋" w:eastAsia="仿宋" w:cs="仿宋"/>
          <w:color w:val="000000"/>
          <w:sz w:val="32"/>
          <w:szCs w:val="32"/>
          <w:lang w:val="en-US" w:eastAsia="zh-CN"/>
        </w:rPr>
        <w:t>100</w:t>
      </w:r>
      <w:r>
        <w:rPr>
          <w:rFonts w:hint="eastAsia" w:ascii="仿宋" w:hAnsi="仿宋" w:eastAsia="仿宋" w:cs="仿宋"/>
          <w:color w:val="000000"/>
          <w:sz w:val="32"/>
          <w:szCs w:val="32"/>
        </w:rPr>
        <w:t>%</w:t>
      </w:r>
    </w:p>
    <w:p>
      <w:pPr>
        <w:spacing w:line="600" w:lineRule="exact"/>
        <w:ind w:firstLine="643" w:firstLineChars="200"/>
        <w:rPr>
          <w:rFonts w:hint="eastAsia" w:ascii="仿宋" w:hAnsi="仿宋" w:eastAsia="仿宋" w:cs="仿宋"/>
          <w:color w:val="000000"/>
          <w:sz w:val="32"/>
          <w:szCs w:val="32"/>
        </w:rPr>
      </w:pPr>
      <w:r>
        <w:rPr>
          <w:rStyle w:val="17"/>
          <w:rFonts w:hint="eastAsia" w:ascii="仿宋" w:hAnsi="仿宋" w:eastAsia="仿宋" w:cs="仿宋"/>
          <w:bCs/>
          <w:color w:val="000000"/>
          <w:sz w:val="32"/>
          <w:szCs w:val="32"/>
        </w:rPr>
        <w:t>卫生健康支出（类）行政事业单位（款）事业单位医疗（项）</w:t>
      </w:r>
      <w:r>
        <w:rPr>
          <w:rStyle w:val="17"/>
          <w:rFonts w:hint="eastAsia" w:ascii="仿宋" w:hAnsi="仿宋" w:eastAsia="仿宋" w:cs="仿宋"/>
          <w:b w:val="0"/>
          <w:color w:val="000000"/>
          <w:sz w:val="32"/>
          <w:szCs w:val="32"/>
        </w:rPr>
        <w:t>：用于在职</w:t>
      </w:r>
      <w:r>
        <w:rPr>
          <w:rStyle w:val="17"/>
          <w:rFonts w:hint="eastAsia" w:ascii="仿宋" w:hAnsi="仿宋" w:eastAsia="仿宋" w:cs="仿宋"/>
          <w:b w:val="0"/>
          <w:color w:val="000000"/>
          <w:sz w:val="32"/>
          <w:szCs w:val="32"/>
          <w:lang w:eastAsia="zh-CN"/>
        </w:rPr>
        <w:t>在编人员</w:t>
      </w:r>
      <w:r>
        <w:rPr>
          <w:rStyle w:val="17"/>
          <w:rFonts w:hint="eastAsia" w:ascii="仿宋" w:hAnsi="仿宋" w:eastAsia="仿宋" w:cs="仿宋"/>
          <w:b w:val="0"/>
          <w:color w:val="000000"/>
          <w:sz w:val="32"/>
          <w:szCs w:val="32"/>
        </w:rPr>
        <w:t>医疗保险支出，</w:t>
      </w:r>
      <w:r>
        <w:rPr>
          <w:rStyle w:val="17"/>
          <w:rFonts w:hint="eastAsia" w:ascii="仿宋" w:hAnsi="仿宋" w:eastAsia="仿宋" w:cs="仿宋"/>
          <w:b w:val="0"/>
          <w:color w:val="000000"/>
          <w:sz w:val="32"/>
          <w:szCs w:val="32"/>
          <w:lang w:val="en-US" w:eastAsia="zh-CN"/>
        </w:rPr>
        <w:t>2022</w:t>
      </w:r>
      <w:r>
        <w:rPr>
          <w:rStyle w:val="17"/>
          <w:rFonts w:hint="eastAsia" w:ascii="仿宋" w:hAnsi="仿宋" w:eastAsia="仿宋" w:cs="仿宋"/>
          <w:b w:val="0"/>
          <w:color w:val="000000"/>
          <w:sz w:val="32"/>
          <w:szCs w:val="32"/>
        </w:rPr>
        <w:t>年决算数</w:t>
      </w:r>
      <w:r>
        <w:rPr>
          <w:rStyle w:val="17"/>
          <w:rFonts w:hint="eastAsia" w:ascii="仿宋" w:hAnsi="仿宋" w:eastAsia="仿宋" w:cs="仿宋"/>
          <w:b w:val="0"/>
          <w:color w:val="000000"/>
          <w:sz w:val="32"/>
          <w:szCs w:val="32"/>
          <w:lang w:val="en-US" w:eastAsia="zh-CN"/>
        </w:rPr>
        <w:t>4.32</w:t>
      </w:r>
      <w:r>
        <w:rPr>
          <w:rStyle w:val="17"/>
          <w:rFonts w:hint="eastAsia" w:ascii="仿宋" w:hAnsi="仿宋" w:eastAsia="仿宋" w:cs="仿宋"/>
          <w:b w:val="0"/>
          <w:color w:val="000000"/>
          <w:sz w:val="32"/>
          <w:szCs w:val="32"/>
        </w:rPr>
        <w:t>万元，</w:t>
      </w:r>
      <w:r>
        <w:rPr>
          <w:rFonts w:hint="eastAsia" w:ascii="仿宋" w:hAnsi="仿宋" w:eastAsia="仿宋" w:cs="仿宋"/>
          <w:color w:val="000000"/>
          <w:sz w:val="32"/>
          <w:szCs w:val="32"/>
        </w:rPr>
        <w:t>完成预算100%。</w:t>
      </w:r>
    </w:p>
    <w:p>
      <w:pPr>
        <w:spacing w:line="600" w:lineRule="exact"/>
        <w:ind w:firstLine="643" w:firstLineChars="200"/>
        <w:rPr>
          <w:rStyle w:val="17"/>
          <w:rFonts w:hint="eastAsia" w:ascii="仿宋" w:hAnsi="仿宋" w:eastAsia="仿宋" w:cs="仿宋"/>
          <w:b w:val="0"/>
          <w:color w:val="000000"/>
          <w:sz w:val="32"/>
          <w:szCs w:val="32"/>
          <w:lang w:eastAsia="zh-CN"/>
        </w:rPr>
      </w:pPr>
      <w:r>
        <w:rPr>
          <w:rStyle w:val="17"/>
          <w:rFonts w:hint="eastAsia" w:ascii="仿宋" w:hAnsi="仿宋" w:eastAsia="仿宋" w:cs="仿宋"/>
          <w:color w:val="000000"/>
          <w:sz w:val="32"/>
          <w:szCs w:val="32"/>
        </w:rPr>
        <w:t>住房保障支出（类）住房改革支出（款）</w:t>
      </w:r>
      <w:r>
        <w:rPr>
          <w:rStyle w:val="17"/>
          <w:rFonts w:hint="eastAsia" w:ascii="仿宋" w:hAnsi="仿宋" w:eastAsia="仿宋" w:cs="仿宋"/>
          <w:bCs/>
          <w:color w:val="000000"/>
          <w:sz w:val="32"/>
          <w:szCs w:val="32"/>
        </w:rPr>
        <w:t>住房公积金支出（项）</w:t>
      </w:r>
      <w:r>
        <w:rPr>
          <w:rStyle w:val="17"/>
          <w:rFonts w:hint="eastAsia" w:ascii="仿宋" w:hAnsi="仿宋" w:eastAsia="仿宋" w:cs="仿宋"/>
          <w:b w:val="0"/>
          <w:color w:val="000000"/>
          <w:sz w:val="32"/>
          <w:szCs w:val="32"/>
        </w:rPr>
        <w:t>:主要用于</w:t>
      </w:r>
      <w:r>
        <w:rPr>
          <w:rStyle w:val="17"/>
          <w:rFonts w:hint="eastAsia" w:ascii="仿宋" w:hAnsi="仿宋" w:eastAsia="仿宋" w:cs="仿宋"/>
          <w:b w:val="0"/>
          <w:color w:val="000000"/>
          <w:sz w:val="32"/>
          <w:szCs w:val="32"/>
          <w:lang w:eastAsia="zh-CN"/>
        </w:rPr>
        <w:t>在职在编人员</w:t>
      </w:r>
      <w:r>
        <w:rPr>
          <w:rStyle w:val="17"/>
          <w:rFonts w:hint="eastAsia" w:ascii="仿宋" w:hAnsi="仿宋" w:eastAsia="仿宋" w:cs="仿宋"/>
          <w:b w:val="0"/>
          <w:color w:val="000000"/>
          <w:sz w:val="32"/>
          <w:szCs w:val="32"/>
        </w:rPr>
        <w:t>缴纳住房公积金支出。</w:t>
      </w:r>
      <w:r>
        <w:rPr>
          <w:rStyle w:val="17"/>
          <w:rFonts w:hint="eastAsia" w:ascii="仿宋" w:hAnsi="仿宋" w:eastAsia="仿宋" w:cs="仿宋"/>
          <w:b w:val="0"/>
          <w:color w:val="000000"/>
          <w:sz w:val="32"/>
          <w:szCs w:val="32"/>
          <w:lang w:val="en-US" w:eastAsia="zh-CN"/>
        </w:rPr>
        <w:t>2022</w:t>
      </w:r>
      <w:r>
        <w:rPr>
          <w:rStyle w:val="17"/>
          <w:rFonts w:hint="eastAsia" w:ascii="仿宋" w:hAnsi="仿宋" w:eastAsia="仿宋" w:cs="仿宋"/>
          <w:b w:val="0"/>
          <w:color w:val="000000"/>
          <w:sz w:val="32"/>
          <w:szCs w:val="32"/>
        </w:rPr>
        <w:t>年决算数为</w:t>
      </w:r>
      <w:r>
        <w:rPr>
          <w:rStyle w:val="17"/>
          <w:rFonts w:hint="eastAsia" w:ascii="仿宋" w:hAnsi="仿宋" w:eastAsia="仿宋" w:cs="仿宋"/>
          <w:b w:val="0"/>
          <w:color w:val="000000"/>
          <w:sz w:val="32"/>
          <w:szCs w:val="32"/>
          <w:lang w:val="en-US" w:eastAsia="zh-CN"/>
        </w:rPr>
        <w:t>6.52</w:t>
      </w:r>
      <w:r>
        <w:rPr>
          <w:rStyle w:val="17"/>
          <w:rFonts w:hint="eastAsia" w:ascii="仿宋" w:hAnsi="仿宋" w:eastAsia="仿宋" w:cs="仿宋"/>
          <w:b w:val="0"/>
          <w:color w:val="000000"/>
          <w:sz w:val="32"/>
          <w:szCs w:val="32"/>
        </w:rPr>
        <w:t>万元，完成预算</w:t>
      </w:r>
      <w:r>
        <w:rPr>
          <w:rStyle w:val="17"/>
          <w:rFonts w:hint="eastAsia" w:ascii="仿宋" w:hAnsi="仿宋" w:eastAsia="仿宋" w:cs="仿宋"/>
          <w:b w:val="0"/>
          <w:color w:val="000000"/>
          <w:sz w:val="32"/>
          <w:szCs w:val="32"/>
          <w:lang w:val="en-US" w:eastAsia="zh-CN"/>
        </w:rPr>
        <w:t>100</w:t>
      </w:r>
      <w:r>
        <w:rPr>
          <w:rStyle w:val="17"/>
          <w:rFonts w:hint="eastAsia" w:ascii="仿宋" w:hAnsi="仿宋" w:eastAsia="仿宋" w:cs="仿宋"/>
          <w:b w:val="0"/>
          <w:color w:val="000000"/>
          <w:sz w:val="32"/>
          <w:szCs w:val="32"/>
        </w:rPr>
        <w:t>%</w:t>
      </w:r>
      <w:r>
        <w:rPr>
          <w:rStyle w:val="17"/>
          <w:rFonts w:hint="eastAsia" w:ascii="仿宋" w:hAnsi="仿宋" w:eastAsia="仿宋" w:cs="仿宋"/>
          <w:b w:val="0"/>
          <w:color w:val="000000"/>
          <w:sz w:val="32"/>
          <w:szCs w:val="32"/>
          <w:lang w:eastAsia="zh-CN"/>
        </w:rPr>
        <w:t>。</w:t>
      </w:r>
    </w:p>
    <w:p>
      <w:pPr>
        <w:spacing w:line="600" w:lineRule="exact"/>
        <w:ind w:firstLine="643" w:firstLineChars="200"/>
        <w:rPr>
          <w:rFonts w:hint="eastAsia" w:ascii="仿宋" w:hAnsi="仿宋" w:eastAsia="仿宋" w:cs="仿宋"/>
          <w:sz w:val="32"/>
          <w:szCs w:val="32"/>
        </w:rPr>
      </w:pPr>
      <w:r>
        <w:rPr>
          <w:rStyle w:val="17"/>
          <w:rFonts w:hint="eastAsia" w:ascii="仿宋" w:hAnsi="仿宋" w:eastAsia="仿宋" w:cs="仿宋"/>
          <w:color w:val="000000"/>
          <w:sz w:val="32"/>
          <w:szCs w:val="32"/>
        </w:rPr>
        <w:t>社会保障和就业支出(类)行政事业单位离退休（款）</w:t>
      </w:r>
      <w:r>
        <w:rPr>
          <w:rFonts w:hint="eastAsia" w:ascii="仿宋" w:hAnsi="仿宋" w:eastAsia="仿宋" w:cs="仿宋"/>
          <w:b/>
          <w:color w:val="000000"/>
          <w:sz w:val="32"/>
          <w:szCs w:val="32"/>
        </w:rPr>
        <w:t>机关事业单位基本养老保险缴费支出（项）：</w:t>
      </w:r>
      <w:r>
        <w:rPr>
          <w:rFonts w:hint="eastAsia" w:ascii="仿宋" w:hAnsi="仿宋" w:eastAsia="仿宋" w:cs="仿宋"/>
          <w:b w:val="0"/>
          <w:bCs/>
          <w:color w:val="000000"/>
          <w:sz w:val="32"/>
          <w:szCs w:val="32"/>
          <w:lang w:eastAsia="zh-CN"/>
        </w:rPr>
        <w:t>主要用于在职在编人员基本养老保险支出，</w:t>
      </w:r>
      <w:r>
        <w:rPr>
          <w:rFonts w:hint="eastAsia" w:ascii="仿宋" w:hAnsi="仿宋" w:eastAsia="仿宋" w:cs="仿宋"/>
          <w:sz w:val="32"/>
          <w:szCs w:val="32"/>
          <w:lang w:val="en-US" w:eastAsia="zh-CN"/>
        </w:rPr>
        <w:t>2022</w:t>
      </w:r>
      <w:r>
        <w:rPr>
          <w:rFonts w:hint="eastAsia" w:ascii="仿宋" w:hAnsi="仿宋" w:eastAsia="仿宋" w:cs="仿宋"/>
          <w:sz w:val="32"/>
          <w:szCs w:val="32"/>
        </w:rPr>
        <w:t>年决算数为</w:t>
      </w:r>
      <w:r>
        <w:rPr>
          <w:rFonts w:hint="eastAsia" w:ascii="仿宋" w:hAnsi="仿宋" w:eastAsia="仿宋" w:cs="仿宋"/>
          <w:sz w:val="32"/>
          <w:szCs w:val="32"/>
          <w:lang w:val="en-US" w:eastAsia="zh-CN"/>
        </w:rPr>
        <w:t>6.52</w:t>
      </w:r>
      <w:r>
        <w:rPr>
          <w:rFonts w:hint="eastAsia" w:ascii="仿宋" w:hAnsi="仿宋" w:eastAsia="仿宋" w:cs="仿宋"/>
          <w:sz w:val="32"/>
          <w:szCs w:val="32"/>
        </w:rPr>
        <w:t>万元，完成预算100%。</w:t>
      </w:r>
    </w:p>
    <w:p>
      <w:pPr>
        <w:spacing w:line="600" w:lineRule="exact"/>
        <w:ind w:firstLine="643" w:firstLineChars="200"/>
        <w:rPr>
          <w:rFonts w:hint="eastAsia" w:ascii="仿宋" w:hAnsi="仿宋" w:eastAsia="仿宋" w:cs="仿宋"/>
          <w:sz w:val="32"/>
          <w:szCs w:val="32"/>
          <w:lang w:eastAsia="zh-CN"/>
        </w:rPr>
      </w:pPr>
      <w:r>
        <w:rPr>
          <w:rStyle w:val="17"/>
          <w:rFonts w:hint="eastAsia" w:ascii="仿宋" w:hAnsi="仿宋" w:eastAsia="仿宋" w:cs="仿宋"/>
          <w:color w:val="000000"/>
          <w:sz w:val="32"/>
          <w:szCs w:val="32"/>
        </w:rPr>
        <w:t>社会保障和就业支出(类)行政事业单位离退休（款）</w:t>
      </w:r>
      <w:r>
        <w:rPr>
          <w:rFonts w:hint="eastAsia" w:ascii="仿宋" w:hAnsi="仿宋" w:eastAsia="仿宋" w:cs="仿宋"/>
          <w:b/>
          <w:sz w:val="32"/>
          <w:szCs w:val="32"/>
        </w:rPr>
        <w:t>机关事业单位职业年金缴费支出（项）：</w:t>
      </w:r>
      <w:r>
        <w:rPr>
          <w:rFonts w:hint="eastAsia" w:ascii="仿宋" w:hAnsi="仿宋" w:eastAsia="仿宋" w:cs="仿宋"/>
          <w:b w:val="0"/>
          <w:bCs/>
          <w:color w:val="000000"/>
          <w:sz w:val="32"/>
          <w:szCs w:val="32"/>
          <w:lang w:eastAsia="zh-CN"/>
        </w:rPr>
        <w:t>主要用于在职在编人员职业年金支出，</w:t>
      </w:r>
      <w:r>
        <w:rPr>
          <w:rFonts w:hint="eastAsia" w:ascii="仿宋" w:hAnsi="仿宋" w:eastAsia="仿宋" w:cs="仿宋"/>
          <w:sz w:val="32"/>
          <w:szCs w:val="32"/>
          <w:lang w:val="en-US" w:eastAsia="zh-CN"/>
        </w:rPr>
        <w:t>2022</w:t>
      </w:r>
      <w:r>
        <w:rPr>
          <w:rFonts w:hint="eastAsia" w:ascii="仿宋" w:hAnsi="仿宋" w:eastAsia="仿宋" w:cs="仿宋"/>
          <w:sz w:val="32"/>
          <w:szCs w:val="32"/>
        </w:rPr>
        <w:t>年决算数为</w:t>
      </w:r>
      <w:r>
        <w:rPr>
          <w:rFonts w:hint="eastAsia" w:ascii="仿宋" w:hAnsi="仿宋" w:eastAsia="仿宋" w:cs="仿宋"/>
          <w:sz w:val="32"/>
          <w:szCs w:val="32"/>
          <w:lang w:val="en-US" w:eastAsia="zh-CN"/>
        </w:rPr>
        <w:t>3.81</w:t>
      </w:r>
      <w:r>
        <w:rPr>
          <w:rFonts w:hint="eastAsia" w:ascii="仿宋" w:hAnsi="仿宋" w:eastAsia="仿宋" w:cs="仿宋"/>
          <w:sz w:val="32"/>
          <w:szCs w:val="32"/>
        </w:rPr>
        <w:t>万元，完成预算100%</w:t>
      </w:r>
      <w:r>
        <w:rPr>
          <w:rFonts w:hint="eastAsia" w:ascii="仿宋" w:hAnsi="仿宋" w:eastAsia="仿宋" w:cs="仿宋"/>
          <w:sz w:val="32"/>
          <w:szCs w:val="32"/>
          <w:lang w:eastAsia="zh-CN"/>
        </w:rPr>
        <w:t>。</w:t>
      </w:r>
    </w:p>
    <w:p>
      <w:pPr>
        <w:tabs>
          <w:tab w:val="right" w:pos="8306"/>
        </w:tabs>
        <w:spacing w:line="600" w:lineRule="exact"/>
        <w:ind w:firstLine="640"/>
        <w:outlineLvl w:val="1"/>
        <w:rPr>
          <w:rStyle w:val="28"/>
          <w:color w:val="auto"/>
          <w:highlight w:val="none"/>
        </w:rPr>
      </w:pPr>
      <w:bookmarkStart w:id="50" w:name="_Toc8552"/>
      <w:bookmarkStart w:id="51" w:name="_Toc15396608"/>
      <w:bookmarkStart w:id="52"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8"/>
          <w:rFonts w:hint="eastAsia" w:ascii="黑体" w:hAnsi="黑体" w:eastAsia="黑体"/>
          <w:b w:val="0"/>
          <w:color w:val="auto"/>
          <w:highlight w:val="none"/>
        </w:rPr>
        <w:t>般公共预算财政拨款基本支出决算情况说明</w:t>
      </w:r>
      <w:bookmarkEnd w:id="50"/>
      <w:bookmarkEnd w:id="51"/>
      <w:bookmarkEnd w:id="52"/>
      <w:r>
        <w:rPr>
          <w:rStyle w:val="2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87.31</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87.31</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val="en-US" w:eastAsia="zh-CN"/>
        </w:rPr>
        <w:t>9.32万元</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val="en-US" w:eastAsia="zh-CN"/>
        </w:rPr>
        <w:t>0.57万元</w:t>
      </w:r>
      <w:r>
        <w:rPr>
          <w:rFonts w:hint="eastAsia" w:ascii="仿宋" w:hAnsi="仿宋" w:eastAsia="仿宋"/>
          <w:color w:val="auto"/>
          <w:sz w:val="32"/>
          <w:szCs w:val="32"/>
          <w:highlight w:val="none"/>
        </w:rPr>
        <w:t>、奖金</w:t>
      </w:r>
      <w:r>
        <w:rPr>
          <w:rFonts w:hint="eastAsia" w:ascii="仿宋" w:hAnsi="仿宋" w:eastAsia="仿宋"/>
          <w:color w:val="auto"/>
          <w:sz w:val="32"/>
          <w:szCs w:val="32"/>
          <w:highlight w:val="none"/>
          <w:lang w:val="en-US" w:eastAsia="zh-CN"/>
        </w:rPr>
        <w:t>9万元</w:t>
      </w:r>
      <w:r>
        <w:rPr>
          <w:rFonts w:hint="eastAsia" w:ascii="仿宋" w:hAnsi="仿宋" w:eastAsia="仿宋"/>
          <w:color w:val="auto"/>
          <w:sz w:val="32"/>
          <w:szCs w:val="32"/>
          <w:highlight w:val="none"/>
        </w:rPr>
        <w:t>、绩效工资</w:t>
      </w:r>
      <w:r>
        <w:rPr>
          <w:rFonts w:hint="eastAsia" w:ascii="仿宋" w:hAnsi="仿宋" w:eastAsia="仿宋"/>
          <w:color w:val="auto"/>
          <w:sz w:val="32"/>
          <w:szCs w:val="32"/>
          <w:highlight w:val="none"/>
          <w:lang w:val="en-US" w:eastAsia="zh-CN"/>
        </w:rPr>
        <w:t>46.6万元</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val="en-US" w:eastAsia="zh-CN"/>
        </w:rPr>
        <w:t>6.52万元</w:t>
      </w:r>
      <w:r>
        <w:rPr>
          <w:rFonts w:hint="eastAsia" w:ascii="仿宋" w:hAnsi="仿宋" w:eastAsia="仿宋"/>
          <w:color w:val="auto"/>
          <w:sz w:val="32"/>
          <w:szCs w:val="32"/>
          <w:highlight w:val="none"/>
        </w:rPr>
        <w:t>、职业年金缴费</w:t>
      </w:r>
      <w:r>
        <w:rPr>
          <w:rFonts w:hint="eastAsia" w:ascii="仿宋" w:hAnsi="仿宋" w:eastAsia="仿宋"/>
          <w:color w:val="auto"/>
          <w:sz w:val="32"/>
          <w:szCs w:val="32"/>
          <w:highlight w:val="none"/>
          <w:lang w:val="en-US" w:eastAsia="zh-CN"/>
        </w:rPr>
        <w:t>3.82万元</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0.64万元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医疗保险</w:t>
      </w:r>
      <w:r>
        <w:rPr>
          <w:rFonts w:hint="eastAsia" w:ascii="仿宋" w:hAnsi="仿宋" w:eastAsia="仿宋"/>
          <w:color w:val="auto"/>
          <w:sz w:val="32"/>
          <w:szCs w:val="32"/>
          <w:highlight w:val="none"/>
          <w:lang w:val="en-US" w:eastAsia="zh-CN"/>
        </w:rPr>
        <w:t>4.32万元、</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val="en-US" w:eastAsia="zh-CN"/>
        </w:rPr>
        <w:t>6.52万元</w:t>
      </w:r>
      <w:r>
        <w:rPr>
          <w:rFonts w:hint="eastAsia" w:ascii="仿宋" w:hAnsi="仿宋" w:eastAsia="仿宋"/>
          <w:color w:val="auto"/>
          <w:sz w:val="32"/>
          <w:szCs w:val="32"/>
          <w:highlight w:val="none"/>
          <w:lang w:eastAsia="zh-CN"/>
        </w:rPr>
        <w:t>。</w:t>
      </w:r>
    </w:p>
    <w:p>
      <w:pPr>
        <w:spacing w:line="600" w:lineRule="exact"/>
        <w:ind w:firstLine="640"/>
        <w:outlineLvl w:val="1"/>
        <w:rPr>
          <w:rStyle w:val="28"/>
          <w:rFonts w:ascii="黑体" w:hAnsi="黑体" w:eastAsia="黑体"/>
          <w:b w:val="0"/>
          <w:color w:val="auto"/>
          <w:highlight w:val="none"/>
        </w:rPr>
      </w:pPr>
      <w:bookmarkStart w:id="53" w:name="_Toc15396609"/>
      <w:bookmarkStart w:id="54" w:name="_Toc14957"/>
      <w:bookmarkStart w:id="55" w:name="_Toc15377215"/>
      <w:r>
        <w:rPr>
          <w:rFonts w:hint="eastAsia" w:ascii="黑体" w:eastAsia="黑体"/>
          <w:color w:val="auto"/>
          <w:sz w:val="32"/>
          <w:szCs w:val="32"/>
          <w:highlight w:val="none"/>
        </w:rPr>
        <w:t>七、</w:t>
      </w:r>
      <w:r>
        <w:rPr>
          <w:rStyle w:val="28"/>
          <w:rFonts w:hint="eastAsia" w:ascii="黑体" w:hAnsi="黑体" w:eastAsia="黑体"/>
          <w:b w:val="0"/>
          <w:color w:val="auto"/>
          <w:highlight w:val="none"/>
        </w:rPr>
        <w:t>财政拨款</w:t>
      </w:r>
      <w:r>
        <w:rPr>
          <w:rStyle w:val="28"/>
          <w:rFonts w:hint="eastAsia" w:ascii="黑体" w:hAnsi="黑体" w:eastAsia="黑体"/>
          <w:color w:val="auto"/>
          <w:highlight w:val="none"/>
        </w:rPr>
        <w:t>“</w:t>
      </w:r>
      <w:r>
        <w:rPr>
          <w:rStyle w:val="28"/>
          <w:rFonts w:hint="eastAsia" w:ascii="黑体" w:hAnsi="黑体" w:eastAsia="黑体"/>
          <w:b w:val="0"/>
          <w:color w:val="auto"/>
          <w:highlight w:val="none"/>
        </w:rPr>
        <w:t>三公”经费支出决算情况说明</w:t>
      </w:r>
      <w:bookmarkEnd w:id="53"/>
      <w:bookmarkEnd w:id="54"/>
      <w:bookmarkEnd w:id="55"/>
    </w:p>
    <w:p>
      <w:pPr>
        <w:spacing w:line="600" w:lineRule="exact"/>
        <w:ind w:firstLine="640"/>
        <w:outlineLvl w:val="2"/>
        <w:rPr>
          <w:rFonts w:ascii="仿宋" w:hAnsi="仿宋" w:eastAsia="仿宋"/>
          <w:b/>
          <w:color w:val="auto"/>
          <w:sz w:val="32"/>
          <w:szCs w:val="32"/>
          <w:highlight w:val="none"/>
        </w:rPr>
      </w:pPr>
      <w:bookmarkStart w:id="56" w:name="_Toc15377216"/>
      <w:bookmarkStart w:id="57" w:name="_Toc18476"/>
      <w:r>
        <w:rPr>
          <w:rFonts w:hint="eastAsia" w:ascii="仿宋" w:hAnsi="仿宋" w:eastAsia="仿宋"/>
          <w:b/>
          <w:color w:val="auto"/>
          <w:sz w:val="32"/>
          <w:szCs w:val="32"/>
          <w:highlight w:val="none"/>
        </w:rPr>
        <w:t>（一）“三公”经费财政拨款支出决算总体情况说明</w:t>
      </w:r>
      <w:bookmarkEnd w:id="56"/>
      <w:bookmarkEnd w:id="57"/>
    </w:p>
    <w:p>
      <w:pPr>
        <w:spacing w:line="600" w:lineRule="exact"/>
        <w:ind w:firstLine="640"/>
        <w:rPr>
          <w:rFonts w:hint="eastAsia" w:ascii="仿宋" w:eastAsia="仿宋"/>
          <w:color w:val="000000"/>
          <w:sz w:val="32"/>
          <w:szCs w:val="32"/>
        </w:rPr>
      </w:pPr>
      <w:r>
        <w:rPr>
          <w:rFonts w:hint="eastAsia" w:ascii="仿宋" w:hAnsi="仿宋" w:eastAsia="仿宋"/>
          <w:color w:val="000000"/>
          <w:sz w:val="32"/>
          <w:szCs w:val="32"/>
          <w:highlight w:val="none"/>
          <w:lang w:eastAsia="zh-CN"/>
        </w:rPr>
        <w:t>202</w:t>
      </w:r>
      <w:r>
        <w:rPr>
          <w:rFonts w:hint="eastAsia" w:ascii="仿宋" w:hAnsi="仿宋" w:eastAsia="仿宋"/>
          <w:color w:val="000000"/>
          <w:sz w:val="32"/>
          <w:szCs w:val="32"/>
          <w:highlight w:val="none"/>
          <w:lang w:val="en-US" w:eastAsia="zh-CN"/>
        </w:rPr>
        <w:t>2</w:t>
      </w:r>
      <w:r>
        <w:rPr>
          <w:rFonts w:hint="eastAsia" w:ascii="仿宋" w:hAnsi="仿宋" w:eastAsia="仿宋"/>
          <w:color w:val="000000"/>
          <w:sz w:val="32"/>
          <w:szCs w:val="32"/>
          <w:highlight w:val="none"/>
        </w:rPr>
        <w:t>年“三公”经费财政拨款支出决算为</w:t>
      </w:r>
      <w:r>
        <w:rPr>
          <w:rFonts w:hint="eastAsia" w:ascii="仿宋" w:hAnsi="仿宋" w:eastAsia="仿宋"/>
          <w:color w:val="000000"/>
          <w:sz w:val="32"/>
          <w:szCs w:val="32"/>
          <w:highlight w:val="none"/>
          <w:lang w:val="en-US" w:eastAsia="zh-CN"/>
        </w:rPr>
        <w:t>0</w:t>
      </w:r>
      <w:r>
        <w:rPr>
          <w:rFonts w:hint="eastAsia" w:ascii="仿宋" w:hAnsi="仿宋" w:eastAsia="仿宋"/>
          <w:color w:val="000000"/>
          <w:sz w:val="32"/>
          <w:szCs w:val="32"/>
          <w:highlight w:val="none"/>
        </w:rPr>
        <w:t>万元，</w:t>
      </w:r>
      <w:r>
        <w:rPr>
          <w:rFonts w:hint="eastAsia" w:ascii="仿宋" w:eastAsia="仿宋"/>
          <w:color w:val="000000"/>
          <w:sz w:val="32"/>
          <w:szCs w:val="32"/>
        </w:rPr>
        <w:t>年初未安排预算。</w:t>
      </w:r>
    </w:p>
    <w:p>
      <w:pPr>
        <w:spacing w:line="600" w:lineRule="exact"/>
        <w:ind w:firstLine="321" w:firstLineChars="100"/>
        <w:outlineLvl w:val="2"/>
        <w:rPr>
          <w:rFonts w:ascii="仿宋" w:hAnsi="仿宋" w:eastAsia="仿宋"/>
          <w:b/>
          <w:color w:val="auto"/>
          <w:sz w:val="32"/>
          <w:szCs w:val="32"/>
          <w:highlight w:val="none"/>
        </w:rPr>
      </w:pPr>
      <w:bookmarkStart w:id="58" w:name="_Toc11572"/>
      <w:bookmarkStart w:id="59" w:name="_Toc15377217"/>
      <w:r>
        <w:rPr>
          <w:rFonts w:hint="eastAsia" w:ascii="仿宋" w:hAnsi="仿宋" w:eastAsia="仿宋"/>
          <w:b/>
          <w:color w:val="auto"/>
          <w:sz w:val="32"/>
          <w:szCs w:val="32"/>
          <w:highlight w:val="none"/>
        </w:rPr>
        <w:t>（二）“三公”经费财政拨款支出决算具体情况说明</w:t>
      </w:r>
      <w:bookmarkEnd w:id="58"/>
      <w:bookmarkEnd w:id="59"/>
    </w:p>
    <w:p>
      <w:pPr>
        <w:spacing w:line="600" w:lineRule="exact"/>
        <w:ind w:firstLine="640"/>
        <w:rPr>
          <w:rFonts w:hint="eastAsia" w:ascii="仿宋" w:hAnsi="仿宋" w:eastAsia="仿宋"/>
          <w:color w:val="000000"/>
          <w:sz w:val="32"/>
          <w:szCs w:val="32"/>
          <w:lang w:eastAsia="zh-CN"/>
        </w:rPr>
      </w:pPr>
      <w:bookmarkStart w:id="60" w:name="_Toc15396610"/>
      <w:bookmarkStart w:id="61" w:name="_Toc15377218"/>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年“三公”经费财政拨款支出决算中</w:t>
      </w:r>
      <w:r>
        <w:rPr>
          <w:rFonts w:hint="eastAsia" w:ascii="仿宋" w:hAnsi="仿宋" w:eastAsia="仿宋"/>
          <w:color w:val="000000"/>
          <w:sz w:val="32"/>
          <w:szCs w:val="32"/>
          <w:lang w:eastAsia="zh-CN"/>
        </w:rPr>
        <w:t>：</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Style w:val="17"/>
          <w:rFonts w:hint="eastAsia" w:ascii="仿宋" w:hAnsi="仿宋" w:eastAsia="仿宋"/>
          <w:b w:val="0"/>
          <w:bCs/>
          <w:color w:val="000000"/>
          <w:sz w:val="32"/>
          <w:szCs w:val="32"/>
        </w:rPr>
        <w:t>。</w:t>
      </w:r>
      <w:r>
        <w:rPr>
          <w:rFonts w:hint="eastAsia" w:ascii="仿宋" w:eastAsia="仿宋"/>
          <w:color w:val="000000"/>
          <w:sz w:val="32"/>
          <w:szCs w:val="32"/>
        </w:rPr>
        <w:t>年初未安排预算</w:t>
      </w:r>
      <w:r>
        <w:rPr>
          <w:rFonts w:hint="eastAsia" w:ascii="仿宋" w:eastAsia="仿宋"/>
          <w:color w:val="000000"/>
          <w:sz w:val="32"/>
          <w:szCs w:val="32"/>
          <w:lang w:eastAsia="zh-CN"/>
        </w:rPr>
        <w:t>，</w:t>
      </w:r>
      <w:r>
        <w:rPr>
          <w:rStyle w:val="17"/>
          <w:rFonts w:hint="eastAsia" w:ascii="仿宋" w:eastAsia="仿宋"/>
          <w:b w:val="0"/>
          <w:bCs/>
          <w:color w:val="000000"/>
          <w:sz w:val="32"/>
          <w:szCs w:val="32"/>
        </w:rPr>
        <w:t>与上年数持平。</w:t>
      </w:r>
    </w:p>
    <w:p>
      <w:pPr>
        <w:spacing w:line="600" w:lineRule="exact"/>
        <w:ind w:firstLine="640"/>
        <w:rPr>
          <w:rFonts w:hint="default" w:ascii="仿宋_GB2312" w:eastAsia="仿宋_GB2312"/>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 w:eastAsia="仿宋"/>
          <w:color w:val="000000"/>
          <w:sz w:val="32"/>
          <w:szCs w:val="32"/>
        </w:rPr>
        <w:t>年初未安排预算</w:t>
      </w:r>
      <w:r>
        <w:rPr>
          <w:rStyle w:val="17"/>
          <w:rFonts w:hint="eastAsia" w:ascii="仿宋" w:hAnsi="仿宋" w:eastAsia="仿宋"/>
          <w:b w:val="0"/>
          <w:bCs/>
          <w:color w:val="000000"/>
          <w:sz w:val="32"/>
          <w:szCs w:val="32"/>
        </w:rPr>
        <w:t>。</w:t>
      </w:r>
    </w:p>
    <w:p>
      <w:pPr>
        <w:spacing w:line="600" w:lineRule="exact"/>
        <w:ind w:firstLine="640"/>
        <w:outlineLvl w:val="1"/>
        <w:rPr>
          <w:rFonts w:ascii="黑体" w:eastAsia="黑体"/>
          <w:color w:val="auto"/>
          <w:sz w:val="32"/>
          <w:szCs w:val="32"/>
          <w:highlight w:val="none"/>
        </w:rPr>
      </w:pPr>
      <w:bookmarkStart w:id="62" w:name="_Toc18750"/>
      <w:r>
        <w:rPr>
          <w:rFonts w:hint="eastAsia" w:ascii="仿宋_GB2312" w:eastAsia="仿宋_GB2312"/>
          <w:b/>
          <w:color w:val="000000"/>
          <w:sz w:val="32"/>
          <w:szCs w:val="32"/>
          <w:lang w:val="en-US" w:eastAsia="zh-CN"/>
        </w:rPr>
        <w:t>3</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Style w:val="17"/>
          <w:rFonts w:hint="eastAsia" w:ascii="仿宋" w:hAnsi="仿宋" w:eastAsia="仿宋"/>
          <w:b w:val="0"/>
          <w:bCs/>
          <w:color w:val="000000"/>
          <w:sz w:val="32"/>
          <w:szCs w:val="32"/>
        </w:rPr>
        <w:t>。</w:t>
      </w:r>
      <w:bookmarkEnd w:id="62"/>
    </w:p>
    <w:p>
      <w:pPr>
        <w:spacing w:line="600" w:lineRule="exact"/>
        <w:ind w:firstLine="640"/>
        <w:outlineLvl w:val="1"/>
        <w:rPr>
          <w:rStyle w:val="28"/>
          <w:rFonts w:ascii="黑体" w:hAnsi="黑体" w:eastAsia="黑体"/>
          <w:color w:val="auto"/>
          <w:highlight w:val="none"/>
        </w:rPr>
      </w:pPr>
      <w:bookmarkStart w:id="63" w:name="_Toc29163"/>
      <w:r>
        <w:rPr>
          <w:rFonts w:hint="eastAsia" w:ascii="黑体" w:eastAsia="黑体"/>
          <w:color w:val="auto"/>
          <w:sz w:val="32"/>
          <w:szCs w:val="32"/>
          <w:highlight w:val="none"/>
        </w:rPr>
        <w:t>八、</w:t>
      </w:r>
      <w:r>
        <w:rPr>
          <w:rStyle w:val="28"/>
          <w:rFonts w:hint="eastAsia" w:ascii="黑体" w:hAnsi="黑体" w:eastAsia="黑体"/>
          <w:b w:val="0"/>
          <w:color w:val="auto"/>
          <w:highlight w:val="none"/>
        </w:rPr>
        <w:t>政府性基金预算支出决算情况说明</w:t>
      </w:r>
      <w:bookmarkEnd w:id="60"/>
      <w:bookmarkEnd w:id="61"/>
      <w:bookmarkEnd w:id="63"/>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年政府性基金预算</w:t>
      </w:r>
      <w:r>
        <w:rPr>
          <w:rFonts w:hint="eastAsia" w:ascii="仿宋" w:hAnsi="仿宋" w:eastAsia="仿宋" w:cs="仿宋"/>
          <w:color w:val="auto"/>
          <w:sz w:val="32"/>
          <w:szCs w:val="32"/>
          <w:highlight w:val="none"/>
          <w:lang w:eastAsia="zh-CN"/>
        </w:rPr>
        <w:t>财政</w:t>
      </w:r>
      <w:r>
        <w:rPr>
          <w:rFonts w:hint="eastAsia" w:ascii="仿宋" w:hAnsi="仿宋" w:eastAsia="仿宋" w:cs="仿宋"/>
          <w:color w:val="auto"/>
          <w:sz w:val="32"/>
          <w:szCs w:val="32"/>
          <w:highlight w:val="none"/>
        </w:rPr>
        <w:t>拨款支出</w:t>
      </w:r>
      <w:r>
        <w:rPr>
          <w:rFonts w:hint="eastAsia" w:ascii="仿宋" w:hAnsi="仿宋" w:eastAsia="仿宋" w:cs="仿宋"/>
          <w:color w:val="auto"/>
          <w:sz w:val="32"/>
          <w:szCs w:val="32"/>
          <w:highlight w:val="none"/>
          <w:lang w:val="en-US" w:eastAsia="zh-CN"/>
        </w:rPr>
        <w:t>2.47</w:t>
      </w:r>
      <w:r>
        <w:rPr>
          <w:rFonts w:hint="eastAsia" w:ascii="仿宋" w:hAnsi="仿宋" w:eastAsia="仿宋" w:cs="仿宋"/>
          <w:color w:val="auto"/>
          <w:sz w:val="32"/>
          <w:szCs w:val="32"/>
          <w:highlight w:val="none"/>
        </w:rPr>
        <w:t>万元。</w:t>
      </w:r>
    </w:p>
    <w:p>
      <w:pPr>
        <w:numPr>
          <w:ilvl w:val="0"/>
          <w:numId w:val="2"/>
        </w:numPr>
        <w:spacing w:line="600" w:lineRule="exact"/>
        <w:ind w:firstLine="640"/>
        <w:outlineLvl w:val="1"/>
        <w:rPr>
          <w:rStyle w:val="28"/>
          <w:rFonts w:ascii="黑体" w:hAnsi="黑体" w:eastAsia="黑体"/>
          <w:b w:val="0"/>
          <w:color w:val="auto"/>
          <w:highlight w:val="none"/>
        </w:rPr>
      </w:pPr>
      <w:bookmarkStart w:id="64" w:name="_Toc15396611"/>
      <w:bookmarkStart w:id="65" w:name="_Toc15377219"/>
      <w:bookmarkStart w:id="66" w:name="_Toc9974"/>
      <w:r>
        <w:rPr>
          <w:rStyle w:val="28"/>
          <w:rFonts w:hint="eastAsia" w:ascii="黑体" w:hAnsi="黑体" w:eastAsia="黑体"/>
          <w:b w:val="0"/>
          <w:color w:val="auto"/>
          <w:highlight w:val="none"/>
        </w:rPr>
        <w:t>国有资本经营预算支出决算情况说明</w:t>
      </w:r>
      <w:bookmarkEnd w:id="64"/>
      <w:bookmarkEnd w:id="65"/>
      <w:bookmarkEnd w:id="66"/>
    </w:p>
    <w:p>
      <w:pPr>
        <w:spacing w:line="600" w:lineRule="exact"/>
        <w:ind w:firstLine="640"/>
        <w:rPr>
          <w:rFonts w:hint="eastAsia" w:ascii="仿宋" w:hAnsi="仿宋" w:eastAsia="仿宋" w:cs="仿宋"/>
          <w:color w:val="000000"/>
          <w:sz w:val="32"/>
          <w:szCs w:val="32"/>
          <w:lang w:eastAsia="zh-CN"/>
        </w:rPr>
      </w:pPr>
      <w:bookmarkStart w:id="67" w:name="_Toc15396612"/>
      <w:bookmarkStart w:id="68" w:name="_Toc15377221"/>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年国有资本经营预算拨款支出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p>
    <w:p>
      <w:pPr>
        <w:numPr>
          <w:ilvl w:val="0"/>
          <w:numId w:val="2"/>
        </w:numPr>
        <w:spacing w:line="600" w:lineRule="exact"/>
        <w:ind w:firstLine="640"/>
        <w:outlineLvl w:val="1"/>
        <w:rPr>
          <w:rStyle w:val="28"/>
          <w:rFonts w:hint="eastAsia" w:ascii="黑体" w:hAnsi="黑体" w:eastAsia="黑体"/>
          <w:b w:val="0"/>
          <w:color w:val="auto"/>
          <w:highlight w:val="none"/>
        </w:rPr>
      </w:pPr>
      <w:bookmarkStart w:id="69" w:name="_Toc19028"/>
      <w:r>
        <w:rPr>
          <w:rStyle w:val="28"/>
          <w:rFonts w:hint="eastAsia" w:ascii="黑体" w:hAnsi="黑体" w:eastAsia="黑体"/>
          <w:b w:val="0"/>
          <w:color w:val="auto"/>
          <w:highlight w:val="none"/>
        </w:rPr>
        <w:t>其他重要事项的情况说明</w:t>
      </w:r>
      <w:bookmarkEnd w:id="67"/>
      <w:bookmarkEnd w:id="68"/>
      <w:bookmarkEnd w:id="69"/>
    </w:p>
    <w:p>
      <w:pPr>
        <w:spacing w:line="600" w:lineRule="exact"/>
        <w:ind w:firstLine="643" w:firstLineChars="200"/>
        <w:outlineLvl w:val="2"/>
        <w:rPr>
          <w:rFonts w:ascii="仿宋" w:hAnsi="仿宋" w:eastAsia="仿宋"/>
          <w:color w:val="auto"/>
          <w:sz w:val="32"/>
          <w:szCs w:val="32"/>
          <w:highlight w:val="none"/>
        </w:rPr>
      </w:pPr>
      <w:bookmarkStart w:id="70" w:name="_Toc15377222"/>
      <w:bookmarkStart w:id="71" w:name="_Toc27052"/>
      <w:r>
        <w:rPr>
          <w:rFonts w:hint="eastAsia" w:ascii="仿宋" w:hAnsi="仿宋" w:eastAsia="仿宋"/>
          <w:b/>
          <w:color w:val="auto"/>
          <w:sz w:val="32"/>
          <w:szCs w:val="32"/>
          <w:highlight w:val="none"/>
        </w:rPr>
        <w:t>（一）机关运行经费支出情况</w:t>
      </w:r>
      <w:bookmarkEnd w:id="70"/>
      <w:bookmarkEnd w:id="71"/>
    </w:p>
    <w:p>
      <w:pPr>
        <w:spacing w:line="60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本单位为事业单位，无机关运行经费。</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2" w:name="_Toc15377223"/>
      <w:bookmarkStart w:id="73" w:name="_Toc15486"/>
      <w:r>
        <w:rPr>
          <w:rFonts w:hint="eastAsia" w:ascii="仿宋" w:hAnsi="仿宋" w:eastAsia="仿宋"/>
          <w:b/>
          <w:color w:val="auto"/>
          <w:sz w:val="32"/>
          <w:szCs w:val="32"/>
          <w:highlight w:val="none"/>
        </w:rPr>
        <w:t>（二）政府采购支出情况</w:t>
      </w:r>
      <w:bookmarkEnd w:id="72"/>
      <w:bookmarkEnd w:id="73"/>
    </w:p>
    <w:p>
      <w:pP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紫云乡卫生院政府采购</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highlight w:val="none"/>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74" w:name="_Toc15377224"/>
      <w:bookmarkStart w:id="75" w:name="_Toc2534"/>
      <w:r>
        <w:rPr>
          <w:rFonts w:hint="eastAsia" w:ascii="仿宋" w:hAnsi="仿宋" w:eastAsia="仿宋"/>
          <w:b/>
          <w:color w:val="auto"/>
          <w:sz w:val="32"/>
          <w:szCs w:val="32"/>
          <w:highlight w:val="none"/>
        </w:rPr>
        <w:t>（三）国有资产占有使用情况</w:t>
      </w:r>
      <w:bookmarkEnd w:id="74"/>
      <w:bookmarkEnd w:id="75"/>
    </w:p>
    <w:p>
      <w:pPr>
        <w:autoSpaceDE w:val="0"/>
        <w:autoSpaceDN w:val="0"/>
        <w:adjustRightInd w:val="0"/>
        <w:spacing w:line="600" w:lineRule="exact"/>
        <w:ind w:firstLine="640" w:firstLineChars="200"/>
        <w:jc w:val="left"/>
        <w:rPr>
          <w:rFonts w:hint="eastAsia" w:ascii="仿宋" w:hAnsi="仿宋" w:eastAsia="仿宋" w:cs="仿宋"/>
          <w:b/>
          <w:color w:val="FF0000"/>
          <w:sz w:val="32"/>
          <w:szCs w:val="32"/>
        </w:rPr>
      </w:pPr>
      <w:r>
        <w:rPr>
          <w:rFonts w:hint="eastAsia" w:ascii="仿宋" w:hAnsi="仿宋" w:eastAsia="仿宋" w:cs="仿宋"/>
          <w:color w:val="000000"/>
          <w:sz w:val="32"/>
          <w:szCs w:val="32"/>
        </w:rPr>
        <w:t>截至</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年12月31日，</w:t>
      </w:r>
      <w:r>
        <w:rPr>
          <w:rFonts w:hint="eastAsia" w:ascii="仿宋" w:hAnsi="仿宋" w:eastAsia="仿宋" w:cs="仿宋"/>
          <w:color w:val="000000"/>
          <w:sz w:val="32"/>
          <w:szCs w:val="32"/>
          <w:lang w:eastAsia="zh-CN"/>
        </w:rPr>
        <w:t>紫云乡卫生院</w:t>
      </w:r>
      <w:r>
        <w:rPr>
          <w:rFonts w:hint="eastAsia" w:ascii="仿宋" w:hAnsi="仿宋" w:eastAsia="仿宋" w:cs="仿宋"/>
          <w:color w:val="000000"/>
          <w:sz w:val="32"/>
          <w:szCs w:val="32"/>
        </w:rPr>
        <w:t>共有车辆</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辆，单价50万元以上通用设备</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台（套），单价100万元以上专用设备</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76" w:name="_Toc1733"/>
      <w:r>
        <w:rPr>
          <w:rFonts w:hint="eastAsia" w:ascii="仿宋" w:hAnsi="仿宋" w:eastAsia="仿宋"/>
          <w:b/>
          <w:color w:val="auto"/>
          <w:sz w:val="32"/>
          <w:szCs w:val="32"/>
          <w:highlight w:val="none"/>
        </w:rPr>
        <w:t>（四）预算绩效管理情况</w:t>
      </w:r>
      <w:bookmarkEnd w:id="76"/>
    </w:p>
    <w:p>
      <w:pPr>
        <w:pStyle w:val="2"/>
        <w:ind w:firstLine="640" w:firstLineChars="200"/>
        <w:rPr>
          <w:rFonts w:hint="eastAsia" w:ascii="仿宋" w:hAnsi="仿宋" w:eastAsia="仿宋" w:cs="仿宋"/>
          <w:color w:val="auto"/>
          <w:sz w:val="32"/>
          <w:szCs w:val="32"/>
          <w:highlight w:val="none"/>
        </w:rPr>
      </w:pPr>
      <w:bookmarkStart w:id="77" w:name="_Toc15377225"/>
      <w:bookmarkStart w:id="78" w:name="_Toc15396613"/>
      <w:r>
        <w:rPr>
          <w:rFonts w:hint="eastAsia" w:ascii="仿宋" w:hAnsi="仿宋" w:eastAsia="仿宋" w:cs="仿宋"/>
          <w:color w:val="auto"/>
          <w:sz w:val="32"/>
          <w:szCs w:val="32"/>
          <w:highlight w:val="none"/>
        </w:rPr>
        <w:t>根据预算绩效管理要求，本单位在202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年度预算编制阶段，组织对</w:t>
      </w:r>
      <w:r>
        <w:rPr>
          <w:rFonts w:hint="eastAsia" w:ascii="仿宋" w:hAnsi="仿宋" w:eastAsia="仿宋" w:cs="仿宋"/>
          <w:color w:val="auto"/>
          <w:sz w:val="32"/>
          <w:szCs w:val="32"/>
          <w:highlight w:val="none"/>
          <w:lang w:val="en-US" w:eastAsia="zh-CN"/>
        </w:rPr>
        <w:t>1个</w:t>
      </w:r>
      <w:r>
        <w:rPr>
          <w:rFonts w:hint="eastAsia" w:ascii="仿宋" w:hAnsi="仿宋" w:eastAsia="仿宋" w:cs="仿宋"/>
          <w:color w:val="auto"/>
          <w:sz w:val="32"/>
          <w:szCs w:val="32"/>
          <w:highlight w:val="none"/>
        </w:rPr>
        <w:t>项目</w:t>
      </w:r>
      <w:r>
        <w:rPr>
          <w:rFonts w:hint="eastAsia" w:ascii="仿宋" w:hAnsi="仿宋" w:eastAsia="仿宋" w:cs="仿宋"/>
          <w:color w:val="auto"/>
          <w:sz w:val="32"/>
          <w:szCs w:val="32"/>
          <w:highlight w:val="none"/>
          <w:lang w:eastAsia="zh-CN"/>
        </w:rPr>
        <w:t>二类疫苗服务费</w:t>
      </w:r>
      <w:r>
        <w:rPr>
          <w:rFonts w:hint="eastAsia" w:ascii="仿宋" w:hAnsi="仿宋" w:eastAsia="仿宋" w:cs="仿宋"/>
          <w:color w:val="auto"/>
          <w:sz w:val="32"/>
          <w:szCs w:val="32"/>
          <w:highlight w:val="none"/>
        </w:rPr>
        <w:t>开展了预算事前绩效评估，</w:t>
      </w:r>
      <w:r>
        <w:rPr>
          <w:rFonts w:hint="eastAsia" w:ascii="仿宋" w:hAnsi="仿宋" w:eastAsia="仿宋" w:cs="仿宋"/>
          <w:color w:val="auto"/>
          <w:sz w:val="32"/>
          <w:szCs w:val="32"/>
          <w:highlight w:val="none"/>
          <w:lang w:eastAsia="zh-CN"/>
        </w:rPr>
        <w:t>并对这个项目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开展绩效监控，组织对</w:t>
      </w:r>
      <w:r>
        <w:rPr>
          <w:rFonts w:hint="eastAsia" w:ascii="仿宋" w:hAnsi="仿宋" w:eastAsia="仿宋" w:cs="仿宋"/>
          <w:color w:val="auto"/>
          <w:sz w:val="32"/>
          <w:szCs w:val="32"/>
          <w:highlight w:val="none"/>
          <w:lang w:eastAsia="zh-CN"/>
        </w:rPr>
        <w:t>该项目</w:t>
      </w:r>
      <w:r>
        <w:rPr>
          <w:rFonts w:hint="eastAsia" w:ascii="仿宋" w:hAnsi="仿宋" w:eastAsia="仿宋" w:cs="仿宋"/>
          <w:color w:val="auto"/>
          <w:sz w:val="32"/>
          <w:szCs w:val="32"/>
          <w:highlight w:val="none"/>
        </w:rPr>
        <w:t>绩效自评，绩效自评表详见</w:t>
      </w:r>
      <w:r>
        <w:rPr>
          <w:rFonts w:hint="eastAsia" w:ascii="仿宋" w:hAnsi="仿宋" w:eastAsia="仿宋" w:cs="仿宋"/>
          <w:color w:val="auto"/>
          <w:sz w:val="32"/>
          <w:szCs w:val="32"/>
          <w:highlight w:val="none"/>
          <w:lang w:eastAsia="zh-CN"/>
        </w:rPr>
        <w:t>第四部分</w:t>
      </w:r>
      <w:r>
        <w:rPr>
          <w:rFonts w:hint="eastAsia" w:ascii="仿宋" w:hAnsi="仿宋" w:eastAsia="仿宋" w:cs="仿宋"/>
          <w:color w:val="auto"/>
          <w:sz w:val="32"/>
          <w:szCs w:val="32"/>
          <w:highlight w:val="none"/>
        </w:rPr>
        <w:t>附件。</w:t>
      </w:r>
    </w:p>
    <w:p>
      <w:pPr>
        <w:pStyle w:val="2"/>
        <w:numPr>
          <w:ilvl w:val="0"/>
          <w:numId w:val="0"/>
        </w:numPr>
        <w:ind w:firstLine="643" w:firstLineChars="200"/>
        <w:rPr>
          <w:rFonts w:hint="eastAsia" w:ascii="仿宋" w:hAnsi="仿宋" w:eastAsia="仿宋" w:cs="仿宋"/>
          <w:b/>
          <w:bCs/>
          <w:color w:val="000000"/>
          <w:sz w:val="32"/>
          <w:szCs w:val="32"/>
        </w:rPr>
      </w:pPr>
      <w:r>
        <w:rPr>
          <w:rFonts w:hint="eastAsia" w:ascii="仿宋" w:hAnsi="仿宋" w:eastAsia="仿宋" w:cs="仿宋"/>
          <w:b/>
          <w:bCs/>
          <w:color w:val="000000"/>
          <w:sz w:val="32"/>
          <w:szCs w:val="32"/>
          <w:lang w:val="en-US" w:eastAsia="zh-CN"/>
        </w:rPr>
        <w:t>（一）</w:t>
      </w:r>
      <w:r>
        <w:rPr>
          <w:rFonts w:hint="eastAsia" w:ascii="仿宋" w:hAnsi="仿宋" w:eastAsia="仿宋" w:cs="仿宋"/>
          <w:b/>
          <w:bCs/>
          <w:color w:val="000000"/>
          <w:sz w:val="32"/>
          <w:szCs w:val="32"/>
          <w:lang w:eastAsia="zh-CN"/>
        </w:rPr>
        <w:t>单位</w:t>
      </w:r>
      <w:r>
        <w:rPr>
          <w:rFonts w:hint="eastAsia" w:ascii="仿宋" w:hAnsi="仿宋" w:eastAsia="仿宋" w:cs="仿宋"/>
          <w:b/>
          <w:bCs/>
          <w:color w:val="000000"/>
          <w:sz w:val="32"/>
          <w:szCs w:val="32"/>
        </w:rPr>
        <w:t>整体支出绩效自评开展情况</w:t>
      </w:r>
    </w:p>
    <w:p>
      <w:pPr>
        <w:pStyle w:val="2"/>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按要求对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单位</w:t>
      </w:r>
      <w:r>
        <w:rPr>
          <w:rFonts w:hint="eastAsia" w:ascii="仿宋" w:hAnsi="仿宋" w:eastAsia="仿宋" w:cs="仿宋"/>
          <w:sz w:val="32"/>
          <w:szCs w:val="32"/>
        </w:rPr>
        <w:t>整体支出开展绩效自评，</w:t>
      </w:r>
      <w:r>
        <w:rPr>
          <w:rFonts w:hint="eastAsia" w:ascii="仿宋" w:hAnsi="仿宋" w:eastAsia="仿宋" w:cs="仿宋"/>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w:t>
      </w:r>
      <w:r>
        <w:rPr>
          <w:rFonts w:hint="eastAsia" w:ascii="仿宋" w:hAnsi="仿宋" w:eastAsia="仿宋" w:cs="仿宋"/>
          <w:color w:val="000000"/>
          <w:sz w:val="32"/>
          <w:szCs w:val="32"/>
          <w:lang w:eastAsia="zh-CN"/>
        </w:rPr>
        <w:t>有</w:t>
      </w:r>
      <w:r>
        <w:rPr>
          <w:rFonts w:hint="eastAsia" w:ascii="仿宋" w:hAnsi="仿宋" w:eastAsia="仿宋" w:cs="仿宋"/>
          <w:color w:val="000000"/>
          <w:sz w:val="32"/>
          <w:szCs w:val="32"/>
        </w:rPr>
        <w:t>资金对外借、贷款问题。本</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keepNext w:val="0"/>
        <w:keepLines w:val="0"/>
        <w:pageBreakBefore w:val="0"/>
        <w:widowControl w:val="0"/>
        <w:kinsoku/>
        <w:wordWrap/>
        <w:overflowPunct/>
        <w:topLinePunct w:val="0"/>
        <w:autoSpaceDE/>
        <w:autoSpaceDN/>
        <w:bidi w:val="0"/>
        <w:spacing w:line="600" w:lineRule="exact"/>
        <w:ind w:firstLine="643" w:firstLineChars="200"/>
        <w:jc w:val="both"/>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kern w:val="0"/>
          <w:sz w:val="32"/>
          <w:szCs w:val="32"/>
          <w:lang w:val="en-US" w:eastAsia="zh-CN" w:bidi="ar-SA"/>
        </w:rPr>
        <w:t>（二）</w:t>
      </w:r>
      <w:r>
        <w:rPr>
          <w:rFonts w:hint="eastAsia" w:ascii="仿宋" w:hAnsi="仿宋" w:eastAsia="仿宋" w:cs="仿宋"/>
          <w:b/>
          <w:bCs/>
          <w:color w:val="000000"/>
          <w:kern w:val="0"/>
          <w:sz w:val="32"/>
          <w:szCs w:val="32"/>
          <w:lang w:val="zh-CN" w:eastAsia="zh-CN" w:bidi="ar-SA"/>
        </w:rPr>
        <w:t>二类疫苗服务费开展情况</w:t>
      </w:r>
    </w:p>
    <w:p>
      <w:pPr>
        <w:pStyle w:val="2"/>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四川省发展和改革委员会四川省财政厅关于疫苗预防接种服务收费标准及有关问题的通知》（川发改价格〔2018〕331号）制定了我省非免疫规划疫苗预防接种服务费收费标准，试行期2年。从试行情况看，该收费政策对加强我</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非免疫规划疫苗接种管理，规范收费行为起到了积极作用。结合试行期收支情况和国家相关文件精神</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非免疫规划疫苗预防接种服务费收费属行政事业性收费，</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按规定做好收费公示工作，在门户网站、收费场所醒目位置公示收费项目、收费性质、收费标准、收费依据和价格监督电话等信息，接受社会监督。</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使用省级财政监（印）制的财政票据，收费收入全额上缴地方国库，纳入财政预算管理。</w:t>
      </w:r>
    </w:p>
    <w:p>
      <w:pPr>
        <w:pStyle w:val="2"/>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我单位</w:t>
      </w:r>
      <w:r>
        <w:rPr>
          <w:rFonts w:hint="eastAsia" w:ascii="仿宋" w:hAnsi="仿宋" w:eastAsia="仿宋" w:cs="仿宋"/>
          <w:color w:val="000000"/>
          <w:sz w:val="32"/>
          <w:szCs w:val="32"/>
        </w:rPr>
        <w:t>建立健全非免疫规划疫苗管理制度，明确行业系统内部管理职责和程序，完善期间成本资料，减少非必要成本支出，整合现有资源降低接种服务成本。同时，加强对疫苗接种管理，确保非免疫规划疫苗接种工作的顺利开展，有效维护公共卫生安全。</w:t>
      </w:r>
    </w:p>
    <w:p>
      <w:pPr>
        <w:rPr>
          <w:rFonts w:hint="eastAsia" w:ascii="仿宋" w:hAnsi="仿宋" w:eastAsia="仿宋" w:cs="仿宋"/>
          <w:lang w:eastAsia="zh-CN"/>
        </w:rPr>
      </w:pPr>
    </w:p>
    <w:p>
      <w:pPr>
        <w:widowControl/>
        <w:jc w:val="left"/>
        <w:rPr>
          <w:rFonts w:ascii="仿宋_GB2312" w:eastAsia="仿宋_GB2312"/>
          <w:b/>
          <w:color w:val="auto"/>
          <w:sz w:val="32"/>
          <w:szCs w:val="32"/>
          <w:highlight w:val="none"/>
        </w:rPr>
      </w:pPr>
    </w:p>
    <w:p>
      <w:pPr>
        <w:numPr>
          <w:ilvl w:val="0"/>
          <w:numId w:val="3"/>
        </w:numPr>
        <w:spacing w:line="600" w:lineRule="exact"/>
        <w:ind w:firstLine="660" w:firstLineChars="150"/>
        <w:jc w:val="center"/>
        <w:outlineLvl w:val="0"/>
        <w:rPr>
          <w:rFonts w:ascii="宋体"/>
          <w:b/>
          <w:color w:val="auto"/>
          <w:sz w:val="44"/>
          <w:szCs w:val="44"/>
          <w:highlight w:val="none"/>
        </w:rPr>
      </w:pPr>
      <w:bookmarkStart w:id="79" w:name="_Toc31955"/>
      <w:r>
        <w:rPr>
          <w:rFonts w:hint="eastAsia" w:ascii="黑体" w:hAnsi="黑体" w:eastAsia="黑体"/>
          <w:color w:val="auto"/>
          <w:sz w:val="44"/>
          <w:szCs w:val="44"/>
          <w:highlight w:val="none"/>
        </w:rPr>
        <w:t>名</w:t>
      </w:r>
      <w:r>
        <w:rPr>
          <w:rStyle w:val="27"/>
          <w:rFonts w:hint="eastAsia" w:ascii="黑体" w:hAnsi="黑体" w:eastAsia="黑体"/>
          <w:b w:val="0"/>
          <w:color w:val="auto"/>
          <w:highlight w:val="none"/>
        </w:rPr>
        <w:t>词解释</w:t>
      </w:r>
      <w:bookmarkEnd w:id="77"/>
      <w:bookmarkEnd w:id="78"/>
      <w:bookmarkEnd w:id="79"/>
    </w:p>
    <w:p>
      <w:pPr>
        <w:pStyle w:val="25"/>
        <w:spacing w:line="560" w:lineRule="exact"/>
        <w:ind w:firstLine="640" w:firstLineChars="200"/>
        <w:rPr>
          <w:rFonts w:hint="eastAsia" w:ascii="仿宋" w:hAnsi="仿宋" w:eastAsia="仿宋" w:cs="仿宋"/>
          <w:sz w:val="32"/>
          <w:szCs w:val="32"/>
        </w:rPr>
      </w:pPr>
      <w:bookmarkStart w:id="80" w:name="_Toc15377226"/>
      <w:r>
        <w:rPr>
          <w:rFonts w:hint="eastAsia" w:ascii="仿宋" w:hAnsi="仿宋" w:eastAsia="仿宋" w:cs="仿宋"/>
          <w:sz w:val="32"/>
          <w:szCs w:val="32"/>
        </w:rPr>
        <w:t>1.财政拨款收入：指单位从同级财政</w:t>
      </w:r>
      <w:r>
        <w:rPr>
          <w:rFonts w:hint="eastAsia" w:ascii="仿宋" w:hAnsi="仿宋" w:eastAsia="仿宋" w:cs="仿宋"/>
          <w:sz w:val="32"/>
          <w:szCs w:val="32"/>
          <w:lang w:eastAsia="zh-CN"/>
        </w:rPr>
        <w:t>单位</w:t>
      </w:r>
      <w:r>
        <w:rPr>
          <w:rFonts w:hint="eastAsia" w:ascii="仿宋" w:hAnsi="仿宋" w:eastAsia="仿宋" w:cs="仿宋"/>
          <w:sz w:val="32"/>
          <w:szCs w:val="32"/>
        </w:rPr>
        <w:t>取得的</w:t>
      </w:r>
      <w:r>
        <w:rPr>
          <w:rFonts w:hint="eastAsia" w:ascii="仿宋" w:hAnsi="仿宋" w:eastAsia="仿宋" w:cs="仿宋"/>
          <w:sz w:val="32"/>
          <w:szCs w:val="32"/>
          <w:lang w:eastAsia="zh-CN"/>
        </w:rPr>
        <w:t>各类拨款</w:t>
      </w:r>
      <w:r>
        <w:rPr>
          <w:rFonts w:hint="eastAsia" w:ascii="仿宋" w:hAnsi="仿宋" w:eastAsia="仿宋" w:cs="仿宋"/>
          <w:sz w:val="32"/>
          <w:szCs w:val="32"/>
        </w:rPr>
        <w:t>。</w:t>
      </w:r>
    </w:p>
    <w:p>
      <w:pPr>
        <w:pStyle w:val="25"/>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2.事业收入：指事业单位开展专业业务活动及辅助活动取得的收入。如</w:t>
      </w:r>
      <w:r>
        <w:rPr>
          <w:rFonts w:hint="eastAsia" w:ascii="仿宋" w:hAnsi="仿宋" w:eastAsia="仿宋" w:cs="仿宋"/>
          <w:sz w:val="32"/>
          <w:szCs w:val="32"/>
          <w:lang w:eastAsia="zh-CN"/>
        </w:rPr>
        <w:t>区人民医院、</w:t>
      </w:r>
      <w:r>
        <w:rPr>
          <w:rFonts w:hint="eastAsia" w:hAnsi="仿宋" w:cs="仿宋"/>
          <w:sz w:val="32"/>
          <w:szCs w:val="32"/>
          <w:lang w:eastAsia="zh-CN"/>
        </w:rPr>
        <w:t>区</w:t>
      </w:r>
      <w:r>
        <w:rPr>
          <w:rFonts w:hint="eastAsia" w:ascii="仿宋" w:hAnsi="仿宋" w:eastAsia="仿宋" w:cs="仿宋"/>
          <w:sz w:val="32"/>
          <w:szCs w:val="32"/>
        </w:rPr>
        <w:t>妇幼保健计</w:t>
      </w:r>
      <w:r>
        <w:rPr>
          <w:rFonts w:hint="eastAsia" w:ascii="仿宋" w:hAnsi="仿宋" w:eastAsia="仿宋" w:cs="仿宋"/>
          <w:sz w:val="32"/>
          <w:szCs w:val="32"/>
          <w:lang w:eastAsia="zh-CN"/>
        </w:rPr>
        <w:t>划</w:t>
      </w:r>
      <w:r>
        <w:rPr>
          <w:rFonts w:hint="eastAsia" w:ascii="仿宋" w:hAnsi="仿宋" w:eastAsia="仿宋" w:cs="仿宋"/>
          <w:sz w:val="32"/>
          <w:szCs w:val="32"/>
        </w:rPr>
        <w:t>生育服务中心</w:t>
      </w:r>
      <w:r>
        <w:rPr>
          <w:rFonts w:hint="eastAsia" w:ascii="仿宋" w:hAnsi="仿宋" w:eastAsia="仿宋" w:cs="仿宋"/>
          <w:sz w:val="32"/>
          <w:szCs w:val="32"/>
          <w:lang w:eastAsia="zh-CN"/>
        </w:rPr>
        <w:t>、区中医医院、乡镇卫生院医疗收入</w:t>
      </w:r>
      <w:r>
        <w:rPr>
          <w:rFonts w:hint="eastAsia" w:ascii="仿宋" w:hAnsi="仿宋" w:eastAsia="仿宋" w:cs="仿宋"/>
          <w:sz w:val="32"/>
          <w:szCs w:val="32"/>
        </w:rPr>
        <w:t>等。</w:t>
      </w:r>
    </w:p>
    <w:p>
      <w:pPr>
        <w:pStyle w:val="25"/>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.其他收入：指单位取得的除上述收入以外的</w:t>
      </w:r>
      <w:bookmarkStart w:id="111" w:name="_GoBack"/>
      <w:bookmarkEnd w:id="111"/>
      <w:r>
        <w:rPr>
          <w:rFonts w:hint="eastAsia" w:ascii="仿宋" w:hAnsi="仿宋" w:eastAsia="仿宋" w:cs="仿宋"/>
          <w:sz w:val="32"/>
          <w:szCs w:val="32"/>
        </w:rPr>
        <w:t>各项收入。主要是</w:t>
      </w:r>
      <w:r>
        <w:rPr>
          <w:rFonts w:hint="eastAsia" w:ascii="仿宋" w:hAnsi="仿宋" w:eastAsia="仿宋" w:cs="仿宋"/>
          <w:sz w:val="32"/>
          <w:szCs w:val="32"/>
          <w:lang w:eastAsia="zh-CN"/>
        </w:rPr>
        <w:t>利息收入</w:t>
      </w:r>
      <w:r>
        <w:rPr>
          <w:rFonts w:hint="eastAsia" w:ascii="仿宋" w:hAnsi="仿宋" w:eastAsia="仿宋" w:cs="仿宋"/>
          <w:sz w:val="32"/>
          <w:szCs w:val="32"/>
        </w:rPr>
        <w:t>等。</w:t>
      </w:r>
    </w:p>
    <w:p>
      <w:pPr>
        <w:pStyle w:val="25"/>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5"/>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.年初结转和结余：指以前年度尚未完成、结转到本年按有关规定继续使用的资金。</w:t>
      </w:r>
    </w:p>
    <w:p>
      <w:pPr>
        <w:pStyle w:val="25"/>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eastAsia="zh-CN"/>
        </w:rPr>
        <w:t>本年盈余</w:t>
      </w:r>
      <w:r>
        <w:rPr>
          <w:rFonts w:hint="eastAsia" w:ascii="仿宋" w:hAnsi="仿宋" w:eastAsia="仿宋" w:cs="仿宋"/>
          <w:sz w:val="32"/>
          <w:szCs w:val="32"/>
        </w:rPr>
        <w:t>分配：指事业单位按照</w:t>
      </w:r>
      <w:r>
        <w:rPr>
          <w:rFonts w:hint="eastAsia" w:ascii="仿宋" w:hAnsi="仿宋" w:eastAsia="仿宋" w:cs="仿宋"/>
          <w:sz w:val="32"/>
          <w:szCs w:val="32"/>
          <w:lang w:eastAsia="zh-CN"/>
        </w:rPr>
        <w:t>政府</w:t>
      </w:r>
      <w:r>
        <w:rPr>
          <w:rFonts w:hint="eastAsia" w:ascii="仿宋" w:hAnsi="仿宋" w:eastAsia="仿宋" w:cs="仿宋"/>
          <w:sz w:val="32"/>
          <w:szCs w:val="32"/>
        </w:rPr>
        <w:t>会计制度的规定从非财政</w:t>
      </w:r>
      <w:r>
        <w:rPr>
          <w:rFonts w:hint="eastAsia" w:ascii="仿宋" w:hAnsi="仿宋" w:eastAsia="仿宋" w:cs="仿宋"/>
          <w:sz w:val="32"/>
          <w:szCs w:val="32"/>
          <w:lang w:eastAsia="zh-CN"/>
        </w:rPr>
        <w:t>拨款</w:t>
      </w:r>
      <w:r>
        <w:rPr>
          <w:rFonts w:hint="eastAsia" w:ascii="仿宋" w:hAnsi="仿宋" w:eastAsia="仿宋" w:cs="仿宋"/>
          <w:sz w:val="32"/>
          <w:szCs w:val="32"/>
        </w:rPr>
        <w:t>结余</w:t>
      </w:r>
      <w:r>
        <w:rPr>
          <w:rFonts w:hint="eastAsia" w:ascii="仿宋" w:hAnsi="仿宋" w:eastAsia="仿宋" w:cs="仿宋"/>
          <w:sz w:val="32"/>
          <w:szCs w:val="32"/>
          <w:lang w:eastAsia="zh-CN"/>
        </w:rPr>
        <w:t>或事业结余</w:t>
      </w:r>
      <w:r>
        <w:rPr>
          <w:rFonts w:hint="eastAsia" w:ascii="仿宋" w:hAnsi="仿宋" w:eastAsia="仿宋" w:cs="仿宋"/>
          <w:sz w:val="32"/>
          <w:szCs w:val="32"/>
        </w:rPr>
        <w:t>中</w:t>
      </w:r>
      <w:r>
        <w:rPr>
          <w:rFonts w:hint="eastAsia" w:ascii="仿宋" w:hAnsi="仿宋" w:eastAsia="仿宋" w:cs="仿宋"/>
          <w:sz w:val="32"/>
          <w:szCs w:val="32"/>
          <w:lang w:eastAsia="zh-CN"/>
        </w:rPr>
        <w:t>提取</w:t>
      </w:r>
      <w:r>
        <w:rPr>
          <w:rFonts w:hint="eastAsia" w:ascii="仿宋" w:hAnsi="仿宋" w:eastAsia="仿宋" w:cs="仿宋"/>
          <w:sz w:val="32"/>
          <w:szCs w:val="32"/>
        </w:rPr>
        <w:t>的</w:t>
      </w:r>
      <w:r>
        <w:rPr>
          <w:rFonts w:hint="eastAsia" w:ascii="仿宋" w:hAnsi="仿宋" w:eastAsia="仿宋" w:cs="仿宋"/>
          <w:sz w:val="32"/>
          <w:szCs w:val="32"/>
          <w:lang w:eastAsia="zh-CN"/>
        </w:rPr>
        <w:t>奖励</w:t>
      </w:r>
      <w:r>
        <w:rPr>
          <w:rFonts w:hint="eastAsia" w:ascii="仿宋" w:hAnsi="仿宋" w:eastAsia="仿宋" w:cs="仿宋"/>
          <w:sz w:val="32"/>
          <w:szCs w:val="32"/>
        </w:rPr>
        <w:t>基金和职工福利基金等。</w:t>
      </w:r>
    </w:p>
    <w:p>
      <w:pPr>
        <w:pStyle w:val="25"/>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年末结转和结余：指单位按有关规定结转到下年或以后年度继续使用的资金。</w:t>
      </w:r>
    </w:p>
    <w:p>
      <w:p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color w:val="000000"/>
          <w:sz w:val="32"/>
          <w:szCs w:val="32"/>
          <w:lang w:val="en-US" w:eastAsia="zh-CN"/>
        </w:rPr>
        <w:t>8</w:t>
      </w:r>
      <w:r>
        <w:rPr>
          <w:rFonts w:hint="eastAsia" w:ascii="仿宋" w:hAnsi="仿宋" w:eastAsia="仿宋" w:cs="仿宋"/>
          <w:b w:val="0"/>
          <w:bCs w:val="0"/>
          <w:color w:val="000000"/>
          <w:sz w:val="32"/>
          <w:szCs w:val="32"/>
        </w:rPr>
        <w:t>.卫生健康支出</w:t>
      </w:r>
      <w:r>
        <w:rPr>
          <w:rStyle w:val="17"/>
          <w:rFonts w:hint="eastAsia" w:ascii="仿宋" w:hAnsi="仿宋" w:eastAsia="仿宋" w:cs="仿宋"/>
          <w:b w:val="0"/>
          <w:bCs w:val="0"/>
          <w:color w:val="000000"/>
          <w:sz w:val="32"/>
          <w:szCs w:val="32"/>
        </w:rPr>
        <w:t>（类）卫生健康管理事务（款）行政运行（项）</w:t>
      </w:r>
      <w:r>
        <w:rPr>
          <w:rFonts w:hint="eastAsia" w:ascii="仿宋" w:hAnsi="仿宋" w:eastAsia="仿宋" w:cs="仿宋"/>
          <w:b w:val="0"/>
          <w:bCs w:val="0"/>
          <w:color w:val="000000"/>
          <w:sz w:val="32"/>
          <w:szCs w:val="32"/>
        </w:rPr>
        <w:t>：指反映行政单位的基本支出；卫生健康支出</w:t>
      </w:r>
      <w:r>
        <w:rPr>
          <w:rFonts w:hint="eastAsia" w:ascii="仿宋" w:hAnsi="仿宋" w:eastAsia="仿宋" w:cs="仿宋"/>
          <w:b w:val="0"/>
          <w:bCs w:val="0"/>
          <w:color w:val="000000"/>
          <w:sz w:val="32"/>
          <w:szCs w:val="32"/>
          <w:highlight w:val="none"/>
          <w:lang w:val="en-US" w:eastAsia="zh-CN"/>
        </w:rPr>
        <w:t>(类)</w:t>
      </w:r>
      <w:r>
        <w:rPr>
          <w:rFonts w:hint="eastAsia" w:ascii="仿宋" w:hAnsi="仿宋" w:eastAsia="仿宋" w:cs="仿宋"/>
          <w:b w:val="0"/>
          <w:bCs w:val="0"/>
          <w:color w:val="000000"/>
          <w:sz w:val="32"/>
          <w:szCs w:val="32"/>
          <w:highlight w:val="none"/>
        </w:rPr>
        <w:t>公立医院</w:t>
      </w:r>
      <w:r>
        <w:rPr>
          <w:rFonts w:hint="eastAsia" w:ascii="仿宋" w:hAnsi="仿宋" w:eastAsia="仿宋" w:cs="仿宋"/>
          <w:b w:val="0"/>
          <w:bCs w:val="0"/>
          <w:color w:val="000000"/>
          <w:sz w:val="32"/>
          <w:szCs w:val="32"/>
          <w:highlight w:val="none"/>
          <w:lang w:eastAsia="zh-CN"/>
        </w:rPr>
        <w:t>（款）</w:t>
      </w:r>
      <w:r>
        <w:rPr>
          <w:rStyle w:val="17"/>
          <w:rFonts w:hint="eastAsia" w:ascii="仿宋" w:hAnsi="仿宋" w:eastAsia="仿宋" w:cs="仿宋"/>
          <w:b w:val="0"/>
          <w:bCs w:val="0"/>
          <w:color w:val="000000"/>
          <w:sz w:val="32"/>
          <w:szCs w:val="32"/>
          <w:highlight w:val="none"/>
        </w:rPr>
        <w:t>中医（民族）医院（</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：指反映卫生健康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所属的中医院支出；卫生健康支出</w:t>
      </w:r>
      <w:r>
        <w:rPr>
          <w:rFonts w:hint="eastAsia" w:ascii="仿宋" w:hAnsi="仿宋" w:eastAsia="仿宋" w:cs="仿宋"/>
          <w:b w:val="0"/>
          <w:bCs w:val="0"/>
          <w:color w:val="000000"/>
          <w:sz w:val="32"/>
          <w:szCs w:val="32"/>
          <w:highlight w:val="none"/>
          <w:lang w:eastAsia="zh-CN"/>
        </w:rPr>
        <w:t>（类）</w:t>
      </w:r>
      <w:r>
        <w:rPr>
          <w:rFonts w:hint="eastAsia" w:ascii="仿宋" w:hAnsi="仿宋" w:eastAsia="仿宋" w:cs="仿宋"/>
          <w:b w:val="0"/>
          <w:bCs w:val="0"/>
          <w:color w:val="000000"/>
          <w:sz w:val="32"/>
          <w:szCs w:val="32"/>
          <w:highlight w:val="none"/>
        </w:rPr>
        <w:t>基层医疗卫生机构</w:t>
      </w:r>
      <w:r>
        <w:rPr>
          <w:rFonts w:hint="eastAsia" w:ascii="仿宋" w:hAnsi="仿宋" w:eastAsia="仿宋" w:cs="仿宋"/>
          <w:b w:val="0"/>
          <w:bCs w:val="0"/>
          <w:color w:val="000000"/>
          <w:sz w:val="32"/>
          <w:szCs w:val="32"/>
          <w:highlight w:val="none"/>
          <w:lang w:eastAsia="zh-CN"/>
        </w:rPr>
        <w:t>（款）</w:t>
      </w:r>
      <w:r>
        <w:rPr>
          <w:rStyle w:val="17"/>
          <w:rFonts w:hint="eastAsia" w:ascii="仿宋" w:hAnsi="仿宋" w:eastAsia="仿宋" w:cs="仿宋"/>
          <w:b w:val="0"/>
          <w:bCs w:val="0"/>
          <w:color w:val="000000"/>
          <w:sz w:val="32"/>
          <w:szCs w:val="32"/>
          <w:highlight w:val="none"/>
        </w:rPr>
        <w:t>乡镇卫生院（</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：反映乡镇卫生院的支出；卫生健康支出</w:t>
      </w:r>
      <w:r>
        <w:rPr>
          <w:rStyle w:val="17"/>
          <w:rFonts w:hint="eastAsia" w:ascii="仿宋" w:hAnsi="仿宋" w:eastAsia="仿宋" w:cs="仿宋"/>
          <w:b w:val="0"/>
          <w:bCs w:val="0"/>
          <w:color w:val="000000"/>
          <w:sz w:val="32"/>
          <w:szCs w:val="32"/>
          <w:highlight w:val="none"/>
          <w:lang w:eastAsia="zh-CN"/>
        </w:rPr>
        <w:t>（类）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w:t>
      </w:r>
      <w:r>
        <w:rPr>
          <w:rStyle w:val="17"/>
          <w:rFonts w:hint="eastAsia" w:ascii="仿宋" w:hAnsi="仿宋" w:eastAsia="仿宋" w:cs="仿宋"/>
          <w:b w:val="0"/>
          <w:bCs w:val="0"/>
          <w:color w:val="000000"/>
          <w:sz w:val="32"/>
          <w:szCs w:val="32"/>
          <w:highlight w:val="none"/>
        </w:rPr>
        <w:t>疾病预防控制机构（</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所属的疾病预防控制机构的支出；卫生健康支出</w:t>
      </w:r>
      <w:r>
        <w:rPr>
          <w:rStyle w:val="17"/>
          <w:rFonts w:hint="eastAsia" w:ascii="仿宋" w:hAnsi="仿宋" w:eastAsia="仿宋" w:cs="仿宋"/>
          <w:b w:val="0"/>
          <w:bCs w:val="0"/>
          <w:color w:val="000000"/>
          <w:sz w:val="32"/>
          <w:szCs w:val="32"/>
          <w:highlight w:val="none"/>
          <w:lang w:eastAsia="zh-CN"/>
        </w:rPr>
        <w:t>（类）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（款）卫生监督机构</w:t>
      </w:r>
      <w:r>
        <w:rPr>
          <w:rStyle w:val="17"/>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所属卫生监督机构的支出；卫生健康支出</w:t>
      </w:r>
      <w:r>
        <w:rPr>
          <w:rStyle w:val="17"/>
          <w:rFonts w:hint="eastAsia" w:ascii="仿宋" w:hAnsi="仿宋" w:eastAsia="仿宋" w:cs="仿宋"/>
          <w:b w:val="0"/>
          <w:bCs w:val="0"/>
          <w:color w:val="000000"/>
          <w:sz w:val="32"/>
          <w:szCs w:val="32"/>
          <w:highlight w:val="none"/>
          <w:lang w:eastAsia="zh-CN"/>
        </w:rPr>
        <w:t>（类）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（款）妇幼保健机构</w:t>
      </w:r>
      <w:r>
        <w:rPr>
          <w:rStyle w:val="17"/>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所属妇幼保健机构的支出；</w:t>
      </w:r>
      <w:r>
        <w:rPr>
          <w:rStyle w:val="17"/>
          <w:rFonts w:hint="eastAsia" w:ascii="仿宋" w:hAnsi="仿宋" w:eastAsia="仿宋" w:cs="仿宋"/>
          <w:b w:val="0"/>
          <w:bCs w:val="0"/>
          <w:color w:val="000000"/>
          <w:sz w:val="32"/>
          <w:szCs w:val="32"/>
          <w:highlight w:val="none"/>
          <w:lang w:eastAsia="zh-CN"/>
        </w:rPr>
        <w:t>卫生健康支出（类）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w:t>
      </w:r>
      <w:r>
        <w:rPr>
          <w:rStyle w:val="17"/>
          <w:rFonts w:hint="eastAsia" w:ascii="仿宋" w:hAnsi="仿宋" w:eastAsia="仿宋" w:cs="仿宋"/>
          <w:b w:val="0"/>
          <w:bCs w:val="0"/>
          <w:color w:val="000000"/>
          <w:sz w:val="32"/>
          <w:szCs w:val="32"/>
          <w:highlight w:val="none"/>
        </w:rPr>
        <w:t>基本公共卫生服务（</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w:t>
      </w:r>
      <w:r>
        <w:rPr>
          <w:rFonts w:hint="eastAsia" w:ascii="仿宋" w:hAnsi="仿宋" w:eastAsia="仿宋" w:cs="仿宋"/>
          <w:b w:val="0"/>
          <w:bCs w:val="0"/>
          <w:color w:val="000000"/>
          <w:sz w:val="32"/>
          <w:szCs w:val="32"/>
          <w:lang w:eastAsia="zh-CN"/>
        </w:rPr>
        <w:t>乡镇卫生院、社区卫生机构开展</w:t>
      </w:r>
      <w:r>
        <w:rPr>
          <w:rFonts w:hint="eastAsia" w:ascii="仿宋" w:hAnsi="仿宋" w:eastAsia="仿宋" w:cs="仿宋"/>
          <w:b w:val="0"/>
          <w:bCs w:val="0"/>
          <w:color w:val="000000"/>
          <w:sz w:val="32"/>
          <w:szCs w:val="32"/>
        </w:rPr>
        <w:t>基本公共卫生服务</w:t>
      </w:r>
      <w:r>
        <w:rPr>
          <w:rFonts w:hint="eastAsia" w:ascii="仿宋" w:hAnsi="仿宋" w:eastAsia="仿宋" w:cs="仿宋"/>
          <w:b w:val="0"/>
          <w:bCs w:val="0"/>
          <w:color w:val="000000"/>
          <w:sz w:val="32"/>
          <w:szCs w:val="32"/>
          <w:lang w:eastAsia="zh-CN"/>
        </w:rPr>
        <w:t>的</w:t>
      </w:r>
      <w:r>
        <w:rPr>
          <w:rFonts w:hint="eastAsia" w:ascii="仿宋" w:hAnsi="仿宋" w:eastAsia="仿宋" w:cs="仿宋"/>
          <w:b w:val="0"/>
          <w:bCs w:val="0"/>
          <w:color w:val="000000"/>
          <w:sz w:val="32"/>
          <w:szCs w:val="32"/>
        </w:rPr>
        <w:t>支出；</w:t>
      </w:r>
      <w:r>
        <w:rPr>
          <w:rStyle w:val="17"/>
          <w:rFonts w:hint="eastAsia" w:ascii="仿宋" w:hAnsi="仿宋" w:eastAsia="仿宋" w:cs="仿宋"/>
          <w:b w:val="0"/>
          <w:bCs w:val="0"/>
          <w:color w:val="000000"/>
          <w:sz w:val="32"/>
          <w:szCs w:val="32"/>
          <w:highlight w:val="none"/>
          <w:lang w:eastAsia="zh-CN"/>
        </w:rPr>
        <w:t>卫生健康支出（类）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（款）重大</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专项</w:t>
      </w:r>
      <w:r>
        <w:rPr>
          <w:rStyle w:val="17"/>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：反映重大疾病预防控制等重大公共卫生服务项目支出；</w:t>
      </w:r>
      <w:r>
        <w:rPr>
          <w:rFonts w:hint="eastAsia" w:ascii="仿宋" w:hAnsi="仿宋" w:eastAsia="仿宋" w:cs="仿宋"/>
          <w:b w:val="0"/>
          <w:bCs/>
          <w:color w:val="000000"/>
          <w:sz w:val="32"/>
          <w:szCs w:val="32"/>
        </w:rPr>
        <w:t>卫生健康支出（类）中医药（款）中医药专项（项）</w:t>
      </w:r>
      <w:r>
        <w:rPr>
          <w:rFonts w:hint="eastAsia" w:ascii="仿宋" w:hAnsi="仿宋" w:eastAsia="仿宋" w:cs="仿宋"/>
          <w:color w:val="000000"/>
          <w:sz w:val="32"/>
          <w:szCs w:val="32"/>
        </w:rPr>
        <w:t>:主要用于</w:t>
      </w:r>
      <w:r>
        <w:rPr>
          <w:rFonts w:hint="eastAsia" w:ascii="仿宋" w:hAnsi="仿宋" w:eastAsia="仿宋" w:cs="仿宋"/>
          <w:color w:val="000000"/>
          <w:sz w:val="32"/>
          <w:szCs w:val="32"/>
          <w:lang w:eastAsia="zh-CN"/>
        </w:rPr>
        <w:t>中医专项支出：</w:t>
      </w:r>
      <w:r>
        <w:rPr>
          <w:rStyle w:val="17"/>
          <w:rFonts w:hint="eastAsia" w:ascii="仿宋" w:hAnsi="仿宋" w:eastAsia="仿宋" w:cs="仿宋"/>
          <w:b w:val="0"/>
          <w:bCs w:val="0"/>
          <w:color w:val="000000"/>
          <w:sz w:val="32"/>
          <w:szCs w:val="32"/>
          <w:highlight w:val="none"/>
          <w:lang w:eastAsia="zh-CN"/>
        </w:rPr>
        <w:t>卫生健康支出</w:t>
      </w:r>
      <w:r>
        <w:rPr>
          <w:rFonts w:hint="eastAsia" w:ascii="仿宋" w:hAnsi="仿宋" w:eastAsia="仿宋" w:cs="仿宋"/>
          <w:b w:val="0"/>
          <w:bCs w:val="0"/>
          <w:color w:val="000000"/>
          <w:sz w:val="32"/>
          <w:szCs w:val="32"/>
          <w:highlight w:val="none"/>
          <w:lang w:eastAsia="zh-CN"/>
        </w:rPr>
        <w:t>（类）</w:t>
      </w:r>
      <w:r>
        <w:rPr>
          <w:rFonts w:hint="eastAsia" w:ascii="仿宋" w:hAnsi="仿宋" w:eastAsia="仿宋" w:cs="仿宋"/>
          <w:b w:val="0"/>
          <w:bCs w:val="0"/>
          <w:color w:val="000000"/>
          <w:sz w:val="32"/>
          <w:szCs w:val="32"/>
          <w:highlight w:val="none"/>
        </w:rPr>
        <w:t>基层医疗卫生机构</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其他基层医疗卫生机构支出（</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rPr>
        <w:t>：反映除乡镇卫生院、城市社区卫生机构以外的其他用于基层医疗卫生机构的支出；</w:t>
      </w:r>
      <w:r>
        <w:rPr>
          <w:rStyle w:val="17"/>
          <w:rFonts w:hint="eastAsia" w:ascii="仿宋" w:hAnsi="仿宋" w:eastAsia="仿宋" w:cs="仿宋"/>
          <w:b w:val="0"/>
          <w:bCs w:val="0"/>
          <w:color w:val="000000"/>
          <w:sz w:val="32"/>
          <w:szCs w:val="32"/>
          <w:highlight w:val="none"/>
          <w:lang w:eastAsia="zh-CN"/>
        </w:rPr>
        <w:t>卫生健康支出</w:t>
      </w:r>
      <w:r>
        <w:rPr>
          <w:rStyle w:val="17"/>
          <w:rFonts w:hint="eastAsia" w:ascii="仿宋" w:hAnsi="仿宋" w:eastAsia="仿宋" w:cs="仿宋"/>
          <w:b w:val="0"/>
          <w:bCs w:val="0"/>
          <w:color w:val="000000"/>
          <w:sz w:val="32"/>
          <w:szCs w:val="32"/>
          <w:lang w:eastAsia="zh-CN"/>
        </w:rPr>
        <w:t>（类）</w:t>
      </w:r>
      <w:r>
        <w:rPr>
          <w:rStyle w:val="17"/>
          <w:rFonts w:hint="eastAsia" w:ascii="仿宋" w:hAnsi="仿宋" w:eastAsia="仿宋" w:cs="仿宋"/>
          <w:b w:val="0"/>
          <w:bCs w:val="0"/>
          <w:color w:val="000000"/>
          <w:sz w:val="32"/>
          <w:szCs w:val="32"/>
        </w:rPr>
        <w:t>计划生育事务</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其他计划生育事务支出（</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rPr>
        <w:t>:反映计划生育服务支出；</w:t>
      </w:r>
      <w:r>
        <w:rPr>
          <w:rStyle w:val="17"/>
          <w:rFonts w:hint="eastAsia" w:ascii="仿宋" w:hAnsi="仿宋" w:eastAsia="仿宋" w:cs="仿宋"/>
          <w:b w:val="0"/>
          <w:bCs w:val="0"/>
          <w:color w:val="000000"/>
          <w:sz w:val="32"/>
          <w:szCs w:val="32"/>
          <w:highlight w:val="none"/>
          <w:lang w:eastAsia="zh-CN"/>
        </w:rPr>
        <w:t>卫生健康支出</w:t>
      </w:r>
      <w:r>
        <w:rPr>
          <w:rStyle w:val="17"/>
          <w:rFonts w:hint="eastAsia" w:ascii="仿宋" w:hAnsi="仿宋" w:eastAsia="仿宋" w:cs="仿宋"/>
          <w:b w:val="0"/>
          <w:bCs w:val="0"/>
          <w:color w:val="000000"/>
          <w:sz w:val="32"/>
          <w:szCs w:val="32"/>
          <w:lang w:eastAsia="zh-CN"/>
        </w:rPr>
        <w:t>（类）</w:t>
      </w:r>
      <w:r>
        <w:rPr>
          <w:rStyle w:val="17"/>
          <w:rFonts w:hint="eastAsia" w:ascii="仿宋" w:hAnsi="仿宋" w:eastAsia="仿宋" w:cs="仿宋"/>
          <w:b w:val="0"/>
          <w:bCs w:val="0"/>
          <w:color w:val="000000"/>
          <w:sz w:val="32"/>
          <w:szCs w:val="32"/>
        </w:rPr>
        <w:t>行政事业单位医疗</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 xml:space="preserve">  事业单位医疗（</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rPr>
        <w:t>:</w:t>
      </w:r>
      <w:r>
        <w:rPr>
          <w:rStyle w:val="17"/>
          <w:rFonts w:hint="eastAsia" w:ascii="仿宋" w:hAnsi="仿宋" w:eastAsia="仿宋" w:cs="仿宋"/>
          <w:b w:val="0"/>
          <w:bCs w:val="0"/>
          <w:color w:val="auto"/>
          <w:sz w:val="32"/>
          <w:szCs w:val="32"/>
        </w:rPr>
        <w:t>反映</w:t>
      </w:r>
      <w:r>
        <w:rPr>
          <w:rStyle w:val="17"/>
          <w:rFonts w:hint="eastAsia" w:ascii="仿宋" w:hAnsi="仿宋" w:eastAsia="仿宋" w:cs="仿宋"/>
          <w:b w:val="0"/>
          <w:bCs w:val="0"/>
          <w:color w:val="000000"/>
          <w:sz w:val="32"/>
          <w:szCs w:val="32"/>
          <w:highlight w:val="none"/>
          <w:lang w:eastAsia="zh-CN"/>
        </w:rPr>
        <w:t>卫生健康支出中的在职人员医疗保险</w:t>
      </w:r>
      <w:r>
        <w:rPr>
          <w:rStyle w:val="17"/>
          <w:rFonts w:hint="eastAsia" w:ascii="仿宋" w:hAnsi="仿宋" w:eastAsia="仿宋" w:cs="仿宋"/>
          <w:b w:val="0"/>
          <w:bCs w:val="0"/>
          <w:color w:val="000000"/>
          <w:sz w:val="32"/>
          <w:szCs w:val="32"/>
        </w:rPr>
        <w:t>；</w:t>
      </w:r>
      <w:r>
        <w:rPr>
          <w:rStyle w:val="17"/>
          <w:rFonts w:hint="eastAsia" w:ascii="仿宋" w:hAnsi="仿宋" w:eastAsia="仿宋" w:cs="仿宋"/>
          <w:b w:val="0"/>
          <w:bCs w:val="0"/>
          <w:color w:val="000000"/>
          <w:sz w:val="32"/>
          <w:szCs w:val="32"/>
          <w:highlight w:val="none"/>
          <w:lang w:eastAsia="zh-CN"/>
        </w:rPr>
        <w:t>卫生健康支出</w:t>
      </w:r>
      <w:r>
        <w:rPr>
          <w:rStyle w:val="17"/>
          <w:rFonts w:hint="eastAsia" w:ascii="仿宋" w:hAnsi="仿宋" w:eastAsia="仿宋" w:cs="仿宋"/>
          <w:b w:val="0"/>
          <w:bCs w:val="0"/>
          <w:color w:val="000000"/>
          <w:sz w:val="32"/>
          <w:szCs w:val="32"/>
          <w:lang w:eastAsia="zh-CN"/>
        </w:rPr>
        <w:t>（类）</w:t>
      </w:r>
      <w:r>
        <w:rPr>
          <w:rStyle w:val="17"/>
          <w:rFonts w:hint="eastAsia" w:ascii="仿宋" w:hAnsi="仿宋" w:eastAsia="仿宋" w:cs="仿宋"/>
          <w:b w:val="0"/>
          <w:bCs w:val="0"/>
          <w:color w:val="000000"/>
          <w:sz w:val="32"/>
          <w:szCs w:val="32"/>
        </w:rPr>
        <w:t>行政事业单位医疗</w:t>
      </w:r>
      <w:r>
        <w:rPr>
          <w:rFonts w:hint="eastAsia" w:ascii="仿宋" w:hAnsi="仿宋" w:eastAsia="仿宋" w:cs="仿宋"/>
          <w:b w:val="0"/>
          <w:bCs w:val="0"/>
          <w:color w:val="000000"/>
          <w:sz w:val="32"/>
          <w:szCs w:val="32"/>
          <w:highlight w:val="none"/>
          <w:lang w:eastAsia="zh-CN"/>
        </w:rPr>
        <w:t>（款）其他卫生健康支出（项）反映基层医疗单位贫困人口体检支出：</w:t>
      </w:r>
      <w:r>
        <w:rPr>
          <w:rFonts w:hint="eastAsia" w:ascii="仿宋" w:hAnsi="仿宋" w:eastAsia="仿宋" w:cs="仿宋"/>
          <w:b w:val="0"/>
          <w:bCs w:val="0"/>
          <w:sz w:val="32"/>
          <w:szCs w:val="32"/>
        </w:rPr>
        <w:t>农林水支出（类）扶贫（款）其他扶贫支出（项）</w:t>
      </w:r>
      <w:r>
        <w:rPr>
          <w:rFonts w:hint="eastAsia" w:ascii="仿宋" w:hAnsi="仿宋" w:eastAsia="仿宋" w:cs="仿宋"/>
          <w:b w:val="0"/>
          <w:bCs w:val="0"/>
          <w:sz w:val="32"/>
          <w:szCs w:val="32"/>
          <w:lang w:eastAsia="zh-CN"/>
        </w:rPr>
        <w:t>主要反映健康扶贫支出。</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ind w:firstLine="640" w:firstLineChars="200"/>
        <w:rPr>
          <w:rStyle w:val="17"/>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.基本支出：指为保障机构正常运转、完成日常工作任务而发生的人员支出和公用支出。</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 xml:space="preserve">.项目支出：指在基本支出之外为完成特定行政任务和事业发展目标所发生的支出。 </w:t>
      </w:r>
    </w:p>
    <w:p>
      <w:pPr>
        <w:pStyle w:val="25"/>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宋体"/>
          <w:b/>
          <w:color w:val="auto"/>
          <w:sz w:val="44"/>
          <w:szCs w:val="44"/>
          <w:highlight w:val="none"/>
        </w:rPr>
      </w:pPr>
      <w:r>
        <w:br w:type="page"/>
      </w:r>
      <w:bookmarkStart w:id="81" w:name="_Toc15396614"/>
      <w:bookmarkStart w:id="82" w:name="_Toc16594"/>
    </w:p>
    <w:p>
      <w:pPr>
        <w:spacing w:line="600" w:lineRule="exact"/>
        <w:ind w:firstLine="2640" w:firstLineChars="600"/>
        <w:jc w:val="both"/>
        <w:outlineLvl w:val="0"/>
        <w:rPr>
          <w:rStyle w:val="27"/>
          <w:rFonts w:ascii="黑体" w:hAnsi="黑体" w:eastAsia="黑体"/>
          <w:b w:val="0"/>
          <w:color w:val="auto"/>
          <w:highlight w:val="none"/>
        </w:rPr>
      </w:pPr>
      <w:r>
        <w:rPr>
          <w:rFonts w:hint="eastAsia" w:ascii="黑体" w:hAnsi="黑体" w:eastAsia="黑体"/>
          <w:color w:val="auto"/>
          <w:sz w:val="44"/>
          <w:szCs w:val="44"/>
          <w:highlight w:val="none"/>
        </w:rPr>
        <w:t>第</w:t>
      </w:r>
      <w:r>
        <w:rPr>
          <w:rStyle w:val="27"/>
          <w:rFonts w:hint="eastAsia" w:ascii="黑体" w:hAnsi="黑体" w:eastAsia="黑体"/>
          <w:b w:val="0"/>
          <w:color w:val="auto"/>
          <w:highlight w:val="none"/>
        </w:rPr>
        <w:t>四部分 附件</w:t>
      </w:r>
      <w:bookmarkEnd w:id="81"/>
      <w:bookmarkEnd w:id="82"/>
    </w:p>
    <w:tbl>
      <w:tblPr>
        <w:tblStyle w:val="14"/>
        <w:tblW w:w="8320" w:type="dxa"/>
        <w:tblInd w:w="0" w:type="dxa"/>
        <w:shd w:val="clear" w:color="auto" w:fill="auto"/>
        <w:tblLayout w:type="autofit"/>
        <w:tblCellMar>
          <w:top w:w="0" w:type="dxa"/>
          <w:left w:w="0" w:type="dxa"/>
          <w:bottom w:w="0" w:type="dxa"/>
          <w:right w:w="0" w:type="dxa"/>
        </w:tblCellMar>
      </w:tblPr>
      <w:tblGrid>
        <w:gridCol w:w="629"/>
        <w:gridCol w:w="867"/>
        <w:gridCol w:w="866"/>
        <w:gridCol w:w="866"/>
        <w:gridCol w:w="708"/>
        <w:gridCol w:w="533"/>
        <w:gridCol w:w="386"/>
        <w:gridCol w:w="866"/>
        <w:gridCol w:w="866"/>
        <w:gridCol w:w="866"/>
        <w:gridCol w:w="867"/>
      </w:tblGrid>
      <w:tr>
        <w:tblPrEx>
          <w:shd w:val="clear" w:color="auto" w:fill="auto"/>
          <w:tblCellMar>
            <w:top w:w="0" w:type="dxa"/>
            <w:left w:w="0" w:type="dxa"/>
            <w:bottom w:w="0" w:type="dxa"/>
            <w:right w:w="0" w:type="dxa"/>
          </w:tblCellMar>
        </w:tblPrEx>
        <w:trPr>
          <w:trHeight w:val="661" w:hRule="atLeast"/>
        </w:trPr>
        <w:tc>
          <w:tcPr>
            <w:tcW w:w="832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83" w:name="_Toc15396618"/>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34" w:hRule="atLeast"/>
        </w:trPr>
        <w:tc>
          <w:tcPr>
            <w:tcW w:w="149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项目名称</w:t>
            </w:r>
          </w:p>
        </w:tc>
        <w:tc>
          <w:tcPr>
            <w:tcW w:w="6824"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51081122T000006832293-二类疫苗服务费</w:t>
            </w:r>
          </w:p>
        </w:tc>
      </w:tr>
      <w:tr>
        <w:tblPrEx>
          <w:tblCellMar>
            <w:top w:w="0" w:type="dxa"/>
            <w:left w:w="0" w:type="dxa"/>
            <w:bottom w:w="0" w:type="dxa"/>
            <w:right w:w="0" w:type="dxa"/>
          </w:tblCellMar>
        </w:tblPrEx>
        <w:trPr>
          <w:trHeight w:val="661" w:hRule="atLeast"/>
        </w:trPr>
        <w:tc>
          <w:tcPr>
            <w:tcW w:w="149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主管部门</w:t>
            </w:r>
          </w:p>
        </w:tc>
        <w:tc>
          <w:tcPr>
            <w:tcW w:w="335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广元市昭化区卫生健康局部门</w:t>
            </w:r>
          </w:p>
        </w:tc>
        <w:tc>
          <w:tcPr>
            <w:tcW w:w="866"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59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eastAsia="zh-CN"/>
              </w:rPr>
            </w:pPr>
            <w:r>
              <w:rPr>
                <w:rFonts w:hint="eastAsia" w:ascii="宋体" w:hAnsi="宋体" w:cs="宋体"/>
                <w:i w:val="0"/>
                <w:color w:val="000000"/>
                <w:sz w:val="18"/>
                <w:szCs w:val="18"/>
                <w:u w:val="none"/>
                <w:lang w:eastAsia="zh-CN"/>
              </w:rPr>
              <w:t>紫云乡卫生院</w:t>
            </w:r>
          </w:p>
        </w:tc>
      </w:tr>
      <w:tr>
        <w:tblPrEx>
          <w:tblCellMar>
            <w:top w:w="0" w:type="dxa"/>
            <w:left w:w="0" w:type="dxa"/>
            <w:bottom w:w="0" w:type="dxa"/>
            <w:right w:w="0" w:type="dxa"/>
          </w:tblCellMar>
        </w:tblPrEx>
        <w:trPr>
          <w:trHeight w:val="431" w:hRule="atLeast"/>
        </w:trPr>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项目基本情况</w:t>
            </w:r>
          </w:p>
        </w:tc>
        <w:tc>
          <w:tcPr>
            <w:tcW w:w="86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1.项目年度目标完成情况</w:t>
            </w:r>
          </w:p>
        </w:tc>
        <w:tc>
          <w:tcPr>
            <w:tcW w:w="335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项目年度目标</w:t>
            </w:r>
          </w:p>
        </w:tc>
        <w:tc>
          <w:tcPr>
            <w:tcW w:w="346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CellMar>
            <w:top w:w="0" w:type="dxa"/>
            <w:left w:w="0" w:type="dxa"/>
            <w:bottom w:w="0" w:type="dxa"/>
            <w:right w:w="0" w:type="dxa"/>
          </w:tblCellMar>
        </w:tblPrEx>
        <w:trPr>
          <w:trHeight w:val="550"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335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 xml:space="preserve">         </w:t>
            </w:r>
            <w:r>
              <w:rPr>
                <w:rFonts w:hint="eastAsia" w:ascii="宋体" w:hAnsi="宋体" w:cs="宋体"/>
                <w:i w:val="0"/>
                <w:color w:val="000000"/>
                <w:sz w:val="18"/>
                <w:szCs w:val="18"/>
                <w:u w:val="none"/>
                <w:lang w:val="en-US" w:eastAsia="zh-CN"/>
              </w:rPr>
              <w:t>2.47</w:t>
            </w:r>
            <w:r>
              <w:rPr>
                <w:rFonts w:hint="eastAsia" w:ascii="宋体" w:hAnsi="宋体" w:eastAsia="宋体" w:cs="宋体"/>
                <w:i w:val="0"/>
                <w:color w:val="000000"/>
                <w:sz w:val="18"/>
                <w:szCs w:val="18"/>
                <w:u w:val="none"/>
                <w:lang w:val="en-US" w:eastAsia="zh-CN"/>
              </w:rPr>
              <w:t>万元</w:t>
            </w:r>
          </w:p>
        </w:tc>
        <w:tc>
          <w:tcPr>
            <w:tcW w:w="346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rPr>
              <w:t>100%</w:t>
            </w:r>
          </w:p>
        </w:tc>
      </w:tr>
      <w:tr>
        <w:tblPrEx>
          <w:tblCellMar>
            <w:top w:w="0" w:type="dxa"/>
            <w:left w:w="0" w:type="dxa"/>
            <w:bottom w:w="0" w:type="dxa"/>
            <w:right w:w="0" w:type="dxa"/>
          </w:tblCellMar>
        </w:tblPrEx>
        <w:trPr>
          <w:trHeight w:val="98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2.项目实施内容及过程概述</w:t>
            </w:r>
          </w:p>
        </w:tc>
        <w:tc>
          <w:tcPr>
            <w:tcW w:w="6824"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61" w:hRule="atLeast"/>
        </w:trPr>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预算执行情况（10分）</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年度预算数（万元）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年初预算</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调整后预算数</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预算执行数</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预算执行率</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867"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未完成原因分析</w:t>
            </w:r>
          </w:p>
        </w:tc>
      </w:tr>
      <w:tr>
        <w:tblPrEx>
          <w:tblCellMar>
            <w:top w:w="0" w:type="dxa"/>
            <w:left w:w="0" w:type="dxa"/>
            <w:bottom w:w="0" w:type="dxa"/>
            <w:right w:w="0" w:type="dxa"/>
          </w:tblCellMar>
        </w:tblPrEx>
        <w:trPr>
          <w:trHeight w:val="341"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总额</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rPr>
              <w:t>2.47</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rPr>
              <w:t>2.47</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w:t>
            </w:r>
          </w:p>
        </w:tc>
        <w:tc>
          <w:tcPr>
            <w:tcW w:w="86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661"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其中：财政资金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rPr>
              <w:t>2.47</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rPr>
              <w:t>2.47</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6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661"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财政专户管理资金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6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341"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单位资金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6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7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其他资金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86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1007" w:hRule="atLeast"/>
        </w:trPr>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绩效指标（90分）</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一级指标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二级指标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三级指标</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指标性质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指标值</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度量单位</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完成值</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866"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72" w:hRule="atLeast"/>
        </w:trPr>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产出指标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时效指标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完成及时率</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等于</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3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90</w:t>
            </w:r>
          </w:p>
        </w:tc>
        <w:tc>
          <w:tcPr>
            <w:tcW w:w="867"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41" w:hRule="atLeast"/>
        </w:trPr>
        <w:tc>
          <w:tcPr>
            <w:tcW w:w="5721"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合计</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1" w:hRule="atLeast"/>
        </w:trPr>
        <w:tc>
          <w:tcPr>
            <w:tcW w:w="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评价结论</w:t>
            </w:r>
          </w:p>
        </w:tc>
        <w:tc>
          <w:tcPr>
            <w:tcW w:w="7691"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61" w:hRule="atLeast"/>
        </w:trPr>
        <w:tc>
          <w:tcPr>
            <w:tcW w:w="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存在问题</w:t>
            </w:r>
          </w:p>
        </w:tc>
        <w:tc>
          <w:tcPr>
            <w:tcW w:w="7691"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61" w:hRule="atLeast"/>
        </w:trPr>
        <w:tc>
          <w:tcPr>
            <w:tcW w:w="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改进措施</w:t>
            </w:r>
          </w:p>
        </w:tc>
        <w:tc>
          <w:tcPr>
            <w:tcW w:w="7691"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351" w:hRule="atLeast"/>
        </w:trPr>
        <w:tc>
          <w:tcPr>
            <w:tcW w:w="393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w:t>
            </w:r>
          </w:p>
        </w:tc>
        <w:tc>
          <w:tcPr>
            <w:tcW w:w="4384"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w:t>
            </w:r>
          </w:p>
        </w:tc>
      </w:tr>
    </w:tbl>
    <w:p>
      <w:pPr>
        <w:pStyle w:val="2"/>
        <w:rPr>
          <w:rFonts w:hint="eastAsia" w:hAnsi="Calibri"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ind w:firstLine="2640" w:firstLineChars="600"/>
        <w:jc w:val="both"/>
        <w:outlineLvl w:val="0"/>
        <w:rPr>
          <w:rFonts w:hint="eastAsia" w:ascii="仿宋" w:hAnsi="仿宋" w:eastAsia="仿宋"/>
          <w:b w:val="0"/>
          <w:color w:val="auto"/>
          <w:highlight w:val="none"/>
        </w:rPr>
      </w:pPr>
      <w:bookmarkStart w:id="84" w:name="_Toc32206"/>
      <w:r>
        <w:rPr>
          <w:rFonts w:hint="eastAsia" w:ascii="黑体" w:hAnsi="黑体" w:eastAsia="黑体"/>
          <w:color w:val="auto"/>
          <w:sz w:val="44"/>
          <w:szCs w:val="44"/>
          <w:highlight w:val="none"/>
        </w:rPr>
        <w:t>第</w:t>
      </w:r>
      <w:r>
        <w:rPr>
          <w:rStyle w:val="27"/>
          <w:rFonts w:hint="eastAsia" w:ascii="黑体" w:hAnsi="黑体" w:eastAsia="黑体"/>
          <w:b w:val="0"/>
          <w:color w:val="auto"/>
          <w:highlight w:val="none"/>
        </w:rPr>
        <w:t>五部分 附表</w:t>
      </w:r>
      <w:bookmarkEnd w:id="80"/>
      <w:bookmarkEnd w:id="83"/>
      <w:bookmarkEnd w:id="84"/>
      <w:bookmarkStart w:id="85" w:name="_Toc15396619"/>
    </w:p>
    <w:p>
      <w:pPr>
        <w:pStyle w:val="4"/>
        <w:rPr>
          <w:rFonts w:ascii="仿宋" w:hAnsi="仿宋" w:eastAsia="仿宋"/>
          <w:color w:val="auto"/>
          <w:highlight w:val="none"/>
        </w:rPr>
      </w:pPr>
      <w:bookmarkStart w:id="86" w:name="_Toc31139"/>
      <w:r>
        <w:rPr>
          <w:rFonts w:hint="eastAsia" w:ascii="仿宋" w:hAnsi="仿宋" w:eastAsia="仿宋"/>
          <w:b w:val="0"/>
          <w:color w:val="auto"/>
          <w:highlight w:val="none"/>
        </w:rPr>
        <w:t>一、收</w:t>
      </w:r>
      <w:r>
        <w:rPr>
          <w:rStyle w:val="28"/>
          <w:rFonts w:hint="eastAsia" w:ascii="仿宋" w:hAnsi="仿宋" w:eastAsia="仿宋"/>
          <w:b w:val="0"/>
          <w:bCs w:val="0"/>
          <w:color w:val="auto"/>
          <w:highlight w:val="none"/>
        </w:rPr>
        <w:t>入支出决算总表</w:t>
      </w:r>
      <w:bookmarkEnd w:id="85"/>
      <w:bookmarkEnd w:id="86"/>
    </w:p>
    <w:p>
      <w:pPr>
        <w:pStyle w:val="4"/>
        <w:rPr>
          <w:rFonts w:ascii="仿宋" w:hAnsi="仿宋" w:eastAsia="仿宋"/>
          <w:color w:val="auto"/>
          <w:highlight w:val="none"/>
        </w:rPr>
      </w:pPr>
      <w:bookmarkStart w:id="87" w:name="_Toc17591"/>
      <w:bookmarkStart w:id="88" w:name="_Toc15396620"/>
      <w:r>
        <w:rPr>
          <w:rFonts w:hint="eastAsia" w:ascii="仿宋" w:hAnsi="仿宋" w:eastAsia="仿宋"/>
          <w:b w:val="0"/>
          <w:color w:val="auto"/>
          <w:highlight w:val="none"/>
        </w:rPr>
        <w:t>二、收</w:t>
      </w:r>
      <w:r>
        <w:rPr>
          <w:rStyle w:val="28"/>
          <w:rFonts w:hint="eastAsia" w:ascii="仿宋" w:hAnsi="仿宋" w:eastAsia="仿宋"/>
          <w:b w:val="0"/>
          <w:bCs w:val="0"/>
          <w:color w:val="auto"/>
          <w:highlight w:val="none"/>
        </w:rPr>
        <w:t>入决算表</w:t>
      </w:r>
      <w:bookmarkEnd w:id="87"/>
      <w:bookmarkEnd w:id="88"/>
    </w:p>
    <w:p>
      <w:pPr>
        <w:pStyle w:val="4"/>
        <w:rPr>
          <w:rFonts w:ascii="仿宋" w:hAnsi="仿宋" w:eastAsia="仿宋"/>
          <w:color w:val="auto"/>
          <w:highlight w:val="none"/>
        </w:rPr>
      </w:pPr>
      <w:bookmarkStart w:id="89" w:name="_Toc25324"/>
      <w:bookmarkStart w:id="90" w:name="_Toc15396621"/>
      <w:r>
        <w:rPr>
          <w:rStyle w:val="2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8"/>
          <w:rFonts w:hint="eastAsia" w:ascii="仿宋" w:hAnsi="仿宋" w:eastAsia="仿宋"/>
          <w:b w:val="0"/>
          <w:bCs w:val="0"/>
          <w:color w:val="auto"/>
          <w:highlight w:val="none"/>
        </w:rPr>
        <w:t>出决算表</w:t>
      </w:r>
      <w:bookmarkEnd w:id="89"/>
      <w:bookmarkEnd w:id="90"/>
    </w:p>
    <w:p>
      <w:pPr>
        <w:pStyle w:val="4"/>
        <w:rPr>
          <w:rFonts w:ascii="仿宋" w:hAnsi="仿宋" w:eastAsia="仿宋"/>
          <w:b w:val="0"/>
          <w:color w:val="auto"/>
          <w:highlight w:val="none"/>
        </w:rPr>
      </w:pPr>
      <w:bookmarkStart w:id="91" w:name="_Toc15396622"/>
      <w:bookmarkStart w:id="92" w:name="_Toc6251"/>
      <w:r>
        <w:rPr>
          <w:rStyle w:val="2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8"/>
          <w:rFonts w:hint="eastAsia" w:ascii="仿宋" w:hAnsi="仿宋" w:eastAsia="仿宋"/>
          <w:b w:val="0"/>
          <w:bCs w:val="0"/>
          <w:color w:val="auto"/>
          <w:highlight w:val="none"/>
        </w:rPr>
        <w:t>政拨款收入支出决算总表</w:t>
      </w:r>
      <w:bookmarkEnd w:id="91"/>
      <w:bookmarkEnd w:id="92"/>
    </w:p>
    <w:p>
      <w:pPr>
        <w:pStyle w:val="4"/>
        <w:rPr>
          <w:rStyle w:val="28"/>
          <w:rFonts w:ascii="仿宋" w:hAnsi="仿宋" w:eastAsia="仿宋"/>
          <w:b w:val="0"/>
          <w:bCs w:val="0"/>
          <w:color w:val="auto"/>
          <w:highlight w:val="none"/>
        </w:rPr>
      </w:pPr>
      <w:bookmarkStart w:id="93" w:name="_Toc15396623"/>
      <w:bookmarkStart w:id="94" w:name="_Toc23621"/>
      <w:r>
        <w:rPr>
          <w:rStyle w:val="2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8"/>
          <w:rFonts w:hint="eastAsia" w:ascii="仿宋" w:hAnsi="仿宋" w:eastAsia="仿宋"/>
          <w:b w:val="0"/>
          <w:bCs w:val="0"/>
          <w:color w:val="auto"/>
          <w:highlight w:val="none"/>
        </w:rPr>
        <w:t>政拨款支出决算明细表</w:t>
      </w:r>
      <w:bookmarkEnd w:id="93"/>
      <w:bookmarkEnd w:id="94"/>
      <w:bookmarkStart w:id="95" w:name="_Toc15396624"/>
    </w:p>
    <w:p>
      <w:pPr>
        <w:pStyle w:val="4"/>
        <w:rPr>
          <w:rFonts w:ascii="仿宋" w:hAnsi="仿宋" w:eastAsia="仿宋"/>
          <w:color w:val="auto"/>
          <w:highlight w:val="none"/>
        </w:rPr>
      </w:pPr>
      <w:bookmarkStart w:id="96" w:name="_Toc26017"/>
      <w:r>
        <w:rPr>
          <w:rStyle w:val="2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8"/>
          <w:rFonts w:hint="eastAsia" w:ascii="仿宋" w:hAnsi="仿宋" w:eastAsia="仿宋"/>
          <w:b w:val="0"/>
          <w:bCs w:val="0"/>
          <w:color w:val="auto"/>
          <w:highlight w:val="none"/>
        </w:rPr>
        <w:t>般公共预算财政拨款支出决算表</w:t>
      </w:r>
      <w:bookmarkEnd w:id="95"/>
      <w:bookmarkEnd w:id="96"/>
    </w:p>
    <w:p>
      <w:pPr>
        <w:pStyle w:val="4"/>
        <w:rPr>
          <w:rFonts w:ascii="仿宋" w:hAnsi="仿宋" w:eastAsia="仿宋"/>
          <w:color w:val="auto"/>
          <w:highlight w:val="none"/>
        </w:rPr>
      </w:pPr>
      <w:bookmarkStart w:id="97" w:name="_Toc15396625"/>
      <w:bookmarkStart w:id="98" w:name="_Toc1283"/>
      <w:r>
        <w:rPr>
          <w:rStyle w:val="2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8"/>
          <w:rFonts w:hint="eastAsia" w:ascii="仿宋" w:hAnsi="仿宋" w:eastAsia="仿宋"/>
          <w:b w:val="0"/>
          <w:bCs w:val="0"/>
          <w:color w:val="auto"/>
          <w:highlight w:val="none"/>
        </w:rPr>
        <w:t>般公共预算财政拨款支出决算明细表</w:t>
      </w:r>
      <w:bookmarkEnd w:id="97"/>
      <w:bookmarkEnd w:id="98"/>
    </w:p>
    <w:p>
      <w:pPr>
        <w:pStyle w:val="4"/>
        <w:rPr>
          <w:rFonts w:ascii="仿宋" w:hAnsi="仿宋" w:eastAsia="仿宋"/>
          <w:color w:val="auto"/>
          <w:highlight w:val="none"/>
        </w:rPr>
      </w:pPr>
      <w:bookmarkStart w:id="99" w:name="_Toc15396626"/>
      <w:bookmarkStart w:id="100" w:name="_Toc1516"/>
      <w:r>
        <w:rPr>
          <w:rStyle w:val="2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8"/>
          <w:rFonts w:hint="eastAsia" w:ascii="仿宋" w:hAnsi="仿宋" w:eastAsia="仿宋"/>
          <w:b w:val="0"/>
          <w:bCs w:val="0"/>
          <w:color w:val="auto"/>
          <w:highlight w:val="none"/>
        </w:rPr>
        <w:t>般公共预算财政拨款基本支出决算表</w:t>
      </w:r>
      <w:bookmarkEnd w:id="99"/>
      <w:bookmarkEnd w:id="100"/>
    </w:p>
    <w:p>
      <w:pPr>
        <w:pStyle w:val="4"/>
        <w:rPr>
          <w:rFonts w:ascii="仿宋" w:hAnsi="仿宋" w:eastAsia="仿宋"/>
          <w:color w:val="auto"/>
          <w:highlight w:val="none"/>
        </w:rPr>
      </w:pPr>
      <w:bookmarkStart w:id="101" w:name="_Toc15396627"/>
      <w:bookmarkStart w:id="102" w:name="_Toc29109"/>
      <w:r>
        <w:rPr>
          <w:rStyle w:val="2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8"/>
          <w:rFonts w:hint="eastAsia" w:ascii="仿宋" w:hAnsi="仿宋" w:eastAsia="仿宋"/>
          <w:b w:val="0"/>
          <w:bCs w:val="0"/>
          <w:color w:val="auto"/>
          <w:highlight w:val="none"/>
        </w:rPr>
        <w:t>般公共预算财政拨款项目支出决算表</w:t>
      </w:r>
      <w:bookmarkEnd w:id="101"/>
      <w:bookmarkEnd w:id="102"/>
    </w:p>
    <w:p>
      <w:pPr>
        <w:pStyle w:val="4"/>
        <w:rPr>
          <w:rFonts w:ascii="仿宋" w:hAnsi="仿宋" w:eastAsia="仿宋"/>
          <w:color w:val="auto"/>
          <w:highlight w:val="none"/>
        </w:rPr>
      </w:pPr>
      <w:bookmarkStart w:id="103" w:name="_Toc15396628"/>
      <w:bookmarkStart w:id="104" w:name="_Toc32706"/>
      <w:r>
        <w:rPr>
          <w:rStyle w:val="28"/>
          <w:rFonts w:hint="eastAsia" w:ascii="仿宋" w:hAnsi="仿宋" w:eastAsia="仿宋"/>
          <w:b w:val="0"/>
          <w:bCs w:val="0"/>
          <w:color w:val="auto"/>
          <w:highlight w:val="none"/>
        </w:rPr>
        <w:t>十、</w:t>
      </w:r>
      <w:bookmarkEnd w:id="103"/>
      <w:r>
        <w:rPr>
          <w:rFonts w:hint="eastAsia" w:ascii="仿宋" w:hAnsi="仿宋" w:eastAsia="仿宋"/>
          <w:b w:val="0"/>
          <w:color w:val="auto"/>
          <w:highlight w:val="none"/>
        </w:rPr>
        <w:t>政</w:t>
      </w:r>
      <w:r>
        <w:rPr>
          <w:rStyle w:val="28"/>
          <w:rFonts w:hint="eastAsia" w:ascii="仿宋" w:hAnsi="仿宋" w:eastAsia="仿宋"/>
          <w:b w:val="0"/>
          <w:bCs w:val="0"/>
          <w:color w:val="auto"/>
          <w:highlight w:val="none"/>
        </w:rPr>
        <w:t>府性基金预算财政拨款收入支出决算表</w:t>
      </w:r>
      <w:bookmarkEnd w:id="104"/>
    </w:p>
    <w:p>
      <w:pPr>
        <w:pStyle w:val="4"/>
        <w:rPr>
          <w:rFonts w:ascii="仿宋" w:hAnsi="仿宋" w:eastAsia="仿宋"/>
          <w:color w:val="auto"/>
          <w:highlight w:val="none"/>
        </w:rPr>
      </w:pPr>
      <w:bookmarkStart w:id="105" w:name="_Toc15396629"/>
      <w:bookmarkStart w:id="106" w:name="_Toc19090"/>
      <w:r>
        <w:rPr>
          <w:rStyle w:val="28"/>
          <w:rFonts w:hint="eastAsia" w:ascii="仿宋" w:hAnsi="仿宋" w:eastAsia="仿宋"/>
          <w:b w:val="0"/>
          <w:bCs w:val="0"/>
          <w:color w:val="auto"/>
          <w:highlight w:val="none"/>
        </w:rPr>
        <w:t>十一、</w:t>
      </w:r>
      <w:bookmarkEnd w:id="105"/>
      <w:r>
        <w:rPr>
          <w:rFonts w:hint="eastAsia" w:ascii="仿宋" w:hAnsi="仿宋" w:eastAsia="仿宋"/>
          <w:b w:val="0"/>
          <w:color w:val="auto"/>
          <w:highlight w:val="none"/>
        </w:rPr>
        <w:t>国</w:t>
      </w:r>
      <w:r>
        <w:rPr>
          <w:rStyle w:val="28"/>
          <w:rFonts w:hint="eastAsia" w:ascii="仿宋" w:hAnsi="仿宋" w:eastAsia="仿宋"/>
          <w:b w:val="0"/>
          <w:bCs w:val="0"/>
          <w:color w:val="auto"/>
          <w:highlight w:val="none"/>
        </w:rPr>
        <w:t>有资本经营预算</w:t>
      </w:r>
      <w:r>
        <w:rPr>
          <w:rStyle w:val="28"/>
          <w:rFonts w:hint="eastAsia" w:ascii="仿宋" w:hAnsi="仿宋" w:eastAsia="仿宋"/>
          <w:b w:val="0"/>
          <w:bCs w:val="0"/>
          <w:color w:val="auto"/>
          <w:highlight w:val="none"/>
          <w:lang w:eastAsia="zh-CN"/>
        </w:rPr>
        <w:t>财政拨款收入</w:t>
      </w:r>
      <w:r>
        <w:rPr>
          <w:rStyle w:val="28"/>
          <w:rFonts w:hint="eastAsia" w:ascii="仿宋" w:hAnsi="仿宋" w:eastAsia="仿宋"/>
          <w:b w:val="0"/>
          <w:bCs w:val="0"/>
          <w:color w:val="auto"/>
          <w:highlight w:val="none"/>
        </w:rPr>
        <w:t>支出决算表</w:t>
      </w:r>
      <w:bookmarkEnd w:id="106"/>
    </w:p>
    <w:p>
      <w:pPr>
        <w:pStyle w:val="4"/>
        <w:rPr>
          <w:rFonts w:ascii="仿宋" w:hAnsi="仿宋" w:eastAsia="仿宋"/>
          <w:color w:val="auto"/>
          <w:highlight w:val="none"/>
        </w:rPr>
      </w:pPr>
      <w:bookmarkStart w:id="107" w:name="_Toc15396630"/>
      <w:bookmarkStart w:id="108" w:name="_Toc4014"/>
      <w:r>
        <w:rPr>
          <w:rStyle w:val="28"/>
          <w:rFonts w:hint="eastAsia" w:ascii="仿宋" w:hAnsi="仿宋" w:eastAsia="仿宋"/>
          <w:b w:val="0"/>
          <w:bCs w:val="0"/>
          <w:color w:val="auto"/>
          <w:highlight w:val="none"/>
        </w:rPr>
        <w:t>十二、</w:t>
      </w:r>
      <w:bookmarkEnd w:id="107"/>
      <w:r>
        <w:rPr>
          <w:rStyle w:val="28"/>
          <w:rFonts w:hint="eastAsia" w:ascii="仿宋" w:hAnsi="仿宋" w:eastAsia="仿宋"/>
          <w:b w:val="0"/>
          <w:bCs w:val="0"/>
          <w:color w:val="auto"/>
          <w:highlight w:val="none"/>
          <w:lang w:eastAsia="zh-CN"/>
        </w:rPr>
        <w:t>国有资本经营预算财政拨款支出决算表</w:t>
      </w:r>
      <w:bookmarkEnd w:id="108"/>
    </w:p>
    <w:p>
      <w:pPr>
        <w:pStyle w:val="4"/>
        <w:rPr>
          <w:rFonts w:hint="eastAsia" w:eastAsia="仿宋"/>
          <w:color w:val="auto"/>
          <w:highlight w:val="none"/>
          <w:lang w:eastAsia="zh-CN"/>
        </w:rPr>
      </w:pPr>
      <w:bookmarkStart w:id="109" w:name="_Toc15396631"/>
      <w:bookmarkStart w:id="110" w:name="_Toc611"/>
      <w:r>
        <w:rPr>
          <w:rStyle w:val="28"/>
          <w:rFonts w:hint="eastAsia" w:ascii="仿宋" w:hAnsi="仿宋" w:eastAsia="仿宋"/>
          <w:b w:val="0"/>
          <w:bCs w:val="0"/>
          <w:color w:val="auto"/>
          <w:highlight w:val="none"/>
        </w:rPr>
        <w:t>十三、</w:t>
      </w:r>
      <w:bookmarkEnd w:id="109"/>
      <w:r>
        <w:rPr>
          <w:rStyle w:val="28"/>
          <w:rFonts w:hint="eastAsia" w:ascii="仿宋" w:hAnsi="仿宋" w:eastAsia="仿宋"/>
          <w:b w:val="0"/>
          <w:bCs w:val="0"/>
          <w:color w:val="auto"/>
          <w:highlight w:val="none"/>
          <w:lang w:eastAsia="zh-CN"/>
        </w:rPr>
        <w:t>财政拨款“三公”经费支出决算表</w:t>
      </w:r>
      <w:bookmarkEnd w:id="110"/>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626A488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autoRedefine/>
    <w:unhideWhenUsed/>
    <w:qFormat/>
    <w:uiPriority w:val="9"/>
    <w:pPr>
      <w:keepNext/>
      <w:keepLines/>
      <w:spacing w:before="260" w:after="260" w:line="416" w:lineRule="auto"/>
      <w:outlineLvl w:val="2"/>
    </w:pPr>
    <w:rPr>
      <w:b/>
      <w:bCs/>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24"/>
    <w:autoRedefine/>
    <w:qFormat/>
    <w:uiPriority w:val="99"/>
    <w:pPr>
      <w:spacing w:beforeLines="30"/>
    </w:pPr>
    <w:rPr>
      <w:rFonts w:ascii="仿宋_GB2312" w:eastAsia="仿宋_GB2312"/>
      <w:kern w:val="0"/>
      <w:sz w:val="30"/>
    </w:rPr>
  </w:style>
  <w:style w:type="paragraph" w:styleId="6">
    <w:name w:val="Body Text Indent"/>
    <w:basedOn w:val="1"/>
    <w:next w:val="7"/>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autoRedefine/>
    <w:qFormat/>
    <w:uiPriority w:val="0"/>
    <w:pPr>
      <w:ind w:firstLine="420" w:firstLineChars="200"/>
    </w:pPr>
  </w:style>
  <w:style w:type="paragraph" w:styleId="8">
    <w:name w:val="toc 3"/>
    <w:basedOn w:val="1"/>
    <w:next w:val="1"/>
    <w:autoRedefine/>
    <w:unhideWhenUsed/>
    <w:qFormat/>
    <w:uiPriority w:val="39"/>
    <w:pPr>
      <w:tabs>
        <w:tab w:val="right" w:leader="dot" w:pos="8296"/>
      </w:tabs>
      <w:ind w:left="840" w:leftChars="400"/>
    </w:pPr>
  </w:style>
  <w:style w:type="paragraph" w:styleId="9">
    <w:name w:val="Balloon Text"/>
    <w:basedOn w:val="1"/>
    <w:link w:val="30"/>
    <w:autoRedefine/>
    <w:semiHidden/>
    <w:unhideWhenUsed/>
    <w:qFormat/>
    <w:uiPriority w:val="99"/>
    <w:rPr>
      <w:sz w:val="18"/>
      <w:szCs w:val="18"/>
    </w:rPr>
  </w:style>
  <w:style w:type="paragraph" w:styleId="10">
    <w:name w:val="footer"/>
    <w:basedOn w:val="1"/>
    <w:link w:val="22"/>
    <w:autoRedefine/>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autoRedefine/>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autoRedefine/>
    <w:unhideWhenUsed/>
    <w:qFormat/>
    <w:uiPriority w:val="39"/>
    <w:pPr>
      <w:tabs>
        <w:tab w:val="right" w:leader="dot" w:pos="8296"/>
      </w:tabs>
      <w:ind w:left="420" w:leftChars="200"/>
    </w:pPr>
  </w:style>
  <w:style w:type="table" w:styleId="1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autoRedefine/>
    <w:qFormat/>
    <w:uiPriority w:val="99"/>
    <w:rPr>
      <w:b/>
    </w:rPr>
  </w:style>
  <w:style w:type="character" w:styleId="18">
    <w:name w:val="Hyperlink"/>
    <w:basedOn w:val="16"/>
    <w:autoRedefine/>
    <w:unhideWhenUsed/>
    <w:qFormat/>
    <w:uiPriority w:val="99"/>
    <w:rPr>
      <w:color w:val="0000FF" w:themeColor="hyperlink"/>
      <w:u w:val="single"/>
      <w14:textFill>
        <w14:solidFill>
          <w14:schemeClr w14:val="hlink"/>
        </w14:solidFill>
      </w14:textFill>
    </w:rPr>
  </w:style>
  <w:style w:type="character" w:customStyle="1" w:styleId="19">
    <w:name w:val="Header Char"/>
    <w:basedOn w:val="16"/>
    <w:autoRedefine/>
    <w:semiHidden/>
    <w:qFormat/>
    <w:uiPriority w:val="99"/>
    <w:rPr>
      <w:rFonts w:ascii="Times New Roman" w:hAnsi="Times New Roman"/>
      <w:sz w:val="18"/>
      <w:szCs w:val="18"/>
    </w:rPr>
  </w:style>
  <w:style w:type="character" w:customStyle="1" w:styleId="20">
    <w:name w:val="页眉 Char"/>
    <w:link w:val="11"/>
    <w:autoRedefine/>
    <w:semiHidden/>
    <w:qFormat/>
    <w:locked/>
    <w:uiPriority w:val="99"/>
    <w:rPr>
      <w:sz w:val="18"/>
    </w:rPr>
  </w:style>
  <w:style w:type="character" w:customStyle="1" w:styleId="21">
    <w:name w:val="Footer Char"/>
    <w:basedOn w:val="16"/>
    <w:autoRedefine/>
    <w:semiHidden/>
    <w:qFormat/>
    <w:uiPriority w:val="99"/>
    <w:rPr>
      <w:rFonts w:ascii="Times New Roman" w:hAnsi="Times New Roman"/>
      <w:sz w:val="18"/>
      <w:szCs w:val="18"/>
    </w:rPr>
  </w:style>
  <w:style w:type="character" w:customStyle="1" w:styleId="22">
    <w:name w:val="页脚 Char"/>
    <w:link w:val="10"/>
    <w:autoRedefine/>
    <w:qFormat/>
    <w:locked/>
    <w:uiPriority w:val="99"/>
    <w:rPr>
      <w:sz w:val="18"/>
    </w:rPr>
  </w:style>
  <w:style w:type="character" w:customStyle="1" w:styleId="23">
    <w:name w:val="Body Text Char"/>
    <w:basedOn w:val="16"/>
    <w:autoRedefine/>
    <w:semiHidden/>
    <w:qFormat/>
    <w:uiPriority w:val="99"/>
    <w:rPr>
      <w:rFonts w:ascii="Times New Roman" w:hAnsi="Times New Roman"/>
      <w:szCs w:val="24"/>
    </w:rPr>
  </w:style>
  <w:style w:type="character" w:customStyle="1" w:styleId="24">
    <w:name w:val="正文文本 Char"/>
    <w:link w:val="2"/>
    <w:autoRedefine/>
    <w:qFormat/>
    <w:locked/>
    <w:uiPriority w:val="99"/>
    <w:rPr>
      <w:rFonts w:ascii="仿宋_GB2312" w:hAnsi="Times New Roman" w:eastAsia="仿宋_GB2312"/>
      <w:sz w:val="24"/>
    </w:rPr>
  </w:style>
  <w:style w:type="paragraph" w:customStyle="1" w:styleId="25">
    <w:name w:val="Default"/>
    <w:autoRedefine/>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autoRedefine/>
    <w:qFormat/>
    <w:uiPriority w:val="34"/>
    <w:pPr>
      <w:ind w:firstLine="420" w:firstLineChars="200"/>
    </w:pPr>
  </w:style>
  <w:style w:type="character" w:customStyle="1" w:styleId="27">
    <w:name w:val="标题 1 Char"/>
    <w:basedOn w:val="16"/>
    <w:link w:val="3"/>
    <w:autoRedefine/>
    <w:qFormat/>
    <w:uiPriority w:val="9"/>
    <w:rPr>
      <w:rFonts w:ascii="Times New Roman" w:hAnsi="Times New Roman"/>
      <w:b/>
      <w:bCs/>
      <w:kern w:val="44"/>
      <w:sz w:val="44"/>
      <w:szCs w:val="44"/>
    </w:rPr>
  </w:style>
  <w:style w:type="character" w:customStyle="1" w:styleId="28">
    <w:name w:val="标题 2 Char"/>
    <w:basedOn w:val="16"/>
    <w:link w:val="4"/>
    <w:autoRedefine/>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Char"/>
    <w:basedOn w:val="16"/>
    <w:link w:val="9"/>
    <w:autoRedefine/>
    <w:semiHidden/>
    <w:qFormat/>
    <w:uiPriority w:val="99"/>
    <w:rPr>
      <w:rFonts w:ascii="Times New Roman" w:hAnsi="Times New Roman"/>
      <w:kern w:val="2"/>
      <w:sz w:val="18"/>
      <w:szCs w:val="18"/>
    </w:rPr>
  </w:style>
  <w:style w:type="character" w:customStyle="1" w:styleId="31">
    <w:name w:val="标题 3 Char"/>
    <w:basedOn w:val="16"/>
    <w:link w:val="5"/>
    <w:autoRedefine/>
    <w:qFormat/>
    <w:uiPriority w:val="9"/>
    <w:rPr>
      <w:rFonts w:ascii="Times New Roman" w:hAnsi="Times New Roman"/>
      <w:b/>
      <w:bCs/>
      <w:kern w:val="2"/>
      <w:sz w:val="32"/>
      <w:szCs w:val="32"/>
    </w:rPr>
  </w:style>
  <w:style w:type="paragraph" w:customStyle="1" w:styleId="32">
    <w:name w:val="TOC Heading"/>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table of figures1"/>
    <w:basedOn w:val="1"/>
    <w:next w:val="1"/>
    <w:autoRedefine/>
    <w:qFormat/>
    <w:uiPriority w:val="99"/>
    <w:pPr>
      <w:ind w:left="200" w:leftChars="200" w:hanging="200" w:hangingChars="200"/>
    </w:pPr>
  </w:style>
  <w:style w:type="paragraph" w:customStyle="1" w:styleId="34">
    <w:name w:val="WPSOffice手动目录 1"/>
    <w:autoRedefine/>
    <w:qFormat/>
    <w:uiPriority w:val="0"/>
    <w:pPr>
      <w:ind w:leftChars="0"/>
    </w:pPr>
    <w:rPr>
      <w:rFonts w:ascii="Times New Roman" w:hAnsi="Times New Roman" w:eastAsia="宋体" w:cs="Times New Roman"/>
      <w:sz w:val="20"/>
      <w:szCs w:val="20"/>
    </w:rPr>
  </w:style>
  <w:style w:type="paragraph" w:customStyle="1" w:styleId="35">
    <w:name w:val="WPSOffice手动目录 2"/>
    <w:autoRedefine/>
    <w:qFormat/>
    <w:uiPriority w:val="0"/>
    <w:pPr>
      <w:ind w:leftChars="200"/>
    </w:pPr>
    <w:rPr>
      <w:rFonts w:ascii="Times New Roman" w:hAnsi="Times New Roman" w:eastAsia="宋体" w:cs="Times New Roman"/>
      <w:sz w:val="20"/>
      <w:szCs w:val="20"/>
    </w:rPr>
  </w:style>
  <w:style w:type="paragraph" w:customStyle="1" w:styleId="36">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A4C2DE23AC04472EBE08969E7B526FFA_12</vt:lpwstr>
  </property>
</Properties>
</file>

<file path=customXml/item2.xml><?xml version="1.0" encoding="utf-8"?>
<Properties xmlns="http://schemas.openxmlformats.org/officeDocument/2006/extended-properties" xmlns:vt="http://schemas.openxmlformats.org/officeDocument/2006/docPropsVTypes">
  <Template>Normal.dotm</Template>
  <Company>四川省财政厅</Company>
  <Pages>15</Pages>
  <Words>5514</Words>
  <Characters>5936</Characters>
  <Lines>61</Lines>
  <Paragraphs>17</Paragraphs>
  <TotalTime>8</TotalTime>
  <ScaleCrop>false</ScaleCrop>
  <LinksUpToDate>false</LinksUpToDate>
  <CharactersWithSpaces>6161</CharactersWithSpaces>
  <Application>WPS Office_12.1.0.16412_F1E327BC-269C-435d-A152-05C5408002CA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2024-07-26T06:52:04Z</dcterms:modified>
  <dc:title>四川省***</dc:title>
  <cp:revision>32</cp:revision>
</cp:coreProperties>
</file>

<file path=customXml/itemProps1.xml><?xml version="1.0" encoding="utf-8"?>
<ds:datastoreItem xmlns:ds="http://schemas.openxmlformats.org/officeDocument/2006/customXml" ds:itemID="{66f557e2-8441-4d4e-b015-c80d3f48bcb9}">
  <ds:schemaRefs/>
</ds:datastoreItem>
</file>

<file path=customXml/itemProps2.xml><?xml version="1.0" encoding="utf-8"?>
<ds:datastoreItem xmlns:ds="http://schemas.openxmlformats.org/officeDocument/2006/customXml" ds:itemID="{cfad6e80-5007-47a1-b67b-be0c0e1ab889}">
  <ds:schemaRefs/>
</ds:datastoreItem>
</file>

<file path=customXml/itemProps3.xml><?xml version="1.0" encoding="utf-8"?>
<ds:datastoreItem xmlns:ds="http://schemas.openxmlformats.org/officeDocument/2006/customXml" ds:itemID="{fdb40936-8722-44dd-b472-cd79ea11293c}">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15</Pages>
  <Words>5514</Words>
  <Characters>5936</Characters>
  <Lines>61</Lines>
  <Paragraphs>17</Paragraphs>
  <TotalTime>9</TotalTime>
  <ScaleCrop>false</ScaleCrop>
  <LinksUpToDate>false</LinksUpToDate>
  <CharactersWithSpaces>6161</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2024-08-12T08:17:35Z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A4C2DE23AC04472EBE08969E7B526FFA_12</vt:lpwstr>
  </property>
</Properties>
</file>