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ageBreakBefore w:val="0"/>
        <w:kinsoku/>
        <w:wordWrap/>
        <w:overflowPunct/>
        <w:topLinePunct w:val="0"/>
        <w:bidi w:val="0"/>
        <w:adjustRightInd w:val="0"/>
        <w:snapToGrid w:val="0"/>
        <w:spacing w:line="580" w:lineRule="exact"/>
        <w:jc w:val="center"/>
        <w:outlineLvl w:val="9"/>
        <w:rPr>
          <w:rFonts w:ascii="黑体" w:hAnsi="黑体" w:eastAsia="黑体"/>
          <w:color w:val="000000"/>
          <w:sz w:val="72"/>
          <w:szCs w:val="72"/>
        </w:rPr>
      </w:pPr>
      <w:bookmarkStart w:id="0" w:name="_Toc15396597"/>
      <w:bookmarkStart w:id="1" w:name="_Toc17059"/>
      <w:bookmarkStart w:id="2" w:name="_Toc15378441"/>
      <w:bookmarkStart w:id="3" w:name="_Toc15377193"/>
      <w:bookmarkStart w:id="4" w:name="_Toc15377425"/>
      <w:bookmarkStart w:id="5" w:name="_Toc15396475"/>
      <w:bookmarkStart w:id="6" w:name="_Toc15306267"/>
    </w:p>
    <w:p>
      <w:pPr>
        <w:pStyle w:val="17"/>
        <w:pageBreakBefore w:val="0"/>
        <w:kinsoku/>
        <w:wordWrap/>
        <w:overflowPunct/>
        <w:topLinePunct w:val="0"/>
        <w:bidi w:val="0"/>
        <w:spacing w:line="580" w:lineRule="exact"/>
        <w:ind w:firstLine="1440"/>
        <w:rPr>
          <w:rFonts w:ascii="黑体" w:hAnsi="黑体" w:eastAsia="黑体"/>
          <w:color w:val="000000"/>
          <w:sz w:val="72"/>
          <w:szCs w:val="72"/>
        </w:rPr>
      </w:pPr>
    </w:p>
    <w:p>
      <w:pPr>
        <w:pStyle w:val="17"/>
        <w:pageBreakBefore w:val="0"/>
        <w:kinsoku/>
        <w:wordWrap/>
        <w:overflowPunct/>
        <w:topLinePunct w:val="0"/>
        <w:bidi w:val="0"/>
        <w:spacing w:line="580" w:lineRule="exact"/>
        <w:ind w:firstLine="1440"/>
        <w:rPr>
          <w:rFonts w:ascii="黑体" w:hAnsi="黑体" w:eastAsia="黑体"/>
          <w:color w:val="000000"/>
          <w:sz w:val="72"/>
          <w:szCs w:val="72"/>
        </w:rPr>
      </w:pPr>
    </w:p>
    <w:p>
      <w:pPr>
        <w:pStyle w:val="17"/>
        <w:pageBreakBefore w:val="0"/>
        <w:kinsoku/>
        <w:wordWrap/>
        <w:overflowPunct/>
        <w:topLinePunct w:val="0"/>
        <w:bidi w:val="0"/>
        <w:spacing w:line="580" w:lineRule="exact"/>
        <w:ind w:firstLine="1440"/>
        <w:rPr>
          <w:rFonts w:ascii="黑体" w:hAnsi="黑体" w:eastAsia="黑体"/>
          <w:color w:val="000000"/>
          <w:sz w:val="72"/>
          <w:szCs w:val="72"/>
        </w:rPr>
      </w:pPr>
    </w:p>
    <w:p>
      <w:pPr>
        <w:pageBreakBefore w:val="0"/>
        <w:kinsoku/>
        <w:wordWrap/>
        <w:overflowPunct/>
        <w:topLinePunct w:val="0"/>
        <w:bidi w:val="0"/>
        <w:adjustRightInd w:val="0"/>
        <w:snapToGrid w:val="0"/>
        <w:spacing w:line="240" w:lineRule="auto"/>
        <w:jc w:val="center"/>
        <w:outlineLvl w:val="0"/>
        <w:rPr>
          <w:rFonts w:ascii="方正小标宋简体" w:hAnsi="宋体" w:eastAsia="方正小标宋简体"/>
          <w:color w:val="000000"/>
          <w:sz w:val="72"/>
          <w:szCs w:val="72"/>
        </w:rPr>
      </w:pPr>
      <w:bookmarkStart w:id="7" w:name="_Toc12283"/>
      <w:bookmarkStart w:id="8" w:name="_Toc6547"/>
      <w:bookmarkStart w:id="9" w:name="_Toc2761"/>
      <w:bookmarkStart w:id="10" w:name="_Toc10485"/>
      <w:bookmarkStart w:id="11" w:name="_Toc11594"/>
      <w:bookmarkStart w:id="12" w:name="_Toc24332"/>
      <w:r>
        <w:rPr>
          <w:rFonts w:hint="eastAsia" w:ascii="黑体" w:hAnsi="黑体" w:eastAsia="黑体"/>
          <w:color w:val="000000"/>
          <w:sz w:val="72"/>
          <w:szCs w:val="72"/>
          <w:lang w:eastAsia="zh-CN"/>
        </w:rPr>
        <w:t>202</w:t>
      </w:r>
      <w:r>
        <w:rPr>
          <w:rFonts w:hint="eastAsia" w:ascii="黑体" w:hAnsi="黑体" w:eastAsia="黑体"/>
          <w:color w:val="000000"/>
          <w:sz w:val="72"/>
          <w:szCs w:val="72"/>
          <w:lang w:val="en-US" w:eastAsia="zh-CN"/>
        </w:rPr>
        <w:t>2</w:t>
      </w:r>
      <w:r>
        <w:rPr>
          <w:rFonts w:hint="eastAsia" w:ascii="方正小标宋简体" w:hAnsi="宋体" w:eastAsia="方正小标宋简体"/>
          <w:color w:val="000000"/>
          <w:sz w:val="72"/>
          <w:szCs w:val="72"/>
        </w:rPr>
        <w:t>年度</w:t>
      </w:r>
      <w:bookmarkEnd w:id="0"/>
      <w:bookmarkEnd w:id="1"/>
      <w:bookmarkEnd w:id="2"/>
      <w:bookmarkEnd w:id="3"/>
      <w:bookmarkEnd w:id="4"/>
      <w:bookmarkEnd w:id="5"/>
      <w:bookmarkEnd w:id="7"/>
      <w:bookmarkEnd w:id="8"/>
      <w:bookmarkEnd w:id="9"/>
      <w:bookmarkEnd w:id="10"/>
      <w:bookmarkEnd w:id="11"/>
      <w:bookmarkEnd w:id="12"/>
    </w:p>
    <w:p>
      <w:pPr>
        <w:pageBreakBefore w:val="0"/>
        <w:kinsoku/>
        <w:wordWrap/>
        <w:overflowPunct/>
        <w:topLinePunct w:val="0"/>
        <w:bidi w:val="0"/>
        <w:adjustRightInd w:val="0"/>
        <w:snapToGrid w:val="0"/>
        <w:spacing w:line="240" w:lineRule="auto"/>
        <w:jc w:val="center"/>
        <w:outlineLvl w:val="0"/>
        <w:rPr>
          <w:rFonts w:ascii="方正小标宋简体" w:hAnsi="宋体" w:eastAsia="方正小标宋简体"/>
          <w:color w:val="000000"/>
          <w:sz w:val="72"/>
          <w:szCs w:val="72"/>
        </w:rPr>
      </w:pPr>
      <w:bookmarkStart w:id="13" w:name="_Toc32413"/>
      <w:bookmarkStart w:id="14" w:name="_Toc6647"/>
      <w:bookmarkStart w:id="15" w:name="_Toc16062"/>
      <w:bookmarkStart w:id="16" w:name="_Toc16114"/>
      <w:bookmarkStart w:id="17" w:name="_Toc15378442"/>
      <w:bookmarkStart w:id="18" w:name="_Toc15377426"/>
      <w:bookmarkStart w:id="19" w:name="_Toc15377194"/>
      <w:bookmarkStart w:id="20" w:name="_Toc30064"/>
      <w:bookmarkStart w:id="21" w:name="_Toc15396598"/>
      <w:bookmarkStart w:id="22" w:name="_Toc22854"/>
      <w:bookmarkStart w:id="23" w:name="_Toc26870"/>
      <w:bookmarkStart w:id="24" w:name="_Toc15396476"/>
      <w:r>
        <w:rPr>
          <w:rFonts w:hint="eastAsia" w:ascii="方正小标宋简体" w:hAnsi="宋体" w:eastAsia="方正小标宋简体"/>
          <w:color w:val="000000"/>
          <w:sz w:val="72"/>
          <w:szCs w:val="72"/>
        </w:rPr>
        <w:t>四川省</w:t>
      </w:r>
      <w:bookmarkEnd w:id="6"/>
      <w:bookmarkStart w:id="25" w:name="_Toc15306268"/>
      <w:r>
        <w:rPr>
          <w:rFonts w:hint="eastAsia" w:ascii="方正小标宋简体" w:hAnsi="宋体" w:eastAsia="方正小标宋简体"/>
          <w:color w:val="000000"/>
          <w:sz w:val="72"/>
          <w:szCs w:val="72"/>
          <w:lang w:eastAsia="zh-CN"/>
        </w:rPr>
        <w:t>广元市昭化区</w:t>
      </w:r>
      <w:r>
        <w:rPr>
          <w:rFonts w:hint="eastAsia" w:ascii="方正小标宋简体" w:hAnsi="宋体" w:eastAsia="方正小标宋简体"/>
          <w:b/>
          <w:bCs/>
          <w:color w:val="000000"/>
          <w:sz w:val="72"/>
          <w:szCs w:val="72"/>
          <w:lang w:eastAsia="zh-CN"/>
        </w:rPr>
        <w:t>红岩镇</w:t>
      </w:r>
      <w:r>
        <w:rPr>
          <w:rFonts w:hint="eastAsia" w:ascii="方正小标宋简体" w:hAnsi="宋体" w:eastAsia="方正小标宋简体"/>
          <w:color w:val="000000"/>
          <w:sz w:val="72"/>
          <w:szCs w:val="72"/>
          <w:lang w:eastAsia="zh-CN"/>
        </w:rPr>
        <w:t>卫生院单位</w:t>
      </w:r>
      <w:r>
        <w:rPr>
          <w:rFonts w:hint="eastAsia" w:ascii="方正小标宋简体" w:hAnsi="宋体" w:eastAsia="方正小标宋简体"/>
          <w:color w:val="000000"/>
          <w:sz w:val="72"/>
          <w:szCs w:val="72"/>
        </w:rPr>
        <w:t>决算</w:t>
      </w:r>
      <w:bookmarkEnd w:id="13"/>
      <w:bookmarkEnd w:id="14"/>
      <w:bookmarkEnd w:id="15"/>
      <w:bookmarkEnd w:id="16"/>
      <w:bookmarkEnd w:id="17"/>
      <w:bookmarkEnd w:id="18"/>
      <w:bookmarkEnd w:id="19"/>
      <w:bookmarkEnd w:id="20"/>
      <w:bookmarkEnd w:id="21"/>
      <w:bookmarkEnd w:id="22"/>
      <w:bookmarkEnd w:id="23"/>
      <w:bookmarkEnd w:id="24"/>
      <w:bookmarkEnd w:id="25"/>
    </w:p>
    <w:p>
      <w:pPr>
        <w:pageBreakBefore w:val="0"/>
        <w:widowControl/>
        <w:kinsoku/>
        <w:wordWrap/>
        <w:overflowPunct/>
        <w:topLinePunct w:val="0"/>
        <w:bidi w:val="0"/>
        <w:spacing w:line="240" w:lineRule="auto"/>
        <w:jc w:val="center"/>
        <w:rPr>
          <w:rFonts w:hint="eastAsia" w:ascii="黑体" w:hAnsi="黑体" w:eastAsia="黑体"/>
          <w:color w:val="000000"/>
          <w:sz w:val="48"/>
          <w:szCs w:val="48"/>
        </w:rPr>
        <w:sectPr>
          <w:headerReference r:id="rId3" w:type="default"/>
          <w:footerReference r:id="rId4" w:type="default"/>
          <w:pgSz w:w="11906" w:h="16838"/>
          <w:pgMar w:top="1440" w:right="1800" w:bottom="1440" w:left="1800" w:header="851" w:footer="992" w:gutter="0"/>
          <w:pgNumType w:start="1"/>
          <w:cols w:space="720" w:num="1"/>
          <w:titlePg/>
          <w:docGrid w:type="lines" w:linePitch="312" w:charSpace="0"/>
        </w:sectPr>
      </w:pPr>
    </w:p>
    <w:p>
      <w:pPr>
        <w:pageBreakBefore w:val="0"/>
        <w:widowControl/>
        <w:kinsoku/>
        <w:wordWrap/>
        <w:overflowPunct/>
        <w:topLinePunct w:val="0"/>
        <w:bidi w:val="0"/>
        <w:spacing w:line="580" w:lineRule="exact"/>
        <w:jc w:val="center"/>
        <w:rPr>
          <w:rFonts w:hint="eastAsia" w:ascii="黑体" w:hAnsi="黑体" w:eastAsia="黑体"/>
          <w:color w:val="000000"/>
          <w:sz w:val="48"/>
          <w:szCs w:val="48"/>
        </w:rPr>
      </w:pPr>
      <w:r>
        <w:rPr>
          <w:rFonts w:hint="eastAsia" w:ascii="黑体" w:hAnsi="黑体" w:eastAsia="黑体"/>
          <w:color w:val="000000"/>
          <w:sz w:val="48"/>
          <w:szCs w:val="48"/>
        </w:rPr>
        <w:t>目录</w:t>
      </w:r>
    </w:p>
    <w:p>
      <w:pPr>
        <w:pStyle w:val="27"/>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仿宋" w:hAnsi="仿宋" w:eastAsia="仿宋" w:cs="Times New Roman"/>
          <w:bCs w:val="0"/>
          <w:kern w:val="2"/>
          <w:sz w:val="28"/>
          <w:szCs w:val="28"/>
          <w:highlight w:val="none"/>
          <w:lang w:val="en-US" w:eastAsia="zh-CN" w:bidi="ar-SA"/>
        </w:rPr>
      </w:pPr>
      <w:r>
        <w:rPr>
          <w:rFonts w:hint="eastAsia" w:ascii="仿宋" w:hAnsi="仿宋" w:eastAsia="仿宋" w:cs="仿宋"/>
          <w:sz w:val="30"/>
          <w:szCs w:val="30"/>
        </w:rPr>
        <w:t>公开时间：202</w:t>
      </w:r>
      <w:r>
        <w:rPr>
          <w:rFonts w:hint="eastAsia" w:cs="仿宋"/>
          <w:sz w:val="30"/>
          <w:szCs w:val="30"/>
          <w:lang w:val="en-US" w:eastAsia="zh-CN"/>
        </w:rPr>
        <w:t>3</w:t>
      </w:r>
      <w:r>
        <w:rPr>
          <w:rFonts w:hint="eastAsia" w:ascii="仿宋" w:hAnsi="仿宋" w:eastAsia="仿宋" w:cs="仿宋"/>
          <w:sz w:val="30"/>
          <w:szCs w:val="30"/>
        </w:rPr>
        <w:t>年</w:t>
      </w:r>
      <w:r>
        <w:rPr>
          <w:rFonts w:hint="eastAsia" w:ascii="仿宋" w:hAnsi="仿宋" w:eastAsia="仿宋" w:cs="仿宋"/>
          <w:sz w:val="30"/>
          <w:szCs w:val="30"/>
          <w:lang w:val="en-US" w:eastAsia="zh-CN"/>
        </w:rPr>
        <w:t>9</w:t>
      </w:r>
      <w:r>
        <w:rPr>
          <w:rFonts w:hint="eastAsia" w:ascii="仿宋" w:hAnsi="仿宋" w:eastAsia="仿宋" w:cs="仿宋"/>
          <w:sz w:val="30"/>
          <w:szCs w:val="30"/>
        </w:rPr>
        <w:t>月</w:t>
      </w:r>
      <w:r>
        <w:rPr>
          <w:rFonts w:hint="eastAsia" w:cs="仿宋"/>
          <w:sz w:val="30"/>
          <w:szCs w:val="30"/>
          <w:lang w:val="en-US" w:eastAsia="zh-CN"/>
        </w:rPr>
        <w:t>28</w:t>
      </w:r>
      <w:r>
        <w:rPr>
          <w:rFonts w:hint="eastAsia" w:ascii="仿宋" w:hAnsi="仿宋" w:eastAsia="仿宋" w:cs="仿宋"/>
          <w:sz w:val="30"/>
          <w:szCs w:val="30"/>
        </w:rPr>
        <w:t>日</w:t>
      </w:r>
      <w:bookmarkStart w:id="26" w:name="_Toc15377196"/>
      <w:bookmarkStart w:id="27" w:name="_Toc15396599"/>
      <w:r>
        <w:rPr>
          <w:rFonts w:hint="eastAsia" w:ascii="仿宋" w:hAnsi="仿宋" w:eastAsia="仿宋" w:cs="Times New Roman"/>
          <w:bCs w:val="0"/>
          <w:kern w:val="2"/>
          <w:sz w:val="28"/>
          <w:szCs w:val="28"/>
          <w:highlight w:val="none"/>
          <w:lang w:val="en-US" w:eastAsia="zh-CN" w:bidi="ar-SA"/>
        </w:rPr>
        <w:fldChar w:fldCharType="begin"/>
      </w:r>
      <w:r>
        <w:rPr>
          <w:rFonts w:hint="eastAsia" w:ascii="仿宋" w:hAnsi="仿宋" w:eastAsia="仿宋" w:cs="Times New Roman"/>
          <w:bCs w:val="0"/>
          <w:kern w:val="2"/>
          <w:sz w:val="28"/>
          <w:szCs w:val="28"/>
          <w:highlight w:val="none"/>
          <w:lang w:val="en-US" w:eastAsia="zh-CN" w:bidi="ar-SA"/>
        </w:rPr>
        <w:instrText xml:space="preserve">TOC \o "1-2" \h \u</w:instrText>
      </w:r>
      <w:r>
        <w:rPr>
          <w:rFonts w:hint="eastAsia" w:ascii="仿宋" w:hAnsi="仿宋" w:eastAsia="仿宋" w:cs="Times New Roman"/>
          <w:bCs w:val="0"/>
          <w:kern w:val="2"/>
          <w:sz w:val="28"/>
          <w:szCs w:val="28"/>
          <w:highlight w:val="none"/>
          <w:lang w:val="en-US" w:eastAsia="zh-CN" w:bidi="ar-SA"/>
        </w:rPr>
        <w:fldChar w:fldCharType="separate"/>
      </w:r>
    </w:p>
    <w:p>
      <w:pPr>
        <w:pStyle w:val="25"/>
        <w:keepNext w:val="0"/>
        <w:keepLines w:val="0"/>
        <w:pageBreakBefore w:val="0"/>
        <w:widowControl w:val="0"/>
        <w:kinsoku/>
        <w:wordWrap/>
        <w:overflowPunct/>
        <w:topLinePunct w:val="0"/>
        <w:autoSpaceDE/>
        <w:autoSpaceDN/>
        <w:bidi w:val="0"/>
        <w:adjustRightInd w:val="0"/>
        <w:snapToGrid w:val="0"/>
        <w:spacing w:line="580" w:lineRule="exact"/>
        <w:jc w:val="both"/>
        <w:textAlignment w:val="auto"/>
      </w:pPr>
      <w:r>
        <w:rPr>
          <w:rFonts w:hint="eastAsia" w:ascii="仿宋" w:hAnsi="仿宋" w:eastAsia="仿宋" w:cs="Times New Roman"/>
          <w:bCs w:val="0"/>
          <w:kern w:val="2"/>
          <w:sz w:val="28"/>
          <w:szCs w:val="28"/>
          <w:highlight w:val="none"/>
          <w:lang w:val="en-US" w:eastAsia="zh-CN" w:bidi="ar-SA"/>
        </w:rPr>
        <w:fldChar w:fldCharType="end"/>
      </w:r>
      <w:r>
        <w:rPr>
          <w:rFonts w:hint="eastAsia"/>
          <w:lang w:val="en-US" w:eastAsia="zh-CN"/>
        </w:rPr>
        <w:fldChar w:fldCharType="begin"/>
      </w:r>
      <w:r>
        <w:rPr>
          <w:rFonts w:hint="eastAsia"/>
          <w:lang w:val="en-US" w:eastAsia="zh-CN"/>
        </w:rPr>
        <w:instrText xml:space="preserve">TOC \o "1-3" \h \u</w:instrText>
      </w:r>
      <w:r>
        <w:rPr>
          <w:rFonts w:hint="eastAsia"/>
          <w:lang w:val="en-US" w:eastAsia="zh-CN"/>
        </w:rPr>
        <w:fldChar w:fldCharType="separate"/>
      </w:r>
    </w:p>
    <w:p>
      <w:pPr>
        <w:pStyle w:val="42"/>
        <w:tabs>
          <w:tab w:val="right" w:leader="dot" w:pos="8306"/>
        </w:tabs>
      </w:pPr>
      <w:r>
        <w:fldChar w:fldCharType="begin"/>
      </w:r>
      <w:r>
        <w:instrText xml:space="preserve"> HYPERLINK \l "_Toc7154" </w:instrText>
      </w:r>
      <w:r>
        <w:fldChar w:fldCharType="separate"/>
      </w:r>
      <w:r>
        <w:rPr>
          <w:rFonts w:hint="eastAsia" w:ascii="黑体" w:hAnsi="黑体" w:eastAsia="黑体"/>
        </w:rPr>
        <w:t>第一部分</w:t>
      </w:r>
      <w:r>
        <w:rPr>
          <w:rFonts w:ascii="黑体" w:hAnsi="黑体" w:eastAsia="黑体"/>
        </w:rPr>
        <w:t xml:space="preserve"> </w:t>
      </w:r>
      <w:r>
        <w:rPr>
          <w:rFonts w:hint="eastAsia" w:ascii="黑体" w:hAnsi="黑体" w:eastAsia="黑体"/>
          <w:lang w:eastAsia="zh-CN"/>
        </w:rPr>
        <w:t>单位</w:t>
      </w:r>
      <w:r>
        <w:rPr>
          <w:rFonts w:hint="eastAsia" w:ascii="黑体" w:hAnsi="黑体" w:eastAsia="黑体"/>
        </w:rPr>
        <w:t>概况</w:t>
      </w:r>
      <w:r>
        <w:tab/>
      </w:r>
      <w:r>
        <w:fldChar w:fldCharType="begin"/>
      </w:r>
      <w:r>
        <w:instrText xml:space="preserve"> PAGEREF _Toc7154 \h </w:instrText>
      </w:r>
      <w:r>
        <w:fldChar w:fldCharType="separate"/>
      </w:r>
      <w:r>
        <w:t>1</w:t>
      </w:r>
      <w:r>
        <w:fldChar w:fldCharType="end"/>
      </w:r>
      <w:r>
        <w:fldChar w:fldCharType="end"/>
      </w:r>
    </w:p>
    <w:p>
      <w:pPr>
        <w:pStyle w:val="40"/>
        <w:tabs>
          <w:tab w:val="right" w:leader="dot" w:pos="8306"/>
        </w:tabs>
      </w:pPr>
      <w:r>
        <w:fldChar w:fldCharType="begin"/>
      </w:r>
      <w:r>
        <w:instrText xml:space="preserve"> HYPERLINK \l "_Toc2420" </w:instrText>
      </w:r>
      <w:r>
        <w:fldChar w:fldCharType="separate"/>
      </w:r>
      <w:r>
        <w:rPr>
          <w:rFonts w:hint="eastAsia" w:ascii="黑体" w:hAnsi="黑体" w:eastAsia="黑体"/>
        </w:rPr>
        <w:t>一、</w:t>
      </w:r>
      <w:r>
        <w:rPr>
          <w:rFonts w:hint="eastAsia" w:ascii="黑体" w:hAnsi="黑体" w:eastAsia="黑体"/>
          <w:lang w:eastAsia="zh-CN"/>
        </w:rPr>
        <w:t>主要职责</w:t>
      </w:r>
      <w:r>
        <w:tab/>
      </w:r>
      <w:r>
        <w:fldChar w:fldCharType="begin"/>
      </w:r>
      <w:r>
        <w:instrText xml:space="preserve"> PAGEREF _Toc2420 \h </w:instrText>
      </w:r>
      <w:r>
        <w:fldChar w:fldCharType="separate"/>
      </w:r>
      <w:r>
        <w:t>1</w:t>
      </w:r>
      <w:r>
        <w:fldChar w:fldCharType="end"/>
      </w:r>
      <w:r>
        <w:fldChar w:fldCharType="end"/>
      </w:r>
    </w:p>
    <w:p>
      <w:pPr>
        <w:pStyle w:val="40"/>
        <w:tabs>
          <w:tab w:val="right" w:leader="dot" w:pos="8306"/>
        </w:tabs>
      </w:pPr>
      <w:r>
        <w:fldChar w:fldCharType="begin"/>
      </w:r>
      <w:r>
        <w:instrText xml:space="preserve"> HYPERLINK \l "_Toc9289" </w:instrText>
      </w:r>
      <w:r>
        <w:fldChar w:fldCharType="separate"/>
      </w:r>
      <w:r>
        <w:rPr>
          <w:rFonts w:hint="eastAsia" w:ascii="黑体" w:hAnsi="黑体" w:eastAsia="黑体"/>
          <w:lang w:val="en-US" w:eastAsia="zh-CN"/>
        </w:rPr>
        <w:t xml:space="preserve">二、 </w:t>
      </w:r>
      <w:r>
        <w:rPr>
          <w:rFonts w:hint="eastAsia" w:ascii="黑体" w:hAnsi="黑体" w:eastAsia="黑体"/>
          <w:highlight w:val="none"/>
          <w:lang w:val="en-US" w:eastAsia="zh-CN"/>
        </w:rPr>
        <w:t>机构设置</w:t>
      </w:r>
      <w:r>
        <w:tab/>
      </w:r>
      <w:r>
        <w:fldChar w:fldCharType="begin"/>
      </w:r>
      <w:r>
        <w:instrText xml:space="preserve"> PAGEREF _Toc9289 \h </w:instrText>
      </w:r>
      <w:r>
        <w:fldChar w:fldCharType="separate"/>
      </w:r>
      <w:r>
        <w:t>2</w:t>
      </w:r>
      <w:r>
        <w:fldChar w:fldCharType="end"/>
      </w:r>
      <w:r>
        <w:fldChar w:fldCharType="end"/>
      </w:r>
    </w:p>
    <w:p>
      <w:pPr>
        <w:pStyle w:val="42"/>
        <w:tabs>
          <w:tab w:val="right" w:leader="dot" w:pos="8306"/>
        </w:tabs>
      </w:pPr>
      <w:r>
        <w:fldChar w:fldCharType="begin"/>
      </w:r>
      <w:r>
        <w:instrText xml:space="preserve"> HYPERLINK \l "_Toc27629" </w:instrText>
      </w:r>
      <w:r>
        <w:fldChar w:fldCharType="separate"/>
      </w:r>
      <w:r>
        <w:rPr>
          <w:rFonts w:hint="eastAsia" w:ascii="黑体" w:hAnsi="黑体" w:eastAsia="黑体"/>
        </w:rPr>
        <w:t>第二部分</w:t>
      </w:r>
      <w:r>
        <w:rPr>
          <w:rFonts w:ascii="黑体" w:hAnsi="黑体" w:eastAsia="黑体"/>
        </w:rPr>
        <w:t xml:space="preserve"> </w:t>
      </w:r>
      <w:r>
        <w:rPr>
          <w:rFonts w:hint="eastAsia" w:ascii="黑体" w:hAnsi="黑体" w:eastAsia="黑体"/>
          <w:lang w:eastAsia="zh-CN"/>
        </w:rPr>
        <w:t>2022</w:t>
      </w:r>
      <w:r>
        <w:rPr>
          <w:rFonts w:hint="eastAsia" w:ascii="黑体" w:hAnsi="黑体" w:eastAsia="黑体"/>
        </w:rPr>
        <w:t>年度</w:t>
      </w:r>
      <w:r>
        <w:rPr>
          <w:rFonts w:hint="eastAsia" w:ascii="黑体" w:hAnsi="黑体" w:eastAsia="黑体"/>
          <w:lang w:eastAsia="zh-CN"/>
        </w:rPr>
        <w:t>单位</w:t>
      </w:r>
      <w:r>
        <w:rPr>
          <w:rFonts w:hint="eastAsia" w:ascii="黑体" w:hAnsi="黑体" w:eastAsia="黑体"/>
        </w:rPr>
        <w:t>决算情况说明</w:t>
      </w:r>
      <w:r>
        <w:tab/>
      </w:r>
      <w:r>
        <w:fldChar w:fldCharType="begin"/>
      </w:r>
      <w:r>
        <w:instrText xml:space="preserve"> PAGEREF _Toc27629 \h </w:instrText>
      </w:r>
      <w:r>
        <w:fldChar w:fldCharType="separate"/>
      </w:r>
      <w:r>
        <w:t>3</w:t>
      </w:r>
      <w:r>
        <w:fldChar w:fldCharType="end"/>
      </w:r>
      <w:r>
        <w:fldChar w:fldCharType="end"/>
      </w:r>
    </w:p>
    <w:p>
      <w:pPr>
        <w:pStyle w:val="40"/>
        <w:tabs>
          <w:tab w:val="right" w:leader="dot" w:pos="8306"/>
        </w:tabs>
      </w:pPr>
      <w:r>
        <w:fldChar w:fldCharType="begin"/>
      </w:r>
      <w:r>
        <w:instrText xml:space="preserve"> HYPERLINK \l "_Toc14537" </w:instrText>
      </w:r>
      <w:r>
        <w:fldChar w:fldCharType="separate"/>
      </w:r>
      <w:r>
        <w:rPr>
          <w:rFonts w:hint="default" w:ascii="黑体" w:hAnsi="黑体" w:eastAsia="黑体" w:cs="Times New Roman"/>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_Toc14537 \h </w:instrText>
      </w:r>
      <w:r>
        <w:fldChar w:fldCharType="separate"/>
      </w:r>
      <w:r>
        <w:t>3</w:t>
      </w:r>
      <w:r>
        <w:fldChar w:fldCharType="end"/>
      </w:r>
      <w:r>
        <w:fldChar w:fldCharType="end"/>
      </w:r>
    </w:p>
    <w:p>
      <w:pPr>
        <w:pStyle w:val="40"/>
        <w:tabs>
          <w:tab w:val="right" w:leader="dot" w:pos="8306"/>
        </w:tabs>
      </w:pPr>
      <w:r>
        <w:fldChar w:fldCharType="begin"/>
      </w:r>
      <w:r>
        <w:instrText xml:space="preserve"> HYPERLINK \l "_Toc14027" </w:instrText>
      </w:r>
      <w:r>
        <w:fldChar w:fldCharType="separate"/>
      </w:r>
      <w:r>
        <w:rPr>
          <w:rFonts w:hint="default" w:ascii="黑体" w:hAnsi="黑体" w:eastAsia="黑体" w:cs="Times New Roman"/>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_Toc14027 \h </w:instrText>
      </w:r>
      <w:r>
        <w:fldChar w:fldCharType="separate"/>
      </w:r>
      <w:r>
        <w:t>3</w:t>
      </w:r>
      <w:r>
        <w:fldChar w:fldCharType="end"/>
      </w:r>
      <w:r>
        <w:fldChar w:fldCharType="end"/>
      </w:r>
    </w:p>
    <w:p>
      <w:pPr>
        <w:pStyle w:val="40"/>
        <w:tabs>
          <w:tab w:val="right" w:leader="dot" w:pos="8306"/>
        </w:tabs>
      </w:pPr>
      <w:r>
        <w:fldChar w:fldCharType="begin"/>
      </w:r>
      <w:r>
        <w:instrText xml:space="preserve"> HYPERLINK \l "_Toc30756" </w:instrText>
      </w:r>
      <w:r>
        <w:fldChar w:fldCharType="separate"/>
      </w:r>
      <w:r>
        <w:rPr>
          <w:rFonts w:hint="default" w:ascii="黑体" w:hAnsi="黑体" w:eastAsia="黑体" w:cs="Times New Roman"/>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_Toc30756 \h </w:instrText>
      </w:r>
      <w:r>
        <w:fldChar w:fldCharType="separate"/>
      </w:r>
      <w:r>
        <w:t>4</w:t>
      </w:r>
      <w:r>
        <w:fldChar w:fldCharType="end"/>
      </w:r>
      <w:r>
        <w:fldChar w:fldCharType="end"/>
      </w:r>
    </w:p>
    <w:p>
      <w:pPr>
        <w:pStyle w:val="40"/>
        <w:tabs>
          <w:tab w:val="right" w:leader="dot" w:pos="8306"/>
        </w:tabs>
      </w:pPr>
      <w:r>
        <w:fldChar w:fldCharType="begin"/>
      </w:r>
      <w:r>
        <w:instrText xml:space="preserve"> HYPERLINK \l "_Toc19592"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_Toc19592 \h </w:instrText>
      </w:r>
      <w:r>
        <w:fldChar w:fldCharType="separate"/>
      </w:r>
      <w:r>
        <w:t>4</w:t>
      </w:r>
      <w:r>
        <w:fldChar w:fldCharType="end"/>
      </w:r>
      <w:r>
        <w:fldChar w:fldCharType="end"/>
      </w:r>
    </w:p>
    <w:p>
      <w:pPr>
        <w:pStyle w:val="40"/>
        <w:tabs>
          <w:tab w:val="right" w:leader="dot" w:pos="8306"/>
        </w:tabs>
      </w:pPr>
      <w:r>
        <w:fldChar w:fldCharType="begin"/>
      </w:r>
      <w:r>
        <w:instrText xml:space="preserve"> HYPERLINK \l "_Toc30054"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_Toc30054 \h </w:instrText>
      </w:r>
      <w:r>
        <w:fldChar w:fldCharType="separate"/>
      </w:r>
      <w:r>
        <w:t>5</w:t>
      </w:r>
      <w:r>
        <w:fldChar w:fldCharType="end"/>
      </w:r>
      <w:r>
        <w:fldChar w:fldCharType="end"/>
      </w:r>
    </w:p>
    <w:p>
      <w:pPr>
        <w:pStyle w:val="40"/>
        <w:tabs>
          <w:tab w:val="right" w:leader="dot" w:pos="8306"/>
        </w:tabs>
      </w:pPr>
      <w:r>
        <w:fldChar w:fldCharType="begin"/>
      </w:r>
      <w:r>
        <w:instrText xml:space="preserve"> HYPERLINK \l "_Toc8781"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_Toc8781 \h </w:instrText>
      </w:r>
      <w:r>
        <w:fldChar w:fldCharType="separate"/>
      </w:r>
      <w:r>
        <w:t>7</w:t>
      </w:r>
      <w:r>
        <w:fldChar w:fldCharType="end"/>
      </w:r>
      <w:r>
        <w:fldChar w:fldCharType="end"/>
      </w:r>
    </w:p>
    <w:p>
      <w:pPr>
        <w:pStyle w:val="40"/>
        <w:tabs>
          <w:tab w:val="right" w:leader="dot" w:pos="8306"/>
        </w:tabs>
      </w:pPr>
      <w:r>
        <w:fldChar w:fldCharType="begin"/>
      </w:r>
      <w:r>
        <w:instrText xml:space="preserve"> HYPERLINK \l "_Toc6399" </w:instrText>
      </w:r>
      <w:r>
        <w:fldChar w:fldCharType="separate"/>
      </w:r>
      <w:r>
        <w:rPr>
          <w:rFonts w:hint="eastAsia" w:ascii="黑体" w:eastAsia="黑体"/>
          <w:szCs w:val="32"/>
        </w:rPr>
        <w:t>七、</w:t>
      </w:r>
      <w:r>
        <w:rPr>
          <w:rFonts w:hint="eastAsia" w:ascii="黑体" w:hAnsi="黑体" w:eastAsia="黑体"/>
        </w:rPr>
        <w:t>“三公”经费财政拨款支出决算情况说明</w:t>
      </w:r>
      <w:r>
        <w:tab/>
      </w:r>
      <w:r>
        <w:fldChar w:fldCharType="begin"/>
      </w:r>
      <w:r>
        <w:instrText xml:space="preserve"> PAGEREF _Toc6399 \h </w:instrText>
      </w:r>
      <w:r>
        <w:fldChar w:fldCharType="separate"/>
      </w:r>
      <w:r>
        <w:t>7</w:t>
      </w:r>
      <w:r>
        <w:fldChar w:fldCharType="end"/>
      </w:r>
      <w:r>
        <w:fldChar w:fldCharType="end"/>
      </w:r>
    </w:p>
    <w:p>
      <w:pPr>
        <w:pStyle w:val="40"/>
        <w:tabs>
          <w:tab w:val="right" w:leader="dot" w:pos="8306"/>
        </w:tabs>
      </w:pPr>
      <w:r>
        <w:fldChar w:fldCharType="begin"/>
      </w:r>
      <w:r>
        <w:instrText xml:space="preserve"> HYPERLINK \l "_Toc8042"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_Toc8042 \h </w:instrText>
      </w:r>
      <w:r>
        <w:fldChar w:fldCharType="separate"/>
      </w:r>
      <w:r>
        <w:t>8</w:t>
      </w:r>
      <w:r>
        <w:fldChar w:fldCharType="end"/>
      </w:r>
      <w:r>
        <w:fldChar w:fldCharType="end"/>
      </w:r>
    </w:p>
    <w:p>
      <w:pPr>
        <w:pStyle w:val="40"/>
        <w:tabs>
          <w:tab w:val="right" w:leader="dot" w:pos="8306"/>
        </w:tabs>
      </w:pPr>
      <w:r>
        <w:fldChar w:fldCharType="begin"/>
      </w:r>
      <w:r>
        <w:instrText xml:space="preserve"> HYPERLINK \l "_Toc3019" </w:instrText>
      </w:r>
      <w:r>
        <w:fldChar w:fldCharType="separate"/>
      </w:r>
      <w:r>
        <w:rPr>
          <w:rFonts w:hint="eastAsia" w:ascii="黑体" w:hAnsi="黑体" w:eastAsia="黑体" w:cs="Times New Roman"/>
        </w:rPr>
        <w:t xml:space="preserve">九、 </w:t>
      </w:r>
      <w:r>
        <w:rPr>
          <w:rFonts w:hint="eastAsia" w:ascii="黑体" w:hAnsi="黑体" w:eastAsia="黑体"/>
        </w:rPr>
        <w:t>国有资本经营预算支出决算情况说明</w:t>
      </w:r>
      <w:r>
        <w:tab/>
      </w:r>
      <w:r>
        <w:fldChar w:fldCharType="begin"/>
      </w:r>
      <w:r>
        <w:instrText xml:space="preserve"> PAGEREF _Toc3019 \h </w:instrText>
      </w:r>
      <w:r>
        <w:fldChar w:fldCharType="separate"/>
      </w:r>
      <w:r>
        <w:t>8</w:t>
      </w:r>
      <w:r>
        <w:fldChar w:fldCharType="end"/>
      </w:r>
      <w:r>
        <w:fldChar w:fldCharType="end"/>
      </w:r>
    </w:p>
    <w:p>
      <w:pPr>
        <w:pStyle w:val="40"/>
        <w:tabs>
          <w:tab w:val="right" w:leader="dot" w:pos="8306"/>
        </w:tabs>
      </w:pPr>
      <w:r>
        <w:fldChar w:fldCharType="begin"/>
      </w:r>
      <w:r>
        <w:instrText xml:space="preserve"> HYPERLINK \l "_Toc25184" </w:instrText>
      </w:r>
      <w:r>
        <w:fldChar w:fldCharType="separate"/>
      </w:r>
      <w:r>
        <w:rPr>
          <w:rFonts w:hint="eastAsia" w:ascii="黑体" w:hAnsi="黑体" w:eastAsia="黑体" w:cs="Times New Roman"/>
        </w:rPr>
        <w:t xml:space="preserve">十、 </w:t>
      </w:r>
      <w:r>
        <w:rPr>
          <w:rFonts w:hint="eastAsia" w:ascii="黑体" w:hAnsi="黑体" w:eastAsia="黑体"/>
          <w:highlight w:val="none"/>
        </w:rPr>
        <w:t>其他重要事项的情况说明</w:t>
      </w:r>
      <w:r>
        <w:tab/>
      </w:r>
      <w:r>
        <w:fldChar w:fldCharType="begin"/>
      </w:r>
      <w:r>
        <w:instrText xml:space="preserve"> PAGEREF _Toc25184 \h </w:instrText>
      </w:r>
      <w:r>
        <w:fldChar w:fldCharType="separate"/>
      </w:r>
      <w:r>
        <w:t>8</w:t>
      </w:r>
      <w:r>
        <w:fldChar w:fldCharType="end"/>
      </w:r>
      <w:r>
        <w:fldChar w:fldCharType="end"/>
      </w:r>
    </w:p>
    <w:p>
      <w:pPr>
        <w:pStyle w:val="53"/>
        <w:tabs>
          <w:tab w:val="right" w:leader="dot" w:pos="8306"/>
        </w:tabs>
      </w:pPr>
      <w:r>
        <w:fldChar w:fldCharType="begin"/>
      </w:r>
      <w:r>
        <w:instrText xml:space="preserve"> HYPERLINK \l "_Toc8805" </w:instrText>
      </w:r>
      <w:r>
        <w:fldChar w:fldCharType="separate"/>
      </w:r>
      <w:r>
        <w:rPr>
          <w:rFonts w:hint="eastAsia" w:ascii="仿宋" w:hAnsi="仿宋" w:eastAsia="仿宋"/>
          <w:szCs w:val="32"/>
          <w:highlight w:val="none"/>
        </w:rPr>
        <w:t>（一）</w:t>
      </w:r>
      <w:r>
        <w:rPr>
          <w:rFonts w:hint="eastAsia" w:ascii="仿宋" w:hAnsi="仿宋" w:eastAsia="仿宋"/>
          <w:szCs w:val="32"/>
          <w:highlight w:val="none"/>
          <w:lang w:eastAsia="zh-CN"/>
        </w:rPr>
        <w:t>单位</w:t>
      </w:r>
      <w:r>
        <w:rPr>
          <w:rFonts w:hint="eastAsia" w:ascii="仿宋" w:hAnsi="仿宋" w:eastAsia="仿宋"/>
          <w:szCs w:val="32"/>
          <w:highlight w:val="none"/>
        </w:rPr>
        <w:t>运行经费支出情况</w:t>
      </w:r>
      <w:r>
        <w:tab/>
      </w:r>
      <w:r>
        <w:fldChar w:fldCharType="begin"/>
      </w:r>
      <w:r>
        <w:instrText xml:space="preserve"> PAGEREF _Toc8805 \h </w:instrText>
      </w:r>
      <w:r>
        <w:fldChar w:fldCharType="separate"/>
      </w:r>
      <w:r>
        <w:t>8</w:t>
      </w:r>
      <w:r>
        <w:fldChar w:fldCharType="end"/>
      </w:r>
      <w:r>
        <w:fldChar w:fldCharType="end"/>
      </w:r>
    </w:p>
    <w:p>
      <w:pPr>
        <w:pStyle w:val="53"/>
        <w:tabs>
          <w:tab w:val="right" w:leader="dot" w:pos="8306"/>
        </w:tabs>
      </w:pPr>
      <w:r>
        <w:fldChar w:fldCharType="begin"/>
      </w:r>
      <w:r>
        <w:instrText xml:space="preserve"> HYPERLINK \l "_Toc4662" </w:instrText>
      </w:r>
      <w:r>
        <w:fldChar w:fldCharType="separate"/>
      </w:r>
      <w:r>
        <w:rPr>
          <w:rFonts w:hint="eastAsia" w:ascii="仿宋" w:hAnsi="仿宋" w:eastAsia="仿宋"/>
          <w:szCs w:val="32"/>
          <w:highlight w:val="none"/>
        </w:rPr>
        <w:t>（二）政府采购支出情况</w:t>
      </w:r>
      <w:r>
        <w:tab/>
      </w:r>
      <w:r>
        <w:fldChar w:fldCharType="begin"/>
      </w:r>
      <w:r>
        <w:instrText xml:space="preserve"> PAGEREF _Toc4662 \h </w:instrText>
      </w:r>
      <w:r>
        <w:fldChar w:fldCharType="separate"/>
      </w:r>
      <w:r>
        <w:t>9</w:t>
      </w:r>
      <w:r>
        <w:fldChar w:fldCharType="end"/>
      </w:r>
      <w:r>
        <w:fldChar w:fldCharType="end"/>
      </w:r>
    </w:p>
    <w:p>
      <w:pPr>
        <w:pStyle w:val="53"/>
        <w:tabs>
          <w:tab w:val="right" w:leader="dot" w:pos="8306"/>
        </w:tabs>
      </w:pPr>
      <w:r>
        <w:fldChar w:fldCharType="begin"/>
      </w:r>
      <w:r>
        <w:instrText xml:space="preserve"> HYPERLINK \l "_Toc402" </w:instrText>
      </w:r>
      <w:r>
        <w:fldChar w:fldCharType="separate"/>
      </w:r>
      <w:r>
        <w:rPr>
          <w:rFonts w:hint="eastAsia" w:ascii="仿宋" w:hAnsi="仿宋" w:eastAsia="仿宋"/>
          <w:szCs w:val="32"/>
          <w:highlight w:val="none"/>
        </w:rPr>
        <w:t>（三）国有资产占有使用情况</w:t>
      </w:r>
      <w:r>
        <w:tab/>
      </w:r>
      <w:r>
        <w:fldChar w:fldCharType="begin"/>
      </w:r>
      <w:r>
        <w:instrText xml:space="preserve"> PAGEREF _Toc402 \h </w:instrText>
      </w:r>
      <w:r>
        <w:fldChar w:fldCharType="separate"/>
      </w:r>
      <w:r>
        <w:t>9</w:t>
      </w:r>
      <w:r>
        <w:fldChar w:fldCharType="end"/>
      </w:r>
      <w:r>
        <w:fldChar w:fldCharType="end"/>
      </w:r>
    </w:p>
    <w:p>
      <w:pPr>
        <w:pStyle w:val="53"/>
        <w:tabs>
          <w:tab w:val="right" w:leader="dot" w:pos="8306"/>
        </w:tabs>
      </w:pPr>
      <w:r>
        <w:fldChar w:fldCharType="begin"/>
      </w:r>
      <w:r>
        <w:instrText xml:space="preserve"> HYPERLINK \l "_Toc19399" </w:instrText>
      </w:r>
      <w:r>
        <w:fldChar w:fldCharType="separate"/>
      </w:r>
      <w:r>
        <w:rPr>
          <w:rFonts w:hint="eastAsia" w:ascii="仿宋" w:hAnsi="仿宋" w:eastAsia="仿宋"/>
          <w:szCs w:val="32"/>
          <w:highlight w:val="none"/>
        </w:rPr>
        <w:t>（四）预算绩效管理情况</w:t>
      </w:r>
      <w:r>
        <w:tab/>
      </w:r>
      <w:r>
        <w:fldChar w:fldCharType="begin"/>
      </w:r>
      <w:r>
        <w:instrText xml:space="preserve"> PAGEREF _Toc19399 \h </w:instrText>
      </w:r>
      <w:r>
        <w:fldChar w:fldCharType="separate"/>
      </w:r>
      <w:r>
        <w:t>9</w:t>
      </w:r>
      <w:r>
        <w:fldChar w:fldCharType="end"/>
      </w:r>
      <w:r>
        <w:fldChar w:fldCharType="end"/>
      </w:r>
    </w:p>
    <w:p>
      <w:pPr>
        <w:pStyle w:val="42"/>
        <w:tabs>
          <w:tab w:val="right" w:leader="dot" w:pos="8306"/>
        </w:tabs>
      </w:pPr>
      <w:r>
        <w:fldChar w:fldCharType="begin"/>
      </w:r>
      <w:r>
        <w:instrText xml:space="preserve"> HYPERLINK \l "_Toc26177" </w:instrText>
      </w:r>
      <w:r>
        <w:fldChar w:fldCharType="separate"/>
      </w:r>
      <w:r>
        <w:rPr>
          <w:rFonts w:hint="eastAsia" w:ascii="宋体" w:cs="Times New Roman"/>
          <w:szCs w:val="44"/>
        </w:rPr>
        <w:t xml:space="preserve">第三部分 </w:t>
      </w:r>
      <w:r>
        <w:rPr>
          <w:rFonts w:hint="eastAsia" w:ascii="黑体" w:hAnsi="黑体" w:eastAsia="黑体"/>
          <w:szCs w:val="44"/>
        </w:rPr>
        <w:t>名</w:t>
      </w:r>
      <w:r>
        <w:rPr>
          <w:rFonts w:hint="eastAsia" w:ascii="黑体" w:hAnsi="黑体" w:eastAsia="黑体"/>
        </w:rPr>
        <w:t>词解释</w:t>
      </w:r>
      <w:r>
        <w:tab/>
      </w:r>
      <w:r>
        <w:fldChar w:fldCharType="begin"/>
      </w:r>
      <w:r>
        <w:instrText xml:space="preserve"> PAGEREF _Toc26177 \h </w:instrText>
      </w:r>
      <w:r>
        <w:fldChar w:fldCharType="separate"/>
      </w:r>
      <w:r>
        <w:t>13</w:t>
      </w:r>
      <w:r>
        <w:fldChar w:fldCharType="end"/>
      </w:r>
      <w:r>
        <w:fldChar w:fldCharType="end"/>
      </w:r>
    </w:p>
    <w:p>
      <w:pPr>
        <w:pStyle w:val="42"/>
        <w:tabs>
          <w:tab w:val="right" w:leader="dot" w:pos="8306"/>
        </w:tabs>
      </w:pPr>
      <w:r>
        <w:fldChar w:fldCharType="begin"/>
      </w:r>
      <w:r>
        <w:instrText xml:space="preserve"> HYPERLINK \l "_Toc9656" </w:instrText>
      </w:r>
      <w:r>
        <w:fldChar w:fldCharType="separate"/>
      </w:r>
      <w:r>
        <w:rPr>
          <w:rFonts w:hint="eastAsia" w:ascii="黑体" w:hAnsi="黑体" w:eastAsia="黑体"/>
          <w:szCs w:val="44"/>
        </w:rPr>
        <w:t>第</w:t>
      </w:r>
      <w:r>
        <w:rPr>
          <w:rFonts w:hint="eastAsia" w:ascii="黑体" w:hAnsi="黑体" w:eastAsia="黑体"/>
        </w:rPr>
        <w:t>四部分</w:t>
      </w:r>
      <w:r>
        <w:rPr>
          <w:rFonts w:ascii="黑体" w:hAnsi="黑体" w:eastAsia="黑体"/>
        </w:rPr>
        <w:t xml:space="preserve"> </w:t>
      </w:r>
      <w:r>
        <w:rPr>
          <w:rFonts w:hint="eastAsia" w:ascii="黑体" w:hAnsi="黑体" w:eastAsia="黑体"/>
        </w:rPr>
        <w:t>附件</w:t>
      </w:r>
      <w:r>
        <w:tab/>
      </w:r>
      <w:r>
        <w:fldChar w:fldCharType="begin"/>
      </w:r>
      <w:r>
        <w:instrText xml:space="preserve"> PAGEREF _Toc9656 \h </w:instrText>
      </w:r>
      <w:r>
        <w:fldChar w:fldCharType="separate"/>
      </w:r>
      <w:r>
        <w:t>16</w:t>
      </w:r>
      <w:r>
        <w:fldChar w:fldCharType="end"/>
      </w:r>
      <w:r>
        <w:fldChar w:fldCharType="end"/>
      </w:r>
    </w:p>
    <w:p>
      <w:pPr>
        <w:pStyle w:val="42"/>
        <w:tabs>
          <w:tab w:val="right" w:leader="dot" w:pos="8306"/>
        </w:tabs>
      </w:pPr>
      <w:r>
        <w:fldChar w:fldCharType="begin"/>
      </w:r>
      <w:r>
        <w:instrText xml:space="preserve"> HYPERLINK \l "_Toc31696" </w:instrText>
      </w:r>
      <w:r>
        <w:fldChar w:fldCharType="separate"/>
      </w:r>
      <w:r>
        <w:rPr>
          <w:rFonts w:hint="eastAsia" w:ascii="黑体" w:hAnsi="黑体" w:eastAsia="黑体"/>
          <w:szCs w:val="44"/>
          <w:highlight w:val="none"/>
        </w:rPr>
        <w:t>第</w:t>
      </w:r>
      <w:r>
        <w:rPr>
          <w:rFonts w:hint="eastAsia" w:ascii="黑体" w:hAnsi="黑体" w:eastAsia="黑体"/>
          <w:highlight w:val="none"/>
        </w:rPr>
        <w:t>五部分 附表</w:t>
      </w:r>
      <w:r>
        <w:tab/>
      </w:r>
      <w:r>
        <w:fldChar w:fldCharType="begin"/>
      </w:r>
      <w:r>
        <w:instrText xml:space="preserve"> PAGEREF _Toc31696 \h </w:instrText>
      </w:r>
      <w:r>
        <w:fldChar w:fldCharType="separate"/>
      </w:r>
      <w:r>
        <w:t>24</w:t>
      </w:r>
      <w:r>
        <w:fldChar w:fldCharType="end"/>
      </w:r>
      <w:r>
        <w:fldChar w:fldCharType="end"/>
      </w:r>
    </w:p>
    <w:p>
      <w:pPr>
        <w:pStyle w:val="40"/>
        <w:tabs>
          <w:tab w:val="right" w:leader="dot" w:pos="8306"/>
        </w:tabs>
      </w:pPr>
      <w:r>
        <w:fldChar w:fldCharType="begin"/>
      </w:r>
      <w:r>
        <w:instrText xml:space="preserve"> HYPERLINK \l "_Toc1851" </w:instrText>
      </w:r>
      <w:r>
        <w:fldChar w:fldCharType="separate"/>
      </w:r>
      <w:r>
        <w:rPr>
          <w:rFonts w:hint="eastAsia" w:ascii="仿宋" w:hAnsi="仿宋" w:eastAsia="仿宋" w:cs="Times New Roman"/>
          <w:bCs w:val="0"/>
          <w:lang w:val="en-US" w:eastAsia="zh-CN" w:bidi="ar-SA"/>
        </w:rPr>
        <w:t xml:space="preserve">一、 </w:t>
      </w:r>
      <w:r>
        <w:rPr>
          <w:rFonts w:hint="eastAsia" w:ascii="仿宋" w:hAnsi="仿宋" w:eastAsia="仿宋" w:cs="Times New Roman"/>
          <w:bCs w:val="0"/>
          <w:highlight w:val="none"/>
          <w:lang w:val="en-US" w:eastAsia="zh-CN" w:bidi="ar-SA"/>
        </w:rPr>
        <w:t>收入支出决算总表</w:t>
      </w:r>
      <w:r>
        <w:tab/>
      </w:r>
      <w:r>
        <w:fldChar w:fldCharType="begin"/>
      </w:r>
      <w:r>
        <w:instrText xml:space="preserve"> PAGEREF _Toc1851 \h </w:instrText>
      </w:r>
      <w:r>
        <w:fldChar w:fldCharType="separate"/>
      </w:r>
      <w:r>
        <w:t>24</w:t>
      </w:r>
      <w:r>
        <w:fldChar w:fldCharType="end"/>
      </w:r>
      <w:r>
        <w:fldChar w:fldCharType="end"/>
      </w:r>
    </w:p>
    <w:p>
      <w:pPr>
        <w:pStyle w:val="40"/>
        <w:tabs>
          <w:tab w:val="right" w:leader="dot" w:pos="8306"/>
        </w:tabs>
      </w:pPr>
      <w:r>
        <w:fldChar w:fldCharType="begin"/>
      </w:r>
      <w:r>
        <w:instrText xml:space="preserve"> HYPERLINK \l "_Toc5941" </w:instrText>
      </w:r>
      <w:r>
        <w:fldChar w:fldCharType="separate"/>
      </w:r>
      <w:r>
        <w:rPr>
          <w:rFonts w:hint="eastAsia" w:ascii="仿宋" w:hAnsi="仿宋" w:eastAsia="仿宋" w:cs="Times New Roman"/>
          <w:bCs w:val="0"/>
          <w:lang w:val="en-US" w:eastAsia="zh-CN" w:bidi="ar-SA"/>
        </w:rPr>
        <w:t xml:space="preserve">二、 </w:t>
      </w:r>
      <w:r>
        <w:rPr>
          <w:rFonts w:hint="eastAsia" w:ascii="仿宋" w:hAnsi="仿宋" w:eastAsia="仿宋" w:cs="Times New Roman"/>
          <w:bCs w:val="0"/>
          <w:highlight w:val="none"/>
          <w:lang w:val="en-US" w:eastAsia="zh-CN" w:bidi="ar-SA"/>
        </w:rPr>
        <w:t>收入决算表</w:t>
      </w:r>
      <w:r>
        <w:tab/>
      </w:r>
      <w:r>
        <w:fldChar w:fldCharType="begin"/>
      </w:r>
      <w:r>
        <w:instrText xml:space="preserve"> PAGEREF _Toc5941 \h </w:instrText>
      </w:r>
      <w:r>
        <w:fldChar w:fldCharType="separate"/>
      </w:r>
      <w:r>
        <w:t>24</w:t>
      </w:r>
      <w:r>
        <w:fldChar w:fldCharType="end"/>
      </w:r>
      <w:r>
        <w:fldChar w:fldCharType="end"/>
      </w:r>
    </w:p>
    <w:p>
      <w:pPr>
        <w:pStyle w:val="40"/>
        <w:tabs>
          <w:tab w:val="right" w:leader="dot" w:pos="8306"/>
        </w:tabs>
      </w:pPr>
      <w:r>
        <w:fldChar w:fldCharType="begin"/>
      </w:r>
      <w:r>
        <w:instrText xml:space="preserve"> HYPERLINK \l "_Toc17217" </w:instrText>
      </w:r>
      <w:r>
        <w:fldChar w:fldCharType="separate"/>
      </w:r>
      <w:r>
        <w:rPr>
          <w:rFonts w:hint="eastAsia" w:ascii="仿宋" w:hAnsi="仿宋" w:eastAsia="仿宋" w:cs="Times New Roman"/>
          <w:bCs w:val="0"/>
          <w:lang w:val="en-US" w:eastAsia="zh-CN" w:bidi="ar-SA"/>
        </w:rPr>
        <w:t xml:space="preserve">三、 </w:t>
      </w:r>
      <w:r>
        <w:rPr>
          <w:rFonts w:hint="eastAsia" w:ascii="仿宋" w:hAnsi="仿宋" w:eastAsia="仿宋" w:cs="Times New Roman"/>
          <w:bCs w:val="0"/>
          <w:highlight w:val="none"/>
          <w:lang w:val="en-US" w:eastAsia="zh-CN" w:bidi="ar-SA"/>
        </w:rPr>
        <w:t>支出决算表</w:t>
      </w:r>
      <w:r>
        <w:tab/>
      </w:r>
      <w:r>
        <w:fldChar w:fldCharType="begin"/>
      </w:r>
      <w:r>
        <w:instrText xml:space="preserve"> PAGEREF _Toc17217 \h </w:instrText>
      </w:r>
      <w:r>
        <w:fldChar w:fldCharType="separate"/>
      </w:r>
      <w:r>
        <w:t>24</w:t>
      </w:r>
      <w:r>
        <w:fldChar w:fldCharType="end"/>
      </w:r>
      <w:r>
        <w:fldChar w:fldCharType="end"/>
      </w:r>
    </w:p>
    <w:p>
      <w:pPr>
        <w:pStyle w:val="40"/>
        <w:tabs>
          <w:tab w:val="right" w:leader="dot" w:pos="8306"/>
        </w:tabs>
      </w:pPr>
      <w:r>
        <w:fldChar w:fldCharType="begin"/>
      </w:r>
      <w:r>
        <w:instrText xml:space="preserve"> HYPERLINK \l "_Toc4898" </w:instrText>
      </w:r>
      <w:r>
        <w:fldChar w:fldCharType="separate"/>
      </w:r>
      <w:r>
        <w:rPr>
          <w:rFonts w:hint="eastAsia" w:ascii="仿宋" w:hAnsi="仿宋" w:eastAsia="仿宋" w:cs="Times New Roman"/>
          <w:bCs w:val="0"/>
          <w:lang w:val="en-US" w:eastAsia="zh-CN" w:bidi="ar-SA"/>
        </w:rPr>
        <w:t xml:space="preserve">四、 </w:t>
      </w:r>
      <w:r>
        <w:rPr>
          <w:rFonts w:hint="eastAsia" w:ascii="仿宋" w:hAnsi="仿宋" w:eastAsia="仿宋" w:cs="Times New Roman"/>
          <w:bCs w:val="0"/>
          <w:highlight w:val="none"/>
          <w:lang w:val="en-US" w:eastAsia="zh-CN" w:bidi="ar-SA"/>
        </w:rPr>
        <w:t>财政拨款收入支出决算总表</w:t>
      </w:r>
      <w:r>
        <w:tab/>
      </w:r>
      <w:r>
        <w:fldChar w:fldCharType="begin"/>
      </w:r>
      <w:r>
        <w:instrText xml:space="preserve"> PAGEREF _Toc4898 \h </w:instrText>
      </w:r>
      <w:r>
        <w:fldChar w:fldCharType="separate"/>
      </w:r>
      <w:r>
        <w:t>24</w:t>
      </w:r>
      <w:r>
        <w:fldChar w:fldCharType="end"/>
      </w:r>
      <w:r>
        <w:fldChar w:fldCharType="end"/>
      </w:r>
    </w:p>
    <w:p>
      <w:pPr>
        <w:pStyle w:val="40"/>
        <w:tabs>
          <w:tab w:val="right" w:leader="dot" w:pos="8306"/>
        </w:tabs>
      </w:pPr>
      <w:r>
        <w:fldChar w:fldCharType="begin"/>
      </w:r>
      <w:r>
        <w:instrText xml:space="preserve"> HYPERLINK \l "_Toc12194" </w:instrText>
      </w:r>
      <w:r>
        <w:fldChar w:fldCharType="separate"/>
      </w:r>
      <w:r>
        <w:rPr>
          <w:rFonts w:hint="eastAsia" w:ascii="仿宋" w:hAnsi="仿宋" w:eastAsia="仿宋" w:cs="Times New Roman"/>
          <w:bCs w:val="0"/>
          <w:lang w:val="en-US" w:eastAsia="zh-CN" w:bidi="ar-SA"/>
        </w:rPr>
        <w:t xml:space="preserve">五、 </w:t>
      </w:r>
      <w:r>
        <w:rPr>
          <w:rFonts w:hint="eastAsia" w:ascii="仿宋" w:hAnsi="仿宋" w:eastAsia="仿宋" w:cs="Times New Roman"/>
          <w:bCs w:val="0"/>
          <w:highlight w:val="none"/>
          <w:lang w:val="en-US" w:eastAsia="zh-CN" w:bidi="ar-SA"/>
        </w:rPr>
        <w:t>财政拨款支出决算明细表</w:t>
      </w:r>
      <w:r>
        <w:tab/>
      </w:r>
      <w:r>
        <w:fldChar w:fldCharType="begin"/>
      </w:r>
      <w:r>
        <w:instrText xml:space="preserve"> PAGEREF _Toc12194 \h </w:instrText>
      </w:r>
      <w:r>
        <w:fldChar w:fldCharType="separate"/>
      </w:r>
      <w:r>
        <w:t>24</w:t>
      </w:r>
      <w:r>
        <w:fldChar w:fldCharType="end"/>
      </w:r>
      <w:r>
        <w:fldChar w:fldCharType="end"/>
      </w:r>
    </w:p>
    <w:p>
      <w:pPr>
        <w:pStyle w:val="40"/>
        <w:tabs>
          <w:tab w:val="right" w:leader="dot" w:pos="8306"/>
        </w:tabs>
      </w:pPr>
      <w:r>
        <w:fldChar w:fldCharType="begin"/>
      </w:r>
      <w:r>
        <w:instrText xml:space="preserve"> HYPERLINK \l "_Toc23849" </w:instrText>
      </w:r>
      <w:r>
        <w:fldChar w:fldCharType="separate"/>
      </w:r>
      <w:r>
        <w:rPr>
          <w:rFonts w:hint="eastAsia" w:ascii="仿宋" w:hAnsi="仿宋" w:eastAsia="仿宋" w:cs="Times New Roman"/>
          <w:bCs w:val="0"/>
          <w:lang w:val="en-US" w:eastAsia="zh-CN" w:bidi="ar-SA"/>
        </w:rPr>
        <w:t xml:space="preserve">六、 </w:t>
      </w:r>
      <w:r>
        <w:rPr>
          <w:rFonts w:hint="eastAsia" w:ascii="仿宋" w:hAnsi="仿宋" w:eastAsia="仿宋" w:cs="Times New Roman"/>
          <w:bCs w:val="0"/>
          <w:highlight w:val="none"/>
          <w:lang w:val="en-US" w:eastAsia="zh-CN" w:bidi="ar-SA"/>
        </w:rPr>
        <w:t>一般公共预算财政拨款支出决算表</w:t>
      </w:r>
      <w:r>
        <w:tab/>
      </w:r>
      <w:r>
        <w:fldChar w:fldCharType="begin"/>
      </w:r>
      <w:r>
        <w:instrText xml:space="preserve"> PAGEREF _Toc23849 \h </w:instrText>
      </w:r>
      <w:r>
        <w:fldChar w:fldCharType="separate"/>
      </w:r>
      <w:r>
        <w:t>24</w:t>
      </w:r>
      <w:r>
        <w:fldChar w:fldCharType="end"/>
      </w:r>
      <w:r>
        <w:fldChar w:fldCharType="end"/>
      </w:r>
    </w:p>
    <w:p>
      <w:pPr>
        <w:pStyle w:val="40"/>
        <w:tabs>
          <w:tab w:val="right" w:leader="dot" w:pos="8306"/>
        </w:tabs>
      </w:pPr>
      <w:r>
        <w:fldChar w:fldCharType="begin"/>
      </w:r>
      <w:r>
        <w:instrText xml:space="preserve"> HYPERLINK \l "_Toc5424" </w:instrText>
      </w:r>
      <w:r>
        <w:fldChar w:fldCharType="separate"/>
      </w:r>
      <w:r>
        <w:rPr>
          <w:rFonts w:hint="eastAsia" w:ascii="仿宋" w:hAnsi="仿宋" w:eastAsia="仿宋" w:cs="Times New Roman"/>
          <w:bCs w:val="0"/>
          <w:lang w:val="en-US" w:eastAsia="zh-CN" w:bidi="ar-SA"/>
        </w:rPr>
        <w:t xml:space="preserve">七、 </w:t>
      </w:r>
      <w:r>
        <w:rPr>
          <w:rFonts w:hint="eastAsia" w:ascii="仿宋" w:hAnsi="仿宋" w:eastAsia="仿宋" w:cs="Times New Roman"/>
          <w:bCs w:val="0"/>
          <w:highlight w:val="none"/>
          <w:lang w:val="en-US" w:eastAsia="zh-CN" w:bidi="ar-SA"/>
        </w:rPr>
        <w:t>一般公共预算财政拨款支出决算明细表</w:t>
      </w:r>
      <w:r>
        <w:tab/>
      </w:r>
      <w:r>
        <w:fldChar w:fldCharType="begin"/>
      </w:r>
      <w:r>
        <w:instrText xml:space="preserve"> PAGEREF _Toc5424 \h </w:instrText>
      </w:r>
      <w:r>
        <w:fldChar w:fldCharType="separate"/>
      </w:r>
      <w:r>
        <w:t>24</w:t>
      </w:r>
      <w:r>
        <w:fldChar w:fldCharType="end"/>
      </w:r>
      <w:r>
        <w:fldChar w:fldCharType="end"/>
      </w:r>
    </w:p>
    <w:p>
      <w:pPr>
        <w:pStyle w:val="40"/>
        <w:tabs>
          <w:tab w:val="right" w:leader="dot" w:pos="8306"/>
        </w:tabs>
      </w:pPr>
      <w:r>
        <w:fldChar w:fldCharType="begin"/>
      </w:r>
      <w:r>
        <w:instrText xml:space="preserve"> HYPERLINK \l "_Toc3640" </w:instrText>
      </w:r>
      <w:r>
        <w:fldChar w:fldCharType="separate"/>
      </w:r>
      <w:r>
        <w:rPr>
          <w:rFonts w:hint="eastAsia" w:ascii="仿宋" w:hAnsi="仿宋" w:eastAsia="仿宋" w:cs="Times New Roman"/>
          <w:bCs w:val="0"/>
          <w:lang w:val="en-US" w:eastAsia="zh-CN" w:bidi="ar-SA"/>
        </w:rPr>
        <w:t xml:space="preserve">八、 </w:t>
      </w:r>
      <w:r>
        <w:rPr>
          <w:rFonts w:hint="eastAsia" w:ascii="仿宋" w:hAnsi="仿宋" w:eastAsia="仿宋" w:cs="Times New Roman"/>
          <w:bCs w:val="0"/>
          <w:highlight w:val="none"/>
          <w:lang w:val="en-US" w:eastAsia="zh-CN" w:bidi="ar-SA"/>
        </w:rPr>
        <w:t>一般公共预算财政拨款基本支出决算表</w:t>
      </w:r>
      <w:r>
        <w:tab/>
      </w:r>
      <w:r>
        <w:fldChar w:fldCharType="begin"/>
      </w:r>
      <w:r>
        <w:instrText xml:space="preserve"> PAGEREF _Toc3640 \h </w:instrText>
      </w:r>
      <w:r>
        <w:fldChar w:fldCharType="separate"/>
      </w:r>
      <w:r>
        <w:t>24</w:t>
      </w:r>
      <w:r>
        <w:fldChar w:fldCharType="end"/>
      </w:r>
      <w:r>
        <w:fldChar w:fldCharType="end"/>
      </w:r>
    </w:p>
    <w:p>
      <w:pPr>
        <w:pStyle w:val="40"/>
        <w:tabs>
          <w:tab w:val="right" w:leader="dot" w:pos="8306"/>
        </w:tabs>
      </w:pPr>
      <w:r>
        <w:fldChar w:fldCharType="begin"/>
      </w:r>
      <w:r>
        <w:instrText xml:space="preserve"> HYPERLINK \l "_Toc22267" </w:instrText>
      </w:r>
      <w:r>
        <w:fldChar w:fldCharType="separate"/>
      </w:r>
      <w:r>
        <w:rPr>
          <w:rFonts w:hint="eastAsia" w:ascii="仿宋" w:hAnsi="仿宋" w:eastAsia="仿宋" w:cs="Times New Roman"/>
          <w:bCs w:val="0"/>
          <w:lang w:val="en-US" w:eastAsia="zh-CN" w:bidi="ar-SA"/>
        </w:rPr>
        <w:t xml:space="preserve">九、 </w:t>
      </w:r>
      <w:r>
        <w:rPr>
          <w:rFonts w:hint="eastAsia" w:ascii="仿宋" w:hAnsi="仿宋" w:eastAsia="仿宋" w:cs="Times New Roman"/>
          <w:bCs w:val="0"/>
          <w:highlight w:val="none"/>
          <w:lang w:val="en-US" w:eastAsia="zh-CN" w:bidi="ar-SA"/>
        </w:rPr>
        <w:t>一般公共预算财政拨款项目支出决算表</w:t>
      </w:r>
      <w:r>
        <w:tab/>
      </w:r>
      <w:r>
        <w:fldChar w:fldCharType="begin"/>
      </w:r>
      <w:r>
        <w:instrText xml:space="preserve"> PAGEREF _Toc22267 \h </w:instrText>
      </w:r>
      <w:r>
        <w:fldChar w:fldCharType="separate"/>
      </w:r>
      <w:r>
        <w:t>24</w:t>
      </w:r>
      <w:r>
        <w:fldChar w:fldCharType="end"/>
      </w:r>
      <w:r>
        <w:fldChar w:fldCharType="end"/>
      </w:r>
    </w:p>
    <w:p>
      <w:pPr>
        <w:pStyle w:val="40"/>
        <w:tabs>
          <w:tab w:val="right" w:leader="dot" w:pos="8306"/>
        </w:tabs>
      </w:pPr>
      <w:r>
        <w:fldChar w:fldCharType="begin"/>
      </w:r>
      <w:r>
        <w:instrText xml:space="preserve"> HYPERLINK \l "_Toc23438" </w:instrText>
      </w:r>
      <w:r>
        <w:fldChar w:fldCharType="separate"/>
      </w:r>
      <w:r>
        <w:rPr>
          <w:rFonts w:hint="eastAsia" w:ascii="仿宋" w:hAnsi="仿宋" w:eastAsia="仿宋" w:cs="Times New Roman"/>
          <w:bCs w:val="0"/>
          <w:lang w:val="en-US" w:eastAsia="zh-CN" w:bidi="ar-SA"/>
        </w:rPr>
        <w:t xml:space="preserve">十、 </w:t>
      </w:r>
      <w:r>
        <w:rPr>
          <w:rFonts w:hint="eastAsia" w:ascii="仿宋" w:hAnsi="仿宋" w:eastAsia="仿宋" w:cs="Times New Roman"/>
          <w:bCs w:val="0"/>
          <w:highlight w:val="none"/>
          <w:lang w:val="en-US" w:eastAsia="zh-CN" w:bidi="ar-SA"/>
        </w:rPr>
        <w:t>政府性基金预算财政拨款收入支出决算表</w:t>
      </w:r>
      <w:r>
        <w:tab/>
      </w:r>
      <w:r>
        <w:fldChar w:fldCharType="begin"/>
      </w:r>
      <w:r>
        <w:instrText xml:space="preserve"> PAGEREF _Toc23438 \h </w:instrText>
      </w:r>
      <w:r>
        <w:fldChar w:fldCharType="separate"/>
      </w:r>
      <w:r>
        <w:t>24</w:t>
      </w:r>
      <w:r>
        <w:fldChar w:fldCharType="end"/>
      </w:r>
      <w:r>
        <w:fldChar w:fldCharType="end"/>
      </w:r>
    </w:p>
    <w:p>
      <w:pPr>
        <w:pStyle w:val="40"/>
        <w:tabs>
          <w:tab w:val="right" w:leader="dot" w:pos="8306"/>
        </w:tabs>
      </w:pPr>
      <w:r>
        <w:fldChar w:fldCharType="begin"/>
      </w:r>
      <w:r>
        <w:instrText xml:space="preserve"> HYPERLINK \l "_Toc497" </w:instrText>
      </w:r>
      <w:r>
        <w:fldChar w:fldCharType="separate"/>
      </w:r>
      <w:r>
        <w:rPr>
          <w:rFonts w:hint="eastAsia" w:ascii="仿宋" w:hAnsi="仿宋" w:eastAsia="仿宋" w:cs="Times New Roman"/>
          <w:bCs w:val="0"/>
          <w:lang w:val="en-US" w:eastAsia="zh-CN" w:bidi="ar-SA"/>
        </w:rPr>
        <w:t xml:space="preserve">十一、 </w:t>
      </w:r>
      <w:r>
        <w:rPr>
          <w:rFonts w:hint="eastAsia" w:ascii="仿宋" w:hAnsi="仿宋" w:eastAsia="仿宋" w:cs="Times New Roman"/>
          <w:bCs w:val="0"/>
          <w:highlight w:val="none"/>
          <w:lang w:val="en-US" w:eastAsia="zh-CN" w:bidi="ar-SA"/>
        </w:rPr>
        <w:t>国有资本经营预算财政拨款收入支出决算表</w:t>
      </w:r>
      <w:r>
        <w:tab/>
      </w:r>
      <w:r>
        <w:fldChar w:fldCharType="begin"/>
      </w:r>
      <w:r>
        <w:instrText xml:space="preserve"> PAGEREF _Toc497 \h </w:instrText>
      </w:r>
      <w:r>
        <w:fldChar w:fldCharType="separate"/>
      </w:r>
      <w:r>
        <w:t>24</w:t>
      </w:r>
      <w:r>
        <w:fldChar w:fldCharType="end"/>
      </w:r>
      <w:r>
        <w:fldChar w:fldCharType="end"/>
      </w:r>
    </w:p>
    <w:p>
      <w:pPr>
        <w:pStyle w:val="40"/>
        <w:tabs>
          <w:tab w:val="right" w:leader="dot" w:pos="8306"/>
        </w:tabs>
      </w:pPr>
      <w:r>
        <w:fldChar w:fldCharType="begin"/>
      </w:r>
      <w:r>
        <w:instrText xml:space="preserve"> HYPERLINK \l "_Toc16487" </w:instrText>
      </w:r>
      <w:r>
        <w:fldChar w:fldCharType="separate"/>
      </w:r>
      <w:r>
        <w:rPr>
          <w:rFonts w:hint="eastAsia" w:ascii="仿宋" w:hAnsi="仿宋" w:eastAsia="仿宋" w:cs="Times New Roman"/>
          <w:bCs w:val="0"/>
          <w:lang w:val="en-US" w:eastAsia="zh-CN" w:bidi="ar-SA"/>
        </w:rPr>
        <w:t xml:space="preserve">十二、 </w:t>
      </w:r>
      <w:r>
        <w:rPr>
          <w:rFonts w:hint="eastAsia" w:ascii="仿宋" w:hAnsi="仿宋" w:eastAsia="仿宋" w:cs="Times New Roman"/>
          <w:bCs w:val="0"/>
          <w:highlight w:val="none"/>
          <w:lang w:val="en-US" w:eastAsia="zh-CN" w:bidi="ar-SA"/>
        </w:rPr>
        <w:t>国有资本经营预算财政拨款支出决算表</w:t>
      </w:r>
      <w:r>
        <w:tab/>
      </w:r>
      <w:r>
        <w:fldChar w:fldCharType="begin"/>
      </w:r>
      <w:r>
        <w:instrText xml:space="preserve"> PAGEREF _Toc16487 \h </w:instrText>
      </w:r>
      <w:r>
        <w:fldChar w:fldCharType="separate"/>
      </w:r>
      <w:r>
        <w:t>24</w:t>
      </w:r>
      <w:r>
        <w:fldChar w:fldCharType="end"/>
      </w:r>
      <w:r>
        <w:fldChar w:fldCharType="end"/>
      </w:r>
    </w:p>
    <w:p>
      <w:pPr>
        <w:pStyle w:val="40"/>
        <w:tabs>
          <w:tab w:val="right" w:leader="dot" w:pos="8306"/>
        </w:tabs>
      </w:pPr>
      <w:r>
        <w:fldChar w:fldCharType="begin"/>
      </w:r>
      <w:r>
        <w:instrText xml:space="preserve"> HYPERLINK \l "_Toc18007"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_Toc18007 \h </w:instrText>
      </w:r>
      <w:r>
        <w:fldChar w:fldCharType="separate"/>
      </w:r>
      <w:r>
        <w:t>24</w:t>
      </w:r>
      <w:r>
        <w:fldChar w:fldCharType="end"/>
      </w:r>
      <w:r>
        <w:fldChar w:fldCharType="end"/>
      </w:r>
    </w:p>
    <w:p>
      <w:pPr>
        <w:rPr>
          <w:rFonts w:hint="eastAsia"/>
          <w:lang w:val="en-US" w:eastAsia="zh-CN"/>
        </w:rPr>
      </w:pPr>
      <w:r>
        <w:rPr>
          <w:rFonts w:hint="eastAsia"/>
          <w:lang w:val="en-US" w:eastAsia="zh-CN"/>
        </w:rPr>
        <w:fldChar w:fldCharType="end"/>
      </w:r>
    </w:p>
    <w:p>
      <w:pPr>
        <w:pStyle w:val="27"/>
        <w:keepNext w:val="0"/>
        <w:keepLines w:val="0"/>
        <w:pageBreakBefore w:val="0"/>
        <w:widowControl w:val="0"/>
        <w:kinsoku/>
        <w:wordWrap/>
        <w:overflowPunct/>
        <w:topLinePunct w:val="0"/>
        <w:autoSpaceDE/>
        <w:autoSpaceDN/>
        <w:bidi w:val="0"/>
        <w:adjustRightInd w:val="0"/>
        <w:snapToGrid w:val="0"/>
        <w:spacing w:line="580" w:lineRule="exact"/>
        <w:jc w:val="left"/>
        <w:textAlignment w:val="auto"/>
        <w:rPr>
          <w:rFonts w:hint="eastAsia" w:ascii="宋体" w:hAnsi="宋体" w:eastAsia="宋体" w:cs="宋体"/>
          <w:sz w:val="24"/>
          <w:szCs w:val="24"/>
        </w:rPr>
      </w:pPr>
    </w:p>
    <w:p>
      <w:pPr>
        <w:pStyle w:val="5"/>
        <w:pageBreakBefore w:val="0"/>
        <w:kinsoku/>
        <w:wordWrap/>
        <w:overflowPunct/>
        <w:topLinePunct w:val="0"/>
        <w:bidi w:val="0"/>
        <w:spacing w:line="580" w:lineRule="exact"/>
        <w:jc w:val="both"/>
        <w:outlineLvl w:val="9"/>
        <w:rPr>
          <w:rFonts w:hint="eastAsia" w:ascii="黑体" w:hAnsi="黑体" w:eastAsia="黑体"/>
          <w:b w:val="0"/>
        </w:rPr>
        <w:sectPr>
          <w:footerReference r:id="rId5" w:type="default"/>
          <w:pgSz w:w="11906" w:h="16838"/>
          <w:pgMar w:top="1440" w:right="1800" w:bottom="1440" w:left="1800" w:header="851" w:footer="992" w:gutter="0"/>
          <w:pgNumType w:fmt="decimal" w:start="1"/>
          <w:cols w:space="720" w:num="1"/>
          <w:docGrid w:type="lines" w:linePitch="312" w:charSpace="0"/>
        </w:sectPr>
      </w:pPr>
      <w:bookmarkStart w:id="28" w:name="_Toc22876"/>
    </w:p>
    <w:p>
      <w:pPr>
        <w:pStyle w:val="5"/>
        <w:pageBreakBefore w:val="0"/>
        <w:kinsoku/>
        <w:wordWrap/>
        <w:overflowPunct/>
        <w:topLinePunct w:val="0"/>
        <w:bidi w:val="0"/>
        <w:spacing w:after="156" w:afterAutospacing="0" w:line="580" w:lineRule="exact"/>
        <w:jc w:val="center"/>
        <w:rPr>
          <w:rFonts w:ascii="黑体" w:eastAsia="黑体"/>
          <w:color w:val="000000"/>
          <w:sz w:val="32"/>
          <w:szCs w:val="32"/>
        </w:rPr>
      </w:pPr>
      <w:bookmarkStart w:id="29" w:name="_Toc8123"/>
      <w:bookmarkStart w:id="30" w:name="_Toc7154"/>
      <w:r>
        <w:rPr>
          <w:rFonts w:hint="eastAsia" w:ascii="黑体" w:hAnsi="黑体" w:eastAsia="黑体"/>
          <w:b w:val="0"/>
        </w:rPr>
        <w:t>第一部分</w:t>
      </w:r>
      <w:r>
        <w:rPr>
          <w:rFonts w:ascii="黑体" w:hAnsi="黑体" w:eastAsia="黑体"/>
          <w:b w:val="0"/>
        </w:rPr>
        <w:t xml:space="preserve"> </w:t>
      </w:r>
      <w:r>
        <w:rPr>
          <w:rStyle w:val="12"/>
          <w:rFonts w:hint="eastAsia" w:ascii="黑体" w:hAnsi="黑体" w:eastAsia="黑体"/>
          <w:b w:val="0"/>
          <w:bCs w:val="0"/>
          <w:lang w:eastAsia="zh-CN"/>
        </w:rPr>
        <w:t>单位</w:t>
      </w:r>
      <w:r>
        <w:rPr>
          <w:rStyle w:val="12"/>
          <w:rFonts w:hint="eastAsia" w:ascii="黑体" w:hAnsi="黑体" w:eastAsia="黑体"/>
          <w:b w:val="0"/>
          <w:bCs w:val="0"/>
        </w:rPr>
        <w:t>概况</w:t>
      </w:r>
      <w:bookmarkEnd w:id="26"/>
      <w:bookmarkEnd w:id="27"/>
      <w:bookmarkEnd w:id="28"/>
      <w:bookmarkEnd w:id="29"/>
      <w:bookmarkEnd w:id="30"/>
    </w:p>
    <w:p>
      <w:pPr>
        <w:pStyle w:val="6"/>
        <w:pageBreakBefore w:val="0"/>
        <w:kinsoku/>
        <w:wordWrap/>
        <w:overflowPunct/>
        <w:topLinePunct w:val="0"/>
        <w:bidi w:val="0"/>
        <w:spacing w:before="0" w:beforeAutospacing="0" w:after="0" w:afterAutospacing="0" w:line="580" w:lineRule="exact"/>
        <w:ind w:firstLine="640" w:firstLineChars="200"/>
        <w:rPr>
          <w:rFonts w:hint="eastAsia" w:ascii="黑体" w:hAnsi="黑体" w:eastAsia="黑体"/>
          <w:b w:val="0"/>
          <w:color w:val="000000"/>
          <w:lang w:eastAsia="zh-CN"/>
        </w:rPr>
      </w:pPr>
      <w:bookmarkStart w:id="31" w:name="_Toc12693"/>
      <w:bookmarkStart w:id="32" w:name="_Toc15377197"/>
      <w:bookmarkStart w:id="33" w:name="_Toc15396600"/>
      <w:bookmarkStart w:id="34" w:name="_Toc2420"/>
      <w:bookmarkStart w:id="35" w:name="_Toc17095"/>
      <w:r>
        <w:rPr>
          <w:rFonts w:hint="eastAsia" w:ascii="黑体" w:hAnsi="黑体" w:eastAsia="黑体"/>
          <w:b w:val="0"/>
          <w:color w:val="000000"/>
        </w:rPr>
        <w:t>一、</w:t>
      </w:r>
      <w:bookmarkEnd w:id="31"/>
      <w:bookmarkEnd w:id="32"/>
      <w:bookmarkEnd w:id="33"/>
      <w:r>
        <w:rPr>
          <w:rFonts w:hint="eastAsia" w:ascii="黑体" w:hAnsi="黑体" w:eastAsia="黑体"/>
          <w:b w:val="0"/>
          <w:color w:val="000000"/>
          <w:lang w:eastAsia="zh-CN"/>
        </w:rPr>
        <w:t>主要职责</w:t>
      </w:r>
      <w:bookmarkEnd w:id="34"/>
      <w:bookmarkEnd w:id="35"/>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both"/>
        <w:textAlignment w:val="auto"/>
        <w:outlineLvl w:val="2"/>
        <w:rPr>
          <w:rFonts w:hint="eastAsia" w:ascii="黑体" w:hAnsi="黑体" w:eastAsia="黑体" w:cs="黑体"/>
          <w:sz w:val="32"/>
          <w:szCs w:val="32"/>
          <w:lang w:val="en-US" w:eastAsia="zh-CN" w:bidi="ar-SA"/>
        </w:rPr>
      </w:pPr>
      <w:bookmarkStart w:id="36" w:name="_Toc17436"/>
      <w:r>
        <w:rPr>
          <w:rFonts w:hint="eastAsia" w:ascii="黑体" w:hAnsi="黑体" w:eastAsia="黑体" w:cs="黑体"/>
          <w:sz w:val="32"/>
          <w:szCs w:val="32"/>
          <w:lang w:val="en-US" w:eastAsia="zh-CN" w:bidi="ar-SA"/>
        </w:rPr>
        <w:t>（一）党风廉政工作开展情况</w:t>
      </w:r>
      <w:bookmarkEnd w:id="36"/>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bidi="ar-SA"/>
        </w:rPr>
        <w:t>为加强政治建设，提高认识，筑牢思想防线，组织干部职工认真学习党章及省、市、区各级会议文件精神，深入开展党史学习教育，全年集中开展学习18次，</w:t>
      </w:r>
      <w:r>
        <w:rPr>
          <w:rFonts w:hint="eastAsia" w:ascii="仿宋" w:hAnsi="仿宋" w:eastAsia="仿宋" w:cs="仿宋"/>
          <w:sz w:val="32"/>
          <w:szCs w:val="32"/>
          <w:lang w:val="en-US" w:eastAsia="zh-CN"/>
        </w:rPr>
        <w:t>其中开展党员教育学习10次，讲党课3次，开展主题党日5次，观看警示教育专片6次，组织开展志愿者服务活动8次</w:t>
      </w:r>
      <w:r>
        <w:rPr>
          <w:rFonts w:hint="eastAsia" w:ascii="仿宋" w:hAnsi="仿宋" w:eastAsia="仿宋" w:cs="仿宋"/>
          <w:sz w:val="32"/>
          <w:szCs w:val="32"/>
          <w:lang w:val="en-US" w:eastAsia="zh-CN" w:bidi="ar-SA"/>
        </w:rPr>
        <w:t>。</w:t>
      </w:r>
      <w:r>
        <w:rPr>
          <w:rFonts w:hint="eastAsia" w:ascii="仿宋" w:hAnsi="仿宋" w:eastAsia="仿宋" w:cs="仿宋"/>
          <w:sz w:val="32"/>
          <w:szCs w:val="32"/>
          <w:lang w:val="en-US" w:eastAsia="zh-CN"/>
        </w:rPr>
        <w:t>2022年新发展党员1人。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640" w:firstLineChars="200"/>
        <w:textAlignment w:val="auto"/>
        <w:outlineLvl w:val="2"/>
        <w:rPr>
          <w:rFonts w:hint="eastAsia" w:ascii="黑体" w:hAnsi="黑体" w:eastAsia="黑体" w:cs="黑体"/>
          <w:sz w:val="32"/>
          <w:szCs w:val="32"/>
          <w:lang w:eastAsia="zh-CN"/>
        </w:rPr>
      </w:pPr>
      <w:bookmarkStart w:id="37" w:name="_Toc20367"/>
      <w:r>
        <w:rPr>
          <w:rFonts w:hint="eastAsia" w:ascii="黑体" w:hAnsi="黑体" w:eastAsia="黑体" w:cs="黑体"/>
          <w:sz w:val="32"/>
          <w:szCs w:val="32"/>
          <w:lang w:val="en-US" w:eastAsia="zh-CN"/>
        </w:rPr>
        <w:t>（二）业务指标完成</w:t>
      </w:r>
      <w:r>
        <w:rPr>
          <w:rFonts w:hint="eastAsia" w:ascii="黑体" w:hAnsi="黑体" w:eastAsia="黑体" w:cs="黑体"/>
          <w:sz w:val="32"/>
          <w:szCs w:val="32"/>
          <w:lang w:eastAsia="zh-CN"/>
        </w:rPr>
        <w:t>情况</w:t>
      </w:r>
      <w:bookmarkEnd w:id="37"/>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2022年，红岩镇医药总收入270.76万元，同期增长35.44%，医疗收入55.65（其中辅检收入24.51万元，同期增长358.08%）万元，同期增长128.61%，中医服务占总收入的23%；收入住院人次544人次，同期增长43.54%；门诊26034人次，同期增长33.98%；药品占比73.2%，与同期相比下降约16.7%（但未完成目标任务60%），医患结对360人，在辖区内就医率73%左右；重点人群健康体检及管理率基本达标，向区中医医院转诊精神病患者3人（蒲小梅、李树华、邓开林），医养人员住院未完成；完成艾滋病筛查2746人次，完成率113.47%。</w:t>
      </w:r>
    </w:p>
    <w:p>
      <w:pPr>
        <w:pStyle w:val="26"/>
        <w:ind w:left="0" w:leftChars="0" w:firstLine="640" w:firstLineChars="200"/>
        <w:outlineLvl w:val="2"/>
        <w:rPr>
          <w:rFonts w:hint="eastAsia" w:ascii="黑体" w:hAnsi="黑体" w:eastAsia="黑体" w:cs="黑体"/>
          <w:lang w:val="en-US" w:eastAsia="zh-CN"/>
        </w:rPr>
      </w:pPr>
      <w:bookmarkStart w:id="38" w:name="_Toc27686"/>
      <w:r>
        <w:rPr>
          <w:rFonts w:hint="eastAsia" w:ascii="黑体" w:hAnsi="黑体" w:eastAsia="黑体" w:cs="黑体"/>
          <w:sz w:val="32"/>
          <w:szCs w:val="32"/>
          <w:u w:val="none"/>
          <w:lang w:val="en-US" w:eastAsia="zh-CN"/>
        </w:rPr>
        <w:t>（三）医疗新技术开展情况</w:t>
      </w:r>
      <w:bookmarkEnd w:id="38"/>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default"/>
          <w:lang w:val="en-US" w:eastAsia="zh-CN"/>
        </w:rPr>
      </w:pPr>
      <w:r>
        <w:rPr>
          <w:rFonts w:hint="eastAsia" w:ascii="仿宋" w:hAnsi="仿宋" w:eastAsia="仿宋" w:cs="仿宋"/>
          <w:sz w:val="32"/>
          <w:szCs w:val="32"/>
          <w:lang w:val="en-US" w:eastAsia="zh-CN"/>
        </w:rPr>
        <w:t>从2022年3月初开始，我院全面开展了针灸、磁疗、拔罐、推拿、刮痧、熏洗、艾灸等七大类十一项中医适宜技术，5月中旬开展了生化、免疫、电解质、C反应蛋白、糖化血红蛋白、血、尿、便常规、阴道分泌物等多项辅助检查，12月初DR投入使用，效果良好，彩超人员正在培训中，预计在2023年3月份可以开展业务。</w:t>
      </w:r>
    </w:p>
    <w:p>
      <w:pPr>
        <w:pStyle w:val="26"/>
        <w:numPr>
          <w:ilvl w:val="0"/>
          <w:numId w:val="0"/>
        </w:numPr>
        <w:ind w:firstLine="320" w:firstLineChars="100"/>
        <w:outlineLvl w:val="2"/>
        <w:rPr>
          <w:rFonts w:hint="eastAsia" w:ascii="黑体" w:hAnsi="黑体" w:eastAsia="黑体" w:cs="黑体"/>
          <w:sz w:val="32"/>
          <w:szCs w:val="32"/>
          <w:lang w:val="en-US" w:eastAsia="zh-CN"/>
        </w:rPr>
      </w:pPr>
      <w:bookmarkStart w:id="39" w:name="_Toc17918"/>
      <w:r>
        <w:rPr>
          <w:rFonts w:hint="eastAsia" w:ascii="黑体" w:hAnsi="黑体" w:eastAsia="黑体" w:cs="黑体"/>
          <w:sz w:val="32"/>
          <w:szCs w:val="32"/>
          <w:lang w:val="en-US" w:eastAsia="zh-CN"/>
        </w:rPr>
        <w:t>（四）人才培养及培训情况</w:t>
      </w:r>
      <w:bookmarkEnd w:id="39"/>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jc w:val="left"/>
        <w:textAlignment w:val="auto"/>
        <w:rPr>
          <w:rFonts w:hint="eastAsia" w:ascii="仿宋_GB2312" w:hAnsi="仿宋_GB2312" w:eastAsia="仿宋_GB2312" w:cs="仿宋_GB2312"/>
          <w:sz w:val="32"/>
          <w:szCs w:val="32"/>
          <w:u w:val="none"/>
          <w:lang w:val="en-US" w:eastAsia="zh-CN"/>
        </w:rPr>
      </w:pPr>
      <w:r>
        <w:rPr>
          <w:rFonts w:hint="eastAsia" w:ascii="仿宋" w:hAnsi="仿宋" w:eastAsia="仿宋" w:cs="仿宋"/>
          <w:sz w:val="32"/>
          <w:szCs w:val="32"/>
          <w:lang w:val="en-US" w:eastAsia="zh-CN"/>
        </w:rPr>
        <w:t>我院共有在编在岗职工26人，其中三支一扶2人，定向生1人，派出多位同志到利州区中医院、昭化区人民医院昭化区中医院参加业务骨干培训，</w:t>
      </w:r>
      <w:r>
        <w:rPr>
          <w:rFonts w:hint="eastAsia" w:ascii="仿宋_GB2312" w:hAnsi="仿宋_GB2312" w:eastAsia="仿宋_GB2312" w:cs="仿宋_GB2312"/>
          <w:sz w:val="32"/>
          <w:szCs w:val="32"/>
          <w:u w:val="none"/>
          <w:lang w:val="en-US" w:eastAsia="zh-CN"/>
        </w:rPr>
        <w:t>提升了中医适宜操作技术及各项辅检技术。</w:t>
      </w:r>
      <w:bookmarkStart w:id="40" w:name="_Toc4553"/>
      <w:bookmarkStart w:id="41" w:name="_Toc9289"/>
    </w:p>
    <w:p>
      <w:pPr>
        <w:pStyle w:val="6"/>
        <w:pageBreakBefore w:val="0"/>
        <w:kinsoku/>
        <w:wordWrap/>
        <w:overflowPunct/>
        <w:topLinePunct w:val="0"/>
        <w:bidi w:val="0"/>
        <w:spacing w:before="0" w:beforeAutospacing="0" w:after="0" w:afterAutospacing="0" w:line="580" w:lineRule="exact"/>
        <w:ind w:firstLine="643" w:firstLineChars="200"/>
        <w:rPr>
          <w:rFonts w:hint="eastAsia" w:ascii="黑体" w:hAnsi="黑体" w:eastAsia="黑体" w:cs="Times New Roman"/>
          <w:b/>
          <w:bCs/>
          <w:color w:val="000000"/>
          <w:lang w:val="en-US" w:eastAsia="zh-CN"/>
        </w:rPr>
      </w:pPr>
      <w:r>
        <w:rPr>
          <w:rFonts w:hint="eastAsia" w:ascii="黑体" w:hAnsi="黑体" w:eastAsia="黑体" w:cs="Times New Roman"/>
          <w:b/>
          <w:bCs/>
          <w:color w:val="000000"/>
          <w:lang w:val="en-US" w:eastAsia="zh-CN"/>
        </w:rPr>
        <w:t>二．机构设置</w:t>
      </w:r>
      <w:bookmarkEnd w:id="40"/>
      <w:bookmarkEnd w:id="41"/>
      <w:bookmarkStart w:id="42" w:name="_Toc25223"/>
      <w:bookmarkStart w:id="43" w:name="_Toc5598"/>
      <w:bookmarkStart w:id="44" w:name="_Toc30349"/>
      <w:bookmarkStart w:id="45" w:name="_Toc15396602"/>
      <w:bookmarkStart w:id="46" w:name="_Toc15377204"/>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jc w:val="left"/>
        <w:textAlignment w:val="auto"/>
        <w:rPr>
          <w:rFonts w:hint="eastAsia" w:ascii="仿宋" w:hAnsi="仿宋" w:eastAsia="仿宋"/>
          <w:b w:val="0"/>
          <w:bCs w:val="0"/>
          <w:color w:val="auto"/>
          <w:sz w:val="32"/>
          <w:szCs w:val="32"/>
          <w:highlight w:val="none"/>
          <w:lang w:eastAsia="zh-CN"/>
        </w:rPr>
      </w:pPr>
      <w:r>
        <w:rPr>
          <w:rFonts w:hint="eastAsia" w:ascii="仿宋" w:hAnsi="仿宋" w:eastAsia="仿宋"/>
          <w:b w:val="0"/>
          <w:bCs w:val="0"/>
          <w:color w:val="auto"/>
          <w:sz w:val="32"/>
          <w:szCs w:val="32"/>
          <w:highlight w:val="none"/>
          <w:lang w:eastAsia="zh-CN"/>
        </w:rPr>
        <w:t>红岩镇卫生院属于主管部门下属单位，属于二级预算单位，无下属机构。</w:t>
      </w:r>
      <w:bookmarkEnd w:id="42"/>
      <w:bookmarkEnd w:id="43"/>
      <w:bookmarkStart w:id="47" w:name="_Toc17518"/>
      <w:bookmarkStart w:id="48" w:name="_Toc27629"/>
    </w:p>
    <w:p>
      <w:pPr>
        <w:pStyle w:val="10"/>
        <w:rPr>
          <w:rFonts w:hint="eastAsia" w:ascii="仿宋" w:hAnsi="仿宋" w:eastAsia="仿宋"/>
          <w:b w:val="0"/>
          <w:bCs w:val="0"/>
          <w:color w:val="auto"/>
          <w:sz w:val="32"/>
          <w:szCs w:val="32"/>
          <w:highlight w:val="none"/>
          <w:lang w:eastAsia="zh-CN"/>
        </w:rPr>
      </w:pPr>
    </w:p>
    <w:p>
      <w:pPr>
        <w:rPr>
          <w:rFonts w:hint="eastAsia" w:ascii="仿宋" w:hAnsi="仿宋" w:eastAsia="仿宋"/>
          <w:b w:val="0"/>
          <w:bCs w:val="0"/>
          <w:color w:val="auto"/>
          <w:sz w:val="32"/>
          <w:szCs w:val="32"/>
          <w:highlight w:val="none"/>
          <w:lang w:eastAsia="zh-CN"/>
        </w:rPr>
      </w:pPr>
    </w:p>
    <w:p>
      <w:pPr>
        <w:pStyle w:val="10"/>
        <w:rPr>
          <w:rFonts w:hint="eastAsia" w:ascii="仿宋" w:hAnsi="仿宋" w:eastAsia="仿宋"/>
          <w:b w:val="0"/>
          <w:bCs w:val="0"/>
          <w:color w:val="auto"/>
          <w:sz w:val="32"/>
          <w:szCs w:val="32"/>
          <w:highlight w:val="none"/>
          <w:lang w:eastAsia="zh-CN"/>
        </w:rPr>
      </w:pPr>
    </w:p>
    <w:p>
      <w:pPr>
        <w:rPr>
          <w:rFonts w:hint="eastAsia" w:ascii="仿宋" w:hAnsi="仿宋" w:eastAsia="仿宋"/>
          <w:b w:val="0"/>
          <w:bCs w:val="0"/>
          <w:color w:val="auto"/>
          <w:sz w:val="32"/>
          <w:szCs w:val="32"/>
          <w:highlight w:val="none"/>
          <w:lang w:eastAsia="zh-CN"/>
        </w:rPr>
      </w:pPr>
    </w:p>
    <w:p>
      <w:pPr>
        <w:pStyle w:val="10"/>
        <w:rPr>
          <w:rFonts w:hint="eastAsia" w:ascii="仿宋" w:hAnsi="仿宋" w:eastAsia="仿宋"/>
          <w:b w:val="0"/>
          <w:bCs w:val="0"/>
          <w:color w:val="auto"/>
          <w:sz w:val="32"/>
          <w:szCs w:val="32"/>
          <w:highlight w:val="none"/>
          <w:lang w:eastAsia="zh-CN"/>
        </w:rPr>
      </w:pPr>
    </w:p>
    <w:p>
      <w:pPr>
        <w:rPr>
          <w:rFonts w:hint="eastAsia" w:ascii="仿宋" w:hAnsi="仿宋" w:eastAsia="仿宋"/>
          <w:b w:val="0"/>
          <w:bCs w:val="0"/>
          <w:color w:val="auto"/>
          <w:sz w:val="32"/>
          <w:szCs w:val="32"/>
          <w:highlight w:val="none"/>
          <w:lang w:eastAsia="zh-CN"/>
        </w:rPr>
      </w:pPr>
    </w:p>
    <w:p>
      <w:pPr>
        <w:pStyle w:val="10"/>
        <w:rPr>
          <w:rFonts w:hint="eastAsia"/>
        </w:rPr>
      </w:pPr>
    </w:p>
    <w:p>
      <w:pPr>
        <w:pStyle w:val="5"/>
        <w:pageBreakBefore w:val="0"/>
        <w:kinsoku/>
        <w:wordWrap/>
        <w:overflowPunct/>
        <w:topLinePunct w:val="0"/>
        <w:bidi w:val="0"/>
        <w:spacing w:after="270" w:afterLines="86" w:afterAutospacing="0" w:line="580" w:lineRule="exact"/>
        <w:ind w:right="0" w:rightChars="0"/>
        <w:jc w:val="center"/>
      </w:pPr>
      <w:r>
        <w:rPr>
          <w:rFonts w:hint="eastAsia" w:ascii="黑体" w:hAnsi="黑体" w:eastAsia="黑体"/>
          <w:b w:val="0"/>
          <w:color w:val="000000"/>
        </w:rPr>
        <w:t>第二部分</w:t>
      </w:r>
      <w:r>
        <w:rPr>
          <w:rFonts w:ascii="黑体" w:hAnsi="黑体" w:eastAsia="黑体"/>
          <w:color w:val="000000"/>
        </w:rPr>
        <w:t xml:space="preserve"> </w:t>
      </w:r>
      <w:r>
        <w:rPr>
          <w:rStyle w:val="12"/>
          <w:rFonts w:hint="eastAsia" w:ascii="黑体" w:hAnsi="黑体" w:eastAsia="黑体"/>
          <w:b w:val="0"/>
          <w:bCs w:val="0"/>
          <w:lang w:eastAsia="zh-CN"/>
        </w:rPr>
        <w:t>2022</w:t>
      </w:r>
      <w:r>
        <w:rPr>
          <w:rStyle w:val="12"/>
          <w:rFonts w:hint="eastAsia" w:ascii="黑体" w:hAnsi="黑体" w:eastAsia="黑体"/>
          <w:b w:val="0"/>
          <w:bCs w:val="0"/>
        </w:rPr>
        <w:t>年度</w:t>
      </w:r>
      <w:r>
        <w:rPr>
          <w:rStyle w:val="12"/>
          <w:rFonts w:hint="eastAsia" w:ascii="黑体" w:hAnsi="黑体" w:eastAsia="黑体"/>
          <w:b w:val="0"/>
          <w:bCs w:val="0"/>
          <w:lang w:eastAsia="zh-CN"/>
        </w:rPr>
        <w:t>单位</w:t>
      </w:r>
      <w:r>
        <w:rPr>
          <w:rStyle w:val="12"/>
          <w:rFonts w:hint="eastAsia" w:ascii="黑体" w:hAnsi="黑体" w:eastAsia="黑体"/>
          <w:b w:val="0"/>
          <w:bCs w:val="0"/>
        </w:rPr>
        <w:t>决算情况说明</w:t>
      </w:r>
      <w:bookmarkEnd w:id="44"/>
      <w:bookmarkEnd w:id="45"/>
      <w:bookmarkEnd w:id="46"/>
      <w:bookmarkEnd w:id="47"/>
      <w:bookmarkEnd w:id="48"/>
    </w:p>
    <w:p>
      <w:pPr>
        <w:pStyle w:val="39"/>
        <w:pageBreakBefore w:val="0"/>
        <w:numPr>
          <w:ilvl w:val="0"/>
          <w:numId w:val="1"/>
        </w:numPr>
        <w:kinsoku/>
        <w:wordWrap/>
        <w:overflowPunct/>
        <w:topLinePunct w:val="0"/>
        <w:bidi w:val="0"/>
        <w:spacing w:beforeAutospacing="0" w:line="580" w:lineRule="exact"/>
        <w:ind w:firstLineChars="0"/>
        <w:outlineLvl w:val="1"/>
        <w:rPr>
          <w:rStyle w:val="32"/>
          <w:rFonts w:ascii="黑体" w:hAnsi="黑体" w:eastAsia="黑体"/>
          <w:b w:val="0"/>
        </w:rPr>
      </w:pPr>
      <w:bookmarkStart w:id="49" w:name="_Toc14851"/>
      <w:bookmarkStart w:id="50" w:name="_Toc14537"/>
      <w:bookmarkStart w:id="51" w:name="_Toc15377205"/>
      <w:bookmarkStart w:id="52" w:name="_Toc15396603"/>
      <w:bookmarkStart w:id="53" w:name="_Toc26506"/>
      <w:r>
        <w:rPr>
          <w:rFonts w:hint="eastAsia" w:ascii="黑体" w:hAnsi="黑体" w:eastAsia="黑体"/>
          <w:color w:val="000000"/>
          <w:sz w:val="32"/>
          <w:szCs w:val="32"/>
        </w:rPr>
        <w:t>收</w:t>
      </w:r>
      <w:r>
        <w:rPr>
          <w:rStyle w:val="32"/>
          <w:rFonts w:hint="eastAsia" w:ascii="黑体" w:hAnsi="黑体" w:eastAsia="黑体"/>
          <w:b w:val="0"/>
        </w:rPr>
        <w:t>入支出决算总体情况说明</w:t>
      </w:r>
      <w:bookmarkEnd w:id="49"/>
      <w:bookmarkEnd w:id="50"/>
      <w:bookmarkEnd w:id="51"/>
      <w:bookmarkEnd w:id="52"/>
      <w:bookmarkEnd w:id="53"/>
    </w:p>
    <w:p>
      <w:pPr>
        <w:pageBreakBefore w:val="0"/>
        <w:kinsoku/>
        <w:wordWrap/>
        <w:overflowPunct/>
        <w:topLinePunct w:val="0"/>
        <w:bidi w:val="0"/>
        <w:spacing w:line="580" w:lineRule="exact"/>
        <w:ind w:firstLine="640" w:firstLineChars="200"/>
        <w:rPr>
          <w:rFonts w:hint="default" w:ascii="仿宋" w:hAnsi="仿宋" w:eastAsia="仿宋" w:cs="仿宋"/>
          <w:color w:val="0000FF"/>
          <w:sz w:val="32"/>
          <w:szCs w:val="32"/>
          <w:lang w:val="en-US" w:eastAsia="zh-CN"/>
        </w:rPr>
      </w:pPr>
      <w:r>
        <w:rPr>
          <w:rFonts w:hint="eastAsia" w:ascii="仿宋" w:hAnsi="仿宋" w:eastAsia="仿宋" w:cs="仿宋"/>
          <w:color w:val="000000"/>
          <w:sz w:val="32"/>
          <w:szCs w:val="32"/>
          <w:lang w:val="en-US" w:eastAsia="zh-CN"/>
        </w:rPr>
        <w:t>2022</w:t>
      </w:r>
      <w:r>
        <w:rPr>
          <w:rFonts w:hint="eastAsia" w:ascii="仿宋" w:hAnsi="仿宋" w:eastAsia="仿宋" w:cs="仿宋"/>
          <w:color w:val="000000"/>
          <w:sz w:val="32"/>
          <w:szCs w:val="32"/>
        </w:rPr>
        <w:t>年</w:t>
      </w:r>
      <w:r>
        <w:rPr>
          <w:rFonts w:hint="eastAsia" w:ascii="仿宋" w:hAnsi="仿宋" w:eastAsia="仿宋" w:cs="仿宋"/>
          <w:color w:val="000000"/>
          <w:sz w:val="32"/>
          <w:szCs w:val="32"/>
          <w:lang w:eastAsia="zh-CN"/>
        </w:rPr>
        <w:t>红岩卫生院</w:t>
      </w:r>
      <w:r>
        <w:rPr>
          <w:rFonts w:hint="eastAsia" w:ascii="仿宋" w:hAnsi="仿宋" w:eastAsia="仿宋" w:cs="仿宋"/>
          <w:color w:val="000000"/>
          <w:sz w:val="32"/>
          <w:szCs w:val="32"/>
        </w:rPr>
        <w:t>收</w:t>
      </w:r>
      <w:r>
        <w:rPr>
          <w:rFonts w:hint="eastAsia" w:ascii="仿宋" w:hAnsi="仿宋" w:eastAsia="仿宋" w:cs="仿宋"/>
          <w:color w:val="000000"/>
          <w:sz w:val="32"/>
          <w:szCs w:val="32"/>
          <w:lang w:eastAsia="zh-CN"/>
        </w:rPr>
        <w:t>、支</w:t>
      </w:r>
      <w:r>
        <w:rPr>
          <w:rFonts w:hint="eastAsia" w:ascii="仿宋" w:hAnsi="仿宋" w:eastAsia="仿宋" w:cs="仿宋"/>
          <w:color w:val="000000"/>
          <w:sz w:val="32"/>
          <w:szCs w:val="32"/>
        </w:rPr>
        <w:t>总计</w:t>
      </w:r>
      <w:r>
        <w:rPr>
          <w:rFonts w:hint="eastAsia" w:ascii="仿宋" w:hAnsi="仿宋" w:eastAsia="仿宋" w:cs="仿宋"/>
          <w:color w:val="000000"/>
          <w:sz w:val="32"/>
          <w:szCs w:val="32"/>
          <w:lang w:val="en-US" w:eastAsia="zh-CN"/>
        </w:rPr>
        <w:t>283.91</w:t>
      </w:r>
      <w:r>
        <w:rPr>
          <w:rFonts w:hint="eastAsia" w:ascii="仿宋" w:hAnsi="仿宋" w:eastAsia="仿宋" w:cs="仿宋"/>
          <w:color w:val="000000"/>
          <w:sz w:val="32"/>
          <w:szCs w:val="32"/>
        </w:rPr>
        <w:t>万元，与</w:t>
      </w:r>
      <w:r>
        <w:rPr>
          <w:rFonts w:hint="eastAsia" w:ascii="仿宋" w:hAnsi="仿宋" w:eastAsia="仿宋" w:cs="仿宋"/>
          <w:color w:val="000000"/>
          <w:sz w:val="32"/>
          <w:szCs w:val="32"/>
          <w:lang w:val="en-US" w:eastAsia="zh-CN"/>
        </w:rPr>
        <w:t>2021</w:t>
      </w:r>
      <w:r>
        <w:rPr>
          <w:rFonts w:hint="eastAsia" w:ascii="仿宋" w:hAnsi="仿宋" w:eastAsia="仿宋" w:cs="仿宋"/>
          <w:color w:val="000000"/>
          <w:sz w:val="32"/>
          <w:szCs w:val="32"/>
        </w:rPr>
        <w:t>年相比</w:t>
      </w:r>
      <w:r>
        <w:rPr>
          <w:rFonts w:hint="eastAsia" w:ascii="仿宋" w:hAnsi="仿宋" w:eastAsia="仿宋" w:cs="仿宋"/>
          <w:color w:val="000000"/>
          <w:sz w:val="32"/>
          <w:szCs w:val="32"/>
          <w:lang w:eastAsia="zh-CN"/>
        </w:rPr>
        <w:t>收、支总计各增加</w:t>
      </w:r>
      <w:r>
        <w:rPr>
          <w:rFonts w:hint="eastAsia" w:ascii="仿宋" w:hAnsi="仿宋" w:eastAsia="仿宋" w:cs="仿宋"/>
          <w:color w:val="000000"/>
          <w:sz w:val="32"/>
          <w:szCs w:val="32"/>
        </w:rPr>
        <w:t>了</w:t>
      </w:r>
      <w:r>
        <w:rPr>
          <w:rFonts w:hint="eastAsia" w:ascii="仿宋" w:hAnsi="仿宋" w:eastAsia="仿宋" w:cs="仿宋"/>
          <w:color w:val="000000"/>
          <w:sz w:val="32"/>
          <w:szCs w:val="32"/>
          <w:lang w:val="en-US" w:eastAsia="zh-CN"/>
        </w:rPr>
        <w:t>50.34</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，增长</w:t>
      </w:r>
      <w:r>
        <w:rPr>
          <w:rFonts w:hint="eastAsia" w:ascii="仿宋" w:hAnsi="仿宋" w:eastAsia="仿宋" w:cs="仿宋"/>
          <w:color w:val="auto"/>
          <w:sz w:val="32"/>
          <w:szCs w:val="32"/>
          <w:lang w:val="en-US" w:eastAsia="zh-CN"/>
        </w:rPr>
        <w:t>21.55</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。收入主要变动原因是：</w:t>
      </w:r>
      <w:r>
        <w:rPr>
          <w:rFonts w:hint="eastAsia" w:ascii="仿宋" w:hAnsi="仿宋" w:eastAsia="仿宋" w:cs="仿宋"/>
          <w:color w:val="auto"/>
          <w:sz w:val="32"/>
          <w:szCs w:val="32"/>
          <w:lang w:val="en-US" w:eastAsia="zh-CN"/>
        </w:rPr>
        <w:t>2022年医疗收入相比上年增加了32.27万元，政府性基金增加6.58万元；人员经费投入增加了13.94万元。2022年支出主要变动的原因是：疫情防控原因，本年财政拨款增加；机构合并，人员经费增加。</w:t>
      </w:r>
    </w:p>
    <w:p>
      <w:pPr>
        <w:pStyle w:val="17"/>
        <w:pageBreakBefore w:val="0"/>
        <w:kinsoku/>
        <w:wordWrap/>
        <w:overflowPunct/>
        <w:topLinePunct w:val="0"/>
        <w:bidi w:val="0"/>
        <w:spacing w:line="240" w:lineRule="auto"/>
        <w:ind w:firstLine="0" w:firstLineChars="0"/>
        <w:jc w:val="center"/>
        <w:rPr>
          <w:rFonts w:hint="eastAsia"/>
          <w:lang w:val="en-US" w:eastAsia="zh-CN"/>
        </w:rPr>
      </w:pPr>
      <w:r>
        <w:pict>
          <v:shape id="_x0000_i1025" o:spt="75" type="#_x0000_t75" style="height:151.5pt;width:319.5pt;" filled="f" stroked="f" coordsize="21600,21600">
            <v:path/>
            <v:fill on="f" focussize="0,0"/>
            <v:stroke on="f"/>
            <v:imagedata r:id="rId8" o:title=""/>
            <o:lock v:ext="edit" aspectratio="t"/>
            <w10:wrap type="none"/>
            <w10:anchorlock/>
          </v:shape>
        </w:pict>
      </w:r>
    </w:p>
    <w:p>
      <w:pPr>
        <w:pageBreakBefore w:val="0"/>
        <w:kinsoku/>
        <w:wordWrap/>
        <w:overflowPunct/>
        <w:topLinePunct w:val="0"/>
        <w:bidi w:val="0"/>
        <w:spacing w:line="580" w:lineRule="exact"/>
        <w:ind w:left="0" w:leftChars="0" w:firstLine="0" w:firstLineChars="0"/>
        <w:jc w:val="center"/>
        <w:rPr>
          <w:rFonts w:ascii="仿宋_GB2312" w:eastAsia="仿宋_GB2312"/>
          <w:color w:val="000000"/>
          <w:sz w:val="24"/>
          <w:szCs w:val="24"/>
        </w:rPr>
      </w:pPr>
      <w:r>
        <w:rPr>
          <w:rFonts w:hint="eastAsia" w:ascii="仿宋" w:hAnsi="仿宋" w:eastAsia="仿宋"/>
          <w:color w:val="auto"/>
          <w:sz w:val="24"/>
          <w:szCs w:val="24"/>
          <w:highlight w:val="none"/>
        </w:rPr>
        <w:t>（图</w:t>
      </w:r>
      <w:r>
        <w:rPr>
          <w:rFonts w:ascii="仿宋" w:hAnsi="仿宋" w:eastAsia="仿宋"/>
          <w:color w:val="auto"/>
          <w:sz w:val="24"/>
          <w:szCs w:val="24"/>
          <w:highlight w:val="none"/>
        </w:rPr>
        <w:t>1</w:t>
      </w:r>
      <w:r>
        <w:rPr>
          <w:rFonts w:hint="eastAsia" w:ascii="仿宋" w:hAnsi="仿宋" w:eastAsia="仿宋"/>
          <w:color w:val="auto"/>
          <w:sz w:val="24"/>
          <w:szCs w:val="24"/>
          <w:highlight w:val="none"/>
        </w:rPr>
        <w:t>：收、支决算总计变动情况图）（柱状图）</w:t>
      </w:r>
    </w:p>
    <w:p>
      <w:pPr>
        <w:pStyle w:val="39"/>
        <w:pageBreakBefore w:val="0"/>
        <w:numPr>
          <w:ilvl w:val="0"/>
          <w:numId w:val="1"/>
        </w:numPr>
        <w:kinsoku/>
        <w:wordWrap/>
        <w:overflowPunct/>
        <w:topLinePunct w:val="0"/>
        <w:bidi w:val="0"/>
        <w:spacing w:line="580" w:lineRule="exact"/>
        <w:ind w:firstLineChars="0"/>
        <w:outlineLvl w:val="1"/>
        <w:rPr>
          <w:rStyle w:val="32"/>
          <w:rFonts w:ascii="黑体" w:hAnsi="黑体" w:eastAsia="黑体"/>
          <w:b w:val="0"/>
        </w:rPr>
      </w:pPr>
      <w:bookmarkStart w:id="54" w:name="_Toc14027"/>
      <w:bookmarkStart w:id="55" w:name="_Toc88"/>
      <w:bookmarkStart w:id="56" w:name="_Toc26743"/>
      <w:bookmarkStart w:id="57" w:name="_Toc15377206"/>
      <w:bookmarkStart w:id="58" w:name="_Toc15396604"/>
      <w:r>
        <w:rPr>
          <w:rFonts w:hint="eastAsia" w:ascii="黑体" w:hAnsi="黑体" w:eastAsia="黑体"/>
          <w:color w:val="000000"/>
          <w:sz w:val="32"/>
          <w:szCs w:val="32"/>
        </w:rPr>
        <w:t>收</w:t>
      </w:r>
      <w:r>
        <w:rPr>
          <w:rStyle w:val="32"/>
          <w:rFonts w:hint="eastAsia" w:ascii="黑体" w:hAnsi="黑体" w:eastAsia="黑体"/>
          <w:b w:val="0"/>
        </w:rPr>
        <w:t>入决算情况说明</w:t>
      </w:r>
      <w:bookmarkEnd w:id="54"/>
      <w:bookmarkEnd w:id="55"/>
      <w:bookmarkEnd w:id="56"/>
      <w:bookmarkEnd w:id="57"/>
      <w:bookmarkEnd w:id="58"/>
    </w:p>
    <w:p>
      <w:pPr>
        <w:pageBreakBefore w:val="0"/>
        <w:kinsoku/>
        <w:wordWrap/>
        <w:overflowPunct/>
        <w:topLinePunct w:val="0"/>
        <w:bidi w:val="0"/>
        <w:spacing w:line="580" w:lineRule="exact"/>
        <w:ind w:firstLine="640" w:firstLineChars="200"/>
        <w:outlineLvl w:val="1"/>
        <w:rPr>
          <w:rFonts w:hint="eastAsia" w:ascii="仿宋" w:hAnsi="仿宋" w:eastAsia="仿宋"/>
          <w:color w:val="000000"/>
          <w:sz w:val="32"/>
          <w:szCs w:val="32"/>
          <w:lang w:val="en-US" w:eastAsia="zh-CN"/>
        </w:rPr>
      </w:pPr>
      <w:bookmarkStart w:id="59" w:name="_Toc20960"/>
      <w:bookmarkStart w:id="60" w:name="_Toc23026"/>
      <w:bookmarkStart w:id="61" w:name="_Toc13064"/>
      <w:bookmarkStart w:id="62" w:name="_Toc19889"/>
      <w:bookmarkStart w:id="63" w:name="_Toc2165"/>
      <w:bookmarkStart w:id="64" w:name="_Toc26176"/>
      <w:bookmarkStart w:id="65" w:name="_Toc30139"/>
      <w:bookmarkStart w:id="66" w:name="_Toc7231"/>
      <w:bookmarkStart w:id="67" w:name="_Toc3405"/>
      <w:r>
        <w:rPr>
          <w:rFonts w:hint="eastAsia" w:ascii="仿宋" w:hAnsi="仿宋" w:eastAsia="仿宋"/>
          <w:color w:val="000000"/>
          <w:sz w:val="32"/>
          <w:szCs w:val="32"/>
          <w:lang w:val="en-US" w:eastAsia="zh-CN"/>
        </w:rPr>
        <w:t>2022</w:t>
      </w:r>
      <w:r>
        <w:rPr>
          <w:rFonts w:hint="eastAsia" w:ascii="仿宋" w:hAnsi="仿宋" w:eastAsia="仿宋"/>
          <w:color w:val="000000"/>
          <w:sz w:val="32"/>
          <w:szCs w:val="32"/>
        </w:rPr>
        <w:t>年本年收入合计</w:t>
      </w:r>
      <w:r>
        <w:rPr>
          <w:rFonts w:hint="eastAsia" w:ascii="仿宋" w:hAnsi="仿宋" w:eastAsia="仿宋"/>
          <w:color w:val="000000"/>
          <w:sz w:val="32"/>
          <w:szCs w:val="32"/>
          <w:lang w:val="en-US" w:eastAsia="zh-CN"/>
        </w:rPr>
        <w:t xml:space="preserve"> 283.91</w:t>
      </w:r>
      <w:r>
        <w:rPr>
          <w:rFonts w:hint="eastAsia" w:ascii="仿宋" w:hAnsi="仿宋" w:eastAsia="仿宋"/>
          <w:color w:val="000000"/>
          <w:sz w:val="32"/>
          <w:szCs w:val="32"/>
        </w:rPr>
        <w:t>万元，其中：一般公共预算财政拨款收入</w:t>
      </w:r>
      <w:r>
        <w:rPr>
          <w:rFonts w:hint="eastAsia" w:ascii="仿宋" w:hAnsi="仿宋" w:eastAsia="仿宋"/>
          <w:color w:val="000000"/>
          <w:sz w:val="32"/>
          <w:szCs w:val="32"/>
          <w:lang w:val="en-US" w:eastAsia="zh-CN"/>
        </w:rPr>
        <w:t>179</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63.04</w:t>
      </w:r>
      <w:r>
        <w:rPr>
          <w:rFonts w:ascii="仿宋" w:hAnsi="仿宋" w:eastAsia="仿宋"/>
          <w:color w:val="000000"/>
          <w:sz w:val="32"/>
          <w:szCs w:val="32"/>
        </w:rPr>
        <w:t>%</w:t>
      </w:r>
      <w:r>
        <w:rPr>
          <w:rFonts w:hint="eastAsia" w:ascii="仿宋" w:hAnsi="仿宋" w:eastAsia="仿宋"/>
          <w:color w:val="000000"/>
          <w:sz w:val="32"/>
          <w:szCs w:val="32"/>
        </w:rPr>
        <w:t>；国有资本经营预算财政拨款收入0万元，</w:t>
      </w:r>
      <w:r>
        <w:rPr>
          <w:rFonts w:hint="eastAsia" w:ascii="仿宋" w:hAnsi="仿宋" w:eastAsia="仿宋"/>
          <w:color w:val="000000"/>
          <w:sz w:val="32"/>
          <w:szCs w:val="32"/>
          <w:lang w:eastAsia="zh-CN"/>
        </w:rPr>
        <w:t>年初未安排预算</w:t>
      </w:r>
      <w:r>
        <w:rPr>
          <w:rFonts w:hint="eastAsia" w:ascii="仿宋" w:hAnsi="仿宋" w:eastAsia="仿宋"/>
          <w:color w:val="000000"/>
          <w:sz w:val="32"/>
          <w:szCs w:val="32"/>
        </w:rPr>
        <w:t>；事业收入</w:t>
      </w:r>
      <w:r>
        <w:rPr>
          <w:rFonts w:hint="eastAsia" w:ascii="仿宋" w:hAnsi="仿宋" w:eastAsia="仿宋"/>
          <w:color w:val="000000"/>
          <w:sz w:val="32"/>
          <w:szCs w:val="32"/>
          <w:lang w:val="en-US" w:eastAsia="zh-CN"/>
        </w:rPr>
        <w:t>98.34</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34.64</w:t>
      </w:r>
      <w:r>
        <w:rPr>
          <w:rFonts w:ascii="仿宋" w:hAnsi="仿宋" w:eastAsia="仿宋"/>
          <w:color w:val="000000"/>
          <w:sz w:val="32"/>
          <w:szCs w:val="32"/>
        </w:rPr>
        <w:t>%</w:t>
      </w:r>
      <w:r>
        <w:rPr>
          <w:rFonts w:hint="eastAsia" w:ascii="仿宋" w:hAnsi="仿宋" w:eastAsia="仿宋"/>
          <w:color w:val="000000"/>
          <w:sz w:val="32"/>
          <w:szCs w:val="32"/>
        </w:rPr>
        <w:t>；经营收入0万元，</w:t>
      </w:r>
      <w:r>
        <w:rPr>
          <w:rFonts w:hint="eastAsia" w:ascii="仿宋" w:hAnsi="仿宋" w:eastAsia="仿宋"/>
          <w:color w:val="000000"/>
          <w:sz w:val="32"/>
          <w:szCs w:val="32"/>
          <w:lang w:eastAsia="zh-CN"/>
        </w:rPr>
        <w:t>年初未安排预算</w:t>
      </w:r>
      <w:r>
        <w:rPr>
          <w:rFonts w:hint="eastAsia" w:ascii="仿宋" w:hAnsi="仿宋" w:eastAsia="仿宋"/>
          <w:color w:val="000000"/>
          <w:sz w:val="32"/>
          <w:szCs w:val="32"/>
        </w:rPr>
        <w:t>；政府性基金预算财政拨款收入</w:t>
      </w:r>
      <w:r>
        <w:rPr>
          <w:rFonts w:hint="eastAsia" w:ascii="仿宋" w:hAnsi="仿宋" w:eastAsia="仿宋"/>
          <w:color w:val="000000"/>
          <w:sz w:val="32"/>
          <w:szCs w:val="32"/>
          <w:lang w:val="en-US" w:eastAsia="zh-CN"/>
        </w:rPr>
        <w:t>6.57万元，占2.31%；</w:t>
      </w:r>
      <w:r>
        <w:rPr>
          <w:rFonts w:hint="eastAsia" w:ascii="仿宋" w:hAnsi="仿宋" w:eastAsia="仿宋"/>
          <w:color w:val="000000"/>
          <w:sz w:val="32"/>
          <w:szCs w:val="32"/>
        </w:rPr>
        <w:t>附属单位上缴收入0万元，</w:t>
      </w:r>
      <w:r>
        <w:rPr>
          <w:rFonts w:hint="eastAsia" w:ascii="仿宋" w:hAnsi="仿宋" w:eastAsia="仿宋"/>
          <w:color w:val="000000"/>
          <w:sz w:val="32"/>
          <w:szCs w:val="32"/>
          <w:lang w:eastAsia="zh-CN"/>
        </w:rPr>
        <w:t>年初未安排预算</w:t>
      </w:r>
      <w:r>
        <w:rPr>
          <w:rFonts w:hint="eastAsia" w:ascii="仿宋" w:hAnsi="仿宋" w:eastAsia="仿宋"/>
          <w:color w:val="000000"/>
          <w:sz w:val="32"/>
          <w:szCs w:val="32"/>
        </w:rPr>
        <w:t>；其他收入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，年初未安排预算。</w:t>
      </w:r>
      <w:bookmarkEnd w:id="59"/>
      <w:bookmarkEnd w:id="60"/>
      <w:bookmarkEnd w:id="61"/>
      <w:bookmarkEnd w:id="62"/>
      <w:bookmarkEnd w:id="63"/>
      <w:bookmarkEnd w:id="64"/>
      <w:bookmarkEnd w:id="65"/>
      <w:bookmarkEnd w:id="66"/>
      <w:bookmarkEnd w:id="67"/>
    </w:p>
    <w:p>
      <w:pPr>
        <w:pStyle w:val="17"/>
        <w:pageBreakBefore w:val="0"/>
        <w:kinsoku/>
        <w:wordWrap/>
        <w:overflowPunct/>
        <w:topLinePunct w:val="0"/>
        <w:bidi w:val="0"/>
        <w:spacing w:line="240" w:lineRule="auto"/>
        <w:ind w:firstLine="0" w:firstLineChars="0"/>
        <w:jc w:val="center"/>
      </w:pPr>
      <w:r>
        <w:pict>
          <v:shape id="_x0000_i1026" o:spt="75" type="#_x0000_t75" style="height:139.5pt;width:334.5pt;" filled="f" stroked="f" coordsize="21600,21600">
            <v:path/>
            <v:fill on="f" focussize="0,0"/>
            <v:stroke on="f"/>
            <v:imagedata r:id="rId9" o:title=""/>
            <o:lock v:ext="edit" aspectratio="t"/>
            <w10:wrap type="none"/>
            <w10:anchorlock/>
          </v:shape>
        </w:pict>
      </w:r>
    </w:p>
    <w:p>
      <w:pPr>
        <w:pageBreakBefore w:val="0"/>
        <w:kinsoku/>
        <w:wordWrap/>
        <w:overflowPunct/>
        <w:topLinePunct w:val="0"/>
        <w:bidi w:val="0"/>
        <w:spacing w:line="580" w:lineRule="exact"/>
        <w:ind w:left="0" w:leftChars="0" w:firstLine="0" w:firstLineChars="0"/>
        <w:jc w:val="center"/>
        <w:rPr>
          <w:rFonts w:hint="eastAsia" w:eastAsia="宋体"/>
          <w:lang w:eastAsia="zh-CN"/>
        </w:rPr>
      </w:pPr>
      <w:r>
        <w:rPr>
          <w:rFonts w:hint="eastAsia" w:ascii="仿宋" w:hAnsi="仿宋" w:eastAsia="仿宋" w:cs="Times New Roman"/>
          <w:color w:val="auto"/>
          <w:sz w:val="24"/>
          <w:szCs w:val="24"/>
          <w:highlight w:val="none"/>
        </w:rPr>
        <w:t>（图2：收入决算结构图）（饼状图）</w:t>
      </w:r>
    </w:p>
    <w:p>
      <w:pPr>
        <w:pStyle w:val="39"/>
        <w:pageBreakBefore w:val="0"/>
        <w:numPr>
          <w:ilvl w:val="0"/>
          <w:numId w:val="1"/>
        </w:numPr>
        <w:kinsoku/>
        <w:wordWrap/>
        <w:overflowPunct/>
        <w:topLinePunct w:val="0"/>
        <w:bidi w:val="0"/>
        <w:spacing w:line="580" w:lineRule="exact"/>
        <w:ind w:firstLineChars="0"/>
        <w:outlineLvl w:val="1"/>
        <w:rPr>
          <w:rStyle w:val="32"/>
          <w:rFonts w:ascii="黑体" w:hAnsi="黑体" w:eastAsia="黑体"/>
          <w:b w:val="0"/>
        </w:rPr>
      </w:pPr>
      <w:bookmarkStart w:id="68" w:name="_Toc31473"/>
      <w:bookmarkStart w:id="69" w:name="_Toc15396605"/>
      <w:bookmarkStart w:id="70" w:name="_Toc1790"/>
      <w:bookmarkStart w:id="71" w:name="_Toc30756"/>
      <w:bookmarkStart w:id="72" w:name="_Toc15377207"/>
      <w:r>
        <w:rPr>
          <w:rFonts w:hint="eastAsia" w:ascii="黑体" w:hAnsi="黑体" w:eastAsia="黑体"/>
          <w:color w:val="000000"/>
          <w:sz w:val="32"/>
          <w:szCs w:val="32"/>
        </w:rPr>
        <w:t>支</w:t>
      </w:r>
      <w:r>
        <w:rPr>
          <w:rStyle w:val="32"/>
          <w:rFonts w:hint="eastAsia" w:ascii="黑体" w:hAnsi="黑体" w:eastAsia="黑体"/>
          <w:b w:val="0"/>
        </w:rPr>
        <w:t>出决算情况说明</w:t>
      </w:r>
      <w:bookmarkEnd w:id="68"/>
      <w:bookmarkEnd w:id="69"/>
      <w:bookmarkEnd w:id="70"/>
      <w:bookmarkEnd w:id="71"/>
      <w:bookmarkEnd w:id="72"/>
    </w:p>
    <w:p>
      <w:pPr>
        <w:pageBreakBefore w:val="0"/>
        <w:kinsoku/>
        <w:wordWrap/>
        <w:overflowPunct/>
        <w:topLinePunct w:val="0"/>
        <w:bidi w:val="0"/>
        <w:spacing w:line="580" w:lineRule="exact"/>
        <w:ind w:firstLine="640" w:firstLineChars="200"/>
        <w:outlineLvl w:val="1"/>
        <w:rPr>
          <w:rFonts w:hint="eastAsia" w:ascii="仿宋" w:hAnsi="仿宋" w:eastAsia="仿宋"/>
          <w:color w:val="000000"/>
          <w:sz w:val="32"/>
          <w:szCs w:val="32"/>
        </w:rPr>
      </w:pPr>
      <w:bookmarkStart w:id="73" w:name="_Toc32489"/>
      <w:bookmarkStart w:id="74" w:name="_Toc13139"/>
      <w:bookmarkStart w:id="75" w:name="_Toc14061"/>
      <w:bookmarkStart w:id="76" w:name="_Toc31009"/>
      <w:bookmarkStart w:id="77" w:name="_Toc13247"/>
      <w:bookmarkStart w:id="78" w:name="_Toc10508"/>
      <w:bookmarkStart w:id="79" w:name="_Toc19720"/>
      <w:bookmarkStart w:id="80" w:name="_Toc1593"/>
      <w:bookmarkStart w:id="81" w:name="_Toc23959"/>
      <w:r>
        <w:rPr>
          <w:rFonts w:hint="eastAsia" w:ascii="仿宋" w:hAnsi="仿宋" w:eastAsia="仿宋"/>
          <w:color w:val="000000"/>
          <w:sz w:val="32"/>
          <w:szCs w:val="32"/>
          <w:lang w:val="en-US" w:eastAsia="zh-CN"/>
        </w:rPr>
        <w:t>2022</w:t>
      </w:r>
      <w:r>
        <w:rPr>
          <w:rFonts w:hint="eastAsia" w:ascii="仿宋" w:hAnsi="仿宋" w:eastAsia="仿宋"/>
          <w:color w:val="000000"/>
          <w:sz w:val="32"/>
          <w:szCs w:val="32"/>
        </w:rPr>
        <w:t>年本年支出合计</w:t>
      </w:r>
      <w:r>
        <w:rPr>
          <w:rFonts w:hint="eastAsia" w:ascii="仿宋" w:hAnsi="仿宋" w:eastAsia="仿宋"/>
          <w:color w:val="000000"/>
          <w:sz w:val="32"/>
          <w:szCs w:val="32"/>
          <w:lang w:val="en-US" w:eastAsia="zh-CN"/>
        </w:rPr>
        <w:t>283.91</w:t>
      </w:r>
      <w:r>
        <w:rPr>
          <w:rFonts w:hint="eastAsia" w:ascii="仿宋" w:hAnsi="仿宋" w:eastAsia="仿宋"/>
          <w:color w:val="000000"/>
          <w:sz w:val="32"/>
          <w:szCs w:val="32"/>
        </w:rPr>
        <w:t>万元，其中：基本支出</w:t>
      </w:r>
      <w:r>
        <w:rPr>
          <w:rFonts w:hint="eastAsia" w:ascii="仿宋" w:hAnsi="仿宋" w:eastAsia="仿宋"/>
          <w:color w:val="000000"/>
          <w:sz w:val="32"/>
          <w:szCs w:val="32"/>
          <w:lang w:val="en-US" w:eastAsia="zh-CN"/>
        </w:rPr>
        <w:t>182.06</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64.13</w:t>
      </w:r>
      <w:r>
        <w:rPr>
          <w:rFonts w:ascii="仿宋" w:hAnsi="仿宋" w:eastAsia="仿宋"/>
          <w:color w:val="000000"/>
          <w:sz w:val="32"/>
          <w:szCs w:val="32"/>
        </w:rPr>
        <w:t>%</w:t>
      </w:r>
      <w:r>
        <w:rPr>
          <w:rFonts w:hint="eastAsia" w:ascii="仿宋" w:hAnsi="仿宋" w:eastAsia="仿宋"/>
          <w:color w:val="000000"/>
          <w:sz w:val="32"/>
          <w:szCs w:val="32"/>
        </w:rPr>
        <w:t>；项目支出</w:t>
      </w:r>
      <w:r>
        <w:rPr>
          <w:rFonts w:hint="eastAsia" w:ascii="仿宋" w:hAnsi="仿宋" w:eastAsia="仿宋"/>
          <w:color w:val="000000"/>
          <w:sz w:val="32"/>
          <w:szCs w:val="32"/>
          <w:lang w:val="en-US" w:eastAsia="zh-CN"/>
        </w:rPr>
        <w:t>101.85</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35.87</w:t>
      </w:r>
      <w:r>
        <w:rPr>
          <w:rFonts w:ascii="仿宋" w:hAnsi="仿宋" w:eastAsia="仿宋"/>
          <w:color w:val="000000"/>
          <w:sz w:val="32"/>
          <w:szCs w:val="32"/>
        </w:rPr>
        <w:t>%</w:t>
      </w:r>
      <w:r>
        <w:rPr>
          <w:rFonts w:hint="eastAsia" w:ascii="仿宋" w:hAnsi="仿宋" w:eastAsia="仿宋"/>
          <w:color w:val="000000"/>
          <w:sz w:val="32"/>
          <w:szCs w:val="32"/>
        </w:rPr>
        <w:t>；上缴上级支出0万元，</w:t>
      </w:r>
      <w:r>
        <w:rPr>
          <w:rFonts w:hint="eastAsia" w:ascii="仿宋" w:hAnsi="仿宋" w:eastAsia="仿宋"/>
          <w:color w:val="000000"/>
          <w:sz w:val="32"/>
          <w:szCs w:val="32"/>
          <w:lang w:eastAsia="zh-CN"/>
        </w:rPr>
        <w:t>年初未安排预算</w:t>
      </w:r>
      <w:r>
        <w:rPr>
          <w:rFonts w:hint="eastAsia" w:ascii="仿宋" w:hAnsi="仿宋" w:eastAsia="仿宋"/>
          <w:color w:val="000000"/>
          <w:sz w:val="32"/>
          <w:szCs w:val="32"/>
        </w:rPr>
        <w:t>；经营支出0万元，</w:t>
      </w:r>
      <w:r>
        <w:rPr>
          <w:rFonts w:hint="eastAsia" w:ascii="仿宋" w:hAnsi="仿宋" w:eastAsia="仿宋"/>
          <w:color w:val="000000"/>
          <w:sz w:val="32"/>
          <w:szCs w:val="32"/>
          <w:lang w:eastAsia="zh-CN"/>
        </w:rPr>
        <w:t>年初未安排预算</w:t>
      </w:r>
      <w:r>
        <w:rPr>
          <w:rFonts w:hint="eastAsia" w:ascii="仿宋" w:hAnsi="仿宋" w:eastAsia="仿宋"/>
          <w:color w:val="000000"/>
          <w:sz w:val="32"/>
          <w:szCs w:val="32"/>
        </w:rPr>
        <w:t>；对附属单位补助支出0万元，</w:t>
      </w:r>
      <w:r>
        <w:rPr>
          <w:rFonts w:hint="eastAsia" w:ascii="仿宋" w:hAnsi="仿宋" w:eastAsia="仿宋"/>
          <w:color w:val="000000"/>
          <w:sz w:val="32"/>
          <w:szCs w:val="32"/>
          <w:lang w:eastAsia="zh-CN"/>
        </w:rPr>
        <w:t>年初未安排预算</w:t>
      </w:r>
      <w:r>
        <w:rPr>
          <w:rFonts w:hint="eastAsia" w:ascii="仿宋" w:hAnsi="仿宋" w:eastAsia="仿宋"/>
          <w:color w:val="000000"/>
          <w:sz w:val="32"/>
          <w:szCs w:val="32"/>
        </w:rPr>
        <w:t>。</w:t>
      </w:r>
      <w:bookmarkEnd w:id="73"/>
      <w:bookmarkEnd w:id="74"/>
      <w:bookmarkEnd w:id="75"/>
      <w:bookmarkEnd w:id="76"/>
      <w:bookmarkEnd w:id="77"/>
      <w:bookmarkEnd w:id="78"/>
      <w:bookmarkEnd w:id="79"/>
      <w:bookmarkEnd w:id="80"/>
      <w:bookmarkEnd w:id="81"/>
    </w:p>
    <w:p>
      <w:pPr>
        <w:pStyle w:val="17"/>
        <w:pageBreakBefore w:val="0"/>
        <w:kinsoku/>
        <w:wordWrap/>
        <w:overflowPunct/>
        <w:topLinePunct w:val="0"/>
        <w:bidi w:val="0"/>
        <w:spacing w:line="240" w:lineRule="auto"/>
        <w:ind w:left="0" w:leftChars="0" w:firstLine="0" w:firstLineChars="0"/>
        <w:jc w:val="center"/>
      </w:pPr>
      <w:bookmarkStart w:id="82" w:name="_Toc15396606"/>
      <w:bookmarkStart w:id="83" w:name="_Toc15377208"/>
      <w:r>
        <w:pict>
          <v:shape id="_x0000_i1027" o:spt="75" type="#_x0000_t75" style="height:150pt;width:331.5pt;" filled="f" stroked="f" coordsize="21600,21600">
            <v:path/>
            <v:fill on="f" focussize="0,0"/>
            <v:stroke on="f"/>
            <v:imagedata r:id="rId10" o:title=""/>
            <o:lock v:ext="edit" aspectratio="t"/>
            <w10:wrap type="none"/>
            <w10:anchorlock/>
          </v:shape>
        </w:pict>
      </w:r>
    </w:p>
    <w:p>
      <w:pPr>
        <w:pageBreakBefore w:val="0"/>
        <w:kinsoku/>
        <w:wordWrap/>
        <w:overflowPunct/>
        <w:topLinePunct w:val="0"/>
        <w:bidi w:val="0"/>
        <w:spacing w:line="580" w:lineRule="exact"/>
        <w:ind w:left="0" w:leftChars="0" w:firstLine="0" w:firstLineChars="0"/>
        <w:jc w:val="center"/>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（图3：支出决算结构图）（饼状图）</w:t>
      </w:r>
    </w:p>
    <w:p>
      <w:pPr>
        <w:pageBreakBefore w:val="0"/>
        <w:kinsoku/>
        <w:wordWrap/>
        <w:overflowPunct/>
        <w:topLinePunct w:val="0"/>
        <w:bidi w:val="0"/>
        <w:spacing w:line="580" w:lineRule="exact"/>
        <w:ind w:firstLine="640" w:firstLineChars="200"/>
        <w:outlineLvl w:val="1"/>
        <w:rPr>
          <w:rStyle w:val="32"/>
          <w:rFonts w:ascii="黑体" w:hAnsi="黑体" w:eastAsia="黑体"/>
          <w:b w:val="0"/>
        </w:rPr>
      </w:pPr>
      <w:bookmarkStart w:id="84" w:name="_Toc13030"/>
      <w:bookmarkStart w:id="85" w:name="_Toc5135"/>
      <w:bookmarkStart w:id="86" w:name="_Toc19592"/>
      <w:r>
        <w:rPr>
          <w:rFonts w:hint="eastAsia" w:ascii="黑体" w:hAnsi="黑体" w:eastAsia="黑体"/>
          <w:color w:val="000000"/>
          <w:sz w:val="32"/>
          <w:szCs w:val="32"/>
        </w:rPr>
        <w:t>四、财</w:t>
      </w:r>
      <w:r>
        <w:rPr>
          <w:rStyle w:val="32"/>
          <w:rFonts w:hint="eastAsia" w:ascii="黑体" w:hAnsi="黑体" w:eastAsia="黑体"/>
          <w:b w:val="0"/>
        </w:rPr>
        <w:t>政拨款收入支出决算总体情况说明</w:t>
      </w:r>
      <w:bookmarkEnd w:id="82"/>
      <w:bookmarkEnd w:id="83"/>
      <w:bookmarkEnd w:id="84"/>
      <w:bookmarkEnd w:id="85"/>
      <w:bookmarkEnd w:id="86"/>
    </w:p>
    <w:p>
      <w:pPr>
        <w:pageBreakBefore w:val="0"/>
        <w:kinsoku/>
        <w:wordWrap/>
        <w:overflowPunct/>
        <w:topLinePunct w:val="0"/>
        <w:bidi w:val="0"/>
        <w:spacing w:line="580" w:lineRule="exact"/>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2022</w:t>
      </w:r>
      <w:r>
        <w:rPr>
          <w:rFonts w:hint="eastAsia" w:ascii="仿宋" w:hAnsi="仿宋" w:eastAsia="仿宋"/>
          <w:color w:val="000000"/>
          <w:sz w:val="32"/>
          <w:szCs w:val="32"/>
        </w:rPr>
        <w:t>年财政拨款收、支总计</w:t>
      </w:r>
      <w:r>
        <w:rPr>
          <w:rFonts w:hint="eastAsia" w:ascii="仿宋" w:hAnsi="仿宋" w:eastAsia="仿宋"/>
          <w:color w:val="000000"/>
          <w:sz w:val="32"/>
          <w:szCs w:val="32"/>
          <w:lang w:val="en-US" w:eastAsia="zh-CN"/>
        </w:rPr>
        <w:t>185.57</w:t>
      </w:r>
      <w:r>
        <w:rPr>
          <w:rFonts w:hint="eastAsia" w:ascii="仿宋" w:hAnsi="仿宋" w:eastAsia="仿宋"/>
          <w:color w:val="000000"/>
          <w:sz w:val="32"/>
          <w:szCs w:val="32"/>
        </w:rPr>
        <w:t>万元。与</w:t>
      </w:r>
      <w:r>
        <w:rPr>
          <w:rFonts w:hint="eastAsia" w:ascii="仿宋" w:hAnsi="仿宋" w:eastAsia="仿宋"/>
          <w:color w:val="000000"/>
          <w:sz w:val="32"/>
          <w:szCs w:val="32"/>
          <w:lang w:eastAsia="zh-CN"/>
        </w:rPr>
        <w:t>2021</w:t>
      </w:r>
      <w:r>
        <w:rPr>
          <w:rFonts w:hint="eastAsia" w:ascii="仿宋" w:hAnsi="仿宋" w:eastAsia="仿宋"/>
          <w:color w:val="000000"/>
          <w:sz w:val="32"/>
          <w:szCs w:val="32"/>
          <w:lang w:val="en-US" w:eastAsia="zh-CN"/>
        </w:rPr>
        <w:t>年</w:t>
      </w:r>
    </w:p>
    <w:p>
      <w:pPr>
        <w:spacing w:line="600" w:lineRule="exact"/>
        <w:rPr>
          <w:rStyle w:val="29"/>
          <w:rFonts w:hint="default" w:ascii="仿宋_GB2312" w:eastAsia="仿宋"/>
          <w:b w:val="0"/>
          <w:color w:val="000000"/>
          <w:sz w:val="32"/>
          <w:szCs w:val="32"/>
          <w:lang w:val="en-US" w:eastAsia="zh-CN"/>
        </w:rPr>
      </w:pPr>
      <w:r>
        <w:rPr>
          <w:rFonts w:hint="eastAsia" w:ascii="仿宋" w:hAnsi="仿宋" w:eastAsia="仿宋"/>
          <w:color w:val="000000"/>
          <w:sz w:val="32"/>
          <w:szCs w:val="32"/>
        </w:rPr>
        <w:t>相比，财政拨款收、支总计各</w:t>
      </w:r>
      <w:r>
        <w:rPr>
          <w:rFonts w:hint="eastAsia" w:ascii="仿宋" w:hAnsi="仿宋" w:eastAsia="仿宋"/>
          <w:color w:val="000000"/>
          <w:sz w:val="32"/>
          <w:szCs w:val="32"/>
          <w:lang w:eastAsia="zh-CN"/>
        </w:rPr>
        <w:t>增加了</w:t>
      </w:r>
      <w:r>
        <w:rPr>
          <w:rFonts w:hint="eastAsia" w:ascii="仿宋" w:hAnsi="仿宋" w:eastAsia="仿宋"/>
          <w:color w:val="000000"/>
          <w:sz w:val="32"/>
          <w:szCs w:val="32"/>
          <w:lang w:val="en-US" w:eastAsia="zh-CN"/>
        </w:rPr>
        <w:t>18.07</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增加了</w:t>
      </w:r>
      <w:r>
        <w:rPr>
          <w:rFonts w:hint="eastAsia" w:ascii="仿宋" w:hAnsi="仿宋" w:eastAsia="仿宋"/>
          <w:color w:val="000000"/>
          <w:sz w:val="32"/>
          <w:szCs w:val="32"/>
          <w:lang w:val="en-US" w:eastAsia="zh-CN"/>
        </w:rPr>
        <w:t>107.88%。</w:t>
      </w:r>
      <w:r>
        <w:rPr>
          <w:rFonts w:hint="eastAsia" w:ascii="仿宋" w:hAnsi="仿宋" w:eastAsia="仿宋"/>
          <w:color w:val="auto"/>
          <w:sz w:val="32"/>
          <w:szCs w:val="32"/>
          <w:highlight w:val="none"/>
          <w:lang w:val="en-US" w:eastAsia="zh-CN"/>
        </w:rPr>
        <w:t>2022年收入</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是政府性基金增加了</w:t>
      </w:r>
      <w:r>
        <w:rPr>
          <w:rFonts w:hint="eastAsia" w:ascii="仿宋" w:hAnsi="仿宋" w:eastAsia="仿宋"/>
          <w:color w:val="auto"/>
          <w:sz w:val="32"/>
          <w:szCs w:val="32"/>
          <w:highlight w:val="none"/>
          <w:lang w:val="en-US" w:eastAsia="zh-CN"/>
        </w:rPr>
        <w:t>6.57万元，</w:t>
      </w:r>
      <w:r>
        <w:rPr>
          <w:rFonts w:hint="eastAsia" w:ascii="仿宋" w:hAnsi="仿宋" w:eastAsia="仿宋"/>
          <w:color w:val="auto"/>
          <w:sz w:val="32"/>
          <w:szCs w:val="32"/>
          <w:highlight w:val="none"/>
          <w:lang w:eastAsia="zh-CN"/>
        </w:rPr>
        <w:t>一般公共预算拨款增加</w:t>
      </w:r>
      <w:r>
        <w:rPr>
          <w:rFonts w:hint="eastAsia" w:ascii="仿宋" w:hAnsi="仿宋" w:eastAsia="仿宋" w:cs="仿宋"/>
          <w:color w:val="auto"/>
          <w:sz w:val="32"/>
          <w:szCs w:val="32"/>
          <w:lang w:val="en-US" w:eastAsia="zh-CN"/>
        </w:rPr>
        <w:t>了11.5万元。2022年支出变动的主要原因社会保障和就业支出减少了0.76万元，卫生健康支出增加了9.98万元，住房保障支出增加了0.76万元，因疫情防控原因，本年财政拨款增加。</w:t>
      </w:r>
    </w:p>
    <w:p>
      <w:pPr>
        <w:keepNext w:val="0"/>
        <w:keepLines w:val="0"/>
        <w:pageBreakBefore w:val="0"/>
        <w:widowControl/>
        <w:suppressLineNumbers w:val="0"/>
        <w:kinsoku/>
        <w:wordWrap/>
        <w:overflowPunct/>
        <w:topLinePunct w:val="0"/>
        <w:bidi w:val="0"/>
        <w:spacing w:line="240" w:lineRule="auto"/>
        <w:jc w:val="center"/>
      </w:pPr>
      <w:r>
        <w:pict>
          <v:shape id="_x0000_i1028" o:spt="75" type="#_x0000_t75" style="height:132pt;width:312pt;" filled="f" stroked="f" coordsize="21600,21600">
            <v:path/>
            <v:fill on="f" focussize="0,0"/>
            <v:stroke on="f"/>
            <v:imagedata r:id="rId11" o:title=""/>
            <o:lock v:ext="edit" aspectratio="t"/>
            <w10:wrap type="none"/>
            <w10:anchorlock/>
          </v:shape>
        </w:pict>
      </w:r>
    </w:p>
    <w:p>
      <w:pPr>
        <w:pageBreakBefore w:val="0"/>
        <w:kinsoku/>
        <w:wordWrap/>
        <w:overflowPunct/>
        <w:topLinePunct w:val="0"/>
        <w:bidi w:val="0"/>
        <w:spacing w:line="580" w:lineRule="exact"/>
        <w:ind w:left="0" w:leftChars="0" w:firstLine="0" w:firstLineChars="0"/>
        <w:jc w:val="center"/>
        <w:rPr>
          <w:sz w:val="24"/>
          <w:szCs w:val="24"/>
        </w:rPr>
      </w:pPr>
      <w:r>
        <w:rPr>
          <w:rFonts w:hint="eastAsia" w:ascii="仿宋" w:hAnsi="仿宋" w:eastAsia="仿宋"/>
          <w:color w:val="auto"/>
          <w:sz w:val="24"/>
          <w:szCs w:val="24"/>
          <w:highlight w:val="none"/>
        </w:rPr>
        <w:t>（图4：财政拨款收、支决算总计变动情况）（柱状图）</w:t>
      </w:r>
    </w:p>
    <w:p>
      <w:pPr>
        <w:pageBreakBefore w:val="0"/>
        <w:kinsoku/>
        <w:wordWrap/>
        <w:overflowPunct/>
        <w:topLinePunct w:val="0"/>
        <w:bidi w:val="0"/>
        <w:spacing w:line="580" w:lineRule="exact"/>
        <w:ind w:firstLine="960" w:firstLineChars="300"/>
        <w:outlineLvl w:val="1"/>
        <w:rPr>
          <w:rStyle w:val="32"/>
          <w:rFonts w:ascii="黑体" w:hAnsi="黑体" w:eastAsia="黑体"/>
          <w:b w:val="0"/>
        </w:rPr>
      </w:pPr>
      <w:bookmarkStart w:id="87" w:name="_Toc15377209"/>
      <w:bookmarkStart w:id="88" w:name="_Toc17889"/>
      <w:bookmarkStart w:id="89" w:name="_Toc10762"/>
      <w:bookmarkStart w:id="90" w:name="_Toc30054"/>
      <w:bookmarkStart w:id="91" w:name="_Toc15396607"/>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32"/>
          <w:rFonts w:hint="eastAsia" w:ascii="黑体" w:hAnsi="黑体" w:eastAsia="黑体"/>
          <w:b w:val="0"/>
        </w:rPr>
        <w:t>般公共预算财政拨款支出决算情况说明</w:t>
      </w:r>
      <w:bookmarkEnd w:id="87"/>
      <w:bookmarkEnd w:id="88"/>
      <w:bookmarkEnd w:id="89"/>
      <w:bookmarkEnd w:id="90"/>
      <w:bookmarkEnd w:id="91"/>
    </w:p>
    <w:p>
      <w:pPr>
        <w:pageBreakBefore w:val="0"/>
        <w:kinsoku/>
        <w:wordWrap/>
        <w:overflowPunct/>
        <w:topLinePunct w:val="0"/>
        <w:bidi w:val="0"/>
        <w:spacing w:line="580" w:lineRule="exact"/>
        <w:ind w:firstLine="643" w:firstLineChars="200"/>
        <w:outlineLvl w:val="2"/>
        <w:rPr>
          <w:rFonts w:ascii="仿宋" w:hAnsi="仿宋" w:eastAsia="仿宋"/>
          <w:b/>
          <w:color w:val="000000"/>
          <w:sz w:val="32"/>
          <w:szCs w:val="32"/>
        </w:rPr>
      </w:pPr>
      <w:bookmarkStart w:id="92" w:name="_Toc24329"/>
      <w:bookmarkStart w:id="93" w:name="_Toc15377210"/>
      <w:r>
        <w:rPr>
          <w:rFonts w:hint="eastAsia" w:ascii="仿宋" w:hAnsi="仿宋" w:eastAsia="仿宋"/>
          <w:b/>
          <w:color w:val="000000"/>
          <w:sz w:val="32"/>
          <w:szCs w:val="32"/>
        </w:rPr>
        <w:t>（一）一般公共预算财政拨款支出决算总体情况</w:t>
      </w:r>
      <w:bookmarkEnd w:id="92"/>
      <w:bookmarkEnd w:id="93"/>
    </w:p>
    <w:p>
      <w:pPr>
        <w:spacing w:line="600" w:lineRule="exact"/>
        <w:ind w:firstLine="640"/>
        <w:rPr>
          <w:rFonts w:ascii="仿宋" w:eastAsia="仿宋"/>
          <w:color w:val="auto"/>
          <w:sz w:val="32"/>
          <w:szCs w:val="32"/>
          <w:highlight w:val="none"/>
        </w:rPr>
      </w:pPr>
      <w:r>
        <w:rPr>
          <w:rFonts w:hint="eastAsia" w:ascii="仿宋" w:hAnsi="仿宋" w:eastAsia="仿宋"/>
          <w:color w:val="000000"/>
          <w:sz w:val="32"/>
          <w:szCs w:val="32"/>
          <w:lang w:eastAsia="zh-CN"/>
        </w:rPr>
        <w:t>2022</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179</w:t>
      </w:r>
      <w:r>
        <w:rPr>
          <w:rFonts w:hint="eastAsia" w:ascii="仿宋" w:hAnsi="仿宋" w:eastAsia="仿宋"/>
          <w:color w:val="000000"/>
          <w:sz w:val="32"/>
          <w:szCs w:val="32"/>
        </w:rPr>
        <w:t>万元，占本年支出合计的</w:t>
      </w:r>
      <w:r>
        <w:rPr>
          <w:rFonts w:hint="eastAsia" w:ascii="仿宋" w:hAnsi="仿宋" w:eastAsia="仿宋"/>
          <w:color w:val="000000"/>
          <w:sz w:val="32"/>
          <w:szCs w:val="32"/>
          <w:lang w:val="en-US" w:eastAsia="zh-CN"/>
        </w:rPr>
        <w:t>63.05</w:t>
      </w:r>
      <w:r>
        <w:rPr>
          <w:rFonts w:ascii="仿宋" w:hAnsi="仿宋" w:eastAsia="仿宋"/>
          <w:color w:val="000000"/>
          <w:sz w:val="32"/>
          <w:szCs w:val="32"/>
        </w:rPr>
        <w:t>%</w:t>
      </w:r>
      <w:r>
        <w:rPr>
          <w:rFonts w:hint="eastAsia" w:ascii="仿宋" w:hAnsi="仿宋" w:eastAsia="仿宋"/>
          <w:color w:val="000000"/>
          <w:sz w:val="32"/>
          <w:szCs w:val="32"/>
        </w:rPr>
        <w:t>。与</w:t>
      </w:r>
      <w:r>
        <w:rPr>
          <w:rFonts w:hint="eastAsia" w:ascii="仿宋" w:hAnsi="仿宋" w:eastAsia="仿宋"/>
          <w:color w:val="000000"/>
          <w:sz w:val="32"/>
          <w:szCs w:val="32"/>
          <w:lang w:eastAsia="zh-CN"/>
        </w:rPr>
        <w:t>2021</w:t>
      </w:r>
      <w:r>
        <w:rPr>
          <w:rFonts w:hint="eastAsia" w:ascii="仿宋" w:hAnsi="仿宋" w:eastAsia="仿宋"/>
          <w:color w:val="000000"/>
          <w:sz w:val="32"/>
          <w:szCs w:val="32"/>
        </w:rPr>
        <w:t>年相比</w:t>
      </w:r>
      <w:r>
        <w:rPr>
          <w:rFonts w:hint="eastAsia" w:ascii="仿宋" w:hAnsi="仿宋" w:eastAsia="仿宋"/>
          <w:color w:val="000000"/>
          <w:sz w:val="32"/>
          <w:szCs w:val="32"/>
          <w:lang w:eastAsia="zh-CN"/>
        </w:rPr>
        <w:t>增加</w:t>
      </w:r>
      <w:r>
        <w:rPr>
          <w:rFonts w:hint="eastAsia" w:ascii="仿宋" w:hAnsi="仿宋" w:eastAsia="仿宋"/>
          <w:color w:val="000000"/>
          <w:sz w:val="32"/>
          <w:szCs w:val="32"/>
          <w:lang w:val="en-US" w:eastAsia="zh-CN"/>
        </w:rPr>
        <w:t>11.51万元，增加6.87%</w:t>
      </w:r>
      <w:r>
        <w:rPr>
          <w:rFonts w:hint="eastAsia" w:ascii="仿宋" w:hAnsi="仿宋" w:eastAsia="仿宋"/>
          <w:color w:val="auto"/>
          <w:sz w:val="32"/>
          <w:szCs w:val="32"/>
          <w:highlight w:val="none"/>
        </w:rPr>
        <w:t>。主要变动原因</w:t>
      </w:r>
      <w:r>
        <w:rPr>
          <w:rFonts w:hint="eastAsia" w:ascii="仿宋" w:eastAsia="仿宋"/>
          <w:color w:val="auto"/>
          <w:sz w:val="32"/>
          <w:szCs w:val="32"/>
          <w:highlight w:val="none"/>
        </w:rPr>
        <w:t>主要变动原因是</w:t>
      </w:r>
      <w:r>
        <w:rPr>
          <w:rFonts w:ascii="仿宋" w:eastAsia="仿宋"/>
          <w:color w:val="auto"/>
          <w:sz w:val="32"/>
          <w:szCs w:val="32"/>
          <w:highlight w:val="none"/>
        </w:rPr>
        <w:t>乡镇合并人员增加，财政拨款增加</w:t>
      </w:r>
      <w:r>
        <w:rPr>
          <w:rFonts w:hint="eastAsia" w:ascii="仿宋" w:eastAsia="仿宋"/>
          <w:color w:val="auto"/>
          <w:sz w:val="32"/>
          <w:szCs w:val="32"/>
          <w:highlight w:val="none"/>
          <w:lang w:eastAsia="zh-CN"/>
        </w:rPr>
        <w:t>。</w:t>
      </w:r>
    </w:p>
    <w:p>
      <w:pPr>
        <w:spacing w:line="600" w:lineRule="exact"/>
        <w:ind w:firstLine="640" w:firstLineChars="200"/>
        <w:rPr>
          <w:rFonts w:hint="eastAsia" w:ascii="仿宋" w:hAnsi="仿宋" w:eastAsia="仿宋" w:cs="仿宋"/>
          <w:color w:val="000000"/>
          <w:sz w:val="32"/>
          <w:szCs w:val="32"/>
          <w:lang w:val="en-US" w:eastAsia="zh-CN"/>
        </w:rPr>
      </w:pPr>
    </w:p>
    <w:p>
      <w:pPr>
        <w:keepNext w:val="0"/>
        <w:keepLines w:val="0"/>
        <w:pageBreakBefore w:val="0"/>
        <w:widowControl/>
        <w:suppressLineNumbers w:val="0"/>
        <w:kinsoku/>
        <w:wordWrap/>
        <w:overflowPunct/>
        <w:topLinePunct w:val="0"/>
        <w:bidi w:val="0"/>
        <w:spacing w:line="240" w:lineRule="auto"/>
        <w:jc w:val="center"/>
      </w:pPr>
      <w:bookmarkStart w:id="94" w:name="_Toc15377211"/>
      <w:r>
        <w:pict>
          <v:shape id="_x0000_i1029" o:spt="75" type="#_x0000_t75" style="height:136.5pt;width:277.5pt;" filled="f" stroked="f" coordsize="21600,21600">
            <v:path/>
            <v:fill on="f" focussize="0,0"/>
            <v:stroke on="f"/>
            <v:imagedata r:id="rId12" o:title=""/>
            <o:lock v:ext="edit" aspectratio="t"/>
            <w10:wrap type="none"/>
            <w10:anchorlock/>
          </v:shape>
        </w:pict>
      </w:r>
    </w:p>
    <w:p>
      <w:pPr>
        <w:pageBreakBefore w:val="0"/>
        <w:kinsoku/>
        <w:wordWrap/>
        <w:overflowPunct/>
        <w:topLinePunct w:val="0"/>
        <w:bidi w:val="0"/>
        <w:spacing w:line="580" w:lineRule="exact"/>
        <w:ind w:left="0" w:leftChars="0" w:firstLine="0" w:firstLineChars="0"/>
        <w:jc w:val="center"/>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（图5：一般公共预算财政拨款支出决算变动情况）（柱状图）</w:t>
      </w:r>
    </w:p>
    <w:p>
      <w:pPr>
        <w:pageBreakBefore w:val="0"/>
        <w:kinsoku/>
        <w:wordWrap/>
        <w:overflowPunct/>
        <w:topLinePunct w:val="0"/>
        <w:bidi w:val="0"/>
        <w:spacing w:line="580" w:lineRule="exact"/>
        <w:ind w:firstLine="643" w:firstLineChars="200"/>
        <w:outlineLvl w:val="2"/>
        <w:rPr>
          <w:rFonts w:ascii="仿宋" w:hAnsi="仿宋" w:eastAsia="仿宋"/>
          <w:b/>
          <w:color w:val="000000"/>
          <w:sz w:val="32"/>
          <w:szCs w:val="32"/>
        </w:rPr>
      </w:pPr>
      <w:bookmarkStart w:id="95" w:name="_Toc23264"/>
      <w:r>
        <w:rPr>
          <w:rFonts w:hint="eastAsia" w:ascii="仿宋" w:hAnsi="仿宋" w:eastAsia="仿宋"/>
          <w:b/>
          <w:color w:val="000000"/>
          <w:sz w:val="32"/>
          <w:szCs w:val="32"/>
        </w:rPr>
        <w:t>（二）一般公共预算财政拨款支出决算结构情况</w:t>
      </w:r>
      <w:bookmarkEnd w:id="94"/>
      <w:bookmarkEnd w:id="95"/>
    </w:p>
    <w:p>
      <w:pPr>
        <w:pageBreakBefore w:val="0"/>
        <w:kinsoku/>
        <w:wordWrap/>
        <w:overflowPunct/>
        <w:topLinePunct w:val="0"/>
        <w:bidi w:val="0"/>
        <w:spacing w:line="58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lang w:eastAsia="zh-CN"/>
        </w:rPr>
        <w:t>2022</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179</w:t>
      </w:r>
      <w:r>
        <w:rPr>
          <w:rFonts w:hint="eastAsia" w:ascii="仿宋" w:hAnsi="仿宋" w:eastAsia="仿宋"/>
          <w:color w:val="000000"/>
          <w:sz w:val="32"/>
          <w:szCs w:val="32"/>
        </w:rPr>
        <w:t>万元，主要用</w:t>
      </w:r>
      <w:r>
        <w:rPr>
          <w:rFonts w:hint="eastAsia" w:ascii="仿宋" w:hAnsi="仿宋" w:eastAsia="仿宋"/>
          <w:color w:val="000000"/>
          <w:sz w:val="32"/>
          <w:szCs w:val="32"/>
          <w:lang w:eastAsia="zh-CN"/>
        </w:rPr>
        <w:t>于</w:t>
      </w:r>
      <w:r>
        <w:rPr>
          <w:rFonts w:hint="eastAsia" w:ascii="仿宋" w:hAnsi="仿宋" w:eastAsia="仿宋"/>
          <w:color w:val="000000"/>
          <w:sz w:val="32"/>
          <w:szCs w:val="32"/>
        </w:rPr>
        <w:t>；</w:t>
      </w:r>
      <w:r>
        <w:rPr>
          <w:rFonts w:hint="eastAsia" w:ascii="仿宋" w:hAnsi="仿宋" w:eastAsia="仿宋"/>
          <w:b/>
          <w:color w:val="000000"/>
          <w:sz w:val="32"/>
          <w:szCs w:val="32"/>
        </w:rPr>
        <w:t>社会保障和就业（类）</w:t>
      </w:r>
      <w:r>
        <w:rPr>
          <w:rFonts w:hint="eastAsia" w:ascii="仿宋" w:hAnsi="仿宋" w:eastAsia="仿宋"/>
          <w:color w:val="000000"/>
          <w:sz w:val="32"/>
          <w:szCs w:val="32"/>
        </w:rPr>
        <w:t>支</w:t>
      </w:r>
      <w:r>
        <w:rPr>
          <w:rStyle w:val="13"/>
          <w:rFonts w:hint="eastAsia" w:ascii="仿宋" w:hAnsi="仿宋" w:eastAsia="仿宋" w:cs="Times New Roman"/>
          <w:b w:val="0"/>
          <w:bCs w:val="0"/>
          <w:color w:val="auto"/>
          <w:highlight w:val="none"/>
          <w:lang w:val="en-US" w:eastAsia="zh-CN" w:bidi="ar-SA"/>
        </w:rPr>
        <w:t>出8.46万元，占4.56%；</w:t>
      </w:r>
      <w:r>
        <w:rPr>
          <w:rFonts w:hint="eastAsia" w:ascii="仿宋" w:hAnsi="仿宋" w:eastAsia="仿宋"/>
          <w:b/>
          <w:bCs/>
          <w:color w:val="000000"/>
          <w:sz w:val="32"/>
          <w:szCs w:val="32"/>
        </w:rPr>
        <w:t>卫生健康支出</w:t>
      </w:r>
      <w:r>
        <w:rPr>
          <w:rFonts w:hint="eastAsia" w:ascii="仿宋" w:hAnsi="仿宋" w:eastAsia="仿宋"/>
          <w:color w:val="000000"/>
          <w:sz w:val="32"/>
          <w:szCs w:val="32"/>
          <w:lang w:val="en-US" w:eastAsia="zh-CN"/>
        </w:rPr>
        <w:t>164.92</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88.87</w:t>
      </w:r>
      <w:r>
        <w:rPr>
          <w:rFonts w:ascii="仿宋" w:hAnsi="仿宋" w:eastAsia="仿宋"/>
          <w:color w:val="000000"/>
          <w:sz w:val="32"/>
          <w:szCs w:val="32"/>
        </w:rPr>
        <w:t>%</w:t>
      </w:r>
      <w:r>
        <w:rPr>
          <w:rFonts w:hint="eastAsia" w:ascii="仿宋" w:hAnsi="仿宋" w:eastAsia="仿宋"/>
          <w:color w:val="000000"/>
          <w:sz w:val="32"/>
          <w:szCs w:val="32"/>
          <w:lang w:val="en-US" w:eastAsia="zh-CN"/>
        </w:rPr>
        <w:t>；</w:t>
      </w:r>
      <w:r>
        <w:rPr>
          <w:rFonts w:hint="eastAsia" w:ascii="仿宋" w:hAnsi="仿宋" w:eastAsia="仿宋"/>
          <w:b/>
          <w:bCs/>
          <w:color w:val="000000"/>
          <w:sz w:val="32"/>
          <w:szCs w:val="32"/>
          <w:lang w:val="en-US" w:eastAsia="zh-CN"/>
        </w:rPr>
        <w:t>城乡社区支出</w:t>
      </w:r>
      <w:r>
        <w:rPr>
          <w:rFonts w:hint="eastAsia" w:ascii="仿宋" w:hAnsi="仿宋" w:eastAsia="仿宋"/>
          <w:color w:val="000000"/>
          <w:sz w:val="32"/>
          <w:szCs w:val="32"/>
          <w:lang w:val="en-US" w:eastAsia="zh-CN"/>
        </w:rPr>
        <w:t>6.57万元，占3.54%；</w:t>
      </w:r>
      <w:r>
        <w:rPr>
          <w:rFonts w:hint="eastAsia" w:ascii="仿宋" w:hAnsi="仿宋" w:eastAsia="仿宋"/>
          <w:b/>
          <w:bCs/>
          <w:color w:val="000000"/>
          <w:sz w:val="32"/>
          <w:szCs w:val="32"/>
        </w:rPr>
        <w:t>住房保障支出</w:t>
      </w:r>
      <w:r>
        <w:rPr>
          <w:rFonts w:hint="eastAsia" w:ascii="仿宋" w:hAnsi="仿宋" w:eastAsia="仿宋"/>
          <w:color w:val="000000"/>
          <w:sz w:val="32"/>
          <w:szCs w:val="32"/>
          <w:lang w:val="en-US" w:eastAsia="zh-CN"/>
        </w:rPr>
        <w:t>5.62</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3.03</w:t>
      </w:r>
      <w:r>
        <w:rPr>
          <w:rFonts w:ascii="仿宋" w:hAnsi="仿宋" w:eastAsia="仿宋"/>
          <w:color w:val="000000"/>
          <w:sz w:val="32"/>
          <w:szCs w:val="32"/>
        </w:rPr>
        <w:t>%</w:t>
      </w:r>
      <w:r>
        <w:rPr>
          <w:rFonts w:hint="eastAsia" w:ascii="仿宋" w:hAnsi="仿宋" w:eastAsia="仿宋"/>
          <w:color w:val="000000"/>
          <w:sz w:val="32"/>
          <w:szCs w:val="32"/>
        </w:rPr>
        <w:t>；</w:t>
      </w:r>
    </w:p>
    <w:p>
      <w:pPr>
        <w:pStyle w:val="17"/>
        <w:pageBreakBefore w:val="0"/>
        <w:kinsoku/>
        <w:wordWrap/>
        <w:overflowPunct/>
        <w:topLinePunct w:val="0"/>
        <w:bidi w:val="0"/>
        <w:spacing w:line="240" w:lineRule="auto"/>
        <w:ind w:firstLine="0" w:firstLineChars="0"/>
        <w:jc w:val="center"/>
        <w:rPr>
          <w:rFonts w:hint="eastAsia"/>
        </w:rPr>
      </w:pPr>
      <w:r>
        <w:pict>
          <v:shape id="_x0000_i1030" o:spt="75" type="#_x0000_t75" style="height:138.7pt;width:297.55pt;" filled="f" o:preferrelative="t" stroked="f" coordsize="21600,21600">
            <v:path/>
            <v:fill on="f" focussize="0,0"/>
            <v:stroke on="f"/>
            <v:imagedata r:id="rId13" o:title=""/>
            <o:lock v:ext="edit" aspectratio="t"/>
            <w10:wrap type="none"/>
            <w10:anchorlock/>
          </v:shape>
        </w:pict>
      </w:r>
    </w:p>
    <w:p>
      <w:pPr>
        <w:pageBreakBefore w:val="0"/>
        <w:kinsoku/>
        <w:wordWrap/>
        <w:overflowPunct/>
        <w:topLinePunct w:val="0"/>
        <w:bidi w:val="0"/>
        <w:spacing w:line="580" w:lineRule="exact"/>
        <w:jc w:val="center"/>
        <w:rPr>
          <w:rFonts w:ascii="仿宋" w:hAnsi="仿宋" w:eastAsia="仿宋"/>
          <w:color w:val="000000"/>
          <w:sz w:val="32"/>
          <w:szCs w:val="32"/>
        </w:rPr>
      </w:pPr>
      <w:r>
        <w:rPr>
          <w:rFonts w:hint="eastAsia" w:ascii="仿宋" w:hAnsi="仿宋" w:eastAsia="仿宋"/>
          <w:color w:val="auto"/>
          <w:sz w:val="24"/>
          <w:szCs w:val="24"/>
          <w:highlight w:val="none"/>
        </w:rPr>
        <w:t>（</w:t>
      </w:r>
      <w:r>
        <w:rPr>
          <w:rFonts w:hint="eastAsia" w:ascii="仿宋" w:hAnsi="仿宋" w:eastAsia="仿宋" w:cs="Times New Roman"/>
          <w:color w:val="auto"/>
          <w:sz w:val="24"/>
          <w:szCs w:val="24"/>
          <w:highlight w:val="none"/>
          <w:lang w:val="en-US" w:eastAsia="zh-CN"/>
        </w:rPr>
        <w:t>图6：一般公共预算财政拨款支出决算结构）（饼状图）</w:t>
      </w:r>
    </w:p>
    <w:p>
      <w:pPr>
        <w:pageBreakBefore w:val="0"/>
        <w:kinsoku/>
        <w:wordWrap/>
        <w:overflowPunct/>
        <w:topLinePunct w:val="0"/>
        <w:bidi w:val="0"/>
        <w:spacing w:line="580" w:lineRule="exact"/>
        <w:ind w:firstLine="643" w:firstLineChars="200"/>
        <w:outlineLvl w:val="2"/>
        <w:rPr>
          <w:rFonts w:hint="eastAsia" w:ascii="仿宋" w:hAnsi="仿宋" w:eastAsia="仿宋"/>
          <w:b/>
          <w:color w:val="000000"/>
          <w:sz w:val="32"/>
          <w:szCs w:val="32"/>
          <w:lang w:eastAsia="zh-CN"/>
        </w:rPr>
      </w:pPr>
      <w:bookmarkStart w:id="96" w:name="_Toc15377212"/>
      <w:bookmarkStart w:id="97" w:name="_Toc19658"/>
      <w:r>
        <w:rPr>
          <w:rFonts w:hint="eastAsia" w:ascii="仿宋" w:hAnsi="仿宋" w:eastAsia="仿宋"/>
          <w:b/>
          <w:color w:val="000000"/>
          <w:sz w:val="32"/>
          <w:szCs w:val="32"/>
        </w:rPr>
        <w:t>（三）一般公共预算财政拨款支出决算具体情</w:t>
      </w:r>
      <w:bookmarkEnd w:id="96"/>
      <w:r>
        <w:rPr>
          <w:rFonts w:hint="eastAsia" w:ascii="仿宋" w:hAnsi="仿宋" w:eastAsia="仿宋"/>
          <w:b/>
          <w:color w:val="000000"/>
          <w:sz w:val="32"/>
          <w:szCs w:val="32"/>
          <w:lang w:eastAsia="zh-CN"/>
        </w:rPr>
        <w:t>况</w:t>
      </w:r>
      <w:bookmarkEnd w:id="97"/>
    </w:p>
    <w:p>
      <w:pPr>
        <w:pageBreakBefore w:val="0"/>
        <w:kinsoku/>
        <w:wordWrap/>
        <w:overflowPunct/>
        <w:topLinePunct w:val="0"/>
        <w:bidi w:val="0"/>
        <w:spacing w:line="580" w:lineRule="exact"/>
        <w:ind w:firstLine="643" w:firstLineChars="200"/>
        <w:outlineLvl w:val="1"/>
        <w:rPr>
          <w:rStyle w:val="29"/>
          <w:rFonts w:hint="eastAsia" w:ascii="仿宋" w:hAnsi="仿宋" w:eastAsia="仿宋"/>
          <w:bCs/>
          <w:color w:val="000000"/>
          <w:sz w:val="32"/>
          <w:szCs w:val="32"/>
        </w:rPr>
      </w:pPr>
      <w:bookmarkStart w:id="98" w:name="_Toc15377444"/>
      <w:bookmarkStart w:id="99" w:name="_Toc15377213"/>
      <w:bookmarkStart w:id="100" w:name="_Toc15378460"/>
      <w:bookmarkStart w:id="101" w:name="_Toc22446"/>
      <w:r>
        <w:rPr>
          <w:rFonts w:hint="eastAsia" w:ascii="仿宋" w:hAnsi="仿宋" w:eastAsia="仿宋"/>
          <w:b/>
          <w:color w:val="000000"/>
          <w:sz w:val="32"/>
          <w:szCs w:val="32"/>
          <w:lang w:eastAsia="zh-CN"/>
        </w:rPr>
        <w:t>2022</w:t>
      </w:r>
      <w:r>
        <w:rPr>
          <w:rFonts w:hint="eastAsia" w:ascii="仿宋" w:hAnsi="仿宋" w:eastAsia="仿宋"/>
          <w:b/>
          <w:color w:val="000000"/>
          <w:sz w:val="32"/>
          <w:szCs w:val="32"/>
        </w:rPr>
        <w:t>年一般公共预算支出决算数为</w:t>
      </w:r>
      <w:r>
        <w:rPr>
          <w:rFonts w:hint="eastAsia" w:ascii="仿宋" w:hAnsi="仿宋" w:eastAsia="仿宋"/>
          <w:b/>
          <w:color w:val="000000"/>
          <w:sz w:val="32"/>
          <w:szCs w:val="32"/>
          <w:lang w:val="en-US" w:eastAsia="zh-CN"/>
        </w:rPr>
        <w:t>179万元</w:t>
      </w:r>
      <w:r>
        <w:rPr>
          <w:rFonts w:hint="eastAsia" w:ascii="仿宋" w:hAnsi="仿宋" w:eastAsia="仿宋"/>
          <w:color w:val="000000"/>
          <w:sz w:val="32"/>
          <w:szCs w:val="32"/>
        </w:rPr>
        <w:t>，</w:t>
      </w:r>
      <w:r>
        <w:rPr>
          <w:rStyle w:val="29"/>
          <w:rFonts w:hint="eastAsia" w:ascii="仿宋" w:hAnsi="仿宋" w:eastAsia="仿宋"/>
          <w:bCs/>
          <w:color w:val="000000"/>
          <w:sz w:val="32"/>
          <w:szCs w:val="32"/>
        </w:rPr>
        <w:t>完成预算</w:t>
      </w:r>
      <w:r>
        <w:rPr>
          <w:rStyle w:val="29"/>
          <w:rFonts w:hint="eastAsia" w:ascii="仿宋" w:hAnsi="仿宋" w:eastAsia="仿宋"/>
          <w:bCs/>
          <w:color w:val="000000"/>
          <w:sz w:val="32"/>
          <w:szCs w:val="32"/>
          <w:lang w:val="en-US" w:eastAsia="zh-CN"/>
        </w:rPr>
        <w:t>100</w:t>
      </w:r>
      <w:r>
        <w:rPr>
          <w:rStyle w:val="29"/>
          <w:rFonts w:ascii="仿宋" w:hAnsi="仿宋" w:eastAsia="仿宋"/>
          <w:bCs/>
          <w:color w:val="000000"/>
          <w:sz w:val="32"/>
          <w:szCs w:val="32"/>
        </w:rPr>
        <w:t>%</w:t>
      </w:r>
      <w:r>
        <w:rPr>
          <w:rStyle w:val="29"/>
          <w:rFonts w:hint="eastAsia" w:ascii="仿宋" w:hAnsi="仿宋" w:eastAsia="仿宋"/>
          <w:bCs/>
          <w:color w:val="000000"/>
          <w:sz w:val="32"/>
          <w:szCs w:val="32"/>
        </w:rPr>
        <w:t>。其中：</w:t>
      </w:r>
      <w:bookmarkEnd w:id="98"/>
      <w:bookmarkEnd w:id="99"/>
      <w:bookmarkEnd w:id="100"/>
      <w:bookmarkEnd w:id="101"/>
    </w:p>
    <w:p>
      <w:pPr>
        <w:pageBreakBefore w:val="0"/>
        <w:kinsoku/>
        <w:wordWrap/>
        <w:overflowPunct/>
        <w:topLinePunct w:val="0"/>
        <w:bidi w:val="0"/>
        <w:spacing w:line="580" w:lineRule="exact"/>
        <w:ind w:firstLine="643" w:firstLineChars="200"/>
        <w:rPr>
          <w:rStyle w:val="13"/>
          <w:rFonts w:hint="eastAsia" w:ascii="仿宋" w:hAnsi="仿宋" w:eastAsia="仿宋" w:cs="Times New Roman"/>
          <w:b w:val="0"/>
          <w:bCs w:val="0"/>
          <w:color w:val="auto"/>
          <w:highlight w:val="none"/>
          <w:lang w:val="en-US" w:eastAsia="zh-CN" w:bidi="ar-SA"/>
        </w:rPr>
      </w:pPr>
      <w:r>
        <w:rPr>
          <w:rFonts w:hint="eastAsia" w:ascii="仿宋" w:hAnsi="仿宋" w:eastAsia="仿宋"/>
          <w:b/>
          <w:bCs/>
          <w:color w:val="000000"/>
          <w:sz w:val="32"/>
          <w:szCs w:val="32"/>
        </w:rPr>
        <w:t>卫生健康支出</w:t>
      </w:r>
      <w:r>
        <w:rPr>
          <w:rFonts w:hint="eastAsia" w:ascii="仿宋_GB2312" w:eastAsia="仿宋_GB2312"/>
          <w:b/>
          <w:color w:val="000000"/>
          <w:sz w:val="32"/>
          <w:szCs w:val="32"/>
        </w:rPr>
        <w:t>（类）基层医疗卫生机构（款）</w:t>
      </w:r>
      <w:r>
        <w:rPr>
          <w:rStyle w:val="29"/>
          <w:rFonts w:hint="eastAsia" w:ascii="仿宋_GB2312" w:eastAsia="仿宋_GB2312"/>
          <w:color w:val="000000"/>
          <w:sz w:val="32"/>
          <w:szCs w:val="32"/>
        </w:rPr>
        <w:t>乡镇卫生院（项）</w:t>
      </w:r>
      <w:r>
        <w:rPr>
          <w:rStyle w:val="29"/>
          <w:rFonts w:hint="eastAsia" w:ascii="仿宋_GB2312" w:eastAsia="仿宋_GB2312"/>
          <w:color w:val="000000"/>
          <w:sz w:val="32"/>
          <w:szCs w:val="32"/>
          <w:lang w:eastAsia="zh-CN"/>
        </w:rPr>
        <w:t>：</w:t>
      </w:r>
      <w:r>
        <w:rPr>
          <w:rStyle w:val="13"/>
          <w:rFonts w:hint="eastAsia" w:ascii="仿宋" w:hAnsi="仿宋" w:eastAsia="仿宋" w:cs="Times New Roman"/>
          <w:b w:val="0"/>
          <w:bCs w:val="0"/>
          <w:color w:val="auto"/>
          <w:highlight w:val="none"/>
          <w:lang w:val="en-US" w:eastAsia="zh-CN" w:bidi="ar-SA"/>
        </w:rPr>
        <w:t>主要用于乡镇卫生院人员经费，决算数127.04万元，完成预算100%。</w:t>
      </w:r>
    </w:p>
    <w:p>
      <w:pPr>
        <w:pageBreakBefore w:val="0"/>
        <w:kinsoku/>
        <w:wordWrap/>
        <w:overflowPunct/>
        <w:topLinePunct w:val="0"/>
        <w:bidi w:val="0"/>
        <w:spacing w:line="580" w:lineRule="exact"/>
        <w:ind w:firstLine="643" w:firstLineChars="200"/>
        <w:rPr>
          <w:rStyle w:val="13"/>
          <w:rFonts w:hint="eastAsia" w:ascii="仿宋" w:hAnsi="仿宋" w:eastAsia="仿宋" w:cs="Times New Roman"/>
          <w:b w:val="0"/>
          <w:bCs w:val="0"/>
          <w:color w:val="auto"/>
          <w:highlight w:val="none"/>
          <w:lang w:val="en-US" w:eastAsia="zh-CN" w:bidi="ar-SA"/>
        </w:rPr>
      </w:pPr>
      <w:r>
        <w:rPr>
          <w:rStyle w:val="29"/>
          <w:rFonts w:hint="eastAsia" w:ascii="仿宋_GB2312" w:eastAsia="仿宋_GB2312"/>
          <w:color w:val="000000"/>
          <w:sz w:val="32"/>
          <w:szCs w:val="32"/>
        </w:rPr>
        <w:t>卫生健康支出</w:t>
      </w:r>
      <w:r>
        <w:rPr>
          <w:rFonts w:hint="eastAsia" w:ascii="仿宋_GB2312" w:eastAsia="仿宋_GB2312"/>
          <w:b/>
          <w:color w:val="000000"/>
          <w:sz w:val="32"/>
          <w:szCs w:val="32"/>
        </w:rPr>
        <w:t>（类）基层医疗卫生机构（款）其他基层医疗卫生机构支出（项）：</w:t>
      </w:r>
      <w:r>
        <w:rPr>
          <w:rStyle w:val="13"/>
          <w:rFonts w:hint="eastAsia" w:ascii="仿宋" w:hAnsi="仿宋" w:eastAsia="仿宋" w:cs="Times New Roman"/>
          <w:b w:val="0"/>
          <w:bCs w:val="0"/>
          <w:color w:val="auto"/>
          <w:highlight w:val="none"/>
          <w:lang w:val="en-US" w:eastAsia="zh-CN" w:bidi="ar-SA"/>
        </w:rPr>
        <w:t>主要用于村卫生站实行基本药物制度后弥补人员经费。2022年决算数为21.27万元，完成预算100%。</w:t>
      </w:r>
    </w:p>
    <w:p>
      <w:pPr>
        <w:pageBreakBefore w:val="0"/>
        <w:kinsoku/>
        <w:wordWrap/>
        <w:overflowPunct/>
        <w:topLinePunct w:val="0"/>
        <w:bidi w:val="0"/>
        <w:spacing w:line="580" w:lineRule="exact"/>
        <w:ind w:firstLine="643" w:firstLineChars="200"/>
      </w:pPr>
      <w:r>
        <w:rPr>
          <w:rFonts w:hint="eastAsia" w:ascii="仿宋" w:hAnsi="仿宋" w:eastAsia="仿宋"/>
          <w:b/>
          <w:bCs/>
          <w:color w:val="000000"/>
          <w:sz w:val="32"/>
          <w:szCs w:val="32"/>
        </w:rPr>
        <w:t>卫生健康支出</w:t>
      </w:r>
      <w:r>
        <w:rPr>
          <w:rFonts w:hint="eastAsia" w:ascii="仿宋_GB2312" w:eastAsia="仿宋_GB2312"/>
          <w:b/>
          <w:color w:val="000000"/>
          <w:sz w:val="32"/>
          <w:szCs w:val="32"/>
        </w:rPr>
        <w:t>（类）基层医疗卫生机构（款）</w:t>
      </w:r>
      <w:r>
        <w:rPr>
          <w:rStyle w:val="29"/>
          <w:rFonts w:hint="eastAsia" w:ascii="仿宋_GB2312" w:eastAsia="仿宋_GB2312"/>
          <w:color w:val="000000"/>
          <w:sz w:val="32"/>
          <w:szCs w:val="32"/>
        </w:rPr>
        <w:t>乡镇卫生院（项）</w:t>
      </w:r>
      <w:r>
        <w:rPr>
          <w:rStyle w:val="29"/>
          <w:rFonts w:hint="eastAsia" w:ascii="仿宋_GB2312" w:eastAsia="仿宋_GB2312"/>
          <w:color w:val="000000"/>
          <w:sz w:val="32"/>
          <w:szCs w:val="32"/>
          <w:lang w:eastAsia="zh-CN"/>
        </w:rPr>
        <w:t>：</w:t>
      </w:r>
      <w:r>
        <w:rPr>
          <w:rStyle w:val="13"/>
          <w:rFonts w:hint="eastAsia" w:ascii="仿宋" w:hAnsi="仿宋" w:eastAsia="仿宋" w:cs="Times New Roman"/>
          <w:b w:val="0"/>
          <w:bCs w:val="0"/>
          <w:color w:val="auto"/>
          <w:highlight w:val="none"/>
          <w:lang w:val="en-US" w:eastAsia="zh-CN" w:bidi="ar-SA"/>
        </w:rPr>
        <w:t>主要用于乡镇卫生院其他卫生健康支出，决算数1.3万元，完成预算100%</w:t>
      </w:r>
      <w:r>
        <w:rPr>
          <w:rFonts w:hint="eastAsia" w:ascii="仿宋_GB2312" w:eastAsia="仿宋_GB2312"/>
          <w:color w:val="000000"/>
          <w:sz w:val="32"/>
          <w:szCs w:val="32"/>
        </w:rPr>
        <w:t>。</w:t>
      </w:r>
    </w:p>
    <w:p>
      <w:pPr>
        <w:pageBreakBefore w:val="0"/>
        <w:kinsoku/>
        <w:wordWrap/>
        <w:overflowPunct/>
        <w:topLinePunct w:val="0"/>
        <w:bidi w:val="0"/>
        <w:spacing w:line="580" w:lineRule="exact"/>
        <w:ind w:firstLine="643" w:firstLineChars="200"/>
        <w:rPr>
          <w:rStyle w:val="13"/>
          <w:rFonts w:hint="eastAsia" w:ascii="仿宋" w:hAnsi="仿宋" w:eastAsia="仿宋" w:cs="Times New Roman"/>
          <w:b w:val="0"/>
          <w:bCs w:val="0"/>
          <w:color w:val="auto"/>
          <w:highlight w:val="none"/>
          <w:lang w:val="en-US" w:eastAsia="zh-CN" w:bidi="ar-SA"/>
        </w:rPr>
      </w:pPr>
      <w:r>
        <w:rPr>
          <w:rStyle w:val="29"/>
          <w:rFonts w:hint="eastAsia" w:ascii="仿宋_GB2312" w:eastAsia="仿宋_GB2312"/>
          <w:bCs/>
          <w:color w:val="000000"/>
          <w:sz w:val="32"/>
          <w:szCs w:val="32"/>
        </w:rPr>
        <w:t>卫生健康支出（类）公共卫生（款）</w:t>
      </w:r>
      <w:r>
        <w:rPr>
          <w:rStyle w:val="29"/>
          <w:rFonts w:hint="eastAsia" w:ascii="仿宋_GB2312" w:eastAsia="仿宋_GB2312"/>
          <w:color w:val="000000"/>
          <w:sz w:val="32"/>
          <w:szCs w:val="32"/>
        </w:rPr>
        <w:t>基本公共卫生服务（项）:</w:t>
      </w:r>
      <w:r>
        <w:rPr>
          <w:rStyle w:val="13"/>
          <w:rFonts w:hint="eastAsia" w:ascii="仿宋" w:hAnsi="仿宋" w:eastAsia="仿宋" w:cs="Times New Roman"/>
          <w:b w:val="0"/>
          <w:bCs w:val="0"/>
          <w:color w:val="auto"/>
          <w:highlight w:val="none"/>
          <w:lang w:val="en-US" w:eastAsia="zh-CN" w:bidi="ar-SA"/>
        </w:rPr>
        <w:t>主要用于乡镇卫生院、村卫生站开展基本公共卫生服务活动支出。2022年决算数为14.39万元，完成预算100%。</w:t>
      </w:r>
    </w:p>
    <w:p>
      <w:pPr>
        <w:pageBreakBefore w:val="0"/>
        <w:kinsoku/>
        <w:wordWrap/>
        <w:overflowPunct/>
        <w:topLinePunct w:val="0"/>
        <w:bidi w:val="0"/>
        <w:spacing w:line="580" w:lineRule="exact"/>
        <w:ind w:firstLine="643" w:firstLineChars="200"/>
        <w:rPr>
          <w:rStyle w:val="13"/>
          <w:rFonts w:hint="eastAsia" w:ascii="仿宋" w:hAnsi="仿宋" w:eastAsia="仿宋" w:cs="Times New Roman"/>
          <w:b w:val="0"/>
          <w:bCs w:val="0"/>
          <w:color w:val="auto"/>
          <w:highlight w:val="none"/>
          <w:lang w:val="en-US" w:eastAsia="zh-CN" w:bidi="ar-SA"/>
        </w:rPr>
      </w:pPr>
      <w:r>
        <w:rPr>
          <w:rStyle w:val="29"/>
          <w:rFonts w:hint="eastAsia" w:ascii="仿宋_GB2312" w:eastAsia="仿宋_GB2312"/>
          <w:bCs/>
          <w:color w:val="000000"/>
          <w:sz w:val="32"/>
          <w:szCs w:val="32"/>
        </w:rPr>
        <w:t>卫生健康支出（类）行政事业单位（款）事业单位医疗（项）</w:t>
      </w:r>
      <w:r>
        <w:rPr>
          <w:rStyle w:val="29"/>
          <w:rFonts w:hint="eastAsia" w:ascii="仿宋_GB2312" w:eastAsia="仿宋_GB2312"/>
          <w:b w:val="0"/>
          <w:color w:val="000000"/>
          <w:sz w:val="32"/>
          <w:szCs w:val="32"/>
        </w:rPr>
        <w:t>：</w:t>
      </w:r>
      <w:r>
        <w:rPr>
          <w:rStyle w:val="13"/>
          <w:rFonts w:hint="eastAsia" w:ascii="仿宋" w:hAnsi="仿宋" w:eastAsia="仿宋" w:cs="Times New Roman"/>
          <w:b w:val="0"/>
          <w:bCs w:val="0"/>
          <w:color w:val="auto"/>
          <w:highlight w:val="none"/>
          <w:lang w:val="en-US" w:eastAsia="zh-CN" w:bidi="ar-SA"/>
        </w:rPr>
        <w:t>用于在职在编人员医疗保险支出，2022年决算数0.92万元，完成预算100%。</w:t>
      </w:r>
    </w:p>
    <w:p>
      <w:pPr>
        <w:pageBreakBefore w:val="0"/>
        <w:kinsoku/>
        <w:wordWrap/>
        <w:overflowPunct/>
        <w:topLinePunct w:val="0"/>
        <w:bidi w:val="0"/>
        <w:spacing w:line="580" w:lineRule="exact"/>
        <w:ind w:firstLine="643" w:firstLineChars="200"/>
        <w:rPr>
          <w:rStyle w:val="13"/>
          <w:rFonts w:hint="eastAsia" w:ascii="仿宋" w:hAnsi="仿宋" w:eastAsia="仿宋" w:cs="Times New Roman"/>
          <w:b w:val="0"/>
          <w:bCs w:val="0"/>
          <w:color w:val="auto"/>
          <w:highlight w:val="none"/>
          <w:lang w:val="en-US" w:eastAsia="zh-CN" w:bidi="ar-SA"/>
        </w:rPr>
      </w:pPr>
      <w:r>
        <w:rPr>
          <w:rStyle w:val="29"/>
          <w:rFonts w:hint="eastAsia" w:ascii="仿宋_GB2312" w:eastAsia="仿宋_GB2312"/>
          <w:color w:val="000000"/>
          <w:sz w:val="32"/>
          <w:szCs w:val="32"/>
        </w:rPr>
        <w:t>住房保障支出（类）住房改革支出（款）</w:t>
      </w:r>
      <w:r>
        <w:rPr>
          <w:rStyle w:val="29"/>
          <w:rFonts w:hint="eastAsia" w:ascii="仿宋_GB2312" w:eastAsia="仿宋_GB2312"/>
          <w:bCs/>
          <w:color w:val="000000"/>
          <w:sz w:val="32"/>
          <w:szCs w:val="32"/>
        </w:rPr>
        <w:t>住房公积金支出（项）</w:t>
      </w:r>
      <w:r>
        <w:rPr>
          <w:rStyle w:val="13"/>
          <w:rFonts w:hint="eastAsia" w:ascii="仿宋" w:hAnsi="仿宋" w:eastAsia="仿宋" w:cs="Times New Roman"/>
          <w:b w:val="0"/>
          <w:bCs w:val="0"/>
          <w:color w:val="auto"/>
          <w:highlight w:val="none"/>
          <w:lang w:val="en-US" w:eastAsia="zh-CN" w:bidi="ar-SA"/>
        </w:rPr>
        <w:t>:主要用于在职在编人员缴纳住房公积金支出。2022年决算数为5.62万元，完成预算100%。</w:t>
      </w:r>
    </w:p>
    <w:p>
      <w:pPr>
        <w:pageBreakBefore w:val="0"/>
        <w:kinsoku/>
        <w:wordWrap/>
        <w:overflowPunct/>
        <w:topLinePunct w:val="0"/>
        <w:bidi w:val="0"/>
        <w:spacing w:line="580" w:lineRule="exact"/>
        <w:ind w:firstLine="643" w:firstLineChars="200"/>
        <w:rPr>
          <w:rStyle w:val="13"/>
          <w:rFonts w:hint="eastAsia" w:ascii="仿宋" w:hAnsi="仿宋" w:eastAsia="仿宋" w:cs="Times New Roman"/>
          <w:b w:val="0"/>
          <w:bCs w:val="0"/>
          <w:color w:val="auto"/>
          <w:highlight w:val="none"/>
          <w:lang w:val="en-US" w:eastAsia="zh-CN" w:bidi="ar-SA"/>
        </w:rPr>
      </w:pPr>
      <w:r>
        <w:rPr>
          <w:rStyle w:val="29"/>
          <w:rFonts w:hint="eastAsia" w:ascii="仿宋_GB2312" w:eastAsia="仿宋_GB2312"/>
          <w:color w:val="000000"/>
          <w:sz w:val="32"/>
          <w:szCs w:val="32"/>
        </w:rPr>
        <w:t>社会保障和就业支出(类)行政事业单位离退休（款）</w:t>
      </w:r>
      <w:r>
        <w:rPr>
          <w:rFonts w:hint="eastAsia" w:ascii="仿宋_GB2312" w:eastAsia="仿宋_GB2312"/>
          <w:b/>
          <w:color w:val="000000"/>
          <w:sz w:val="32"/>
          <w:szCs w:val="32"/>
        </w:rPr>
        <w:t>机关事业单位基本养老保险缴费支出（项）：</w:t>
      </w:r>
      <w:r>
        <w:rPr>
          <w:rStyle w:val="13"/>
          <w:rFonts w:hint="eastAsia" w:ascii="仿宋" w:hAnsi="仿宋" w:eastAsia="仿宋" w:cs="Times New Roman"/>
          <w:b w:val="0"/>
          <w:bCs w:val="0"/>
          <w:color w:val="auto"/>
          <w:highlight w:val="none"/>
          <w:lang w:val="en-US" w:eastAsia="zh-CN" w:bidi="ar-SA"/>
        </w:rPr>
        <w:t>主要用于在职在编人员基本养老保险支出，2022年决算数为5.59万元，完成预算100%。</w:t>
      </w:r>
    </w:p>
    <w:p>
      <w:pPr>
        <w:pageBreakBefore w:val="0"/>
        <w:kinsoku/>
        <w:wordWrap/>
        <w:overflowPunct/>
        <w:topLinePunct w:val="0"/>
        <w:bidi w:val="0"/>
        <w:spacing w:line="580" w:lineRule="exact"/>
        <w:ind w:firstLine="643" w:firstLineChars="200"/>
        <w:rPr>
          <w:rStyle w:val="13"/>
          <w:rFonts w:hint="eastAsia" w:ascii="仿宋" w:hAnsi="仿宋" w:eastAsia="仿宋" w:cs="Times New Roman"/>
          <w:b w:val="0"/>
          <w:bCs w:val="0"/>
          <w:color w:val="auto"/>
          <w:highlight w:val="none"/>
          <w:lang w:val="en-US" w:eastAsia="zh-CN" w:bidi="ar-SA"/>
        </w:rPr>
      </w:pPr>
      <w:r>
        <w:rPr>
          <w:rStyle w:val="29"/>
          <w:rFonts w:hint="eastAsia" w:ascii="仿宋_GB2312" w:eastAsia="仿宋_GB2312"/>
          <w:color w:val="000000"/>
          <w:sz w:val="32"/>
          <w:szCs w:val="32"/>
        </w:rPr>
        <w:t>社会保障和就业支出(类)行政事业单位离退休（款）</w:t>
      </w:r>
      <w:r>
        <w:rPr>
          <w:rFonts w:hint="eastAsia" w:ascii="仿宋_GB2312" w:eastAsia="仿宋_GB2312"/>
          <w:b/>
          <w:sz w:val="32"/>
          <w:szCs w:val="32"/>
        </w:rPr>
        <w:t>机关事业单位职业年金缴费支出（项）：</w:t>
      </w:r>
      <w:r>
        <w:rPr>
          <w:rStyle w:val="13"/>
          <w:rFonts w:hint="eastAsia" w:ascii="仿宋" w:hAnsi="仿宋" w:eastAsia="仿宋" w:cs="Times New Roman"/>
          <w:b w:val="0"/>
          <w:bCs w:val="0"/>
          <w:color w:val="auto"/>
          <w:highlight w:val="none"/>
          <w:lang w:val="en-US" w:eastAsia="zh-CN" w:bidi="ar-SA"/>
        </w:rPr>
        <w:t>主要用于在职在编人员职业年金支出，2022年决算数为2.87万元，完成预算100%。</w:t>
      </w:r>
    </w:p>
    <w:p>
      <w:pPr>
        <w:pageBreakBefore w:val="0"/>
        <w:tabs>
          <w:tab w:val="right" w:pos="8306"/>
        </w:tabs>
        <w:kinsoku/>
        <w:wordWrap/>
        <w:overflowPunct/>
        <w:topLinePunct w:val="0"/>
        <w:bidi w:val="0"/>
        <w:spacing w:line="580" w:lineRule="exact"/>
        <w:ind w:firstLine="640" w:firstLineChars="200"/>
        <w:outlineLvl w:val="1"/>
        <w:rPr>
          <w:rStyle w:val="32"/>
        </w:rPr>
      </w:pPr>
      <w:bookmarkStart w:id="102" w:name="_Toc15396608"/>
      <w:bookmarkStart w:id="103" w:name="_Toc15377214"/>
      <w:bookmarkStart w:id="104" w:name="_Toc8781"/>
      <w:bookmarkStart w:id="105" w:name="_Toc17251"/>
      <w:bookmarkStart w:id="106" w:name="_Toc29738"/>
      <w:r>
        <w:rPr>
          <w:rFonts w:hint="eastAsia" w:ascii="黑体" w:eastAsia="黑体"/>
          <w:color w:val="000000"/>
          <w:sz w:val="32"/>
          <w:szCs w:val="32"/>
        </w:rPr>
        <w:t>六</w:t>
      </w:r>
      <w:r>
        <w:rPr>
          <w:rFonts w:hint="eastAsia" w:ascii="黑体" w:eastAsia="黑体"/>
          <w:b/>
          <w:color w:val="000000"/>
          <w:sz w:val="32"/>
          <w:szCs w:val="32"/>
        </w:rPr>
        <w:t>、</w:t>
      </w:r>
      <w:r>
        <w:rPr>
          <w:rFonts w:hint="eastAsia" w:ascii="黑体" w:hAnsi="黑体" w:eastAsia="黑体"/>
          <w:b/>
          <w:color w:val="000000"/>
          <w:sz w:val="32"/>
          <w:szCs w:val="32"/>
        </w:rPr>
        <w:t>一</w:t>
      </w:r>
      <w:r>
        <w:rPr>
          <w:rStyle w:val="32"/>
          <w:rFonts w:hint="eastAsia" w:ascii="黑体" w:hAnsi="黑体" w:eastAsia="黑体"/>
          <w:b w:val="0"/>
        </w:rPr>
        <w:t>般公共预算财政拨款基本支出决算情况说明</w:t>
      </w:r>
      <w:bookmarkEnd w:id="102"/>
      <w:bookmarkEnd w:id="103"/>
      <w:bookmarkEnd w:id="104"/>
      <w:bookmarkEnd w:id="105"/>
      <w:bookmarkEnd w:id="106"/>
      <w:r>
        <w:rPr>
          <w:rStyle w:val="32"/>
          <w:rFonts w:ascii="黑体" w:hAnsi="黑体" w:eastAsia="黑体"/>
          <w:b w:val="0"/>
        </w:rPr>
        <w:tab/>
      </w:r>
    </w:p>
    <w:p>
      <w:pPr>
        <w:pageBreakBefore w:val="0"/>
        <w:kinsoku/>
        <w:wordWrap/>
        <w:overflowPunct/>
        <w:topLinePunct w:val="0"/>
        <w:bidi w:val="0"/>
        <w:spacing w:line="580" w:lineRule="exact"/>
        <w:ind w:firstLine="640"/>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2022年一般公共预算财政拨款基本支出82.94万元，其中：人员经费82.94万元，主要包括：基本工资30.55万元、津贴补贴3.56万元、绩效工资 33.83万元、机关事业单位基本养老保险缴费5.59万元、职业年金缴费2.87万元、基本医疗保险缴费0.92万元、住房公积金5.62万元。</w:t>
      </w:r>
    </w:p>
    <w:p>
      <w:pPr>
        <w:pageBreakBefore w:val="0"/>
        <w:kinsoku/>
        <w:wordWrap/>
        <w:overflowPunct/>
        <w:topLinePunct w:val="0"/>
        <w:bidi w:val="0"/>
        <w:spacing w:line="580" w:lineRule="exact"/>
        <w:ind w:firstLine="640"/>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日常公用经费0.78万元，主要是邮电费0.78万元。</w:t>
      </w:r>
    </w:p>
    <w:p>
      <w:pPr>
        <w:pageBreakBefore w:val="0"/>
        <w:kinsoku/>
        <w:wordWrap/>
        <w:overflowPunct/>
        <w:topLinePunct w:val="0"/>
        <w:bidi w:val="0"/>
        <w:spacing w:line="580" w:lineRule="exact"/>
        <w:ind w:firstLine="640"/>
        <w:outlineLvl w:val="1"/>
        <w:rPr>
          <w:rStyle w:val="32"/>
          <w:rFonts w:ascii="黑体" w:hAnsi="黑体" w:eastAsia="黑体"/>
          <w:b w:val="0"/>
        </w:rPr>
      </w:pPr>
      <w:bookmarkStart w:id="107" w:name="_Toc5072"/>
      <w:bookmarkStart w:id="108" w:name="_Toc31532"/>
      <w:bookmarkStart w:id="109" w:name="_Toc6399"/>
      <w:bookmarkStart w:id="110" w:name="_Toc15396609"/>
      <w:bookmarkStart w:id="111" w:name="_Toc15377215"/>
      <w:r>
        <w:rPr>
          <w:rFonts w:hint="eastAsia" w:ascii="黑体" w:eastAsia="黑体"/>
          <w:color w:val="000000"/>
          <w:sz w:val="32"/>
          <w:szCs w:val="32"/>
        </w:rPr>
        <w:t>七、</w:t>
      </w:r>
      <w:r>
        <w:rPr>
          <w:rStyle w:val="32"/>
          <w:rFonts w:hint="eastAsia" w:ascii="黑体" w:hAnsi="黑体" w:eastAsia="黑体"/>
        </w:rPr>
        <w:t>“</w:t>
      </w:r>
      <w:r>
        <w:rPr>
          <w:rStyle w:val="32"/>
          <w:rFonts w:hint="eastAsia" w:ascii="黑体" w:hAnsi="黑体" w:eastAsia="黑体"/>
          <w:b w:val="0"/>
        </w:rPr>
        <w:t>三公”经费财政拨款支出决算情况说明</w:t>
      </w:r>
      <w:bookmarkEnd w:id="107"/>
      <w:bookmarkEnd w:id="108"/>
      <w:bookmarkEnd w:id="109"/>
      <w:bookmarkEnd w:id="110"/>
      <w:bookmarkEnd w:id="111"/>
    </w:p>
    <w:p>
      <w:pPr>
        <w:spacing w:line="600" w:lineRule="exact"/>
        <w:ind w:firstLine="640"/>
        <w:outlineLvl w:val="2"/>
        <w:rPr>
          <w:rFonts w:ascii="仿宋" w:hAnsi="仿宋" w:eastAsia="仿宋"/>
          <w:b/>
          <w:color w:val="auto"/>
          <w:sz w:val="32"/>
          <w:szCs w:val="32"/>
          <w:highlight w:val="none"/>
        </w:rPr>
      </w:pPr>
      <w:bookmarkStart w:id="112" w:name="_Toc10222"/>
      <w:bookmarkStart w:id="113" w:name="_Toc15377216"/>
      <w:r>
        <w:rPr>
          <w:rFonts w:hint="eastAsia" w:ascii="仿宋" w:hAnsi="仿宋" w:eastAsia="仿宋"/>
          <w:b/>
          <w:color w:val="auto"/>
          <w:sz w:val="32"/>
          <w:szCs w:val="32"/>
          <w:highlight w:val="none"/>
        </w:rPr>
        <w:t>（一）“三公”经费财政拨款支出决算总体情况说明</w:t>
      </w:r>
      <w:bookmarkEnd w:id="112"/>
      <w:bookmarkEnd w:id="113"/>
    </w:p>
    <w:p>
      <w:pPr>
        <w:pageBreakBefore w:val="0"/>
        <w:kinsoku/>
        <w:wordWrap/>
        <w:overflowPunct/>
        <w:topLinePunct w:val="0"/>
        <w:bidi w:val="0"/>
        <w:spacing w:line="580" w:lineRule="exact"/>
        <w:ind w:firstLine="640"/>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2022年“三公”经费财政拨款支出决算为0万元，无预算</w:t>
      </w:r>
      <w:bookmarkStart w:id="114" w:name="_Toc15377217"/>
      <w:r>
        <w:rPr>
          <w:rStyle w:val="13"/>
          <w:rFonts w:hint="eastAsia" w:ascii="仿宋" w:hAnsi="仿宋" w:eastAsia="仿宋" w:cs="Times New Roman"/>
          <w:b w:val="0"/>
          <w:bCs w:val="0"/>
          <w:color w:val="auto"/>
          <w:highlight w:val="none"/>
          <w:lang w:val="en-US" w:eastAsia="zh-CN" w:bidi="ar-SA"/>
        </w:rPr>
        <w:t>。</w:t>
      </w:r>
    </w:p>
    <w:p>
      <w:pPr>
        <w:spacing w:line="600" w:lineRule="exact"/>
        <w:ind w:firstLine="640"/>
        <w:outlineLvl w:val="2"/>
        <w:rPr>
          <w:rFonts w:ascii="仿宋" w:hAnsi="仿宋" w:eastAsia="仿宋"/>
          <w:b/>
          <w:color w:val="auto"/>
          <w:sz w:val="32"/>
          <w:szCs w:val="32"/>
          <w:highlight w:val="none"/>
        </w:rPr>
      </w:pPr>
      <w:bookmarkStart w:id="115" w:name="_Toc32253"/>
      <w:r>
        <w:rPr>
          <w:rFonts w:hint="eastAsia" w:ascii="仿宋" w:hAnsi="仿宋" w:eastAsia="仿宋"/>
          <w:b/>
          <w:color w:val="000000"/>
          <w:sz w:val="32"/>
          <w:szCs w:val="32"/>
        </w:rPr>
        <w:t>（二）</w:t>
      </w:r>
      <w:bookmarkEnd w:id="114"/>
      <w:r>
        <w:rPr>
          <w:rFonts w:hint="eastAsia" w:ascii="仿宋" w:hAnsi="仿宋" w:eastAsia="仿宋"/>
          <w:b/>
          <w:color w:val="auto"/>
          <w:sz w:val="32"/>
          <w:szCs w:val="32"/>
          <w:highlight w:val="none"/>
        </w:rPr>
        <w:t>“三公”经费财政拨款支出决算具体情况说明</w:t>
      </w:r>
      <w:bookmarkEnd w:id="115"/>
    </w:p>
    <w:p>
      <w:pPr>
        <w:pageBreakBefore w:val="0"/>
        <w:kinsoku/>
        <w:wordWrap/>
        <w:overflowPunct/>
        <w:topLinePunct w:val="0"/>
        <w:bidi w:val="0"/>
        <w:spacing w:line="580" w:lineRule="exact"/>
        <w:ind w:firstLine="640"/>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2022年“三公”经费财政拨款支出决算为0万元，年初未安排预算。</w:t>
      </w:r>
    </w:p>
    <w:p>
      <w:pPr>
        <w:pageBreakBefore w:val="0"/>
        <w:kinsoku/>
        <w:wordWrap/>
        <w:overflowPunct/>
        <w:topLinePunct w:val="0"/>
        <w:bidi w:val="0"/>
        <w:spacing w:line="580" w:lineRule="exact"/>
        <w:ind w:firstLine="640"/>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2022年“三公”经费财政拨款支出决算中，因公出国（境）费支出决算0万元，年初未安排预算；公务用车购置及运行维护费支出决算0万元，年初未安排预算，与上年数持平；公务接待费总支出决算0万元，年初未安排预算。</w:t>
      </w:r>
    </w:p>
    <w:p>
      <w:pPr>
        <w:pageBreakBefore w:val="0"/>
        <w:kinsoku/>
        <w:wordWrap/>
        <w:overflowPunct/>
        <w:topLinePunct w:val="0"/>
        <w:bidi w:val="0"/>
        <w:spacing w:line="580" w:lineRule="exact"/>
        <w:ind w:firstLine="640"/>
        <w:rPr>
          <w:rFonts w:hint="eastAsia" w:ascii="仿宋_GB2312" w:eastAsia="仿宋_GB2312" w:cs="Times New Roman"/>
          <w:b w:val="0"/>
          <w:bCs/>
          <w:color w:val="000000"/>
          <w:sz w:val="32"/>
          <w:szCs w:val="32"/>
          <w:lang w:eastAsia="zh-CN"/>
        </w:rPr>
      </w:pPr>
      <w:r>
        <w:rPr>
          <w:rFonts w:ascii="仿宋_GB2312" w:eastAsia="仿宋_GB2312"/>
          <w:b/>
          <w:color w:val="000000"/>
          <w:sz w:val="32"/>
          <w:szCs w:val="32"/>
        </w:rPr>
        <w:t>1.</w:t>
      </w:r>
      <w:r>
        <w:rPr>
          <w:rFonts w:hint="eastAsia" w:ascii="仿宋_GB2312" w:eastAsia="仿宋_GB2312"/>
          <w:b/>
          <w:color w:val="000000"/>
          <w:sz w:val="32"/>
          <w:szCs w:val="32"/>
        </w:rPr>
        <w:t>因公出国（境）经费支出</w:t>
      </w:r>
      <w:r>
        <w:rPr>
          <w:rStyle w:val="13"/>
          <w:rFonts w:hint="eastAsia" w:ascii="仿宋" w:hAnsi="仿宋" w:eastAsia="仿宋" w:cs="Times New Roman"/>
          <w:b w:val="0"/>
          <w:bCs w:val="0"/>
          <w:color w:val="auto"/>
          <w:highlight w:val="none"/>
          <w:lang w:val="en-US" w:eastAsia="zh-CN" w:bidi="ar-SA"/>
        </w:rPr>
        <w:t>0万元，年初未安排预算。年初未安排预算，与上年数持平。</w:t>
      </w:r>
    </w:p>
    <w:p>
      <w:pPr>
        <w:pageBreakBefore w:val="0"/>
        <w:kinsoku/>
        <w:wordWrap/>
        <w:overflowPunct/>
        <w:topLinePunct w:val="0"/>
        <w:bidi w:val="0"/>
        <w:spacing w:line="580" w:lineRule="exact"/>
        <w:ind w:firstLine="640"/>
        <w:rPr>
          <w:rStyle w:val="13"/>
          <w:rFonts w:hint="default" w:ascii="仿宋" w:hAnsi="仿宋" w:eastAsia="仿宋" w:cs="Times New Roman"/>
          <w:b w:val="0"/>
          <w:bCs w:val="0"/>
          <w:color w:val="auto"/>
          <w:highlight w:val="none"/>
          <w:lang w:val="en-US" w:eastAsia="zh-CN" w:bidi="ar-SA"/>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Style w:val="13"/>
          <w:rFonts w:hint="eastAsia" w:ascii="仿宋" w:hAnsi="仿宋" w:eastAsia="仿宋" w:cs="Times New Roman"/>
          <w:b w:val="0"/>
          <w:bCs w:val="0"/>
          <w:color w:val="auto"/>
          <w:highlight w:val="none"/>
          <w:lang w:val="en-US" w:eastAsia="zh-CN" w:bidi="ar-SA"/>
        </w:rPr>
        <w:t>0万元,年初未安排预算。</w:t>
      </w:r>
    </w:p>
    <w:p>
      <w:pPr>
        <w:pageBreakBefore w:val="0"/>
        <w:kinsoku/>
        <w:wordWrap/>
        <w:overflowPunct/>
        <w:topLinePunct w:val="0"/>
        <w:bidi w:val="0"/>
        <w:spacing w:line="580" w:lineRule="exact"/>
        <w:ind w:firstLine="640"/>
        <w:rPr>
          <w:rStyle w:val="13"/>
          <w:rFonts w:hint="eastAsia" w:ascii="仿宋" w:hAnsi="仿宋" w:eastAsia="仿宋" w:cs="Times New Roman"/>
          <w:b w:val="0"/>
          <w:bCs w:val="0"/>
          <w:color w:val="auto"/>
          <w:highlight w:val="none"/>
          <w:lang w:val="en-US" w:eastAsia="zh-CN" w:bidi="ar-SA"/>
        </w:rPr>
      </w:pPr>
      <w:r>
        <w:rPr>
          <w:rFonts w:hint="eastAsia" w:ascii="仿宋_GB2312" w:eastAsia="仿宋_GB2312"/>
          <w:b/>
          <w:color w:val="000000"/>
          <w:sz w:val="32"/>
          <w:szCs w:val="32"/>
          <w:lang w:val="en-US" w:eastAsia="zh-CN"/>
        </w:rPr>
        <w:t>3.</w:t>
      </w:r>
      <w:r>
        <w:rPr>
          <w:rFonts w:hint="eastAsia" w:ascii="仿宋_GB2312" w:eastAsia="仿宋_GB2312"/>
          <w:b/>
          <w:color w:val="000000"/>
          <w:sz w:val="32"/>
          <w:szCs w:val="32"/>
        </w:rPr>
        <w:t>公务用车运行维护费支出</w:t>
      </w:r>
      <w:r>
        <w:rPr>
          <w:rStyle w:val="13"/>
          <w:rFonts w:hint="eastAsia" w:ascii="仿宋" w:hAnsi="仿宋" w:eastAsia="仿宋" w:cs="Times New Roman"/>
          <w:b w:val="0"/>
          <w:bCs w:val="0"/>
          <w:color w:val="auto"/>
          <w:highlight w:val="none"/>
          <w:lang w:val="en-US" w:eastAsia="zh-CN" w:bidi="ar-SA"/>
        </w:rPr>
        <w:t>0万元。</w:t>
      </w:r>
    </w:p>
    <w:p>
      <w:pPr>
        <w:pageBreakBefore w:val="0"/>
        <w:kinsoku/>
        <w:wordWrap/>
        <w:overflowPunct/>
        <w:topLinePunct w:val="0"/>
        <w:bidi w:val="0"/>
        <w:spacing w:line="580" w:lineRule="exact"/>
        <w:ind w:firstLine="640"/>
        <w:rPr>
          <w:rFonts w:hint="eastAsia" w:ascii="仿宋_GB2312" w:eastAsia="仿宋_GB2312"/>
          <w:color w:val="000000"/>
          <w:sz w:val="32"/>
          <w:szCs w:val="32"/>
          <w:lang w:eastAsia="zh-CN"/>
        </w:rPr>
      </w:pPr>
      <w:r>
        <w:rPr>
          <w:rFonts w:hint="eastAsia" w:ascii="仿宋_GB2312" w:eastAsia="仿宋_GB2312"/>
          <w:b/>
          <w:color w:val="000000"/>
          <w:sz w:val="32"/>
          <w:szCs w:val="32"/>
          <w:lang w:val="en-US" w:eastAsia="zh-CN"/>
        </w:rPr>
        <w:t>4</w:t>
      </w:r>
      <w:r>
        <w:rPr>
          <w:rFonts w:ascii="仿宋_GB2312" w:eastAsia="仿宋_GB2312"/>
          <w:b/>
          <w:color w:val="000000"/>
          <w:sz w:val="32"/>
          <w:szCs w:val="32"/>
        </w:rPr>
        <w:t>.</w:t>
      </w:r>
      <w:r>
        <w:rPr>
          <w:rFonts w:hint="eastAsia" w:ascii="仿宋_GB2312" w:eastAsia="仿宋_GB2312"/>
          <w:b/>
          <w:color w:val="000000"/>
          <w:sz w:val="32"/>
          <w:szCs w:val="32"/>
        </w:rPr>
        <w:t>公务接待费支出</w:t>
      </w:r>
      <w:r>
        <w:rPr>
          <w:rStyle w:val="13"/>
          <w:rFonts w:hint="eastAsia" w:ascii="仿宋" w:hAnsi="仿宋" w:eastAsia="仿宋" w:cs="Times New Roman"/>
          <w:b w:val="0"/>
          <w:bCs w:val="0"/>
          <w:color w:val="auto"/>
          <w:highlight w:val="none"/>
          <w:lang w:val="en-US" w:eastAsia="zh-CN" w:bidi="ar-SA"/>
        </w:rPr>
        <w:t>0万元，年初未安排预算。</w:t>
      </w:r>
    </w:p>
    <w:p>
      <w:pPr>
        <w:pageBreakBefore w:val="0"/>
        <w:wordWrap/>
        <w:overflowPunct/>
        <w:topLinePunct w:val="0"/>
        <w:bidi w:val="0"/>
        <w:spacing w:line="580" w:lineRule="exact"/>
        <w:ind w:firstLine="640" w:firstLineChars="200"/>
        <w:outlineLvl w:val="1"/>
        <w:rPr>
          <w:rStyle w:val="32"/>
          <w:rFonts w:ascii="黑体" w:hAnsi="黑体" w:eastAsia="黑体"/>
        </w:rPr>
      </w:pPr>
      <w:bookmarkStart w:id="116" w:name="_Toc18247"/>
      <w:bookmarkStart w:id="117" w:name="_Toc25241"/>
      <w:bookmarkStart w:id="118" w:name="_Toc15377218"/>
      <w:bookmarkStart w:id="119" w:name="_Toc3880"/>
      <w:bookmarkStart w:id="120" w:name="_Toc15396610"/>
      <w:bookmarkStart w:id="121" w:name="_Toc8042"/>
      <w:bookmarkStart w:id="122" w:name="_Toc4814"/>
      <w:bookmarkStart w:id="123" w:name="_Toc15377225"/>
      <w:bookmarkStart w:id="124" w:name="_Toc15396613"/>
      <w:r>
        <w:rPr>
          <w:rFonts w:hint="eastAsia" w:ascii="黑体" w:eastAsia="黑体"/>
          <w:color w:val="000000"/>
          <w:sz w:val="32"/>
          <w:szCs w:val="32"/>
        </w:rPr>
        <w:t>八、</w:t>
      </w:r>
      <w:r>
        <w:rPr>
          <w:rStyle w:val="32"/>
          <w:rFonts w:hint="eastAsia" w:ascii="黑体" w:hAnsi="黑体" w:eastAsia="黑体"/>
          <w:b w:val="0"/>
        </w:rPr>
        <w:t>政府性基金预算支出决算情况说明</w:t>
      </w:r>
      <w:bookmarkEnd w:id="116"/>
      <w:bookmarkEnd w:id="117"/>
      <w:bookmarkEnd w:id="118"/>
      <w:bookmarkEnd w:id="119"/>
      <w:bookmarkEnd w:id="120"/>
      <w:bookmarkEnd w:id="121"/>
    </w:p>
    <w:p>
      <w:pPr>
        <w:autoSpaceDE w:val="0"/>
        <w:autoSpaceDN w:val="0"/>
        <w:adjustRightInd w:val="0"/>
        <w:spacing w:line="600" w:lineRule="exact"/>
        <w:ind w:firstLine="640" w:firstLineChars="200"/>
        <w:jc w:val="left"/>
        <w:rPr>
          <w:rStyle w:val="13"/>
          <w:rFonts w:hint="default"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2022年政府性基金预算拨款支出6.57万元，决算支出6.57万元。</w:t>
      </w:r>
    </w:p>
    <w:p>
      <w:pPr>
        <w:pageBreakBefore w:val="0"/>
        <w:numPr>
          <w:ilvl w:val="0"/>
          <w:numId w:val="2"/>
        </w:numPr>
        <w:wordWrap/>
        <w:overflowPunct/>
        <w:topLinePunct w:val="0"/>
        <w:bidi w:val="0"/>
        <w:spacing w:line="580" w:lineRule="exact"/>
        <w:ind w:left="-10" w:leftChars="0" w:firstLine="640" w:firstLineChars="0"/>
        <w:outlineLvl w:val="1"/>
        <w:rPr>
          <w:rStyle w:val="32"/>
          <w:rFonts w:ascii="黑体" w:hAnsi="黑体" w:eastAsia="黑体"/>
          <w:b w:val="0"/>
        </w:rPr>
      </w:pPr>
      <w:bookmarkStart w:id="125" w:name="_Toc15002"/>
      <w:bookmarkStart w:id="126" w:name="_Toc15377219"/>
      <w:bookmarkStart w:id="127" w:name="_Toc6210"/>
      <w:bookmarkStart w:id="128" w:name="_Toc3019"/>
      <w:bookmarkStart w:id="129" w:name="_Toc19394"/>
      <w:bookmarkStart w:id="130" w:name="_Toc15396611"/>
      <w:r>
        <w:rPr>
          <w:rStyle w:val="32"/>
          <w:rFonts w:hint="eastAsia" w:ascii="黑体" w:hAnsi="黑体" w:eastAsia="黑体"/>
          <w:b w:val="0"/>
        </w:rPr>
        <w:t>国有资本经营预算支出决算情况说明</w:t>
      </w:r>
      <w:bookmarkEnd w:id="125"/>
      <w:bookmarkEnd w:id="126"/>
      <w:bookmarkEnd w:id="127"/>
      <w:bookmarkEnd w:id="128"/>
      <w:bookmarkEnd w:id="129"/>
      <w:bookmarkEnd w:id="130"/>
    </w:p>
    <w:p>
      <w:pPr>
        <w:autoSpaceDE w:val="0"/>
        <w:autoSpaceDN w:val="0"/>
        <w:adjustRightInd w:val="0"/>
        <w:spacing w:line="600" w:lineRule="exact"/>
        <w:ind w:firstLine="640" w:firstLineChars="200"/>
        <w:jc w:val="left"/>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2021年国有资本经营预算拨款支出0万元。</w:t>
      </w:r>
    </w:p>
    <w:p>
      <w:pPr>
        <w:numPr>
          <w:ilvl w:val="0"/>
          <w:numId w:val="2"/>
        </w:numPr>
        <w:spacing w:line="600" w:lineRule="exact"/>
        <w:ind w:firstLine="640"/>
        <w:outlineLvl w:val="1"/>
        <w:rPr>
          <w:rStyle w:val="13"/>
          <w:rFonts w:hint="eastAsia" w:ascii="黑体" w:hAnsi="黑体" w:eastAsia="黑体"/>
          <w:b w:val="0"/>
          <w:color w:val="auto"/>
          <w:highlight w:val="none"/>
        </w:rPr>
      </w:pPr>
      <w:bookmarkStart w:id="131" w:name="_Toc15396612"/>
      <w:bookmarkStart w:id="132" w:name="_Toc25184"/>
      <w:bookmarkStart w:id="133" w:name="_Toc15377221"/>
      <w:bookmarkStart w:id="134" w:name="_Toc31328"/>
      <w:r>
        <w:rPr>
          <w:rStyle w:val="13"/>
          <w:rFonts w:hint="eastAsia" w:ascii="黑体" w:hAnsi="黑体" w:eastAsia="黑体"/>
          <w:b w:val="0"/>
          <w:color w:val="auto"/>
          <w:highlight w:val="none"/>
        </w:rPr>
        <w:t>其他重要事项的情况说明</w:t>
      </w:r>
      <w:bookmarkEnd w:id="131"/>
      <w:bookmarkEnd w:id="132"/>
      <w:bookmarkEnd w:id="133"/>
      <w:bookmarkEnd w:id="134"/>
    </w:p>
    <w:p>
      <w:pPr>
        <w:spacing w:line="600" w:lineRule="exact"/>
        <w:ind w:firstLine="643" w:firstLineChars="200"/>
        <w:outlineLvl w:val="2"/>
        <w:rPr>
          <w:rFonts w:ascii="仿宋" w:hAnsi="仿宋" w:eastAsia="仿宋"/>
          <w:color w:val="auto"/>
          <w:sz w:val="32"/>
          <w:szCs w:val="32"/>
          <w:highlight w:val="none"/>
        </w:rPr>
      </w:pPr>
      <w:bookmarkStart w:id="135" w:name="_Toc8805"/>
      <w:r>
        <w:rPr>
          <w:rFonts w:hint="eastAsia" w:ascii="仿宋" w:hAnsi="仿宋" w:eastAsia="仿宋"/>
          <w:b/>
          <w:color w:val="auto"/>
          <w:sz w:val="32"/>
          <w:szCs w:val="32"/>
          <w:highlight w:val="none"/>
        </w:rPr>
        <w:t>（一）</w:t>
      </w:r>
      <w:r>
        <w:rPr>
          <w:rFonts w:hint="eastAsia" w:ascii="仿宋" w:hAnsi="仿宋" w:eastAsia="仿宋"/>
          <w:b/>
          <w:color w:val="auto"/>
          <w:sz w:val="32"/>
          <w:szCs w:val="32"/>
          <w:highlight w:val="none"/>
          <w:lang w:eastAsia="zh-CN"/>
        </w:rPr>
        <w:t>单位</w:t>
      </w:r>
      <w:r>
        <w:rPr>
          <w:rFonts w:hint="eastAsia" w:ascii="仿宋" w:hAnsi="仿宋" w:eastAsia="仿宋"/>
          <w:b/>
          <w:color w:val="auto"/>
          <w:sz w:val="32"/>
          <w:szCs w:val="32"/>
          <w:highlight w:val="none"/>
        </w:rPr>
        <w:t>运行经费支出情况</w:t>
      </w:r>
      <w:bookmarkEnd w:id="135"/>
    </w:p>
    <w:p>
      <w:pPr>
        <w:autoSpaceDE w:val="0"/>
        <w:autoSpaceDN w:val="0"/>
        <w:adjustRightInd w:val="0"/>
        <w:spacing w:line="600" w:lineRule="exact"/>
        <w:ind w:firstLine="640" w:firstLineChars="200"/>
        <w:jc w:val="left"/>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2022年未发生机关运行经费支出，与上年决算数持平。</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136" w:name="_Toc4662"/>
      <w:r>
        <w:rPr>
          <w:rFonts w:hint="eastAsia" w:ascii="仿宋" w:hAnsi="仿宋" w:eastAsia="仿宋"/>
          <w:b/>
          <w:color w:val="auto"/>
          <w:sz w:val="32"/>
          <w:szCs w:val="32"/>
          <w:highlight w:val="none"/>
        </w:rPr>
        <w:t>（二）政府采购支出情况</w:t>
      </w:r>
      <w:bookmarkEnd w:id="136"/>
    </w:p>
    <w:p>
      <w:pPr>
        <w:autoSpaceDE w:val="0"/>
        <w:autoSpaceDN w:val="0"/>
        <w:adjustRightInd w:val="0"/>
        <w:spacing w:line="600" w:lineRule="exact"/>
        <w:ind w:firstLine="640" w:firstLineChars="200"/>
        <w:jc w:val="left"/>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2022年，红岩卫生院采购0万元。</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137" w:name="_Toc402"/>
      <w:r>
        <w:rPr>
          <w:rFonts w:hint="eastAsia" w:ascii="仿宋" w:hAnsi="仿宋" w:eastAsia="仿宋"/>
          <w:b/>
          <w:color w:val="auto"/>
          <w:sz w:val="32"/>
          <w:szCs w:val="32"/>
          <w:highlight w:val="none"/>
        </w:rPr>
        <w:t>（三）国有资产占有使用情况</w:t>
      </w:r>
      <w:bookmarkEnd w:id="137"/>
    </w:p>
    <w:p>
      <w:pPr>
        <w:autoSpaceDE w:val="0"/>
        <w:autoSpaceDN w:val="0"/>
        <w:adjustRightInd w:val="0"/>
        <w:spacing w:line="600" w:lineRule="exact"/>
        <w:ind w:firstLine="640" w:firstLineChars="200"/>
        <w:jc w:val="left"/>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截至2022年12月31日，红岩卫生院共有车辆0辆。单价100万元以上专用设备0台（套）。</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bookmarkStart w:id="138" w:name="_Toc19399"/>
      <w:r>
        <w:rPr>
          <w:rFonts w:hint="eastAsia" w:ascii="仿宋" w:hAnsi="仿宋" w:eastAsia="仿宋"/>
          <w:b/>
          <w:color w:val="auto"/>
          <w:sz w:val="32"/>
          <w:szCs w:val="32"/>
          <w:highlight w:val="none"/>
        </w:rPr>
        <w:t>（四）预算绩效管理情况</w:t>
      </w:r>
      <w:bookmarkEnd w:id="138"/>
    </w:p>
    <w:p>
      <w:pPr>
        <w:pStyle w:val="10"/>
        <w:ind w:firstLine="640" w:firstLineChars="200"/>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根据预算绩效管理要求，本单位在2022年度预算编制阶段，组织对3个项目基本公共卫生、基本药物制度、二类疫苗服务费开展了预算事前绩效评估，并对这3个项目编制了绩效目标，开展绩效监控，组织对该项目绩效自评，绩效自评表详见第四部分附件。</w:t>
      </w:r>
    </w:p>
    <w:p>
      <w:pPr>
        <w:spacing w:line="580" w:lineRule="exact"/>
        <w:ind w:firstLine="640" w:firstLineChars="200"/>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基本公共卫生项目绩效目标完成情况综述。项目全年预算数58.32万元，执行数为58.32万元，完成预算的100%。</w:t>
      </w:r>
    </w:p>
    <w:p>
      <w:pPr>
        <w:spacing w:line="580" w:lineRule="exact"/>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我院扎实推进基本公共卫生服务项目工作，严格按照《国家基本公共卫生服务规范》（第三版）的要求，将基本公共卫生服务与基本医疗有机地结合，坚持优质服务，提高效益，保证居民人人享有基本公共卫生服务，使城乡居民生活质量和健康水平显著提高。单位整体支出绩效自评开展情况。本单位按要求对2022年单位整体支出开展绩效自评，从评价情况来看未发现虚列支出，所有财政资金支出均履行了严格审批手续，未发现挤占、挪用、转移财政资金行为。基本支出严格执行国家有关政策及规定，无擅自扩大开支范围和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有资金对外借、贷款问题。本单位还自行组织了项目绩效评价，从评价情况来看我局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pStyle w:val="10"/>
        <w:ind w:firstLine="640" w:firstLineChars="200"/>
        <w:rPr>
          <w:rStyle w:val="13"/>
          <w:rFonts w:hint="default"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基本药物制度项目完成情况综述。村卫生室国家基本药物制度覆盖率100%，政府办基层医疗卫生机构基本药物制度覆盖率100%，2022年11个村卫生室全面实施国家基本药物制度，确保基本药物制度的实施，保障药品安全、有效、经济，解决了老百姓看病贵的问题，稳定了乡村医生收入，针对专项资金的使用，我局严格按照中央、省、市专项资金管理办法加强对资金的使用和管理，并出台了昭化区卫健局专项资金使用管理办法。资金下拨到各项目单位后，计划财务股严格执行项目跟踪，对项目使用情况进行监督管理，同时要求各卫生院对村卫生室基本药物补助必须考核发放到位，没有出现挪用现象。</w:t>
      </w:r>
    </w:p>
    <w:p>
      <w:pPr>
        <w:pStyle w:val="10"/>
        <w:numPr>
          <w:ilvl w:val="0"/>
          <w:numId w:val="0"/>
        </w:numPr>
        <w:ind w:firstLine="640" w:firstLineChars="200"/>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二类疫苗服务费绩效评价 ，《四川省发展和改革委员会四川省财政厅关于疫苗预防接种服务收费标准及有关问题的通知》（川发改价格〔2018〕331号）制定了我省非免疫规划疫苗预防接种服务费收费标准，试行期2年。从试行情况看，该收费政策对加强我省非免疫规划疫苗接种管理，规范收费行为起到了积极作用。结合试行期收支情况和国家相关文件精神，非免疫规划疫苗预防接种服务费收费属行政事业性收费，我单位按规定做好收费公示工作，在门户网站、收费场所醒目位置公示收费项目、收费性质、收费标准、收费依据和价格监督电话等信息，接受社会监督。我单位使用省级财政监（印）制的财政票据，收费收入全额上缴地方国库，纳入财政预算管理。</w:t>
      </w:r>
    </w:p>
    <w:p>
      <w:pPr>
        <w:pStyle w:val="10"/>
        <w:numPr>
          <w:ilvl w:val="0"/>
          <w:numId w:val="0"/>
        </w:numPr>
        <w:ind w:left="0" w:leftChars="0" w:firstLine="640" w:firstLineChars="200"/>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我单位建立健全非免疫规划疫苗管理制度，明确行业系统内部管理职责和程序，完善期间成本资料，减少非必要成本支出，整合现有资源降低接种服务成本。同时，要加强对疫苗接种管理，确保非免疫规划疫苗接种工作的顺利开展，有效维护公共卫生安全。本单位按要求对2022年单位整体支出开展绩效自评，从评价情况来看未发现虚列支出，所有财政资金支出均履行了严格审批手续，未发现挤占、挪用、转移财政资金行为。基本支出严格执行国家有关政策及规定，无擅自扩大开支范围和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有资金对外借、贷款问题。本单位还自行组织了项目绩效评价，从评价情况来看我局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pStyle w:val="10"/>
      </w:pPr>
    </w:p>
    <w:p/>
    <w:p>
      <w:pPr>
        <w:pStyle w:val="10"/>
      </w:pPr>
    </w:p>
    <w:p/>
    <w:p>
      <w:pPr>
        <w:pStyle w:val="10"/>
      </w:pPr>
    </w:p>
    <w:p/>
    <w:p>
      <w:pPr>
        <w:pStyle w:val="10"/>
      </w:pPr>
    </w:p>
    <w:p/>
    <w:p>
      <w:pPr>
        <w:pStyle w:val="10"/>
      </w:pPr>
    </w:p>
    <w:p/>
    <w:p>
      <w:pPr>
        <w:pStyle w:val="10"/>
      </w:pPr>
    </w:p>
    <w:p/>
    <w:p>
      <w:pPr>
        <w:pStyle w:val="10"/>
      </w:pPr>
    </w:p>
    <w:p/>
    <w:p>
      <w:pPr>
        <w:pStyle w:val="10"/>
      </w:pPr>
    </w:p>
    <w:p/>
    <w:p>
      <w:pPr>
        <w:pStyle w:val="10"/>
      </w:pPr>
    </w:p>
    <w:p/>
    <w:p>
      <w:pPr>
        <w:pStyle w:val="10"/>
      </w:pPr>
    </w:p>
    <w:p/>
    <w:p>
      <w:pPr>
        <w:pStyle w:val="10"/>
      </w:pPr>
    </w:p>
    <w:p/>
    <w:p>
      <w:pPr>
        <w:pageBreakBefore w:val="0"/>
        <w:numPr>
          <w:ilvl w:val="0"/>
          <w:numId w:val="3"/>
        </w:numPr>
        <w:kinsoku/>
        <w:wordWrap/>
        <w:overflowPunct/>
        <w:topLinePunct w:val="0"/>
        <w:bidi w:val="0"/>
        <w:spacing w:line="580" w:lineRule="exact"/>
        <w:ind w:firstLine="660" w:firstLineChars="150"/>
        <w:jc w:val="center"/>
        <w:outlineLvl w:val="0"/>
        <w:rPr>
          <w:rFonts w:ascii="宋体"/>
          <w:b/>
          <w:color w:val="000000"/>
          <w:sz w:val="44"/>
          <w:szCs w:val="44"/>
        </w:rPr>
      </w:pPr>
      <w:bookmarkStart w:id="139" w:name="_Toc5895"/>
      <w:bookmarkStart w:id="140" w:name="_Toc26177"/>
      <w:r>
        <w:rPr>
          <w:rFonts w:hint="eastAsia" w:ascii="黑体" w:hAnsi="黑体" w:eastAsia="黑体"/>
          <w:color w:val="000000"/>
          <w:sz w:val="44"/>
          <w:szCs w:val="44"/>
        </w:rPr>
        <w:t>名</w:t>
      </w:r>
      <w:r>
        <w:rPr>
          <w:rStyle w:val="12"/>
          <w:rFonts w:hint="eastAsia" w:ascii="黑体" w:hAnsi="黑体" w:eastAsia="黑体"/>
          <w:b w:val="0"/>
        </w:rPr>
        <w:t>词解释</w:t>
      </w:r>
      <w:bookmarkEnd w:id="122"/>
      <w:bookmarkEnd w:id="123"/>
      <w:bookmarkEnd w:id="124"/>
      <w:bookmarkEnd w:id="139"/>
      <w:bookmarkEnd w:id="140"/>
    </w:p>
    <w:p>
      <w:pPr>
        <w:pStyle w:val="37"/>
        <w:pageBreakBefore w:val="0"/>
        <w:kinsoku/>
        <w:wordWrap/>
        <w:overflowPunct/>
        <w:topLinePunct w:val="0"/>
        <w:bidi w:val="0"/>
        <w:spacing w:line="580" w:lineRule="exact"/>
        <w:ind w:firstLine="640" w:firstLineChars="200"/>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1.财政拨款收入：指单位从同级财政单位取得的各类拨款。</w:t>
      </w:r>
    </w:p>
    <w:p>
      <w:pPr>
        <w:pStyle w:val="37"/>
        <w:pageBreakBefore w:val="0"/>
        <w:kinsoku/>
        <w:wordWrap/>
        <w:overflowPunct/>
        <w:topLinePunct w:val="0"/>
        <w:bidi w:val="0"/>
        <w:spacing w:line="580" w:lineRule="exact"/>
        <w:ind w:firstLine="640" w:firstLineChars="200"/>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2.事业收入：指事业单位开展专业业务活动及辅助活动取得的收入。如区人民医院、</w:t>
      </w:r>
      <w:r>
        <w:rPr>
          <w:rStyle w:val="13"/>
          <w:rFonts w:hint="eastAsia" w:hAnsi="仿宋" w:cs="Times New Roman"/>
          <w:b w:val="0"/>
          <w:bCs w:val="0"/>
          <w:color w:val="auto"/>
          <w:highlight w:val="none"/>
          <w:lang w:val="en-US" w:eastAsia="zh-CN" w:bidi="ar-SA"/>
        </w:rPr>
        <w:t>区</w:t>
      </w:r>
      <w:r>
        <w:rPr>
          <w:rStyle w:val="13"/>
          <w:rFonts w:hint="eastAsia" w:ascii="仿宋" w:hAnsi="仿宋" w:eastAsia="仿宋" w:cs="Times New Roman"/>
          <w:b w:val="0"/>
          <w:bCs w:val="0"/>
          <w:color w:val="auto"/>
          <w:highlight w:val="none"/>
          <w:lang w:val="en-US" w:eastAsia="zh-CN" w:bidi="ar-SA"/>
        </w:rPr>
        <w:t>妇幼保健</w:t>
      </w:r>
      <w:r>
        <w:rPr>
          <w:rStyle w:val="13"/>
          <w:rFonts w:hint="eastAsia" w:hAnsi="仿宋" w:cs="Times New Roman"/>
          <w:b w:val="0"/>
          <w:bCs w:val="0"/>
          <w:color w:val="auto"/>
          <w:highlight w:val="none"/>
          <w:lang w:val="en-US" w:eastAsia="zh-CN" w:bidi="ar-SA"/>
        </w:rPr>
        <w:t>计划</w:t>
      </w:r>
      <w:r>
        <w:rPr>
          <w:rStyle w:val="13"/>
          <w:rFonts w:hint="eastAsia" w:ascii="仿宋" w:hAnsi="仿宋" w:eastAsia="仿宋" w:cs="Times New Roman"/>
          <w:b w:val="0"/>
          <w:bCs w:val="0"/>
          <w:color w:val="auto"/>
          <w:highlight w:val="none"/>
          <w:lang w:val="en-US" w:eastAsia="zh-CN" w:bidi="ar-SA"/>
        </w:rPr>
        <w:t>生育服务中心、区中医医院、乡镇卫生院医疗收入等。</w:t>
      </w:r>
    </w:p>
    <w:p>
      <w:pPr>
        <w:pStyle w:val="37"/>
        <w:pageBreakBefore w:val="0"/>
        <w:kinsoku/>
        <w:wordWrap/>
        <w:overflowPunct/>
        <w:topLinePunct w:val="0"/>
        <w:bidi w:val="0"/>
        <w:spacing w:line="580" w:lineRule="exact"/>
        <w:ind w:firstLine="640" w:firstLineChars="200"/>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3.其他收入：指单位取得的除上述收入以外的各项收入。主要是利息收入等。</w:t>
      </w:r>
    </w:p>
    <w:p>
      <w:pPr>
        <w:pStyle w:val="37"/>
        <w:pageBreakBefore w:val="0"/>
        <w:kinsoku/>
        <w:wordWrap/>
        <w:overflowPunct/>
        <w:topLinePunct w:val="0"/>
        <w:bidi w:val="0"/>
        <w:spacing w:line="580" w:lineRule="exact"/>
        <w:ind w:firstLine="640" w:firstLineChars="200"/>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4.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37"/>
        <w:pageBreakBefore w:val="0"/>
        <w:kinsoku/>
        <w:wordWrap/>
        <w:overflowPunct/>
        <w:topLinePunct w:val="0"/>
        <w:bidi w:val="0"/>
        <w:spacing w:line="580" w:lineRule="exact"/>
        <w:ind w:firstLine="640" w:firstLineChars="200"/>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5.年初结转和结余：指以前年度尚未完成、结转到本年按有关规定继续使用的资金。</w:t>
      </w:r>
    </w:p>
    <w:p>
      <w:pPr>
        <w:pStyle w:val="37"/>
        <w:pageBreakBefore w:val="0"/>
        <w:kinsoku/>
        <w:wordWrap/>
        <w:overflowPunct/>
        <w:topLinePunct w:val="0"/>
        <w:bidi w:val="0"/>
        <w:spacing w:line="580" w:lineRule="exact"/>
        <w:ind w:firstLine="640" w:firstLineChars="200"/>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6.本年盈余分配：指事业单位按照政府会计制度的规定从非财政拨款结余或事业结余中提取的奖励基金和职工福利基金等。</w:t>
      </w:r>
    </w:p>
    <w:p>
      <w:pPr>
        <w:pStyle w:val="37"/>
        <w:pageBreakBefore w:val="0"/>
        <w:kinsoku/>
        <w:wordWrap/>
        <w:overflowPunct/>
        <w:topLinePunct w:val="0"/>
        <w:bidi w:val="0"/>
        <w:spacing w:line="580" w:lineRule="exact"/>
        <w:ind w:firstLine="640" w:firstLineChars="200"/>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7.年末结转和结余：指单位按有关规定结转到下年或以后年度继续使用的资金。</w:t>
      </w:r>
    </w:p>
    <w:p>
      <w:pPr>
        <w:pageBreakBefore w:val="0"/>
        <w:kinsoku/>
        <w:wordWrap/>
        <w:overflowPunct/>
        <w:topLinePunct w:val="0"/>
        <w:bidi w:val="0"/>
        <w:spacing w:line="580" w:lineRule="exact"/>
        <w:ind w:firstLine="640" w:firstLineChars="200"/>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8.卫生健康支出（类）基层医疗卫生机构（款）乡镇卫生院（项）：反映乡镇卫生院的支出；卫生健康支出（类）公共卫生（款）基本公共卫生服务（项）：反映乡镇卫生院、社区卫生机构开展基本公共卫生服务的支出；卫生健康支出（类）基层医疗卫生机构（款）其他基层医疗卫生机构支出（项）：反映除乡镇卫生院、城市社区卫生机构以外的其他用于基层医疗卫生机构的支出；卫生健康支出（类）行政事业单位医疗（款）事业单位医疗（项）:反映卫生健康支出中的在职人员医疗保险。</w:t>
      </w:r>
    </w:p>
    <w:p>
      <w:pPr>
        <w:pageBreakBefore w:val="0"/>
        <w:kinsoku/>
        <w:wordWrap/>
        <w:overflowPunct/>
        <w:topLinePunct w:val="0"/>
        <w:bidi w:val="0"/>
        <w:spacing w:line="580" w:lineRule="exact"/>
        <w:ind w:firstLine="640" w:firstLineChars="200"/>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9.社会保障和就业支出：反映政府在社会保障和就业方面的支出。</w:t>
      </w:r>
    </w:p>
    <w:p>
      <w:pPr>
        <w:pageBreakBefore w:val="0"/>
        <w:kinsoku/>
        <w:wordWrap/>
        <w:overflowPunct/>
        <w:topLinePunct w:val="0"/>
        <w:bidi w:val="0"/>
        <w:spacing w:line="580" w:lineRule="exact"/>
        <w:ind w:firstLine="640" w:firstLineChars="200"/>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社会保障和就业支出-行政事业单位离退休-机关事业单位基本养老保险缴费支出：反映机关事业单位实施养老保险制度由单位缴纳的基本养老保险支出；</w:t>
      </w:r>
    </w:p>
    <w:p>
      <w:pPr>
        <w:pageBreakBefore w:val="0"/>
        <w:kinsoku/>
        <w:wordWrap/>
        <w:overflowPunct/>
        <w:topLinePunct w:val="0"/>
        <w:bidi w:val="0"/>
        <w:spacing w:line="580" w:lineRule="exact"/>
        <w:ind w:firstLine="640" w:firstLineChars="200"/>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10.住房保障支出：住房保障支出-住房改革支出-住房公积金：反映行政事业单位按人力资源和社会保障部、财政部规定的基本工资和津贴补贴以及规定比例为职工缴纳的住房公积金。</w:t>
      </w:r>
    </w:p>
    <w:p>
      <w:pPr>
        <w:pageBreakBefore w:val="0"/>
        <w:kinsoku/>
        <w:wordWrap/>
        <w:overflowPunct/>
        <w:topLinePunct w:val="0"/>
        <w:bidi w:val="0"/>
        <w:spacing w:line="580" w:lineRule="exact"/>
        <w:ind w:firstLine="640" w:firstLineChars="200"/>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11.基本支出：指为保障机构正常运转、完成日常工作任务而发生的人员支出和公用支出。</w:t>
      </w:r>
    </w:p>
    <w:p>
      <w:pPr>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12.项目支出：指在基本支出之外为完成特定行政任务和事业发展目标所发生的支出。</w:t>
      </w:r>
    </w:p>
    <w:p>
      <w:pPr>
        <w:ind w:firstLine="640" w:firstLineChars="200"/>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12.“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ageBreakBefore w:val="0"/>
        <w:numPr>
          <w:ilvl w:val="0"/>
          <w:numId w:val="0"/>
        </w:numPr>
        <w:kinsoku/>
        <w:wordWrap/>
        <w:overflowPunct/>
        <w:topLinePunct w:val="0"/>
        <w:bidi w:val="0"/>
        <w:spacing w:after="315" w:afterLines="100" w:afterAutospacing="0" w:line="580" w:lineRule="exact"/>
        <w:ind w:left="0" w:leftChars="0" w:firstLine="640" w:firstLineChars="200"/>
        <w:jc w:val="both"/>
        <w:outlineLvl w:val="1"/>
        <w:rPr>
          <w:rStyle w:val="13"/>
          <w:rFonts w:hint="eastAsia" w:ascii="仿宋" w:hAnsi="仿宋" w:eastAsia="仿宋" w:cs="Times New Roman"/>
          <w:b w:val="0"/>
          <w:bCs w:val="0"/>
          <w:color w:val="auto"/>
          <w:highlight w:val="none"/>
          <w:lang w:val="en-US" w:eastAsia="zh-CN" w:bidi="ar-SA"/>
        </w:rPr>
      </w:pPr>
      <w:r>
        <w:rPr>
          <w:rStyle w:val="13"/>
          <w:rFonts w:hint="eastAsia" w:ascii="仿宋" w:hAnsi="仿宋" w:eastAsia="仿宋" w:cs="Times New Roman"/>
          <w:b w:val="0"/>
          <w:bCs w:val="0"/>
          <w:color w:val="auto"/>
          <w:highlight w:val="none"/>
          <w:lang w:val="en-US" w:eastAsia="zh-CN" w:bidi="ar-SA"/>
        </w:rPr>
        <w:t>13.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ageBreakBefore w:val="0"/>
        <w:kinsoku/>
        <w:wordWrap/>
        <w:overflowPunct/>
        <w:topLinePunct w:val="0"/>
        <w:bidi w:val="0"/>
        <w:spacing w:before="471" w:beforeLines="150" w:beforeAutospacing="0" w:after="315" w:afterLines="100" w:afterAutospacing="0" w:line="580" w:lineRule="exact"/>
        <w:jc w:val="center"/>
        <w:outlineLvl w:val="0"/>
        <w:rPr>
          <w:rFonts w:hint="eastAsia" w:ascii="黑体" w:hAnsi="黑体" w:eastAsia="黑体"/>
          <w:color w:val="000000"/>
          <w:sz w:val="44"/>
          <w:szCs w:val="44"/>
        </w:rPr>
      </w:pPr>
      <w:bookmarkStart w:id="141" w:name="_Toc9656"/>
      <w:bookmarkStart w:id="142" w:name="_Toc555"/>
      <w:bookmarkStart w:id="143" w:name="_Toc15396614"/>
      <w:bookmarkStart w:id="144" w:name="_Toc29054"/>
      <w:bookmarkStart w:id="145" w:name="_Toc15377226"/>
    </w:p>
    <w:p>
      <w:pPr>
        <w:pageBreakBefore w:val="0"/>
        <w:kinsoku/>
        <w:wordWrap/>
        <w:overflowPunct/>
        <w:topLinePunct w:val="0"/>
        <w:bidi w:val="0"/>
        <w:spacing w:before="471" w:beforeLines="150" w:beforeAutospacing="0" w:after="315" w:afterLines="100" w:afterAutospacing="0" w:line="580" w:lineRule="exact"/>
        <w:jc w:val="center"/>
        <w:outlineLvl w:val="0"/>
        <w:rPr>
          <w:rFonts w:hint="eastAsia" w:ascii="黑体" w:hAnsi="黑体" w:eastAsia="黑体"/>
          <w:color w:val="000000"/>
          <w:sz w:val="44"/>
          <w:szCs w:val="44"/>
        </w:rPr>
      </w:pPr>
    </w:p>
    <w:p>
      <w:pPr>
        <w:pageBreakBefore w:val="0"/>
        <w:kinsoku/>
        <w:wordWrap/>
        <w:overflowPunct/>
        <w:topLinePunct w:val="0"/>
        <w:bidi w:val="0"/>
        <w:spacing w:before="471" w:beforeLines="150" w:beforeAutospacing="0" w:after="315" w:afterLines="100" w:afterAutospacing="0" w:line="580" w:lineRule="exact"/>
        <w:jc w:val="center"/>
        <w:outlineLvl w:val="0"/>
        <w:rPr>
          <w:rFonts w:hint="eastAsia" w:ascii="黑体" w:hAnsi="黑体" w:eastAsia="黑体"/>
          <w:color w:val="000000"/>
          <w:sz w:val="44"/>
          <w:szCs w:val="44"/>
        </w:rPr>
      </w:pPr>
    </w:p>
    <w:p>
      <w:pPr>
        <w:pageBreakBefore w:val="0"/>
        <w:kinsoku/>
        <w:wordWrap/>
        <w:overflowPunct/>
        <w:topLinePunct w:val="0"/>
        <w:bidi w:val="0"/>
        <w:spacing w:before="471" w:beforeLines="150" w:beforeAutospacing="0" w:after="315" w:afterLines="100" w:afterAutospacing="0" w:line="580" w:lineRule="exact"/>
        <w:jc w:val="center"/>
        <w:outlineLvl w:val="0"/>
        <w:rPr>
          <w:rFonts w:hint="eastAsia" w:ascii="黑体" w:hAnsi="黑体" w:eastAsia="黑体"/>
          <w:color w:val="000000"/>
          <w:sz w:val="44"/>
          <w:szCs w:val="44"/>
        </w:rPr>
      </w:pPr>
    </w:p>
    <w:p>
      <w:pPr>
        <w:pageBreakBefore w:val="0"/>
        <w:kinsoku/>
        <w:wordWrap/>
        <w:overflowPunct/>
        <w:topLinePunct w:val="0"/>
        <w:bidi w:val="0"/>
        <w:spacing w:before="471" w:beforeLines="150" w:beforeAutospacing="0" w:after="315" w:afterLines="100" w:afterAutospacing="0" w:line="580" w:lineRule="exact"/>
        <w:jc w:val="center"/>
        <w:outlineLvl w:val="0"/>
        <w:rPr>
          <w:rFonts w:hint="eastAsia" w:ascii="黑体" w:hAnsi="黑体" w:eastAsia="黑体"/>
          <w:color w:val="000000"/>
          <w:sz w:val="44"/>
          <w:szCs w:val="44"/>
        </w:rPr>
      </w:pPr>
    </w:p>
    <w:p>
      <w:pPr>
        <w:pageBreakBefore w:val="0"/>
        <w:kinsoku/>
        <w:wordWrap/>
        <w:overflowPunct/>
        <w:topLinePunct w:val="0"/>
        <w:bidi w:val="0"/>
        <w:spacing w:before="471" w:beforeLines="150" w:beforeAutospacing="0" w:after="315" w:afterLines="100" w:afterAutospacing="0" w:line="580" w:lineRule="exact"/>
        <w:jc w:val="center"/>
        <w:outlineLvl w:val="0"/>
        <w:rPr>
          <w:rFonts w:hint="eastAsia" w:ascii="黑体" w:hAnsi="黑体" w:eastAsia="黑体"/>
          <w:color w:val="000000"/>
          <w:sz w:val="44"/>
          <w:szCs w:val="44"/>
        </w:rPr>
      </w:pPr>
    </w:p>
    <w:p>
      <w:pPr>
        <w:pageBreakBefore w:val="0"/>
        <w:kinsoku/>
        <w:wordWrap/>
        <w:overflowPunct/>
        <w:topLinePunct w:val="0"/>
        <w:bidi w:val="0"/>
        <w:spacing w:before="471" w:beforeLines="150" w:beforeAutospacing="0" w:after="315" w:afterLines="100" w:afterAutospacing="0" w:line="580" w:lineRule="exact"/>
        <w:jc w:val="center"/>
        <w:outlineLvl w:val="0"/>
        <w:rPr>
          <w:rFonts w:hint="eastAsia" w:ascii="黑体" w:hAnsi="黑体" w:eastAsia="黑体"/>
          <w:color w:val="000000"/>
          <w:sz w:val="44"/>
          <w:szCs w:val="44"/>
        </w:rPr>
      </w:pPr>
    </w:p>
    <w:p>
      <w:pPr>
        <w:pageBreakBefore w:val="0"/>
        <w:kinsoku/>
        <w:wordWrap/>
        <w:overflowPunct/>
        <w:topLinePunct w:val="0"/>
        <w:bidi w:val="0"/>
        <w:spacing w:before="471" w:beforeLines="150" w:beforeAutospacing="0" w:after="315" w:afterLines="100" w:afterAutospacing="0" w:line="580" w:lineRule="exact"/>
        <w:jc w:val="center"/>
        <w:outlineLvl w:val="0"/>
        <w:rPr>
          <w:rFonts w:hint="eastAsia" w:ascii="黑体" w:hAnsi="黑体" w:eastAsia="黑体"/>
          <w:color w:val="000000"/>
          <w:sz w:val="44"/>
          <w:szCs w:val="44"/>
        </w:rPr>
      </w:pPr>
    </w:p>
    <w:p>
      <w:pPr>
        <w:pageBreakBefore w:val="0"/>
        <w:kinsoku/>
        <w:wordWrap/>
        <w:overflowPunct/>
        <w:topLinePunct w:val="0"/>
        <w:bidi w:val="0"/>
        <w:spacing w:before="471" w:beforeLines="150" w:beforeAutospacing="0" w:after="315" w:afterLines="100" w:afterAutospacing="0" w:line="580" w:lineRule="exact"/>
        <w:jc w:val="center"/>
        <w:outlineLvl w:val="0"/>
        <w:rPr>
          <w:rStyle w:val="12"/>
          <w:rFonts w:ascii="黑体" w:hAnsi="黑体" w:eastAsia="黑体"/>
          <w:b w:val="0"/>
        </w:rPr>
      </w:pPr>
      <w:r>
        <w:rPr>
          <w:rFonts w:hint="eastAsia" w:ascii="黑体" w:hAnsi="黑体" w:eastAsia="黑体"/>
          <w:color w:val="000000"/>
          <w:sz w:val="44"/>
          <w:szCs w:val="44"/>
        </w:rPr>
        <w:t>第</w:t>
      </w:r>
      <w:r>
        <w:rPr>
          <w:rStyle w:val="12"/>
          <w:rFonts w:hint="eastAsia" w:ascii="黑体" w:hAnsi="黑体" w:eastAsia="黑体"/>
          <w:b w:val="0"/>
        </w:rPr>
        <w:t>四部分</w:t>
      </w:r>
      <w:r>
        <w:rPr>
          <w:rStyle w:val="12"/>
          <w:rFonts w:ascii="黑体" w:hAnsi="黑体" w:eastAsia="黑体"/>
          <w:b w:val="0"/>
        </w:rPr>
        <w:t xml:space="preserve"> </w:t>
      </w:r>
      <w:r>
        <w:rPr>
          <w:rStyle w:val="12"/>
          <w:rFonts w:hint="eastAsia" w:ascii="黑体" w:hAnsi="黑体" w:eastAsia="黑体"/>
          <w:b w:val="0"/>
        </w:rPr>
        <w:t>附件</w:t>
      </w:r>
      <w:bookmarkEnd w:id="141"/>
      <w:bookmarkEnd w:id="142"/>
      <w:bookmarkEnd w:id="143"/>
      <w:bookmarkEnd w:id="144"/>
    </w:p>
    <w:p>
      <w:pPr>
        <w:pageBreakBefore w:val="0"/>
        <w:kinsoku/>
        <w:wordWrap/>
        <w:overflowPunct/>
        <w:topLinePunct w:val="0"/>
        <w:bidi w:val="0"/>
        <w:spacing w:beforeAutospacing="0" w:line="580" w:lineRule="exact"/>
        <w:jc w:val="left"/>
        <w:outlineLvl w:val="1"/>
        <w:rPr>
          <w:rFonts w:ascii="黑体" w:hAnsi="黑体" w:eastAsia="黑体" w:cs="黑体"/>
          <w:sz w:val="32"/>
          <w:szCs w:val="32"/>
        </w:rPr>
      </w:pPr>
      <w:bookmarkStart w:id="146" w:name="_Toc29148"/>
      <w:bookmarkStart w:id="147" w:name="_Toc3088"/>
      <w:bookmarkStart w:id="148" w:name="_Toc4873"/>
      <w:bookmarkStart w:id="149" w:name="_Toc20981"/>
      <w:bookmarkStart w:id="150" w:name="_Toc24472"/>
      <w:r>
        <w:rPr>
          <w:rFonts w:hint="eastAsia" w:ascii="黑体" w:hAnsi="黑体" w:eastAsia="黑体" w:cs="黑体"/>
          <w:sz w:val="32"/>
          <w:szCs w:val="32"/>
        </w:rPr>
        <w:t>附件</w:t>
      </w:r>
      <w:r>
        <w:rPr>
          <w:rFonts w:ascii="黑体" w:hAnsi="黑体" w:eastAsia="黑体" w:cs="黑体"/>
          <w:sz w:val="32"/>
          <w:szCs w:val="32"/>
        </w:rPr>
        <w:t>1</w:t>
      </w:r>
      <w:bookmarkEnd w:id="146"/>
      <w:bookmarkEnd w:id="147"/>
      <w:bookmarkEnd w:id="148"/>
      <w:bookmarkEnd w:id="149"/>
      <w:bookmarkEnd w:id="150"/>
    </w:p>
    <w:p>
      <w:pPr>
        <w:spacing w:line="600" w:lineRule="exact"/>
        <w:jc w:val="center"/>
        <w:outlineLvl w:val="0"/>
      </w:pPr>
      <w:bookmarkStart w:id="151" w:name="_Toc5385"/>
      <w:bookmarkStart w:id="152" w:name="_Toc13948"/>
      <w:r>
        <w:rPr>
          <w:rFonts w:hint="eastAsia" w:ascii="宋体" w:hAnsi="宋体" w:eastAsia="宋体" w:cs="宋体"/>
          <w:color w:val="auto"/>
          <w:kern w:val="0"/>
          <w:sz w:val="32"/>
          <w:szCs w:val="32"/>
          <w:highlight w:val="none"/>
          <w:lang w:val="en-US" w:eastAsia="zh-CN" w:bidi="ar-SA"/>
        </w:rPr>
        <w:t>部门预算项目支出绩效自评表（2022年度）</w:t>
      </w:r>
      <w:bookmarkEnd w:id="151"/>
      <w:bookmarkEnd w:id="152"/>
    </w:p>
    <w:tbl>
      <w:tblPr>
        <w:tblStyle w:val="9"/>
        <w:tblpPr w:leftFromText="180" w:rightFromText="180" w:vertAnchor="text" w:horzAnchor="page" w:tblpX="1911" w:tblpY="555"/>
        <w:tblOverlap w:val="never"/>
        <w:tblW w:w="834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2"/>
        <w:gridCol w:w="439"/>
        <w:gridCol w:w="295"/>
        <w:gridCol w:w="236"/>
        <w:gridCol w:w="180"/>
        <w:gridCol w:w="83"/>
        <w:gridCol w:w="47"/>
        <w:gridCol w:w="981"/>
        <w:gridCol w:w="665"/>
        <w:gridCol w:w="846"/>
        <w:gridCol w:w="21"/>
        <w:gridCol w:w="180"/>
        <w:gridCol w:w="1372"/>
        <w:gridCol w:w="184"/>
        <w:gridCol w:w="180"/>
        <w:gridCol w:w="163"/>
        <w:gridCol w:w="514"/>
        <w:gridCol w:w="180"/>
        <w:gridCol w:w="241"/>
        <w:gridCol w:w="8"/>
        <w:gridCol w:w="878"/>
        <w:gridCol w:w="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1" w:type="dxa"/>
          <w:trHeight w:val="600" w:hRule="atLeast"/>
        </w:trPr>
        <w:tc>
          <w:tcPr>
            <w:tcW w:w="8335" w:type="dxa"/>
            <w:gridSpan w:val="21"/>
            <w:tcBorders>
              <w:top w:val="nil"/>
              <w:left w:val="nil"/>
              <w:bottom w:val="nil"/>
              <w:right w:val="nil"/>
            </w:tcBorders>
            <w:shd w:val="clear" w:color="auto" w:fill="auto"/>
            <w:noWrap w:val="0"/>
            <w:vAlign w:val="center"/>
          </w:tcPr>
          <w:p>
            <w:pPr>
              <w:keepNext w:val="0"/>
              <w:keepLines w:val="0"/>
              <w:widowControl/>
              <w:suppressLineNumbers w:val="0"/>
              <w:jc w:val="center"/>
              <w:textAlignment w:val="center"/>
              <w:rPr>
                <w:rFonts w:ascii="方正小标宋简体" w:hAnsi="方正小标宋简体" w:eastAsia="方正小标宋简体" w:cs="方正小标宋简体"/>
                <w:b/>
                <w:bCs/>
                <w:i w:val="0"/>
                <w:iCs w:val="0"/>
                <w:color w:val="000000"/>
                <w:sz w:val="36"/>
                <w:szCs w:val="36"/>
                <w:u w:val="none"/>
              </w:rPr>
            </w:pPr>
            <w:bookmarkStart w:id="153" w:name="_Hlk115001465"/>
            <w:r>
              <w:rPr>
                <w:rFonts w:hint="default" w:ascii="方正小标宋简体" w:hAnsi="方正小标宋简体" w:eastAsia="方正小标宋简体" w:cs="方正小标宋简体"/>
                <w:b/>
                <w:bCs/>
                <w:i w:val="0"/>
                <w:iCs w:val="0"/>
                <w:color w:val="000000"/>
                <w:kern w:val="0"/>
                <w:sz w:val="36"/>
                <w:szCs w:val="36"/>
                <w:u w:val="none"/>
                <w:lang w:val="en-US" w:eastAsia="zh-CN" w:bidi="en-AU"/>
              </w:rPr>
              <w:t>2022年基本公共卫生服务项目补助资金转移支付项目绩效目标自评表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20" w:hRule="atLeast"/>
        </w:trPr>
        <w:tc>
          <w:tcPr>
            <w:tcW w:w="8335" w:type="dxa"/>
            <w:gridSpan w:val="21"/>
            <w:tcBorders>
              <w:top w:val="nil"/>
              <w:left w:val="nil"/>
              <w:bottom w:val="single" w:color="000000" w:sz="4" w:space="0"/>
              <w:right w:val="nil"/>
            </w:tcBorders>
            <w:shd w:val="clear" w:color="auto" w:fill="auto"/>
            <w:noWrap w:val="0"/>
            <w:vAlign w:val="top"/>
          </w:tcPr>
          <w:p>
            <w:pPr>
              <w:keepNext w:val="0"/>
              <w:keepLines w:val="0"/>
              <w:widowControl/>
              <w:suppressLineNumbers w:val="0"/>
              <w:jc w:val="center"/>
              <w:textAlignment w:val="top"/>
              <w:rPr>
                <w:rFonts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en-AU"/>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1875"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转移支付（项目）名称</w:t>
            </w:r>
          </w:p>
        </w:tc>
        <w:tc>
          <w:tcPr>
            <w:tcW w:w="6460" w:type="dxa"/>
            <w:gridSpan w:val="1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2022年基本公共卫生服务项目补助资金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00" w:hRule="atLeast"/>
        </w:trPr>
        <w:tc>
          <w:tcPr>
            <w:tcW w:w="1875"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中央主管部门</w:t>
            </w:r>
          </w:p>
        </w:tc>
        <w:tc>
          <w:tcPr>
            <w:tcW w:w="6460" w:type="dxa"/>
            <w:gridSpan w:val="1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国家卫生健康委员会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60" w:hRule="atLeast"/>
        </w:trPr>
        <w:tc>
          <w:tcPr>
            <w:tcW w:w="1875"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地方主管部门</w:t>
            </w:r>
          </w:p>
        </w:tc>
        <w:tc>
          <w:tcPr>
            <w:tcW w:w="274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广元市昭化区卫生健康局</w:t>
            </w: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资金使用单位</w:t>
            </w:r>
          </w:p>
        </w:tc>
        <w:tc>
          <w:tcPr>
            <w:tcW w:w="2348" w:type="dxa"/>
            <w:gridSpan w:val="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广元市昭化区红岩镇卫生院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20" w:hRule="atLeast"/>
        </w:trPr>
        <w:tc>
          <w:tcPr>
            <w:tcW w:w="1875" w:type="dxa"/>
            <w:gridSpan w:val="6"/>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资金投入情况</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（万元）</w:t>
            </w: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20"/>
                <w:szCs w:val="20"/>
                <w:u w:val="none"/>
              </w:rPr>
            </w:pPr>
          </w:p>
        </w:tc>
        <w:tc>
          <w:tcPr>
            <w:tcW w:w="1712"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全年预算数（A）</w:t>
            </w:r>
          </w:p>
        </w:tc>
        <w:tc>
          <w:tcPr>
            <w:tcW w:w="2834"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全年执行数（B）</w:t>
            </w:r>
          </w:p>
        </w:tc>
        <w:tc>
          <w:tcPr>
            <w:tcW w:w="88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预算执行率（B/A×100%)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20" w:hRule="atLeast"/>
        </w:trPr>
        <w:tc>
          <w:tcPr>
            <w:tcW w:w="1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年度资金总额：</w:t>
            </w:r>
          </w:p>
        </w:tc>
        <w:tc>
          <w:tcPr>
            <w:tcW w:w="1712"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en-AU"/>
              </w:rPr>
              <w:t>58.32</w:t>
            </w:r>
          </w:p>
        </w:tc>
        <w:tc>
          <w:tcPr>
            <w:tcW w:w="2834"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en-AU"/>
              </w:rPr>
              <w:t>58.32</w:t>
            </w:r>
          </w:p>
        </w:tc>
        <w:tc>
          <w:tcPr>
            <w:tcW w:w="88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20" w:hRule="atLeast"/>
        </w:trPr>
        <w:tc>
          <w:tcPr>
            <w:tcW w:w="1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49"/>
                <w:lang w:val="en-US" w:eastAsia="zh-CN" w:bidi="en-AU"/>
              </w:rPr>
              <w:t xml:space="preserve"> </w:t>
            </w:r>
            <w:r>
              <w:rPr>
                <w:rStyle w:val="50"/>
                <w:lang w:val="en-US" w:eastAsia="zh-CN" w:bidi="en-AU"/>
              </w:rPr>
              <w:t>其中：中央财政资金</w:t>
            </w:r>
          </w:p>
        </w:tc>
        <w:tc>
          <w:tcPr>
            <w:tcW w:w="1712"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41.53 </w:t>
            </w:r>
          </w:p>
        </w:tc>
        <w:tc>
          <w:tcPr>
            <w:tcW w:w="2834"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41.53 </w:t>
            </w:r>
          </w:p>
        </w:tc>
        <w:tc>
          <w:tcPr>
            <w:tcW w:w="88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20" w:hRule="atLeast"/>
        </w:trPr>
        <w:tc>
          <w:tcPr>
            <w:tcW w:w="1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49"/>
                <w:lang w:val="en-US" w:eastAsia="zh-CN" w:bidi="en-AU"/>
              </w:rPr>
              <w:t xml:space="preserve"> </w:t>
            </w:r>
            <w:r>
              <w:rPr>
                <w:rStyle w:val="47"/>
                <w:lang w:val="en-US" w:eastAsia="zh-CN" w:bidi="en-AU"/>
              </w:rPr>
              <w:t xml:space="preserve">      地方资金</w:t>
            </w:r>
          </w:p>
        </w:tc>
        <w:tc>
          <w:tcPr>
            <w:tcW w:w="1712"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10.53 </w:t>
            </w:r>
          </w:p>
        </w:tc>
        <w:tc>
          <w:tcPr>
            <w:tcW w:w="2834"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10.53 </w:t>
            </w:r>
          </w:p>
        </w:tc>
        <w:tc>
          <w:tcPr>
            <w:tcW w:w="88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20" w:hRule="atLeast"/>
        </w:trPr>
        <w:tc>
          <w:tcPr>
            <w:tcW w:w="1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51"/>
                <w:lang w:val="en-US" w:eastAsia="zh-CN" w:bidi="en-AU"/>
              </w:rPr>
              <w:t xml:space="preserve">      </w:t>
            </w:r>
            <w:r>
              <w:rPr>
                <w:rStyle w:val="50"/>
                <w:lang w:val="en-US" w:eastAsia="zh-CN" w:bidi="en-AU"/>
              </w:rPr>
              <w:t xml:space="preserve">  其他资金</w:t>
            </w:r>
          </w:p>
        </w:tc>
        <w:tc>
          <w:tcPr>
            <w:tcW w:w="1712"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0.25 </w:t>
            </w:r>
          </w:p>
        </w:tc>
        <w:tc>
          <w:tcPr>
            <w:tcW w:w="2834"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0.25 </w:t>
            </w:r>
          </w:p>
        </w:tc>
        <w:tc>
          <w:tcPr>
            <w:tcW w:w="88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1875" w:type="dxa"/>
            <w:gridSpan w:val="6"/>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资金管理情况</w:t>
            </w: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20"/>
                <w:szCs w:val="20"/>
                <w:u w:val="none"/>
              </w:rPr>
            </w:pPr>
          </w:p>
        </w:tc>
        <w:tc>
          <w:tcPr>
            <w:tcW w:w="4546" w:type="dxa"/>
            <w:gridSpan w:val="1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情况说明</w:t>
            </w:r>
          </w:p>
        </w:tc>
        <w:tc>
          <w:tcPr>
            <w:tcW w:w="88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760" w:hRule="atLeast"/>
        </w:trPr>
        <w:tc>
          <w:tcPr>
            <w:tcW w:w="1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分配科学性</w:t>
            </w:r>
          </w:p>
        </w:tc>
        <w:tc>
          <w:tcPr>
            <w:tcW w:w="4546" w:type="dxa"/>
            <w:gridSpan w:val="1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按照各镇服务常住人口数，结合省市区绩效评价方案将所有资金100%下达至项目实施单位，同时督促项目实施单位40%下达至村卫生室。</w:t>
            </w:r>
          </w:p>
        </w:tc>
        <w:tc>
          <w:tcPr>
            <w:tcW w:w="88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1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下达及时性</w:t>
            </w:r>
          </w:p>
        </w:tc>
        <w:tc>
          <w:tcPr>
            <w:tcW w:w="4546" w:type="dxa"/>
            <w:gridSpan w:val="1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8月份下达到位资金的80%，12月底将所有资金全部拨付到位。</w:t>
            </w:r>
          </w:p>
        </w:tc>
        <w:tc>
          <w:tcPr>
            <w:tcW w:w="88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1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拨付合规性</w:t>
            </w:r>
          </w:p>
        </w:tc>
        <w:tc>
          <w:tcPr>
            <w:tcW w:w="4546" w:type="dxa"/>
            <w:gridSpan w:val="1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按照各镇常住人口数，结合2022年绩效评价结果合理合规拨付资金。</w:t>
            </w:r>
          </w:p>
        </w:tc>
        <w:tc>
          <w:tcPr>
            <w:tcW w:w="88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1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使用规范性</w:t>
            </w:r>
          </w:p>
        </w:tc>
        <w:tc>
          <w:tcPr>
            <w:tcW w:w="4546" w:type="dxa"/>
            <w:gridSpan w:val="1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本着专款专用的原则，严格按照项目资金审批要求使用项目资金。</w:t>
            </w:r>
          </w:p>
        </w:tc>
        <w:tc>
          <w:tcPr>
            <w:tcW w:w="88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1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执行准确性</w:t>
            </w:r>
          </w:p>
        </w:tc>
        <w:tc>
          <w:tcPr>
            <w:tcW w:w="4546" w:type="dxa"/>
            <w:gridSpan w:val="1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所有资金全部用于基本公共卫生服务项目</w:t>
            </w:r>
          </w:p>
        </w:tc>
        <w:tc>
          <w:tcPr>
            <w:tcW w:w="88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1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预算绩效管理情况</w:t>
            </w:r>
          </w:p>
        </w:tc>
        <w:tc>
          <w:tcPr>
            <w:tcW w:w="4546" w:type="dxa"/>
            <w:gridSpan w:val="1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按照全区常住人口数量预算全年项目资金，提升财政专项资金使用效益</w:t>
            </w:r>
          </w:p>
        </w:tc>
        <w:tc>
          <w:tcPr>
            <w:tcW w:w="88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1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支出责任履行情况</w:t>
            </w:r>
          </w:p>
        </w:tc>
        <w:tc>
          <w:tcPr>
            <w:tcW w:w="4546" w:type="dxa"/>
            <w:gridSpan w:val="1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建立由卫健支出，财政局监督的资金支出制度，确保资金使用的合理合法合规。</w:t>
            </w:r>
          </w:p>
        </w:tc>
        <w:tc>
          <w:tcPr>
            <w:tcW w:w="88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642" w:type="dxa"/>
            <w:vMerge w:val="restart"/>
            <w:tcBorders>
              <w:top w:val="nil"/>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总体目标完成情况</w:t>
            </w:r>
          </w:p>
        </w:tc>
        <w:tc>
          <w:tcPr>
            <w:tcW w:w="3772" w:type="dxa"/>
            <w:gridSpan w:val="9"/>
            <w:tcBorders>
              <w:top w:val="nil"/>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总体目标</w:t>
            </w:r>
          </w:p>
        </w:tc>
        <w:tc>
          <w:tcPr>
            <w:tcW w:w="3921" w:type="dxa"/>
            <w:gridSpan w:val="11"/>
            <w:tcBorders>
              <w:top w:val="nil"/>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2780" w:hRule="atLeast"/>
        </w:trPr>
        <w:tc>
          <w:tcPr>
            <w:tcW w:w="642"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772" w:type="dxa"/>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1:免费向常住城乡居民提供12类国家基本公共卫生服务；</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2、开展对重点疾病及危害因素检测，有效控制疾病流行，为制定相关政策提供科学依据；</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3、助力国家脱贫攻坚，保持重点地方病防治措施全面落实。</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4、开展职业病检测，最大限度地保护放射工作人员，患者和公众的健康权益。</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5、同时推进妇幼健康、健康素养促进、医养结合和老年健康服务、卫生应急、计划生育等方面工作。</w:t>
            </w:r>
          </w:p>
        </w:tc>
        <w:tc>
          <w:tcPr>
            <w:tcW w:w="3921" w:type="dxa"/>
            <w:gridSpan w:val="1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1.全乡承担基本公共卫生项目基层医疗卫生机构免费为辖区居民提供12类基本公共卫生服务。</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2.开展对重点疾病及危害因素监测，有效控制疾病流行，为制定相关政策提供科学依据。重点疾病监测项目完成相应指标。</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3.助力国家脱贫攻坚，保持重点地方病防治措施全面落实。完成地方病监测任务。</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4.全面完成职业病监测各项任务。最大限度地保护放射工作人员、患者和公众的健康权益。</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5.推进妇幼健康、健康素养促进、医养结合和老年健康服务、卫生应急、计划生育等方面工作，确保各项指标达标及工作落实。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绩效指标</w:t>
            </w:r>
          </w:p>
        </w:tc>
        <w:tc>
          <w:tcPr>
            <w:tcW w:w="43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一级</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指标</w:t>
            </w:r>
          </w:p>
        </w:tc>
        <w:tc>
          <w:tcPr>
            <w:tcW w:w="841" w:type="dxa"/>
            <w:gridSpan w:val="5"/>
            <w:tcBorders>
              <w:top w:val="single" w:color="000000" w:sz="4" w:space="0"/>
              <w:left w:val="single" w:color="000000" w:sz="4" w:space="0"/>
              <w:bottom w:val="single" w:color="auto"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二级指标</w:t>
            </w:r>
          </w:p>
        </w:tc>
        <w:tc>
          <w:tcPr>
            <w:tcW w:w="2492" w:type="dxa"/>
            <w:gridSpan w:val="3"/>
            <w:tcBorders>
              <w:top w:val="single" w:color="000000" w:sz="4" w:space="0"/>
              <w:left w:val="single" w:color="000000" w:sz="4" w:space="0"/>
              <w:bottom w:val="single" w:color="auto"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三级指标</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指标值</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全年实际完成值</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restart"/>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restart"/>
            <w:tcBorders>
              <w:top w:val="single" w:color="auto" w:sz="4" w:space="0"/>
              <w:left w:val="single" w:color="auto" w:sz="4" w:space="0"/>
              <w:bottom w:val="nil"/>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数量指标</w:t>
            </w:r>
          </w:p>
        </w:tc>
        <w:tc>
          <w:tcPr>
            <w:tcW w:w="2492" w:type="dxa"/>
            <w:gridSpan w:val="3"/>
            <w:tcBorders>
              <w:top w:val="single" w:color="auto" w:sz="4" w:space="0"/>
              <w:left w:val="single" w:color="000000" w:sz="4" w:space="0"/>
              <w:bottom w:val="nil"/>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适龄儿童国家免疫规划疫苗接种率</w:t>
            </w:r>
          </w:p>
        </w:tc>
        <w:tc>
          <w:tcPr>
            <w:tcW w:w="2100" w:type="dxa"/>
            <w:gridSpan w:val="6"/>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7"/>
                <w:lang w:val="en-US" w:eastAsia="zh-CN" w:bidi="en-AU"/>
              </w:rPr>
              <w:t>≥</w:t>
            </w:r>
            <w:r>
              <w:rPr>
                <w:rStyle w:val="52"/>
                <w:rFonts w:ascii="宋体" w:hAnsi="宋体" w:eastAsia="宋体" w:cs="宋体"/>
                <w:sz w:val="24"/>
                <w:szCs w:val="24"/>
                <w:lang w:val="en-US" w:eastAsia="zh-CN" w:bidi="en-AU"/>
              </w:rPr>
              <w:t>90%</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nil"/>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49"/>
                <w:lang w:val="en-US" w:eastAsia="zh-CN" w:bidi="en-AU"/>
              </w:rPr>
              <w:t>7</w:t>
            </w:r>
            <w:r>
              <w:rPr>
                <w:rStyle w:val="47"/>
                <w:lang w:val="en-US" w:eastAsia="zh-CN" w:bidi="en-AU"/>
              </w:rPr>
              <w:t>岁以下儿童健康管理率</w:t>
            </w:r>
          </w:p>
        </w:tc>
        <w:tc>
          <w:tcPr>
            <w:tcW w:w="2100" w:type="dxa"/>
            <w:gridSpan w:val="6"/>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7"/>
                <w:lang w:val="en-US" w:eastAsia="zh-CN" w:bidi="en-AU"/>
              </w:rPr>
              <w:t>≥</w:t>
            </w:r>
            <w:r>
              <w:rPr>
                <w:rStyle w:val="52"/>
                <w:rFonts w:ascii="宋体" w:hAnsi="宋体" w:eastAsia="宋体" w:cs="宋体"/>
                <w:sz w:val="24"/>
                <w:szCs w:val="24"/>
                <w:lang w:val="en-US" w:eastAsia="zh-CN" w:bidi="en-AU"/>
              </w:rPr>
              <w:t>85%</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90%</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nil"/>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49"/>
                <w:lang w:val="en-US" w:eastAsia="zh-CN" w:bidi="en-AU"/>
              </w:rPr>
              <w:t>0-6</w:t>
            </w:r>
            <w:r>
              <w:rPr>
                <w:rStyle w:val="47"/>
                <w:lang w:val="en-US" w:eastAsia="zh-CN" w:bidi="en-AU"/>
              </w:rPr>
              <w:t>岁儿童眼保健和视力检查覆盖率</w:t>
            </w:r>
          </w:p>
        </w:tc>
        <w:tc>
          <w:tcPr>
            <w:tcW w:w="2100" w:type="dxa"/>
            <w:gridSpan w:val="6"/>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7"/>
                <w:lang w:val="en-US" w:eastAsia="zh-CN" w:bidi="en-AU"/>
              </w:rPr>
              <w:t>≥</w:t>
            </w:r>
            <w:r>
              <w:rPr>
                <w:rStyle w:val="52"/>
                <w:rFonts w:ascii="宋体" w:hAnsi="宋体" w:eastAsia="宋体" w:cs="宋体"/>
                <w:sz w:val="24"/>
                <w:szCs w:val="24"/>
                <w:lang w:val="en-US" w:eastAsia="zh-CN" w:bidi="en-AU"/>
              </w:rPr>
              <w:t>90%</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93%</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nil"/>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孕产妇系统管理率</w:t>
            </w:r>
          </w:p>
        </w:tc>
        <w:tc>
          <w:tcPr>
            <w:tcW w:w="2100" w:type="dxa"/>
            <w:gridSpan w:val="6"/>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7"/>
                <w:lang w:val="en-US" w:eastAsia="zh-CN" w:bidi="en-AU"/>
              </w:rPr>
              <w:t>≥</w:t>
            </w:r>
            <w:r>
              <w:rPr>
                <w:rStyle w:val="52"/>
                <w:rFonts w:ascii="宋体" w:hAnsi="宋体" w:eastAsia="宋体" w:cs="宋体"/>
                <w:sz w:val="24"/>
                <w:szCs w:val="24"/>
                <w:lang w:val="en-US" w:eastAsia="zh-CN" w:bidi="en-AU"/>
              </w:rPr>
              <w:t>90%</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99.55</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nil"/>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49"/>
                <w:lang w:val="en-US" w:eastAsia="zh-CN" w:bidi="en-AU"/>
              </w:rPr>
              <w:t>3</w:t>
            </w:r>
            <w:r>
              <w:rPr>
                <w:rStyle w:val="47"/>
                <w:lang w:val="en-US" w:eastAsia="zh-CN" w:bidi="en-AU"/>
              </w:rPr>
              <w:t>岁以下儿童系统管理率</w:t>
            </w:r>
          </w:p>
        </w:tc>
        <w:tc>
          <w:tcPr>
            <w:tcW w:w="2100" w:type="dxa"/>
            <w:gridSpan w:val="6"/>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7"/>
                <w:lang w:val="en-US" w:eastAsia="zh-CN" w:bidi="en-AU"/>
              </w:rPr>
              <w:t>≥</w:t>
            </w:r>
            <w:r>
              <w:rPr>
                <w:rStyle w:val="52"/>
                <w:rFonts w:ascii="宋体" w:hAnsi="宋体" w:eastAsia="宋体" w:cs="宋体"/>
                <w:sz w:val="24"/>
                <w:szCs w:val="24"/>
                <w:lang w:val="en-US" w:eastAsia="zh-CN" w:bidi="en-AU"/>
              </w:rPr>
              <w:t>80%</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90%</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nil"/>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高血压患者管理人数</w:t>
            </w:r>
          </w:p>
        </w:tc>
        <w:tc>
          <w:tcPr>
            <w:tcW w:w="2100" w:type="dxa"/>
            <w:gridSpan w:val="6"/>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52"/>
                <w:rFonts w:hint="eastAsia" w:ascii="宋体" w:hAnsi="宋体" w:eastAsia="宋体" w:cs="宋体"/>
                <w:sz w:val="24"/>
                <w:szCs w:val="24"/>
                <w:lang w:val="en-US" w:eastAsia="zh-CN" w:bidi="en-AU"/>
              </w:rPr>
              <w:t>0.0592</w:t>
            </w:r>
            <w:r>
              <w:rPr>
                <w:rStyle w:val="47"/>
                <w:lang w:val="en-US" w:eastAsia="zh-CN" w:bidi="en-AU"/>
              </w:rPr>
              <w:t>万人</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52"/>
                <w:rFonts w:hint="eastAsia" w:ascii="宋体" w:hAnsi="宋体" w:eastAsia="宋体" w:cs="宋体"/>
                <w:sz w:val="24"/>
                <w:szCs w:val="24"/>
                <w:lang w:val="en-US" w:eastAsia="zh-CN" w:bidi="en-AU"/>
              </w:rPr>
              <w:t>0.0592</w:t>
            </w:r>
            <w:r>
              <w:rPr>
                <w:rStyle w:val="47"/>
                <w:lang w:val="en-US" w:eastAsia="zh-CN" w:bidi="en-AU"/>
              </w:rPr>
              <w:t>万人</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nil"/>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49"/>
                <w:lang w:val="en-US" w:eastAsia="zh-CN" w:bidi="en-AU"/>
              </w:rPr>
              <w:t>2</w:t>
            </w:r>
            <w:r>
              <w:rPr>
                <w:rStyle w:val="47"/>
                <w:lang w:val="en-US" w:eastAsia="zh-CN" w:bidi="en-AU"/>
              </w:rPr>
              <w:t>型糖尿病患者管理人数</w:t>
            </w:r>
          </w:p>
        </w:tc>
        <w:tc>
          <w:tcPr>
            <w:tcW w:w="2100" w:type="dxa"/>
            <w:gridSpan w:val="6"/>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52"/>
                <w:rFonts w:hint="eastAsia" w:ascii="宋体" w:hAnsi="宋体" w:eastAsia="宋体" w:cs="宋体"/>
                <w:sz w:val="24"/>
                <w:szCs w:val="24"/>
                <w:lang w:val="en-US" w:eastAsia="zh-CN" w:bidi="en-AU"/>
              </w:rPr>
              <w:t>0.0177</w:t>
            </w:r>
            <w:r>
              <w:rPr>
                <w:rStyle w:val="47"/>
                <w:lang w:val="en-US" w:eastAsia="zh-CN" w:bidi="en-AU"/>
              </w:rPr>
              <w:t>万人</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52"/>
                <w:rFonts w:hint="eastAsia" w:ascii="宋体" w:hAnsi="宋体" w:eastAsia="宋体" w:cs="宋体"/>
                <w:sz w:val="24"/>
                <w:szCs w:val="24"/>
                <w:lang w:val="en-US" w:eastAsia="zh-CN" w:bidi="en-AU"/>
              </w:rPr>
              <w:t>0.0177</w:t>
            </w:r>
            <w:r>
              <w:rPr>
                <w:rStyle w:val="47"/>
                <w:lang w:val="en-US" w:eastAsia="zh-CN" w:bidi="en-AU"/>
              </w:rPr>
              <w:t>万人</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nil"/>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地方病核心指标监测率</w:t>
            </w:r>
          </w:p>
        </w:tc>
        <w:tc>
          <w:tcPr>
            <w:tcW w:w="2100" w:type="dxa"/>
            <w:gridSpan w:val="6"/>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7"/>
                <w:lang w:val="en-US" w:eastAsia="zh-CN" w:bidi="en-AU"/>
              </w:rPr>
              <w:t>≥</w:t>
            </w:r>
            <w:r>
              <w:rPr>
                <w:rStyle w:val="52"/>
                <w:rFonts w:ascii="宋体" w:hAnsi="宋体" w:eastAsia="宋体" w:cs="宋体"/>
                <w:sz w:val="24"/>
                <w:szCs w:val="24"/>
                <w:lang w:val="en-US" w:eastAsia="zh-CN" w:bidi="en-AU"/>
              </w:rPr>
              <w:t>90%</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nil"/>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职业健康核心指标监测县区覆盖率</w:t>
            </w:r>
          </w:p>
        </w:tc>
        <w:tc>
          <w:tcPr>
            <w:tcW w:w="2100" w:type="dxa"/>
            <w:gridSpan w:val="6"/>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7"/>
                <w:lang w:val="en-US" w:eastAsia="zh-CN" w:bidi="en-AU"/>
              </w:rPr>
              <w:t>≥</w:t>
            </w:r>
            <w:r>
              <w:rPr>
                <w:rStyle w:val="52"/>
                <w:rFonts w:ascii="宋体" w:hAnsi="宋体" w:eastAsia="宋体" w:cs="宋体"/>
                <w:sz w:val="24"/>
                <w:szCs w:val="24"/>
                <w:lang w:val="en-US" w:eastAsia="zh-CN" w:bidi="en-AU"/>
              </w:rPr>
              <w:t>92%</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single" w:color="auto"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肺结核患者管理率</w:t>
            </w:r>
          </w:p>
        </w:tc>
        <w:tc>
          <w:tcPr>
            <w:tcW w:w="2100" w:type="dxa"/>
            <w:gridSpan w:val="6"/>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7"/>
                <w:lang w:val="en-US" w:eastAsia="zh-CN" w:bidi="en-AU"/>
              </w:rPr>
              <w:t>≥</w:t>
            </w:r>
            <w:r>
              <w:rPr>
                <w:rStyle w:val="52"/>
                <w:rFonts w:ascii="宋体" w:hAnsi="宋体" w:eastAsia="宋体" w:cs="宋体"/>
                <w:sz w:val="24"/>
                <w:szCs w:val="24"/>
                <w:lang w:val="en-US" w:eastAsia="zh-CN" w:bidi="en-AU"/>
              </w:rPr>
              <w:t>90%</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auto"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auto"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社区在册居家严重精神障碍患者健康管理率</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7"/>
                <w:lang w:val="en-US" w:eastAsia="zh-CN" w:bidi="en-AU"/>
              </w:rPr>
              <w:t>≥</w:t>
            </w:r>
            <w:r>
              <w:rPr>
                <w:rStyle w:val="52"/>
                <w:rFonts w:ascii="宋体" w:hAnsi="宋体" w:eastAsia="宋体" w:cs="宋体"/>
                <w:sz w:val="24"/>
                <w:szCs w:val="24"/>
                <w:lang w:val="en-US" w:eastAsia="zh-CN" w:bidi="en-AU"/>
              </w:rPr>
              <w:t>80%</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99.88%</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儿童中医药健康管理率</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7"/>
                <w:lang w:val="en-US" w:eastAsia="zh-CN" w:bidi="en-AU"/>
              </w:rPr>
              <w:t>≥</w:t>
            </w:r>
            <w:r>
              <w:rPr>
                <w:rStyle w:val="52"/>
                <w:rFonts w:ascii="宋体" w:hAnsi="宋体" w:eastAsia="宋体" w:cs="宋体"/>
                <w:sz w:val="24"/>
                <w:szCs w:val="24"/>
                <w:lang w:val="en-US" w:eastAsia="zh-CN" w:bidi="en-AU"/>
              </w:rPr>
              <w:t>65%</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80%</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老年人中医药健康管理率</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7"/>
                <w:lang w:val="en-US" w:eastAsia="zh-CN" w:bidi="en-AU"/>
              </w:rPr>
              <w:t>≥</w:t>
            </w:r>
            <w:r>
              <w:rPr>
                <w:rStyle w:val="52"/>
                <w:rFonts w:ascii="宋体" w:hAnsi="宋体" w:eastAsia="宋体" w:cs="宋体"/>
                <w:sz w:val="24"/>
                <w:szCs w:val="24"/>
                <w:lang w:val="en-US" w:eastAsia="zh-CN" w:bidi="en-AU"/>
              </w:rPr>
              <w:t>65%</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75%</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49"/>
                <w:lang w:val="en-US" w:eastAsia="zh-CN" w:bidi="en-AU"/>
              </w:rPr>
              <w:t>卫生监督协管各专业每年巡查（访）</w:t>
            </w:r>
            <w:r>
              <w:rPr>
                <w:rStyle w:val="52"/>
                <w:rFonts w:ascii="宋体" w:hAnsi="宋体" w:eastAsia="宋体" w:cs="宋体"/>
                <w:sz w:val="24"/>
                <w:szCs w:val="24"/>
                <w:lang w:val="en-US" w:eastAsia="zh-CN" w:bidi="en-AU"/>
              </w:rPr>
              <w:t>2</w:t>
            </w:r>
            <w:r>
              <w:rPr>
                <w:rStyle w:val="47"/>
                <w:lang w:val="en-US" w:eastAsia="zh-CN" w:bidi="en-AU"/>
              </w:rPr>
              <w:t>次完成率</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7"/>
                <w:lang w:val="en-US" w:eastAsia="zh-CN" w:bidi="en-AU"/>
              </w:rPr>
              <w:t>≥</w:t>
            </w:r>
            <w:r>
              <w:rPr>
                <w:rStyle w:val="52"/>
                <w:rFonts w:ascii="宋体" w:hAnsi="宋体" w:eastAsia="宋体" w:cs="宋体"/>
                <w:sz w:val="24"/>
                <w:szCs w:val="24"/>
                <w:lang w:val="en-US" w:eastAsia="zh-CN" w:bidi="en-AU"/>
              </w:rPr>
              <w:t>90%</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贫困地区儿童营养改善国家级贫困县覆盖率</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7"/>
                <w:lang w:val="en-US" w:eastAsia="zh-CN" w:bidi="en-AU"/>
              </w:rPr>
              <w:t>≥</w:t>
            </w:r>
            <w:r>
              <w:rPr>
                <w:rStyle w:val="52"/>
                <w:rFonts w:ascii="宋体" w:hAnsi="宋体" w:eastAsia="宋体" w:cs="宋体"/>
                <w:sz w:val="24"/>
                <w:szCs w:val="24"/>
                <w:lang w:val="en-US" w:eastAsia="zh-CN" w:bidi="en-AU"/>
              </w:rPr>
              <w:t>100%</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目标人群叶酸服用率</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7"/>
                <w:lang w:val="en-US" w:eastAsia="zh-CN" w:bidi="en-AU"/>
              </w:rPr>
              <w:t>≥</w:t>
            </w:r>
            <w:r>
              <w:rPr>
                <w:rStyle w:val="52"/>
                <w:rFonts w:ascii="宋体" w:hAnsi="宋体" w:eastAsia="宋体" w:cs="宋体"/>
                <w:sz w:val="24"/>
                <w:szCs w:val="24"/>
                <w:lang w:val="en-US" w:eastAsia="zh-CN" w:bidi="en-AU"/>
              </w:rPr>
              <w:t>90%</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90%</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孕前优生健康检查目标人群覆盖率</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7"/>
                <w:lang w:val="en-US" w:eastAsia="zh-CN" w:bidi="en-AU"/>
              </w:rPr>
              <w:t>≥</w:t>
            </w:r>
            <w:r>
              <w:rPr>
                <w:rStyle w:val="52"/>
                <w:rFonts w:ascii="宋体" w:hAnsi="宋体" w:eastAsia="宋体" w:cs="宋体"/>
                <w:sz w:val="24"/>
                <w:szCs w:val="24"/>
                <w:lang w:val="en-US" w:eastAsia="zh-CN" w:bidi="en-AU"/>
              </w:rPr>
              <w:t>80%</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新生儿听力筛查率</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7"/>
                <w:lang w:val="en-US" w:eastAsia="zh-CN" w:bidi="en-AU"/>
              </w:rPr>
              <w:t>≥</w:t>
            </w:r>
            <w:r>
              <w:rPr>
                <w:rStyle w:val="52"/>
                <w:rFonts w:ascii="宋体" w:hAnsi="宋体" w:eastAsia="宋体" w:cs="宋体"/>
                <w:sz w:val="24"/>
                <w:szCs w:val="24"/>
                <w:lang w:val="en-US" w:eastAsia="zh-CN" w:bidi="en-AU"/>
              </w:rPr>
              <w:t>85%</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99.91%</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“两癌”检查项目目标任务完成率</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49"/>
                <w:lang w:val="en-US" w:eastAsia="zh-CN" w:bidi="en-AU"/>
              </w:rPr>
              <w:t>65</w:t>
            </w:r>
            <w:r>
              <w:rPr>
                <w:rStyle w:val="47"/>
                <w:lang w:val="en-US" w:eastAsia="zh-CN" w:bidi="en-AU"/>
              </w:rPr>
              <w:t>岁以上失能老年人健康服务率</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≥18%</w:t>
            </w:r>
          </w:p>
        </w:tc>
        <w:tc>
          <w:tcPr>
            <w:tcW w:w="943" w:type="dxa"/>
            <w:gridSpan w:val="4"/>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45%</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居民规范化电子健康档案覆盖率</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≥60%</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改造尘肺病康复站</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0㎡</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0㎡</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培养康复医务人员</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1人</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1人</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完成尘肺病患者档案，采购设施设备</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11份</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11份</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农村妇女免费“两癌”检查乳腺癌项目人数</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≥300人</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9"/>
                <w:rFonts w:hint="eastAsia"/>
                <w:lang w:val="en-US" w:eastAsia="zh-CN" w:bidi="en-AU"/>
              </w:rPr>
              <w:t>333</w:t>
            </w:r>
            <w:r>
              <w:rPr>
                <w:rStyle w:val="47"/>
                <w:lang w:val="en-US" w:eastAsia="zh-CN" w:bidi="en-AU"/>
              </w:rPr>
              <w:t>人</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农村妇女免费“两癌”检查宫颈癌项目人数</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≥300人</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325人</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计划年度符合生育政策、计划怀孕的城乡夫妇（包括流动人口）参检对数</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≥80人</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90人</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新生儿筛查人数</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≧20人</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25人</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质量指标</w:t>
            </w: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按照四川省、广元市第二批尘肺病康复站建设标准，规范建好“七个一”。</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达标</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达标</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创新中医药适宜技术参与尘肺病康复</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有机结合</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有机结合</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高血压患者基层规范管理服务率</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7"/>
                <w:lang w:val="en-US" w:eastAsia="zh-CN" w:bidi="en-AU"/>
              </w:rPr>
              <w:t>≥</w:t>
            </w:r>
            <w:r>
              <w:rPr>
                <w:rStyle w:val="52"/>
                <w:rFonts w:ascii="宋体" w:hAnsi="宋体" w:eastAsia="宋体" w:cs="宋体"/>
                <w:sz w:val="24"/>
                <w:szCs w:val="24"/>
                <w:lang w:val="en-US" w:eastAsia="zh-CN" w:bidi="en-AU"/>
              </w:rPr>
              <w:t>60%</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85%</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2型糖尿病患者基层规范管理服务率</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7"/>
                <w:lang w:val="en-US" w:eastAsia="zh-CN" w:bidi="en-AU"/>
              </w:rPr>
              <w:t>≥</w:t>
            </w:r>
            <w:r>
              <w:rPr>
                <w:rStyle w:val="52"/>
                <w:rFonts w:ascii="宋体" w:hAnsi="宋体" w:eastAsia="宋体" w:cs="宋体"/>
                <w:sz w:val="24"/>
                <w:szCs w:val="24"/>
                <w:lang w:val="en-US" w:eastAsia="zh-CN" w:bidi="en-AU"/>
              </w:rPr>
              <w:t>60%</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85%</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65岁及以上老年人城乡社区规范健康管理服务率</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7"/>
                <w:lang w:val="en-US" w:eastAsia="zh-CN" w:bidi="en-AU"/>
              </w:rPr>
              <w:t>≥</w:t>
            </w:r>
            <w:r>
              <w:rPr>
                <w:rStyle w:val="52"/>
                <w:rFonts w:ascii="宋体" w:hAnsi="宋体" w:eastAsia="宋体" w:cs="宋体"/>
                <w:sz w:val="24"/>
                <w:szCs w:val="24"/>
                <w:lang w:val="en-US" w:eastAsia="zh-CN" w:bidi="en-AU"/>
              </w:rPr>
              <w:t>60%</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80%</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传染病和突发公共卫生事件报告率</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7"/>
                <w:lang w:val="en-US" w:eastAsia="zh-CN" w:bidi="en-AU"/>
              </w:rPr>
              <w:t>≥</w:t>
            </w:r>
            <w:r>
              <w:rPr>
                <w:rStyle w:val="52"/>
                <w:rFonts w:ascii="宋体" w:hAnsi="宋体" w:eastAsia="宋体" w:cs="宋体"/>
                <w:sz w:val="24"/>
                <w:szCs w:val="24"/>
                <w:lang w:val="en-US" w:eastAsia="zh-CN" w:bidi="en-AU"/>
              </w:rPr>
              <w:t>95%</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严重精神障碍患者规范管理率</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7"/>
                <w:lang w:val="en-US" w:eastAsia="zh-CN" w:bidi="en-AU"/>
              </w:rPr>
              <w:t>≥</w:t>
            </w:r>
            <w:r>
              <w:rPr>
                <w:rStyle w:val="52"/>
                <w:rFonts w:ascii="宋体" w:hAnsi="宋体" w:eastAsia="宋体" w:cs="宋体"/>
                <w:sz w:val="24"/>
                <w:szCs w:val="24"/>
                <w:lang w:val="en-US" w:eastAsia="zh-CN" w:bidi="en-AU"/>
              </w:rPr>
              <w:t>90%</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99.61%</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农村妇女“两癌”筛查任务完成率</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117.58%</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出生缺陷发生风险</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逐步降低</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逐步降低</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新生儿听力筛查率</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≥85%</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新生儿两种遗传代谢病（ PKU和CH)筛查率</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≥95%</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时效指标</w:t>
            </w: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完成周期</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1年</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1年</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成本指标</w:t>
            </w: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“两癌”筛查项目标准：宫颈癌检查补助标准</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49元/人</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49元/人</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“两癌”筛查项目标准：乳腺癌检查补助标准</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79元/人</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79元/人</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新生儿筛查项目标准（共计120元/人）</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两种遗传代谢病筛查50元/人；听力筛查70元/人</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其中两种遗传代谢病筛查50元/人；听力筛查70元/人</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每对参检夫妇结算标准</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240元/对</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240元/对</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总成本</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≦1018.867万元</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1018.867万元</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指</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标</w:t>
            </w:r>
          </w:p>
        </w:tc>
        <w:tc>
          <w:tcPr>
            <w:tcW w:w="841" w:type="dxa"/>
            <w:gridSpan w:val="5"/>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经济效益</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指标</w:t>
            </w: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城乡居民公共卫生服务差距</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不断缩小</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完成</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居民健康素养水平</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不断提高</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完成</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可持续影响指标</w:t>
            </w: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指标2:城乡计划怀孕夫妇参加免费孕前优生健康检查的主动性和自觉性</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逐步提高</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逐步提高</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84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基本公共卫生服务水平</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不断提高</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完成</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6" w:hRule="atLeast"/>
        </w:trPr>
        <w:tc>
          <w:tcPr>
            <w:tcW w:w="6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满意度指标</w:t>
            </w:r>
          </w:p>
        </w:tc>
        <w:tc>
          <w:tcPr>
            <w:tcW w:w="841"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服务对象</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满意度指标</w:t>
            </w:r>
          </w:p>
        </w:tc>
        <w:tc>
          <w:tcPr>
            <w:tcW w:w="2492"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服务对象满意度</w:t>
            </w:r>
          </w:p>
        </w:tc>
        <w:tc>
          <w:tcPr>
            <w:tcW w:w="210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不断提高</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完成</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bookmarkEnd w:id="153"/>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600" w:hRule="atLeast"/>
        </w:trPr>
        <w:tc>
          <w:tcPr>
            <w:tcW w:w="8335" w:type="dxa"/>
            <w:gridSpan w:val="21"/>
            <w:tcBorders>
              <w:top w:val="nil"/>
              <w:left w:val="nil"/>
              <w:bottom w:val="nil"/>
              <w:right w:val="nil"/>
            </w:tcBorders>
            <w:shd w:val="clear" w:color="auto" w:fill="auto"/>
            <w:noWrap w:val="0"/>
            <w:vAlign w:val="center"/>
          </w:tcPr>
          <w:p>
            <w:pPr>
              <w:keepNext w:val="0"/>
              <w:keepLines w:val="0"/>
              <w:widowControl/>
              <w:suppressLineNumbers w:val="0"/>
              <w:jc w:val="center"/>
              <w:textAlignment w:val="center"/>
              <w:rPr>
                <w:rFonts w:ascii="方正小标宋简体" w:hAnsi="方正小标宋简体" w:eastAsia="方正小标宋简体" w:cs="方正小标宋简体"/>
                <w:b/>
                <w:bCs/>
                <w:i w:val="0"/>
                <w:iCs w:val="0"/>
                <w:color w:val="000000"/>
                <w:sz w:val="32"/>
                <w:szCs w:val="32"/>
                <w:u w:val="none"/>
              </w:rPr>
            </w:pPr>
            <w:r>
              <w:rPr>
                <w:rFonts w:hint="default" w:ascii="方正小标宋简体" w:hAnsi="方正小标宋简体" w:eastAsia="方正小标宋简体" w:cs="方正小标宋简体"/>
                <w:b/>
                <w:bCs/>
                <w:i w:val="0"/>
                <w:iCs w:val="0"/>
                <w:color w:val="000000"/>
                <w:kern w:val="0"/>
                <w:sz w:val="32"/>
                <w:szCs w:val="32"/>
                <w:u w:val="none"/>
                <w:lang w:val="en-US" w:eastAsia="zh-CN" w:bidi="en-AU"/>
              </w:rPr>
              <w:t>基本药物制度中央补助转移支付项目绩效目标自评表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20" w:hRule="atLeast"/>
        </w:trPr>
        <w:tc>
          <w:tcPr>
            <w:tcW w:w="8335" w:type="dxa"/>
            <w:gridSpan w:val="21"/>
            <w:tcBorders>
              <w:top w:val="nil"/>
              <w:left w:val="nil"/>
              <w:bottom w:val="single" w:color="000000" w:sz="4" w:space="0"/>
              <w:right w:val="nil"/>
            </w:tcBorders>
            <w:shd w:val="clear" w:color="auto" w:fill="auto"/>
            <w:noWrap w:val="0"/>
            <w:vAlign w:val="top"/>
          </w:tcPr>
          <w:p>
            <w:pPr>
              <w:keepNext w:val="0"/>
              <w:keepLines w:val="0"/>
              <w:widowControl/>
              <w:suppressLineNumbers w:val="0"/>
              <w:jc w:val="center"/>
              <w:textAlignment w:val="top"/>
              <w:rPr>
                <w:rFonts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en-AU"/>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552" w:hRule="atLeast"/>
        </w:trPr>
        <w:tc>
          <w:tcPr>
            <w:tcW w:w="1612"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转移支付（项目）名称</w:t>
            </w:r>
          </w:p>
        </w:tc>
        <w:tc>
          <w:tcPr>
            <w:tcW w:w="6723" w:type="dxa"/>
            <w:gridSpan w:val="1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基本药物制度中央补助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23" w:hRule="atLeast"/>
        </w:trPr>
        <w:tc>
          <w:tcPr>
            <w:tcW w:w="1612"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中央主管部门</w:t>
            </w:r>
          </w:p>
        </w:tc>
        <w:tc>
          <w:tcPr>
            <w:tcW w:w="6723" w:type="dxa"/>
            <w:gridSpan w:val="1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国家卫生健康委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540" w:hRule="atLeast"/>
        </w:trPr>
        <w:tc>
          <w:tcPr>
            <w:tcW w:w="1612"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地方主管部门</w:t>
            </w:r>
          </w:p>
        </w:tc>
        <w:tc>
          <w:tcPr>
            <w:tcW w:w="2823"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广元市昭化区卫生健康局</w:t>
            </w:r>
          </w:p>
        </w:tc>
        <w:tc>
          <w:tcPr>
            <w:tcW w:w="1736"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资金使用单位</w:t>
            </w:r>
          </w:p>
        </w:tc>
        <w:tc>
          <w:tcPr>
            <w:tcW w:w="2164"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红岩镇卫生院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520" w:hRule="atLeast"/>
        </w:trPr>
        <w:tc>
          <w:tcPr>
            <w:tcW w:w="1612" w:type="dxa"/>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资金投入情况</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（万元）</w:t>
            </w:r>
          </w:p>
        </w:tc>
        <w:tc>
          <w:tcPr>
            <w:tcW w:w="1956"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20"/>
                <w:szCs w:val="20"/>
                <w:u w:val="none"/>
              </w:rPr>
            </w:pP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全年预算数（A）</w:t>
            </w:r>
          </w:p>
        </w:tc>
        <w:tc>
          <w:tcPr>
            <w:tcW w:w="2593"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全年执行数（B）</w:t>
            </w:r>
          </w:p>
        </w:tc>
        <w:tc>
          <w:tcPr>
            <w:tcW w:w="1307"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预算执行率（B/A×100%)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23" w:hRule="atLeast"/>
        </w:trPr>
        <w:tc>
          <w:tcPr>
            <w:tcW w:w="161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956"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年度资金总额：</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21.27 </w:t>
            </w:r>
          </w:p>
        </w:tc>
        <w:tc>
          <w:tcPr>
            <w:tcW w:w="2593"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21.27 </w:t>
            </w:r>
          </w:p>
        </w:tc>
        <w:tc>
          <w:tcPr>
            <w:tcW w:w="1307"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23" w:hRule="atLeast"/>
        </w:trPr>
        <w:tc>
          <w:tcPr>
            <w:tcW w:w="161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956"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 其中：中央财政资金</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12.74 </w:t>
            </w:r>
          </w:p>
        </w:tc>
        <w:tc>
          <w:tcPr>
            <w:tcW w:w="2593"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12.74 </w:t>
            </w:r>
          </w:p>
        </w:tc>
        <w:tc>
          <w:tcPr>
            <w:tcW w:w="1307"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23" w:hRule="atLeast"/>
        </w:trPr>
        <w:tc>
          <w:tcPr>
            <w:tcW w:w="161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956"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       地方资金</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8.53 </w:t>
            </w:r>
          </w:p>
        </w:tc>
        <w:tc>
          <w:tcPr>
            <w:tcW w:w="2593"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 xml:space="preserve">8.53 </w:t>
            </w:r>
          </w:p>
        </w:tc>
        <w:tc>
          <w:tcPr>
            <w:tcW w:w="1307"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23" w:hRule="atLeast"/>
        </w:trPr>
        <w:tc>
          <w:tcPr>
            <w:tcW w:w="161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956"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en-AU"/>
              </w:rPr>
              <w:t xml:space="preserve">      </w:t>
            </w:r>
            <w:r>
              <w:rPr>
                <w:rFonts w:hint="eastAsia" w:ascii="宋体" w:hAnsi="宋体" w:eastAsia="宋体" w:cs="宋体"/>
                <w:i w:val="0"/>
                <w:iCs w:val="0"/>
                <w:color w:val="000000"/>
                <w:kern w:val="0"/>
                <w:sz w:val="20"/>
                <w:szCs w:val="20"/>
                <w:u w:val="none"/>
                <w:lang w:val="en-US" w:eastAsia="zh-CN" w:bidi="en-AU"/>
              </w:rPr>
              <w:t xml:space="preserve">  其他资金</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593"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307"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640" w:hRule="atLeast"/>
        </w:trPr>
        <w:tc>
          <w:tcPr>
            <w:tcW w:w="1612" w:type="dxa"/>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资金管理情况</w:t>
            </w:r>
          </w:p>
        </w:tc>
        <w:tc>
          <w:tcPr>
            <w:tcW w:w="1956"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20"/>
                <w:szCs w:val="20"/>
                <w:u w:val="none"/>
              </w:rPr>
            </w:pPr>
          </w:p>
        </w:tc>
        <w:tc>
          <w:tcPr>
            <w:tcW w:w="3460" w:type="dxa"/>
            <w:gridSpan w:val="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情况说明</w:t>
            </w:r>
          </w:p>
        </w:tc>
        <w:tc>
          <w:tcPr>
            <w:tcW w:w="1307"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760" w:hRule="atLeast"/>
        </w:trPr>
        <w:tc>
          <w:tcPr>
            <w:tcW w:w="161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956"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分配科学性</w:t>
            </w:r>
          </w:p>
        </w:tc>
        <w:tc>
          <w:tcPr>
            <w:tcW w:w="3460" w:type="dxa"/>
            <w:gridSpan w:val="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严格按照转移支付管理制度以及资金管理办法规定的范围和标准分配资金。</w:t>
            </w:r>
          </w:p>
        </w:tc>
        <w:tc>
          <w:tcPr>
            <w:tcW w:w="1307"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760" w:hRule="atLeast"/>
        </w:trPr>
        <w:tc>
          <w:tcPr>
            <w:tcW w:w="161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956"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下达及时性</w:t>
            </w:r>
          </w:p>
        </w:tc>
        <w:tc>
          <w:tcPr>
            <w:tcW w:w="3460" w:type="dxa"/>
            <w:gridSpan w:val="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严格按照预算法及其实施条例、转移支付管理制度规定以及资金管理办法规定的时限要求分解下达。</w:t>
            </w:r>
          </w:p>
        </w:tc>
        <w:tc>
          <w:tcPr>
            <w:tcW w:w="1307"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760" w:hRule="atLeast"/>
        </w:trPr>
        <w:tc>
          <w:tcPr>
            <w:tcW w:w="161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1956"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拨付合规性</w:t>
            </w:r>
          </w:p>
        </w:tc>
        <w:tc>
          <w:tcPr>
            <w:tcW w:w="3460" w:type="dxa"/>
            <w:gridSpan w:val="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严格按照国库集中支付制度有关规定支付资金，未出现违规将资金从国库转入财政专户或支付到预算单位实有资金账户等问题。</w:t>
            </w:r>
          </w:p>
        </w:tc>
        <w:tc>
          <w:tcPr>
            <w:tcW w:w="1307"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760" w:hRule="atLeast"/>
        </w:trPr>
        <w:tc>
          <w:tcPr>
            <w:tcW w:w="161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003" w:type="dxa"/>
            <w:gridSpan w:val="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使用规范性</w:t>
            </w:r>
          </w:p>
        </w:tc>
        <w:tc>
          <w:tcPr>
            <w:tcW w:w="2413"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严格按照下达预算的科目和项目执行，未出现截留、挤占、挪用或擅自调整等问题。</w:t>
            </w:r>
          </w:p>
        </w:tc>
        <w:tc>
          <w:tcPr>
            <w:tcW w:w="1307"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760" w:hRule="atLeast"/>
        </w:trPr>
        <w:tc>
          <w:tcPr>
            <w:tcW w:w="161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003" w:type="dxa"/>
            <w:gridSpan w:val="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执行准确性</w:t>
            </w:r>
          </w:p>
        </w:tc>
        <w:tc>
          <w:tcPr>
            <w:tcW w:w="2413"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按照上级下达和本级预算安排的金额执行，不存在执行数偏离预算数较多的问题。</w:t>
            </w:r>
          </w:p>
        </w:tc>
        <w:tc>
          <w:tcPr>
            <w:tcW w:w="1307"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760" w:hRule="atLeast"/>
        </w:trPr>
        <w:tc>
          <w:tcPr>
            <w:tcW w:w="161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003" w:type="dxa"/>
            <w:gridSpan w:val="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预算绩效管理情况</w:t>
            </w:r>
          </w:p>
        </w:tc>
        <w:tc>
          <w:tcPr>
            <w:tcW w:w="2413"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在细化下达预算时同步下达绩效目标，将有关资金纳入本级预算或对下转移支付绩效管理，开展绩效监控和绩效评价。</w:t>
            </w:r>
          </w:p>
        </w:tc>
        <w:tc>
          <w:tcPr>
            <w:tcW w:w="1307"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760" w:hRule="atLeast"/>
        </w:trPr>
        <w:tc>
          <w:tcPr>
            <w:tcW w:w="161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003" w:type="dxa"/>
            <w:gridSpan w:val="8"/>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支出责任履行情况</w:t>
            </w:r>
          </w:p>
        </w:tc>
        <w:tc>
          <w:tcPr>
            <w:tcW w:w="2413"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对共同财政事权转移支付，按照财政事权和支出责任划分有关规定，足额安排资金履行本级支出责任。</w:t>
            </w:r>
          </w:p>
        </w:tc>
        <w:tc>
          <w:tcPr>
            <w:tcW w:w="1307"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40" w:hRule="atLeast"/>
        </w:trPr>
        <w:tc>
          <w:tcPr>
            <w:tcW w:w="642" w:type="dxa"/>
            <w:vMerge w:val="restart"/>
            <w:tcBorders>
              <w:top w:val="single" w:color="auto"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总体目标完成情况</w:t>
            </w:r>
          </w:p>
        </w:tc>
        <w:tc>
          <w:tcPr>
            <w:tcW w:w="3973" w:type="dxa"/>
            <w:gridSpan w:val="11"/>
            <w:tcBorders>
              <w:top w:val="single" w:color="auto" w:sz="4" w:space="0"/>
              <w:left w:val="single" w:color="000000" w:sz="4" w:space="0"/>
              <w:bottom w:val="single" w:color="000000" w:sz="4" w:space="0"/>
              <w:right w:val="single" w:color="auto"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总体目标</w:t>
            </w:r>
          </w:p>
        </w:tc>
        <w:tc>
          <w:tcPr>
            <w:tcW w:w="3720" w:type="dxa"/>
            <w:gridSpan w:val="9"/>
            <w:tcBorders>
              <w:top w:val="nil"/>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1900" w:hRule="atLeast"/>
        </w:trPr>
        <w:tc>
          <w:tcPr>
            <w:tcW w:w="642" w:type="dxa"/>
            <w:vMerge w:val="continue"/>
            <w:tcBorders>
              <w:top w:val="nil"/>
              <w:left w:val="single" w:color="auto"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3973" w:type="dxa"/>
            <w:gridSpan w:val="11"/>
            <w:tcBorders>
              <w:top w:val="single" w:color="000000" w:sz="4" w:space="0"/>
              <w:left w:val="single" w:color="000000" w:sz="4" w:space="0"/>
              <w:bottom w:val="single" w:color="000000"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目标1：保证所有政府办基层医疗卫生机构实施国家基本药物制度，推进综合改革顺利进行；  目标2：对实施国家基本药物制度的村卫生室给予补助，支持国家基本药物制度在村卫生室顺利实施；</w:t>
            </w:r>
          </w:p>
        </w:tc>
        <w:tc>
          <w:tcPr>
            <w:tcW w:w="3720" w:type="dxa"/>
            <w:gridSpan w:val="9"/>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全镇11个村卫生站、11个村医全面实施国家基本药物制度，确保基本药物制度的实施，解决了老百姓看病贵的问题，稳定了乡村医生的收入。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522" w:hRule="atLeast"/>
        </w:trPr>
        <w:tc>
          <w:tcPr>
            <w:tcW w:w="642" w:type="dxa"/>
            <w:vMerge w:val="restart"/>
            <w:tcBorders>
              <w:top w:val="single" w:color="auto" w:sz="4" w:space="0"/>
              <w:left w:val="single" w:color="auto" w:sz="4" w:space="0"/>
              <w:bottom w:val="single" w:color="auto" w:sz="4" w:space="0"/>
              <w:right w:val="single" w:color="auto" w:sz="4" w:space="0"/>
            </w:tcBorders>
            <w:shd w:val="clear" w:color="auto" w:fill="auto"/>
            <w:noWrap w:val="0"/>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绩效指标</w:t>
            </w:r>
          </w:p>
        </w:tc>
        <w:tc>
          <w:tcPr>
            <w:tcW w:w="734"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一级</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指标</w:t>
            </w:r>
          </w:p>
        </w:tc>
        <w:tc>
          <w:tcPr>
            <w:tcW w:w="416" w:type="dxa"/>
            <w:gridSpan w:val="2"/>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二级指标</w:t>
            </w:r>
          </w:p>
        </w:tc>
        <w:tc>
          <w:tcPr>
            <w:tcW w:w="2823" w:type="dxa"/>
            <w:gridSpan w:val="7"/>
            <w:tcBorders>
              <w:top w:val="single" w:color="000000" w:sz="4" w:space="0"/>
              <w:left w:val="single" w:color="000000" w:sz="4" w:space="0"/>
              <w:bottom w:val="single" w:color="000000" w:sz="4" w:space="0"/>
              <w:right w:val="single" w:color="auto"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三级指标</w:t>
            </w:r>
          </w:p>
        </w:tc>
        <w:tc>
          <w:tcPr>
            <w:tcW w:w="1736" w:type="dxa"/>
            <w:gridSpan w:val="3"/>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指标值</w:t>
            </w:r>
          </w:p>
        </w:tc>
        <w:tc>
          <w:tcPr>
            <w:tcW w:w="85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全年实际完成值</w:t>
            </w:r>
          </w:p>
        </w:tc>
        <w:tc>
          <w:tcPr>
            <w:tcW w:w="112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60" w:hRule="atLeast"/>
        </w:trPr>
        <w:tc>
          <w:tcPr>
            <w:tcW w:w="642" w:type="dxa"/>
            <w:vMerge w:val="continue"/>
            <w:tcBorders>
              <w:top w:val="single" w:color="auto" w:sz="4" w:space="0"/>
              <w:left w:val="single" w:color="auto" w:sz="4" w:space="0"/>
              <w:bottom w:val="single" w:color="auto" w:sz="4" w:space="0"/>
              <w:right w:val="single" w:color="auto"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734"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指</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标</w:t>
            </w:r>
          </w:p>
        </w:tc>
        <w:tc>
          <w:tcPr>
            <w:tcW w:w="416" w:type="dxa"/>
            <w:gridSpan w:val="2"/>
            <w:vMerge w:val="restart"/>
            <w:tcBorders>
              <w:top w:val="single" w:color="000000" w:sz="4" w:space="0"/>
              <w:left w:val="single" w:color="auto" w:sz="4" w:space="0"/>
              <w:bottom w:val="nil"/>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数量指标</w:t>
            </w:r>
          </w:p>
        </w:tc>
        <w:tc>
          <w:tcPr>
            <w:tcW w:w="2823" w:type="dxa"/>
            <w:gridSpan w:val="7"/>
            <w:tcBorders>
              <w:top w:val="single" w:color="000000" w:sz="4" w:space="0"/>
              <w:left w:val="single" w:color="000000" w:sz="4" w:space="0"/>
              <w:bottom w:val="single" w:color="000000"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实施基本药物制度的政府办基层医疗卫生机构数量</w:t>
            </w:r>
          </w:p>
        </w:tc>
        <w:tc>
          <w:tcPr>
            <w:tcW w:w="1736" w:type="dxa"/>
            <w:gridSpan w:val="3"/>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11个</w:t>
            </w:r>
          </w:p>
        </w:tc>
        <w:tc>
          <w:tcPr>
            <w:tcW w:w="85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11个</w:t>
            </w:r>
          </w:p>
        </w:tc>
        <w:tc>
          <w:tcPr>
            <w:tcW w:w="112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60" w:hRule="atLeast"/>
        </w:trPr>
        <w:tc>
          <w:tcPr>
            <w:tcW w:w="642" w:type="dxa"/>
            <w:vMerge w:val="continue"/>
            <w:tcBorders>
              <w:top w:val="single" w:color="auto" w:sz="4" w:space="0"/>
              <w:left w:val="single" w:color="auto" w:sz="4" w:space="0"/>
              <w:bottom w:val="single" w:color="auto"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734" w:type="dxa"/>
            <w:gridSpan w:val="2"/>
            <w:vMerge w:val="continue"/>
            <w:tcBorders>
              <w:top w:val="single" w:color="auto" w:sz="4" w:space="0"/>
              <w:left w:val="single" w:color="000000"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416" w:type="dxa"/>
            <w:gridSpan w:val="2"/>
            <w:vMerge w:val="continue"/>
            <w:tcBorders>
              <w:top w:val="single" w:color="000000" w:sz="4" w:space="0"/>
              <w:left w:val="single" w:color="auto" w:sz="4" w:space="0"/>
              <w:bottom w:val="nil"/>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823" w:type="dxa"/>
            <w:gridSpan w:val="7"/>
            <w:tcBorders>
              <w:top w:val="single" w:color="000000" w:sz="4" w:space="0"/>
              <w:left w:val="single" w:color="000000" w:sz="4" w:space="0"/>
              <w:bottom w:val="single" w:color="000000"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实施基本药物制度的村卫生室占比</w:t>
            </w:r>
          </w:p>
        </w:tc>
        <w:tc>
          <w:tcPr>
            <w:tcW w:w="1736" w:type="dxa"/>
            <w:gridSpan w:val="3"/>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85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100%</w:t>
            </w:r>
          </w:p>
        </w:tc>
        <w:tc>
          <w:tcPr>
            <w:tcW w:w="1127"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80" w:hRule="atLeast"/>
        </w:trPr>
        <w:tc>
          <w:tcPr>
            <w:tcW w:w="642" w:type="dxa"/>
            <w:vMerge w:val="continue"/>
            <w:tcBorders>
              <w:top w:val="single" w:color="auto" w:sz="4" w:space="0"/>
              <w:left w:val="single" w:color="auto" w:sz="4" w:space="0"/>
              <w:bottom w:val="single" w:color="auto"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734" w:type="dxa"/>
            <w:gridSpan w:val="2"/>
            <w:vMerge w:val="continue"/>
            <w:tcBorders>
              <w:top w:val="single" w:color="auto" w:sz="4" w:space="0"/>
              <w:left w:val="single" w:color="000000"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416" w:type="dxa"/>
            <w:gridSpan w:val="2"/>
            <w:vMerge w:val="restart"/>
            <w:tcBorders>
              <w:top w:val="single" w:color="000000" w:sz="4" w:space="0"/>
              <w:left w:val="single" w:color="auto" w:sz="4" w:space="0"/>
              <w:bottom w:val="nil"/>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质量指标</w:t>
            </w:r>
          </w:p>
        </w:tc>
        <w:tc>
          <w:tcPr>
            <w:tcW w:w="2823" w:type="dxa"/>
            <w:gridSpan w:val="7"/>
            <w:tcBorders>
              <w:top w:val="single" w:color="000000" w:sz="4" w:space="0"/>
              <w:left w:val="single" w:color="000000" w:sz="4" w:space="0"/>
              <w:bottom w:val="single" w:color="000000"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基层医疗卫生机构“优质服务基层行”活动开展评价机构数比例</w:t>
            </w:r>
          </w:p>
        </w:tc>
        <w:tc>
          <w:tcPr>
            <w:tcW w:w="1899" w:type="dxa"/>
            <w:gridSpan w:val="4"/>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3</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3.00%</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680" w:hRule="atLeast"/>
        </w:trPr>
        <w:tc>
          <w:tcPr>
            <w:tcW w:w="642" w:type="dxa"/>
            <w:vMerge w:val="continue"/>
            <w:tcBorders>
              <w:top w:val="single" w:color="auto" w:sz="4" w:space="0"/>
              <w:left w:val="single" w:color="auto" w:sz="4" w:space="0"/>
              <w:bottom w:val="single" w:color="auto"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734" w:type="dxa"/>
            <w:gridSpan w:val="2"/>
            <w:vMerge w:val="continue"/>
            <w:tcBorders>
              <w:top w:val="single" w:color="auto" w:sz="4" w:space="0"/>
              <w:left w:val="single" w:color="000000"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416" w:type="dxa"/>
            <w:gridSpan w:val="2"/>
            <w:vMerge w:val="continue"/>
            <w:tcBorders>
              <w:top w:val="single" w:color="000000" w:sz="4" w:space="0"/>
              <w:left w:val="single" w:color="auto" w:sz="4" w:space="0"/>
              <w:bottom w:val="single" w:color="auto"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823" w:type="dxa"/>
            <w:gridSpan w:val="7"/>
            <w:tcBorders>
              <w:top w:val="single" w:color="000000" w:sz="4" w:space="0"/>
              <w:left w:val="single" w:color="000000"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基层医疗卫生机构“优质服务基层行”活动达到基本标准及以上的比例</w:t>
            </w:r>
          </w:p>
        </w:tc>
        <w:tc>
          <w:tcPr>
            <w:tcW w:w="1899" w:type="dxa"/>
            <w:gridSpan w:val="4"/>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4"/>
                <w:szCs w:val="24"/>
                <w:u w:val="none"/>
                <w:lang w:val="en-US" w:eastAsia="zh-CN" w:bidi="en-AU"/>
              </w:rPr>
              <w:t>≧</w:t>
            </w:r>
            <w:r>
              <w:rPr>
                <w:rFonts w:hint="eastAsia" w:ascii="宋体" w:hAnsi="宋体" w:eastAsia="宋体" w:cs="宋体"/>
                <w:i w:val="0"/>
                <w:iCs w:val="0"/>
                <w:color w:val="000000"/>
                <w:kern w:val="0"/>
                <w:sz w:val="20"/>
                <w:szCs w:val="20"/>
                <w:u w:val="none"/>
                <w:lang w:val="en-US" w:eastAsia="zh-CN" w:bidi="en-AU"/>
              </w:rPr>
              <w:t>90%</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90.90%</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642" w:type="dxa"/>
            <w:vMerge w:val="continue"/>
            <w:tcBorders>
              <w:top w:val="single" w:color="auto" w:sz="4" w:space="0"/>
              <w:left w:val="single" w:color="auto" w:sz="4" w:space="0"/>
              <w:bottom w:val="single" w:color="auto"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734" w:type="dxa"/>
            <w:gridSpan w:val="2"/>
            <w:vMerge w:val="continue"/>
            <w:tcBorders>
              <w:top w:val="single" w:color="auto" w:sz="4" w:space="0"/>
              <w:left w:val="single" w:color="000000"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416" w:type="dxa"/>
            <w:gridSpan w:val="2"/>
            <w:tcBorders>
              <w:top w:val="single" w:color="auto"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时效指标</w:t>
            </w:r>
          </w:p>
        </w:tc>
        <w:tc>
          <w:tcPr>
            <w:tcW w:w="2823" w:type="dxa"/>
            <w:gridSpan w:val="7"/>
            <w:tcBorders>
              <w:top w:val="single" w:color="auto"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2022年12月以前完成项目实施</w:t>
            </w:r>
          </w:p>
        </w:tc>
        <w:tc>
          <w:tcPr>
            <w:tcW w:w="1899"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4"/>
                <w:szCs w:val="24"/>
                <w:u w:val="none"/>
                <w:lang w:val="en-US" w:eastAsia="zh-CN" w:bidi="en-AU"/>
              </w:rPr>
              <w:t>≦</w:t>
            </w:r>
            <w:r>
              <w:rPr>
                <w:rFonts w:hint="eastAsia" w:ascii="宋体" w:hAnsi="宋体" w:eastAsia="宋体" w:cs="宋体"/>
                <w:i w:val="0"/>
                <w:iCs w:val="0"/>
                <w:color w:val="000000"/>
                <w:kern w:val="0"/>
                <w:sz w:val="20"/>
                <w:szCs w:val="20"/>
                <w:u w:val="none"/>
                <w:lang w:val="en-US" w:eastAsia="zh-CN" w:bidi="en-AU"/>
              </w:rPr>
              <w:t>12个月</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12个月</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980" w:hRule="atLeast"/>
        </w:trPr>
        <w:tc>
          <w:tcPr>
            <w:tcW w:w="642" w:type="dxa"/>
            <w:vMerge w:val="continue"/>
            <w:tcBorders>
              <w:top w:val="single" w:color="auto" w:sz="4" w:space="0"/>
              <w:left w:val="single" w:color="auto" w:sz="4" w:space="0"/>
              <w:bottom w:val="single" w:color="auto"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734" w:type="dxa"/>
            <w:gridSpan w:val="2"/>
            <w:vMerge w:val="continue"/>
            <w:tcBorders>
              <w:top w:val="single" w:color="auto" w:sz="4" w:space="0"/>
              <w:left w:val="single" w:color="000000"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416" w:type="dxa"/>
            <w:gridSpan w:val="2"/>
            <w:tcBorders>
              <w:top w:val="single" w:color="000000" w:sz="4" w:space="0"/>
              <w:left w:val="single" w:color="auto"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成本指标</w:t>
            </w:r>
          </w:p>
        </w:tc>
        <w:tc>
          <w:tcPr>
            <w:tcW w:w="2823"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项目总成本</w:t>
            </w:r>
          </w:p>
        </w:tc>
        <w:tc>
          <w:tcPr>
            <w:tcW w:w="1899"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≦21.27万元</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21.27万元</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60" w:hRule="atLeast"/>
        </w:trPr>
        <w:tc>
          <w:tcPr>
            <w:tcW w:w="642" w:type="dxa"/>
            <w:vMerge w:val="continue"/>
            <w:tcBorders>
              <w:top w:val="single" w:color="auto" w:sz="4" w:space="0"/>
              <w:left w:val="single" w:color="auto" w:sz="4" w:space="0"/>
              <w:bottom w:val="single" w:color="auto"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734" w:type="dxa"/>
            <w:gridSpan w:val="2"/>
            <w:vMerge w:val="restart"/>
            <w:tcBorders>
              <w:top w:val="single" w:color="auto" w:sz="4" w:space="0"/>
              <w:left w:val="single" w:color="000000" w:sz="4" w:space="0"/>
              <w:bottom w:val="single" w:color="auto"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效益指标</w:t>
            </w:r>
          </w:p>
        </w:tc>
        <w:tc>
          <w:tcPr>
            <w:tcW w:w="4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社会效益</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指标</w:t>
            </w:r>
          </w:p>
        </w:tc>
        <w:tc>
          <w:tcPr>
            <w:tcW w:w="2823"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妇女、儿童生活质量及健康水平</w:t>
            </w:r>
          </w:p>
        </w:tc>
        <w:tc>
          <w:tcPr>
            <w:tcW w:w="1899"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不断提高</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不断提高</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80" w:hRule="atLeast"/>
        </w:trPr>
        <w:tc>
          <w:tcPr>
            <w:tcW w:w="642" w:type="dxa"/>
            <w:vMerge w:val="continue"/>
            <w:tcBorders>
              <w:top w:val="single" w:color="auto" w:sz="4" w:space="0"/>
              <w:left w:val="single" w:color="auto" w:sz="4" w:space="0"/>
              <w:bottom w:val="single" w:color="auto"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734" w:type="dxa"/>
            <w:gridSpan w:val="2"/>
            <w:vMerge w:val="continue"/>
            <w:tcBorders>
              <w:top w:val="single" w:color="auto" w:sz="4" w:space="0"/>
              <w:left w:val="single" w:color="000000" w:sz="4" w:space="0"/>
              <w:bottom w:val="single" w:color="auto"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4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823"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扩大艾滋病检查率</w:t>
            </w:r>
          </w:p>
        </w:tc>
        <w:tc>
          <w:tcPr>
            <w:tcW w:w="1899"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≧25%</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≧25%</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80" w:hRule="atLeast"/>
        </w:trPr>
        <w:tc>
          <w:tcPr>
            <w:tcW w:w="642" w:type="dxa"/>
            <w:vMerge w:val="continue"/>
            <w:tcBorders>
              <w:top w:val="single" w:color="auto" w:sz="4" w:space="0"/>
              <w:left w:val="single" w:color="auto" w:sz="4" w:space="0"/>
              <w:bottom w:val="single" w:color="auto"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734" w:type="dxa"/>
            <w:gridSpan w:val="2"/>
            <w:vMerge w:val="continue"/>
            <w:tcBorders>
              <w:top w:val="single" w:color="auto" w:sz="4" w:space="0"/>
              <w:left w:val="single" w:color="000000" w:sz="4" w:space="0"/>
              <w:bottom w:val="single" w:color="auto"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416" w:type="dxa"/>
            <w:gridSpan w:val="2"/>
            <w:tcBorders>
              <w:top w:val="nil"/>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经济效益</w:t>
            </w:r>
          </w:p>
        </w:tc>
        <w:tc>
          <w:tcPr>
            <w:tcW w:w="2823"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乡村医生保持稳定收入情况</w:t>
            </w:r>
          </w:p>
        </w:tc>
        <w:tc>
          <w:tcPr>
            <w:tcW w:w="1899"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同比提升</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较上年提高5%</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80" w:hRule="atLeast"/>
        </w:trPr>
        <w:tc>
          <w:tcPr>
            <w:tcW w:w="642" w:type="dxa"/>
            <w:vMerge w:val="continue"/>
            <w:tcBorders>
              <w:top w:val="single" w:color="auto" w:sz="4" w:space="0"/>
              <w:left w:val="single" w:color="auto" w:sz="4" w:space="0"/>
              <w:bottom w:val="single" w:color="auto"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734" w:type="dxa"/>
            <w:gridSpan w:val="2"/>
            <w:vMerge w:val="continue"/>
            <w:tcBorders>
              <w:top w:val="single" w:color="auto" w:sz="4" w:space="0"/>
              <w:left w:val="single" w:color="000000" w:sz="4" w:space="0"/>
              <w:bottom w:val="single" w:color="auto"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416" w:type="dxa"/>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可持续影响指标</w:t>
            </w:r>
          </w:p>
        </w:tc>
        <w:tc>
          <w:tcPr>
            <w:tcW w:w="2823"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基本药物制度在基层持续实施</w:t>
            </w:r>
          </w:p>
        </w:tc>
        <w:tc>
          <w:tcPr>
            <w:tcW w:w="1899"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稳步推进</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稳步推进</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80" w:hRule="atLeast"/>
        </w:trPr>
        <w:tc>
          <w:tcPr>
            <w:tcW w:w="642" w:type="dxa"/>
            <w:vMerge w:val="continue"/>
            <w:tcBorders>
              <w:top w:val="single" w:color="auto" w:sz="4" w:space="0"/>
              <w:left w:val="single" w:color="auto" w:sz="4" w:space="0"/>
              <w:bottom w:val="single" w:color="auto" w:sz="4" w:space="0"/>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734" w:type="dxa"/>
            <w:gridSpan w:val="2"/>
            <w:vMerge w:val="continue"/>
            <w:tcBorders>
              <w:top w:val="single" w:color="auto" w:sz="4" w:space="0"/>
              <w:left w:val="single" w:color="000000" w:sz="4" w:space="0"/>
              <w:bottom w:val="single" w:color="auto"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416" w:type="dxa"/>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20"/>
                <w:szCs w:val="20"/>
                <w:u w:val="none"/>
              </w:rPr>
            </w:pPr>
          </w:p>
        </w:tc>
        <w:tc>
          <w:tcPr>
            <w:tcW w:w="2823"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医共体建设符合“紧密型”、“控费用”、“同质化”、“促分工”发展方向</w:t>
            </w:r>
          </w:p>
        </w:tc>
        <w:tc>
          <w:tcPr>
            <w:tcW w:w="1899"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推进“医共体”试点</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制定规划，稳步推进</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600" w:hRule="atLeast"/>
        </w:trPr>
        <w:tc>
          <w:tcPr>
            <w:tcW w:w="642" w:type="dxa"/>
            <w:vMerge w:val="continue"/>
            <w:tcBorders>
              <w:top w:val="single" w:color="auto" w:sz="4" w:space="0"/>
              <w:left w:val="single" w:color="auto" w:sz="4" w:space="0"/>
              <w:bottom w:val="nil"/>
              <w:right w:val="single" w:color="000000" w:sz="4" w:space="0"/>
            </w:tcBorders>
            <w:shd w:val="clear" w:color="auto" w:fill="auto"/>
            <w:noWrap w:val="0"/>
            <w:textDirection w:val="tbRlV"/>
            <w:vAlign w:val="center"/>
          </w:tcPr>
          <w:p>
            <w:pPr>
              <w:jc w:val="center"/>
              <w:rPr>
                <w:rFonts w:hint="eastAsia" w:ascii="宋体" w:hAnsi="宋体" w:eastAsia="宋体" w:cs="宋体"/>
                <w:i w:val="0"/>
                <w:iCs w:val="0"/>
                <w:color w:val="000000"/>
                <w:sz w:val="20"/>
                <w:szCs w:val="20"/>
                <w:u w:val="none"/>
              </w:rPr>
            </w:pPr>
          </w:p>
        </w:tc>
        <w:tc>
          <w:tcPr>
            <w:tcW w:w="734" w:type="dxa"/>
            <w:gridSpan w:val="2"/>
            <w:tcBorders>
              <w:top w:val="single" w:color="auto"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满意度指标</w:t>
            </w:r>
          </w:p>
        </w:tc>
        <w:tc>
          <w:tcPr>
            <w:tcW w:w="416" w:type="dxa"/>
            <w:gridSpan w:val="2"/>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en-AU"/>
              </w:rPr>
            </w:pPr>
            <w:r>
              <w:rPr>
                <w:rFonts w:hint="eastAsia" w:ascii="宋体" w:hAnsi="宋体" w:eastAsia="宋体" w:cs="宋体"/>
                <w:i w:val="0"/>
                <w:iCs w:val="0"/>
                <w:color w:val="000000"/>
                <w:kern w:val="0"/>
                <w:sz w:val="20"/>
                <w:szCs w:val="20"/>
                <w:u w:val="none"/>
                <w:lang w:val="en-US" w:eastAsia="zh-CN" w:bidi="en-AU"/>
              </w:rPr>
              <w:t>服务对象</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满意度指标</w:t>
            </w:r>
          </w:p>
        </w:tc>
        <w:tc>
          <w:tcPr>
            <w:tcW w:w="2823"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对基本药物制度</w:t>
            </w:r>
            <w:bookmarkStart w:id="196" w:name="_GoBack"/>
            <w:bookmarkEnd w:id="196"/>
            <w:r>
              <w:rPr>
                <w:rFonts w:hint="eastAsia" w:ascii="宋体" w:hAnsi="宋体" w:eastAsia="宋体" w:cs="宋体"/>
                <w:i w:val="0"/>
                <w:iCs w:val="0"/>
                <w:color w:val="000000"/>
                <w:kern w:val="0"/>
                <w:sz w:val="20"/>
                <w:szCs w:val="20"/>
                <w:u w:val="none"/>
                <w:lang w:val="en-US" w:eastAsia="zh-CN" w:bidi="en-AU"/>
              </w:rPr>
              <w:t>满意度</w:t>
            </w:r>
          </w:p>
        </w:tc>
        <w:tc>
          <w:tcPr>
            <w:tcW w:w="1899"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4"/>
                <w:szCs w:val="24"/>
                <w:u w:val="none"/>
                <w:lang w:val="en-US" w:eastAsia="zh-CN" w:bidi="en-AU"/>
              </w:rPr>
              <w:t>≧</w:t>
            </w:r>
            <w:r>
              <w:rPr>
                <w:rFonts w:hint="eastAsia" w:ascii="宋体" w:hAnsi="宋体" w:eastAsia="宋体" w:cs="宋体"/>
                <w:i w:val="0"/>
                <w:iCs w:val="0"/>
                <w:color w:val="000000"/>
                <w:kern w:val="0"/>
                <w:sz w:val="20"/>
                <w:szCs w:val="20"/>
                <w:u w:val="none"/>
                <w:lang w:val="en-US" w:eastAsia="zh-CN" w:bidi="en-AU"/>
              </w:rPr>
              <w:t>90%</w:t>
            </w:r>
          </w:p>
        </w:tc>
        <w:tc>
          <w:tcPr>
            <w:tcW w:w="943"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95%</w:t>
            </w:r>
          </w:p>
        </w:tc>
        <w:tc>
          <w:tcPr>
            <w:tcW w:w="8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60"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en-AU"/>
              </w:rPr>
              <w:t>说明</w:t>
            </w:r>
          </w:p>
        </w:tc>
        <w:tc>
          <w:tcPr>
            <w:tcW w:w="7693" w:type="dxa"/>
            <w:gridSpan w:val="20"/>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无</w:t>
            </w:r>
          </w:p>
        </w:tc>
      </w:tr>
    </w:tbl>
    <w:tbl>
      <w:tblPr>
        <w:tblStyle w:val="2"/>
        <w:tblW w:w="8269" w:type="dxa"/>
        <w:jc w:val="center"/>
        <w:shd w:val="clear" w:color="auto" w:fill="auto"/>
        <w:tblLayout w:type="fixed"/>
        <w:tblCellMar>
          <w:top w:w="0" w:type="dxa"/>
          <w:left w:w="0" w:type="dxa"/>
          <w:bottom w:w="0" w:type="dxa"/>
          <w:right w:w="0" w:type="dxa"/>
        </w:tblCellMar>
      </w:tblPr>
      <w:tblGrid>
        <w:gridCol w:w="842"/>
        <w:gridCol w:w="1157"/>
        <w:gridCol w:w="444"/>
        <w:gridCol w:w="787"/>
        <w:gridCol w:w="912"/>
        <w:gridCol w:w="10"/>
        <w:gridCol w:w="480"/>
        <w:gridCol w:w="220"/>
        <w:gridCol w:w="388"/>
        <w:gridCol w:w="10"/>
        <w:gridCol w:w="867"/>
        <w:gridCol w:w="10"/>
        <w:gridCol w:w="944"/>
        <w:gridCol w:w="474"/>
        <w:gridCol w:w="724"/>
      </w:tblGrid>
      <w:tr>
        <w:tblPrEx>
          <w:shd w:val="clear" w:color="auto" w:fill="auto"/>
          <w:tblCellMar>
            <w:top w:w="0" w:type="dxa"/>
            <w:left w:w="0" w:type="dxa"/>
            <w:bottom w:w="0" w:type="dxa"/>
            <w:right w:w="0" w:type="dxa"/>
          </w:tblCellMar>
        </w:tblPrEx>
        <w:trPr>
          <w:trHeight w:val="580" w:hRule="atLeast"/>
          <w:jc w:val="center"/>
        </w:trPr>
        <w:tc>
          <w:tcPr>
            <w:tcW w:w="8269" w:type="dxa"/>
            <w:gridSpan w:val="15"/>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bookmarkStart w:id="154" w:name="_Toc28509"/>
            <w:bookmarkStart w:id="155" w:name="_Toc15396618"/>
            <w:r>
              <w:rPr>
                <w:rFonts w:hint="eastAsia" w:ascii="黑体" w:hAnsi="宋体" w:eastAsia="黑体" w:cs="黑体"/>
                <w:b/>
                <w:i w:val="0"/>
                <w:color w:val="000000"/>
                <w:kern w:val="0"/>
                <w:sz w:val="30"/>
                <w:szCs w:val="30"/>
                <w:u w:val="none"/>
                <w:lang w:val="en-US" w:eastAsia="zh-CN" w:bidi="en-AU"/>
              </w:rPr>
              <w:t>部门预算项目支出绩效自评表（2022年度）</w:t>
            </w:r>
          </w:p>
        </w:tc>
      </w:tr>
      <w:tr>
        <w:tblPrEx>
          <w:tblCellMar>
            <w:top w:w="0" w:type="dxa"/>
            <w:left w:w="0" w:type="dxa"/>
            <w:bottom w:w="0" w:type="dxa"/>
            <w:right w:w="0" w:type="dxa"/>
          </w:tblCellMar>
        </w:tblPrEx>
        <w:trPr>
          <w:trHeight w:val="500" w:hRule="atLeast"/>
          <w:jc w:val="center"/>
        </w:trPr>
        <w:tc>
          <w:tcPr>
            <w:tcW w:w="1999"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项目名称</w:t>
            </w:r>
          </w:p>
        </w:tc>
        <w:tc>
          <w:tcPr>
            <w:tcW w:w="6270" w:type="dxa"/>
            <w:gridSpan w:val="1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二类疫苗服务费</w:t>
            </w:r>
          </w:p>
        </w:tc>
      </w:tr>
      <w:tr>
        <w:tblPrEx>
          <w:tblCellMar>
            <w:top w:w="0" w:type="dxa"/>
            <w:left w:w="0" w:type="dxa"/>
            <w:bottom w:w="0" w:type="dxa"/>
            <w:right w:w="0" w:type="dxa"/>
          </w:tblCellMar>
        </w:tblPrEx>
        <w:trPr>
          <w:trHeight w:val="480" w:hRule="atLeast"/>
          <w:jc w:val="center"/>
        </w:trPr>
        <w:tc>
          <w:tcPr>
            <w:tcW w:w="1999"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主管部门</w:t>
            </w:r>
          </w:p>
        </w:tc>
        <w:tc>
          <w:tcPr>
            <w:tcW w:w="2153" w:type="dxa"/>
            <w:gridSpan w:val="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广元市昭化区卫生健康局部门</w:t>
            </w:r>
          </w:p>
        </w:tc>
        <w:tc>
          <w:tcPr>
            <w:tcW w:w="1088" w:type="dxa"/>
            <w:gridSpan w:val="3"/>
            <w:tcBorders>
              <w:top w:val="nil"/>
              <w:left w:val="nil"/>
              <w:bottom w:val="nil"/>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en-AU"/>
              </w:rPr>
              <w:t>实施单位 （盖章）</w:t>
            </w:r>
          </w:p>
        </w:tc>
        <w:tc>
          <w:tcPr>
            <w:tcW w:w="3029" w:type="dxa"/>
            <w:gridSpan w:val="6"/>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en-AU"/>
              </w:rPr>
              <w:t>红岩镇</w:t>
            </w:r>
            <w:r>
              <w:rPr>
                <w:rFonts w:ascii="宋体" w:hAnsi="宋体" w:eastAsia="宋体" w:cs="宋体"/>
                <w:i w:val="0"/>
                <w:color w:val="000000"/>
                <w:kern w:val="0"/>
                <w:sz w:val="18"/>
                <w:szCs w:val="18"/>
                <w:u w:val="none"/>
                <w:lang w:val="en-US" w:eastAsia="zh-CN" w:bidi="en-AU"/>
              </w:rPr>
              <w:t>卫生院</w:t>
            </w:r>
          </w:p>
        </w:tc>
      </w:tr>
      <w:tr>
        <w:tblPrEx>
          <w:tblCellMar>
            <w:top w:w="0" w:type="dxa"/>
            <w:left w:w="0" w:type="dxa"/>
            <w:bottom w:w="0" w:type="dxa"/>
            <w:right w:w="0" w:type="dxa"/>
          </w:tblCellMar>
        </w:tblPrEx>
        <w:trPr>
          <w:trHeight w:val="400" w:hRule="atLeast"/>
          <w:jc w:val="center"/>
        </w:trPr>
        <w:tc>
          <w:tcPr>
            <w:tcW w:w="842" w:type="dxa"/>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项目基本情况</w:t>
            </w:r>
          </w:p>
        </w:tc>
        <w:tc>
          <w:tcPr>
            <w:tcW w:w="1157" w:type="dxa"/>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1.项目年度目标完成情况</w:t>
            </w:r>
          </w:p>
        </w:tc>
        <w:tc>
          <w:tcPr>
            <w:tcW w:w="2153" w:type="dxa"/>
            <w:gridSpan w:val="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项目年度目标</w:t>
            </w:r>
          </w:p>
        </w:tc>
        <w:tc>
          <w:tcPr>
            <w:tcW w:w="4117" w:type="dxa"/>
            <w:gridSpan w:val="9"/>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en-AU"/>
              </w:rPr>
              <w:t>年度目标完成情况</w:t>
            </w:r>
          </w:p>
        </w:tc>
      </w:tr>
      <w:tr>
        <w:tblPrEx>
          <w:tblCellMar>
            <w:top w:w="0" w:type="dxa"/>
            <w:left w:w="0" w:type="dxa"/>
            <w:bottom w:w="0" w:type="dxa"/>
            <w:right w:w="0" w:type="dxa"/>
          </w:tblCellMar>
        </w:tblPrEx>
        <w:trPr>
          <w:trHeight w:val="721" w:hRule="atLeast"/>
          <w:jc w:val="center"/>
        </w:trPr>
        <w:tc>
          <w:tcPr>
            <w:tcW w:w="8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1157"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2153" w:type="dxa"/>
            <w:gridSpan w:val="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1.55万元</w:t>
            </w:r>
          </w:p>
        </w:tc>
        <w:tc>
          <w:tcPr>
            <w:tcW w:w="4117" w:type="dxa"/>
            <w:gridSpan w:val="9"/>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lang w:val="en-US"/>
              </w:rPr>
            </w:pPr>
            <w:r>
              <w:rPr>
                <w:rFonts w:hint="eastAsia" w:ascii="黑体" w:hAnsi="黑体" w:eastAsia="黑体" w:cs="黑体"/>
                <w:i w:val="0"/>
                <w:color w:val="000000"/>
                <w:kern w:val="0"/>
                <w:sz w:val="18"/>
                <w:szCs w:val="18"/>
                <w:u w:val="none"/>
                <w:lang w:val="en-US" w:eastAsia="zh-CN" w:bidi="en-AU"/>
              </w:rPr>
              <w:t>100%</w:t>
            </w:r>
          </w:p>
        </w:tc>
      </w:tr>
      <w:tr>
        <w:tblPrEx>
          <w:tblCellMar>
            <w:top w:w="0" w:type="dxa"/>
            <w:left w:w="0" w:type="dxa"/>
            <w:bottom w:w="0" w:type="dxa"/>
            <w:right w:w="0" w:type="dxa"/>
          </w:tblCellMar>
        </w:tblPrEx>
        <w:trPr>
          <w:trHeight w:val="1495" w:hRule="atLeast"/>
          <w:jc w:val="center"/>
        </w:trPr>
        <w:tc>
          <w:tcPr>
            <w:tcW w:w="8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2.项目实施内容及过程概述</w:t>
            </w:r>
          </w:p>
        </w:tc>
        <w:tc>
          <w:tcPr>
            <w:tcW w:w="6270" w:type="dxa"/>
            <w:gridSpan w:val="13"/>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按照《四川省发展和改革委员会四川省财政厅关于疫苗预防接种服务收费标准及有关问题的通知》（川发改价格〔2020〕640号）文件精神，二类疫苗接种服务费收入全额上缴国库，纳入财政预算管理。</w:t>
            </w:r>
          </w:p>
        </w:tc>
      </w:tr>
      <w:tr>
        <w:tblPrEx>
          <w:tblCellMar>
            <w:top w:w="0" w:type="dxa"/>
            <w:left w:w="0" w:type="dxa"/>
            <w:bottom w:w="0" w:type="dxa"/>
            <w:right w:w="0" w:type="dxa"/>
          </w:tblCellMar>
        </w:tblPrEx>
        <w:trPr>
          <w:trHeight w:val="480" w:hRule="atLeast"/>
          <w:jc w:val="center"/>
        </w:trPr>
        <w:tc>
          <w:tcPr>
            <w:tcW w:w="842" w:type="dxa"/>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预算执行情况（10分）</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年度预算数（万元）</w:t>
            </w:r>
          </w:p>
        </w:tc>
        <w:tc>
          <w:tcPr>
            <w:tcW w:w="4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年初预算</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调整后预算数</w:t>
            </w:r>
          </w:p>
        </w:tc>
        <w:tc>
          <w:tcPr>
            <w:tcW w:w="922"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预算执行数</w:t>
            </w:r>
          </w:p>
        </w:tc>
        <w:tc>
          <w:tcPr>
            <w:tcW w:w="1098" w:type="dxa"/>
            <w:gridSpan w:val="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预算执行率</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权重</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得分</w:t>
            </w:r>
          </w:p>
        </w:tc>
        <w:tc>
          <w:tcPr>
            <w:tcW w:w="1198" w:type="dxa"/>
            <w:gridSpan w:val="2"/>
            <w:tcBorders>
              <w:top w:val="single" w:color="000000" w:sz="4" w:space="0"/>
              <w:left w:val="single" w:color="000000" w:sz="4" w:space="0"/>
              <w:bottom w:val="nil"/>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未完成原因分析</w:t>
            </w:r>
          </w:p>
        </w:tc>
      </w:tr>
      <w:tr>
        <w:tblPrEx>
          <w:tblCellMar>
            <w:top w:w="0" w:type="dxa"/>
            <w:left w:w="0" w:type="dxa"/>
            <w:bottom w:w="0" w:type="dxa"/>
            <w:right w:w="0" w:type="dxa"/>
          </w:tblCellMar>
        </w:tblPrEx>
        <w:trPr>
          <w:trHeight w:val="280" w:hRule="atLeast"/>
          <w:jc w:val="center"/>
        </w:trPr>
        <w:tc>
          <w:tcPr>
            <w:tcW w:w="8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总额</w:t>
            </w:r>
          </w:p>
        </w:tc>
        <w:tc>
          <w:tcPr>
            <w:tcW w:w="4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en-AU"/>
              </w:rPr>
              <w:t>1.55</w:t>
            </w:r>
          </w:p>
        </w:tc>
        <w:tc>
          <w:tcPr>
            <w:tcW w:w="922"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en-AU"/>
              </w:rPr>
              <w:t>1.55</w:t>
            </w:r>
          </w:p>
        </w:tc>
        <w:tc>
          <w:tcPr>
            <w:tcW w:w="1098" w:type="dxa"/>
            <w:gridSpan w:val="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100.00%</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w:t>
            </w:r>
          </w:p>
        </w:tc>
        <w:tc>
          <w:tcPr>
            <w:tcW w:w="944" w:type="dxa"/>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w:t>
            </w:r>
          </w:p>
        </w:tc>
        <w:tc>
          <w:tcPr>
            <w:tcW w:w="119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trHeight w:val="480" w:hRule="atLeast"/>
          <w:jc w:val="center"/>
        </w:trPr>
        <w:tc>
          <w:tcPr>
            <w:tcW w:w="8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其中：财政资金</w:t>
            </w:r>
          </w:p>
        </w:tc>
        <w:tc>
          <w:tcPr>
            <w:tcW w:w="4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en-AU"/>
              </w:rPr>
              <w:t>1.55</w:t>
            </w:r>
          </w:p>
        </w:tc>
        <w:tc>
          <w:tcPr>
            <w:tcW w:w="922"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en-AU"/>
              </w:rPr>
              <w:t>1.55</w:t>
            </w:r>
          </w:p>
        </w:tc>
        <w:tc>
          <w:tcPr>
            <w:tcW w:w="1098" w:type="dxa"/>
            <w:gridSpan w:val="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100.00%</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944" w:type="dxa"/>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w:t>
            </w:r>
          </w:p>
        </w:tc>
        <w:tc>
          <w:tcPr>
            <w:tcW w:w="119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trHeight w:val="480" w:hRule="atLeast"/>
          <w:jc w:val="center"/>
        </w:trPr>
        <w:tc>
          <w:tcPr>
            <w:tcW w:w="8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财政专户管理资金</w:t>
            </w:r>
          </w:p>
        </w:tc>
        <w:tc>
          <w:tcPr>
            <w:tcW w:w="4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922"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1098" w:type="dxa"/>
            <w:gridSpan w:val="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944" w:type="dxa"/>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119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trHeight w:val="280" w:hRule="atLeast"/>
          <w:jc w:val="center"/>
        </w:trPr>
        <w:tc>
          <w:tcPr>
            <w:tcW w:w="8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单位资金</w:t>
            </w:r>
          </w:p>
        </w:tc>
        <w:tc>
          <w:tcPr>
            <w:tcW w:w="4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922"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1098" w:type="dxa"/>
            <w:gridSpan w:val="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0.00%</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944" w:type="dxa"/>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119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trHeight w:val="440" w:hRule="atLeast"/>
          <w:jc w:val="center"/>
        </w:trPr>
        <w:tc>
          <w:tcPr>
            <w:tcW w:w="8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其他资金</w:t>
            </w:r>
          </w:p>
        </w:tc>
        <w:tc>
          <w:tcPr>
            <w:tcW w:w="4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922"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1098" w:type="dxa"/>
            <w:gridSpan w:val="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944" w:type="dxa"/>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w:t>
            </w:r>
          </w:p>
        </w:tc>
        <w:tc>
          <w:tcPr>
            <w:tcW w:w="119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en-AU"/>
              </w:rPr>
              <w:t>/</w:t>
            </w:r>
          </w:p>
        </w:tc>
      </w:tr>
      <w:tr>
        <w:tblPrEx>
          <w:tblCellMar>
            <w:top w:w="0" w:type="dxa"/>
            <w:left w:w="0" w:type="dxa"/>
            <w:bottom w:w="0" w:type="dxa"/>
            <w:right w:w="0" w:type="dxa"/>
          </w:tblCellMar>
        </w:tblPrEx>
        <w:trPr>
          <w:trHeight w:val="960" w:hRule="atLeast"/>
          <w:jc w:val="center"/>
        </w:trPr>
        <w:tc>
          <w:tcPr>
            <w:tcW w:w="842" w:type="dxa"/>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绩效指标（90分）</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一级指标</w:t>
            </w:r>
          </w:p>
        </w:tc>
        <w:tc>
          <w:tcPr>
            <w:tcW w:w="4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二级指标</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三级指标</w:t>
            </w:r>
          </w:p>
        </w:tc>
        <w:tc>
          <w:tcPr>
            <w:tcW w:w="922"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指标性质</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指标值</w:t>
            </w:r>
          </w:p>
        </w:tc>
        <w:tc>
          <w:tcPr>
            <w:tcW w:w="22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度量单位</w:t>
            </w:r>
          </w:p>
        </w:tc>
        <w:tc>
          <w:tcPr>
            <w:tcW w:w="1275" w:type="dxa"/>
            <w:gridSpan w:val="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完成值</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权重</w:t>
            </w:r>
          </w:p>
        </w:tc>
        <w:tc>
          <w:tcPr>
            <w:tcW w:w="474" w:type="dxa"/>
            <w:tcBorders>
              <w:top w:val="single" w:color="000000" w:sz="4" w:space="0"/>
              <w:left w:val="single" w:color="000000" w:sz="4" w:space="0"/>
              <w:bottom w:val="single" w:color="000000" w:sz="4" w:space="0"/>
              <w:right w:val="nil"/>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得分</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46" w:hRule="atLeast"/>
          <w:jc w:val="center"/>
        </w:trPr>
        <w:tc>
          <w:tcPr>
            <w:tcW w:w="842"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22"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22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1275" w:type="dxa"/>
            <w:gridSpan w:val="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4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724" w:type="dxa"/>
            <w:tcBorders>
              <w:top w:val="nil"/>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449" w:hRule="atLeast"/>
          <w:jc w:val="center"/>
        </w:trPr>
        <w:tc>
          <w:tcPr>
            <w:tcW w:w="5240" w:type="dxa"/>
            <w:gridSpan w:val="9"/>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合计</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100</w:t>
            </w: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1198" w:type="dxa"/>
            <w:gridSpan w:val="2"/>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70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评价结论</w:t>
            </w:r>
          </w:p>
        </w:tc>
        <w:tc>
          <w:tcPr>
            <w:tcW w:w="7427" w:type="dxa"/>
            <w:gridSpan w:val="1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en-AU"/>
              </w:rPr>
              <w:t>二类疫苗接种服务费收入全额上缴国库，纳入财政预算管理，实施效果较好</w:t>
            </w:r>
          </w:p>
        </w:tc>
      </w:tr>
      <w:tr>
        <w:tblPrEx>
          <w:tblCellMar>
            <w:top w:w="0" w:type="dxa"/>
            <w:left w:w="0" w:type="dxa"/>
            <w:bottom w:w="0" w:type="dxa"/>
            <w:right w:w="0" w:type="dxa"/>
          </w:tblCellMar>
        </w:tblPrEx>
        <w:trPr>
          <w:trHeight w:val="490"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存在问题</w:t>
            </w:r>
          </w:p>
        </w:tc>
        <w:tc>
          <w:tcPr>
            <w:tcW w:w="7427" w:type="dxa"/>
            <w:gridSpan w:val="1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en-AU"/>
              </w:rPr>
              <w:t>无</w:t>
            </w:r>
          </w:p>
        </w:tc>
      </w:tr>
      <w:tr>
        <w:tblPrEx>
          <w:tblCellMar>
            <w:top w:w="0" w:type="dxa"/>
            <w:left w:w="0" w:type="dxa"/>
            <w:bottom w:w="0" w:type="dxa"/>
            <w:right w:w="0" w:type="dxa"/>
          </w:tblCellMar>
        </w:tblPrEx>
        <w:trPr>
          <w:trHeight w:val="618"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en-AU"/>
              </w:rPr>
              <w:t>改进措施</w:t>
            </w:r>
          </w:p>
        </w:tc>
        <w:tc>
          <w:tcPr>
            <w:tcW w:w="7427" w:type="dxa"/>
            <w:gridSpan w:val="14"/>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en-AU"/>
              </w:rPr>
              <w:t>无</w:t>
            </w:r>
          </w:p>
        </w:tc>
      </w:tr>
      <w:tr>
        <w:tblPrEx>
          <w:tblCellMar>
            <w:top w:w="0" w:type="dxa"/>
            <w:left w:w="0" w:type="dxa"/>
            <w:bottom w:w="0" w:type="dxa"/>
            <w:right w:w="0" w:type="dxa"/>
          </w:tblCellMar>
        </w:tblPrEx>
        <w:trPr>
          <w:trHeight w:val="595" w:hRule="atLeast"/>
          <w:jc w:val="center"/>
        </w:trPr>
        <w:tc>
          <w:tcPr>
            <w:tcW w:w="4142" w:type="dxa"/>
            <w:gridSpan w:val="5"/>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en-AU"/>
              </w:rPr>
              <w:t>项目负责人：</w:t>
            </w:r>
          </w:p>
        </w:tc>
        <w:tc>
          <w:tcPr>
            <w:tcW w:w="4127" w:type="dxa"/>
            <w:gridSpan w:val="10"/>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en-AU"/>
              </w:rPr>
              <w:t>财务负责人：</w:t>
            </w:r>
          </w:p>
        </w:tc>
      </w:tr>
      <w:bookmarkEnd w:id="145"/>
      <w:bookmarkEnd w:id="154"/>
      <w:bookmarkEnd w:id="155"/>
    </w:tbl>
    <w:p>
      <w:pPr>
        <w:rPr>
          <w:rFonts w:hint="eastAsia"/>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bookmarkStart w:id="156" w:name="_Toc31696"/>
      <w:bookmarkStart w:id="157" w:name="_Toc11989"/>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仿宋" w:hAnsi="仿宋" w:eastAsia="仿宋"/>
          <w:b w:val="0"/>
          <w:color w:val="auto"/>
          <w:highlight w:val="none"/>
        </w:rPr>
      </w:pPr>
      <w:r>
        <w:rPr>
          <w:rFonts w:hint="eastAsia" w:ascii="黑体" w:hAnsi="黑体" w:eastAsia="黑体"/>
          <w:color w:val="auto"/>
          <w:sz w:val="44"/>
          <w:szCs w:val="44"/>
          <w:highlight w:val="none"/>
        </w:rPr>
        <w:t>第</w:t>
      </w:r>
      <w:r>
        <w:rPr>
          <w:rStyle w:val="31"/>
          <w:rFonts w:hint="eastAsia" w:ascii="黑体" w:hAnsi="黑体" w:eastAsia="黑体"/>
          <w:b w:val="0"/>
          <w:color w:val="auto"/>
          <w:highlight w:val="none"/>
        </w:rPr>
        <w:t>五部分 附表</w:t>
      </w:r>
      <w:bookmarkEnd w:id="156"/>
      <w:bookmarkEnd w:id="157"/>
    </w:p>
    <w:p>
      <w:pPr>
        <w:pageBreakBefore w:val="0"/>
        <w:numPr>
          <w:ilvl w:val="0"/>
          <w:numId w:val="4"/>
        </w:numPr>
        <w:kinsoku/>
        <w:wordWrap/>
        <w:overflowPunct/>
        <w:topLinePunct w:val="0"/>
        <w:bidi w:val="0"/>
        <w:spacing w:after="315" w:afterLines="100" w:afterAutospacing="0" w:line="580" w:lineRule="exact"/>
        <w:ind w:leftChars="150"/>
        <w:jc w:val="both"/>
        <w:outlineLvl w:val="1"/>
        <w:rPr>
          <w:rStyle w:val="13"/>
          <w:rFonts w:hint="eastAsia" w:ascii="仿宋" w:hAnsi="仿宋" w:eastAsia="仿宋" w:cs="Times New Roman"/>
          <w:b w:val="0"/>
          <w:bCs w:val="0"/>
          <w:color w:val="auto"/>
          <w:highlight w:val="none"/>
          <w:lang w:val="en-US" w:eastAsia="zh-CN" w:bidi="ar-SA"/>
        </w:rPr>
      </w:pPr>
      <w:bookmarkStart w:id="158" w:name="_Toc18172"/>
      <w:bookmarkStart w:id="159" w:name="_Toc1851"/>
      <w:r>
        <w:rPr>
          <w:rStyle w:val="13"/>
          <w:rFonts w:hint="eastAsia" w:ascii="仿宋" w:hAnsi="仿宋" w:eastAsia="仿宋" w:cs="Times New Roman"/>
          <w:b w:val="0"/>
          <w:bCs w:val="0"/>
          <w:color w:val="auto"/>
          <w:highlight w:val="none"/>
          <w:lang w:val="en-US" w:eastAsia="zh-CN" w:bidi="ar-SA"/>
        </w:rPr>
        <w:t>收入支出决算总表</w:t>
      </w:r>
      <w:bookmarkEnd w:id="158"/>
      <w:bookmarkEnd w:id="159"/>
      <w:bookmarkStart w:id="160" w:name="_Toc15396620"/>
    </w:p>
    <w:p>
      <w:pPr>
        <w:pageBreakBefore w:val="0"/>
        <w:numPr>
          <w:ilvl w:val="0"/>
          <w:numId w:val="4"/>
        </w:numPr>
        <w:kinsoku/>
        <w:wordWrap/>
        <w:overflowPunct/>
        <w:topLinePunct w:val="0"/>
        <w:bidi w:val="0"/>
        <w:spacing w:after="315" w:afterLines="100" w:afterAutospacing="0" w:line="580" w:lineRule="exact"/>
        <w:ind w:leftChars="150"/>
        <w:jc w:val="both"/>
        <w:outlineLvl w:val="1"/>
        <w:rPr>
          <w:rStyle w:val="13"/>
          <w:rFonts w:hint="eastAsia" w:ascii="仿宋" w:hAnsi="仿宋" w:eastAsia="仿宋" w:cs="Times New Roman"/>
          <w:b w:val="0"/>
          <w:bCs w:val="0"/>
          <w:color w:val="auto"/>
          <w:highlight w:val="none"/>
          <w:lang w:val="en-US" w:eastAsia="zh-CN" w:bidi="ar-SA"/>
        </w:rPr>
      </w:pPr>
      <w:bookmarkStart w:id="161" w:name="_Toc5941"/>
      <w:bookmarkStart w:id="162" w:name="_Toc16151"/>
      <w:r>
        <w:rPr>
          <w:rStyle w:val="13"/>
          <w:rFonts w:hint="eastAsia" w:ascii="仿宋" w:hAnsi="仿宋" w:eastAsia="仿宋" w:cs="Times New Roman"/>
          <w:b w:val="0"/>
          <w:bCs w:val="0"/>
          <w:color w:val="auto"/>
          <w:highlight w:val="none"/>
          <w:lang w:val="en-US" w:eastAsia="zh-CN" w:bidi="ar-SA"/>
        </w:rPr>
        <w:t>收入决算表</w:t>
      </w:r>
      <w:bookmarkEnd w:id="160"/>
      <w:bookmarkEnd w:id="161"/>
      <w:bookmarkEnd w:id="162"/>
      <w:bookmarkStart w:id="163" w:name="_Toc15396621"/>
    </w:p>
    <w:p>
      <w:pPr>
        <w:pageBreakBefore w:val="0"/>
        <w:numPr>
          <w:ilvl w:val="0"/>
          <w:numId w:val="4"/>
        </w:numPr>
        <w:kinsoku/>
        <w:wordWrap/>
        <w:overflowPunct/>
        <w:topLinePunct w:val="0"/>
        <w:bidi w:val="0"/>
        <w:spacing w:after="315" w:afterLines="100" w:afterAutospacing="0" w:line="580" w:lineRule="exact"/>
        <w:ind w:leftChars="150"/>
        <w:jc w:val="both"/>
        <w:outlineLvl w:val="1"/>
        <w:rPr>
          <w:rStyle w:val="13"/>
          <w:rFonts w:hint="eastAsia" w:ascii="仿宋" w:hAnsi="仿宋" w:eastAsia="仿宋" w:cs="Times New Roman"/>
          <w:b w:val="0"/>
          <w:bCs w:val="0"/>
          <w:color w:val="auto"/>
          <w:highlight w:val="none"/>
          <w:lang w:val="en-US" w:eastAsia="zh-CN" w:bidi="ar-SA"/>
        </w:rPr>
      </w:pPr>
      <w:bookmarkStart w:id="164" w:name="_Toc17217"/>
      <w:bookmarkStart w:id="165" w:name="_Toc387"/>
      <w:r>
        <w:rPr>
          <w:rStyle w:val="13"/>
          <w:rFonts w:hint="eastAsia" w:ascii="仿宋" w:hAnsi="仿宋" w:eastAsia="仿宋" w:cs="Times New Roman"/>
          <w:b w:val="0"/>
          <w:bCs w:val="0"/>
          <w:color w:val="auto"/>
          <w:highlight w:val="none"/>
          <w:lang w:val="en-US" w:eastAsia="zh-CN" w:bidi="ar-SA"/>
        </w:rPr>
        <w:t>支出决算表</w:t>
      </w:r>
      <w:bookmarkEnd w:id="163"/>
      <w:bookmarkEnd w:id="164"/>
      <w:bookmarkEnd w:id="165"/>
      <w:bookmarkStart w:id="166" w:name="_Toc15396622"/>
    </w:p>
    <w:p>
      <w:pPr>
        <w:pageBreakBefore w:val="0"/>
        <w:numPr>
          <w:ilvl w:val="0"/>
          <w:numId w:val="4"/>
        </w:numPr>
        <w:kinsoku/>
        <w:wordWrap/>
        <w:overflowPunct/>
        <w:topLinePunct w:val="0"/>
        <w:bidi w:val="0"/>
        <w:spacing w:after="315" w:afterLines="100" w:afterAutospacing="0" w:line="580" w:lineRule="exact"/>
        <w:ind w:leftChars="150"/>
        <w:jc w:val="both"/>
        <w:outlineLvl w:val="1"/>
        <w:rPr>
          <w:rStyle w:val="13"/>
          <w:rFonts w:hint="eastAsia" w:ascii="仿宋" w:hAnsi="仿宋" w:eastAsia="仿宋" w:cs="Times New Roman"/>
          <w:b w:val="0"/>
          <w:bCs w:val="0"/>
          <w:color w:val="auto"/>
          <w:highlight w:val="none"/>
          <w:lang w:val="en-US" w:eastAsia="zh-CN" w:bidi="ar-SA"/>
        </w:rPr>
      </w:pPr>
      <w:bookmarkStart w:id="167" w:name="_Toc4898"/>
      <w:bookmarkStart w:id="168" w:name="_Toc13492"/>
      <w:r>
        <w:rPr>
          <w:rStyle w:val="13"/>
          <w:rFonts w:hint="eastAsia" w:ascii="仿宋" w:hAnsi="仿宋" w:eastAsia="仿宋" w:cs="Times New Roman"/>
          <w:b w:val="0"/>
          <w:bCs w:val="0"/>
          <w:color w:val="auto"/>
          <w:highlight w:val="none"/>
          <w:lang w:val="en-US" w:eastAsia="zh-CN" w:bidi="ar-SA"/>
        </w:rPr>
        <w:t>财政拨款收入支出决算总表</w:t>
      </w:r>
      <w:bookmarkEnd w:id="166"/>
      <w:bookmarkEnd w:id="167"/>
      <w:bookmarkEnd w:id="168"/>
      <w:bookmarkStart w:id="169" w:name="_Toc15396623"/>
    </w:p>
    <w:p>
      <w:pPr>
        <w:pageBreakBefore w:val="0"/>
        <w:numPr>
          <w:ilvl w:val="0"/>
          <w:numId w:val="4"/>
        </w:numPr>
        <w:kinsoku/>
        <w:wordWrap/>
        <w:overflowPunct/>
        <w:topLinePunct w:val="0"/>
        <w:bidi w:val="0"/>
        <w:spacing w:after="315" w:afterLines="100" w:afterAutospacing="0" w:line="580" w:lineRule="exact"/>
        <w:ind w:leftChars="150"/>
        <w:jc w:val="both"/>
        <w:outlineLvl w:val="1"/>
        <w:rPr>
          <w:rStyle w:val="13"/>
          <w:rFonts w:hint="eastAsia" w:ascii="仿宋" w:hAnsi="仿宋" w:eastAsia="仿宋" w:cs="Times New Roman"/>
          <w:b w:val="0"/>
          <w:bCs w:val="0"/>
          <w:color w:val="auto"/>
          <w:highlight w:val="none"/>
          <w:lang w:val="en-US" w:eastAsia="zh-CN" w:bidi="ar-SA"/>
        </w:rPr>
      </w:pPr>
      <w:bookmarkStart w:id="170" w:name="_Toc31669"/>
      <w:bookmarkStart w:id="171" w:name="_Toc12194"/>
      <w:r>
        <w:rPr>
          <w:rStyle w:val="13"/>
          <w:rFonts w:hint="eastAsia" w:ascii="仿宋" w:hAnsi="仿宋" w:eastAsia="仿宋" w:cs="Times New Roman"/>
          <w:b w:val="0"/>
          <w:bCs w:val="0"/>
          <w:color w:val="auto"/>
          <w:highlight w:val="none"/>
          <w:lang w:val="en-US" w:eastAsia="zh-CN" w:bidi="ar-SA"/>
        </w:rPr>
        <w:t>财政拨款支出决算明细表</w:t>
      </w:r>
      <w:bookmarkEnd w:id="169"/>
      <w:bookmarkEnd w:id="170"/>
      <w:bookmarkEnd w:id="171"/>
      <w:bookmarkStart w:id="172" w:name="_Toc15396624"/>
    </w:p>
    <w:p>
      <w:pPr>
        <w:pageBreakBefore w:val="0"/>
        <w:numPr>
          <w:ilvl w:val="0"/>
          <w:numId w:val="4"/>
        </w:numPr>
        <w:kinsoku/>
        <w:wordWrap/>
        <w:overflowPunct/>
        <w:topLinePunct w:val="0"/>
        <w:bidi w:val="0"/>
        <w:spacing w:after="315" w:afterLines="100" w:afterAutospacing="0" w:line="580" w:lineRule="exact"/>
        <w:ind w:leftChars="150"/>
        <w:jc w:val="both"/>
        <w:outlineLvl w:val="1"/>
        <w:rPr>
          <w:rStyle w:val="13"/>
          <w:rFonts w:hint="eastAsia" w:ascii="仿宋" w:hAnsi="仿宋" w:eastAsia="仿宋" w:cs="Times New Roman"/>
          <w:b w:val="0"/>
          <w:bCs w:val="0"/>
          <w:color w:val="auto"/>
          <w:highlight w:val="none"/>
          <w:lang w:val="en-US" w:eastAsia="zh-CN" w:bidi="ar-SA"/>
        </w:rPr>
      </w:pPr>
      <w:bookmarkStart w:id="173" w:name="_Toc21791"/>
      <w:bookmarkStart w:id="174" w:name="_Toc23849"/>
      <w:r>
        <w:rPr>
          <w:rStyle w:val="13"/>
          <w:rFonts w:hint="eastAsia" w:ascii="仿宋" w:hAnsi="仿宋" w:eastAsia="仿宋" w:cs="Times New Roman"/>
          <w:b w:val="0"/>
          <w:bCs w:val="0"/>
          <w:color w:val="auto"/>
          <w:highlight w:val="none"/>
          <w:lang w:val="en-US" w:eastAsia="zh-CN" w:bidi="ar-SA"/>
        </w:rPr>
        <w:t>一般公共预算财政拨款支出决算表</w:t>
      </w:r>
      <w:bookmarkEnd w:id="172"/>
      <w:bookmarkEnd w:id="173"/>
      <w:bookmarkEnd w:id="174"/>
      <w:bookmarkStart w:id="175" w:name="_Toc15396625"/>
    </w:p>
    <w:p>
      <w:pPr>
        <w:pageBreakBefore w:val="0"/>
        <w:numPr>
          <w:ilvl w:val="0"/>
          <w:numId w:val="4"/>
        </w:numPr>
        <w:kinsoku/>
        <w:wordWrap/>
        <w:overflowPunct/>
        <w:topLinePunct w:val="0"/>
        <w:bidi w:val="0"/>
        <w:spacing w:after="315" w:afterLines="100" w:afterAutospacing="0" w:line="580" w:lineRule="exact"/>
        <w:ind w:leftChars="150"/>
        <w:jc w:val="both"/>
        <w:outlineLvl w:val="1"/>
        <w:rPr>
          <w:rStyle w:val="13"/>
          <w:rFonts w:hint="eastAsia" w:ascii="仿宋" w:hAnsi="仿宋" w:eastAsia="仿宋" w:cs="Times New Roman"/>
          <w:b w:val="0"/>
          <w:bCs w:val="0"/>
          <w:color w:val="auto"/>
          <w:highlight w:val="none"/>
          <w:lang w:val="en-US" w:eastAsia="zh-CN" w:bidi="ar-SA"/>
        </w:rPr>
      </w:pPr>
      <w:bookmarkStart w:id="176" w:name="_Toc3339"/>
      <w:bookmarkStart w:id="177" w:name="_Toc5424"/>
      <w:r>
        <w:rPr>
          <w:rStyle w:val="13"/>
          <w:rFonts w:hint="eastAsia" w:ascii="仿宋" w:hAnsi="仿宋" w:eastAsia="仿宋" w:cs="Times New Roman"/>
          <w:b w:val="0"/>
          <w:bCs w:val="0"/>
          <w:color w:val="auto"/>
          <w:highlight w:val="none"/>
          <w:lang w:val="en-US" w:eastAsia="zh-CN" w:bidi="ar-SA"/>
        </w:rPr>
        <w:t>一般公共预算财政拨款支出决算明细表</w:t>
      </w:r>
      <w:bookmarkEnd w:id="175"/>
      <w:bookmarkEnd w:id="176"/>
      <w:bookmarkEnd w:id="177"/>
      <w:bookmarkStart w:id="178" w:name="_Toc15396626"/>
    </w:p>
    <w:p>
      <w:pPr>
        <w:pageBreakBefore w:val="0"/>
        <w:numPr>
          <w:ilvl w:val="0"/>
          <w:numId w:val="4"/>
        </w:numPr>
        <w:kinsoku/>
        <w:wordWrap/>
        <w:overflowPunct/>
        <w:topLinePunct w:val="0"/>
        <w:bidi w:val="0"/>
        <w:spacing w:after="315" w:afterLines="100" w:afterAutospacing="0" w:line="580" w:lineRule="exact"/>
        <w:ind w:leftChars="150"/>
        <w:jc w:val="both"/>
        <w:outlineLvl w:val="1"/>
        <w:rPr>
          <w:rStyle w:val="13"/>
          <w:rFonts w:hint="eastAsia" w:ascii="仿宋" w:hAnsi="仿宋" w:eastAsia="仿宋" w:cs="Times New Roman"/>
          <w:b w:val="0"/>
          <w:bCs w:val="0"/>
          <w:color w:val="auto"/>
          <w:highlight w:val="none"/>
          <w:lang w:val="en-US" w:eastAsia="zh-CN" w:bidi="ar-SA"/>
        </w:rPr>
      </w:pPr>
      <w:bookmarkStart w:id="179" w:name="_Toc3640"/>
      <w:bookmarkStart w:id="180" w:name="_Toc27262"/>
      <w:r>
        <w:rPr>
          <w:rStyle w:val="13"/>
          <w:rFonts w:hint="eastAsia" w:ascii="仿宋" w:hAnsi="仿宋" w:eastAsia="仿宋" w:cs="Times New Roman"/>
          <w:b w:val="0"/>
          <w:bCs w:val="0"/>
          <w:color w:val="auto"/>
          <w:highlight w:val="none"/>
          <w:lang w:val="en-US" w:eastAsia="zh-CN" w:bidi="ar-SA"/>
        </w:rPr>
        <w:t>一般公共预算财政拨款基本支出决算表</w:t>
      </w:r>
      <w:bookmarkEnd w:id="178"/>
      <w:bookmarkEnd w:id="179"/>
      <w:bookmarkEnd w:id="180"/>
      <w:bookmarkStart w:id="181" w:name="_Toc15396627"/>
    </w:p>
    <w:p>
      <w:pPr>
        <w:pageBreakBefore w:val="0"/>
        <w:numPr>
          <w:ilvl w:val="0"/>
          <w:numId w:val="4"/>
        </w:numPr>
        <w:kinsoku/>
        <w:wordWrap/>
        <w:overflowPunct/>
        <w:topLinePunct w:val="0"/>
        <w:bidi w:val="0"/>
        <w:spacing w:after="315" w:afterLines="100" w:afterAutospacing="0" w:line="580" w:lineRule="exact"/>
        <w:ind w:leftChars="150"/>
        <w:jc w:val="both"/>
        <w:outlineLvl w:val="1"/>
        <w:rPr>
          <w:rStyle w:val="13"/>
          <w:rFonts w:hint="eastAsia" w:ascii="仿宋" w:hAnsi="仿宋" w:eastAsia="仿宋" w:cs="Times New Roman"/>
          <w:b w:val="0"/>
          <w:bCs w:val="0"/>
          <w:color w:val="auto"/>
          <w:highlight w:val="none"/>
          <w:lang w:val="en-US" w:eastAsia="zh-CN" w:bidi="ar-SA"/>
        </w:rPr>
      </w:pPr>
      <w:bookmarkStart w:id="182" w:name="_Toc22267"/>
      <w:bookmarkStart w:id="183" w:name="_Toc3442"/>
      <w:r>
        <w:rPr>
          <w:rStyle w:val="13"/>
          <w:rFonts w:hint="eastAsia" w:ascii="仿宋" w:hAnsi="仿宋" w:eastAsia="仿宋" w:cs="Times New Roman"/>
          <w:b w:val="0"/>
          <w:bCs w:val="0"/>
          <w:color w:val="auto"/>
          <w:highlight w:val="none"/>
          <w:lang w:val="en-US" w:eastAsia="zh-CN" w:bidi="ar-SA"/>
        </w:rPr>
        <w:t>一般公共预算财政拨款项目支出决算表</w:t>
      </w:r>
      <w:bookmarkEnd w:id="181"/>
      <w:bookmarkEnd w:id="182"/>
      <w:bookmarkEnd w:id="183"/>
      <w:bookmarkStart w:id="184" w:name="_Toc15396628"/>
    </w:p>
    <w:bookmarkEnd w:id="184"/>
    <w:p>
      <w:pPr>
        <w:pageBreakBefore w:val="0"/>
        <w:numPr>
          <w:ilvl w:val="0"/>
          <w:numId w:val="4"/>
        </w:numPr>
        <w:kinsoku/>
        <w:wordWrap/>
        <w:overflowPunct/>
        <w:topLinePunct w:val="0"/>
        <w:bidi w:val="0"/>
        <w:spacing w:after="315" w:afterLines="100" w:afterAutospacing="0" w:line="580" w:lineRule="exact"/>
        <w:ind w:leftChars="150"/>
        <w:jc w:val="both"/>
        <w:outlineLvl w:val="1"/>
        <w:rPr>
          <w:rStyle w:val="13"/>
          <w:rFonts w:hint="eastAsia" w:ascii="仿宋" w:hAnsi="仿宋" w:eastAsia="仿宋" w:cs="Times New Roman"/>
          <w:b w:val="0"/>
          <w:bCs w:val="0"/>
          <w:color w:val="auto"/>
          <w:highlight w:val="none"/>
          <w:lang w:val="en-US" w:eastAsia="zh-CN" w:bidi="ar-SA"/>
        </w:rPr>
      </w:pPr>
      <w:bookmarkStart w:id="185" w:name="_Toc23438"/>
      <w:bookmarkStart w:id="186" w:name="_Toc20957"/>
      <w:r>
        <w:rPr>
          <w:rStyle w:val="13"/>
          <w:rFonts w:hint="eastAsia" w:ascii="仿宋" w:hAnsi="仿宋" w:eastAsia="仿宋" w:cs="Times New Roman"/>
          <w:b w:val="0"/>
          <w:bCs w:val="0"/>
          <w:color w:val="auto"/>
          <w:highlight w:val="none"/>
          <w:lang w:val="en-US" w:eastAsia="zh-CN" w:bidi="ar-SA"/>
        </w:rPr>
        <w:t>政府性基金预算财政拨款收入支出决算表</w:t>
      </w:r>
      <w:bookmarkEnd w:id="185"/>
      <w:bookmarkEnd w:id="186"/>
      <w:bookmarkStart w:id="187" w:name="_Toc15396629"/>
    </w:p>
    <w:bookmarkEnd w:id="187"/>
    <w:p>
      <w:pPr>
        <w:pageBreakBefore w:val="0"/>
        <w:numPr>
          <w:ilvl w:val="0"/>
          <w:numId w:val="4"/>
        </w:numPr>
        <w:kinsoku/>
        <w:wordWrap/>
        <w:overflowPunct/>
        <w:topLinePunct w:val="0"/>
        <w:bidi w:val="0"/>
        <w:spacing w:after="315" w:afterLines="100" w:afterAutospacing="0" w:line="580" w:lineRule="exact"/>
        <w:ind w:leftChars="150"/>
        <w:jc w:val="both"/>
        <w:outlineLvl w:val="1"/>
        <w:rPr>
          <w:rStyle w:val="13"/>
          <w:rFonts w:hint="eastAsia" w:ascii="仿宋" w:hAnsi="仿宋" w:eastAsia="仿宋" w:cs="Times New Roman"/>
          <w:b w:val="0"/>
          <w:bCs w:val="0"/>
          <w:color w:val="auto"/>
          <w:highlight w:val="none"/>
          <w:lang w:val="en-US" w:eastAsia="zh-CN" w:bidi="ar-SA"/>
        </w:rPr>
      </w:pPr>
      <w:bookmarkStart w:id="188" w:name="_Toc497"/>
      <w:bookmarkStart w:id="189" w:name="_Toc7993"/>
      <w:r>
        <w:rPr>
          <w:rStyle w:val="13"/>
          <w:rFonts w:hint="eastAsia" w:ascii="仿宋" w:hAnsi="仿宋" w:eastAsia="仿宋" w:cs="Times New Roman"/>
          <w:b w:val="0"/>
          <w:bCs w:val="0"/>
          <w:color w:val="auto"/>
          <w:highlight w:val="none"/>
          <w:lang w:val="en-US" w:eastAsia="zh-CN" w:bidi="ar-SA"/>
        </w:rPr>
        <w:t>国有资本经营预算财政拨款收入支出决算表</w:t>
      </w:r>
      <w:bookmarkEnd w:id="188"/>
      <w:bookmarkEnd w:id="189"/>
      <w:bookmarkStart w:id="190" w:name="_Toc15396630"/>
    </w:p>
    <w:bookmarkEnd w:id="190"/>
    <w:p>
      <w:pPr>
        <w:pageBreakBefore w:val="0"/>
        <w:numPr>
          <w:ilvl w:val="0"/>
          <w:numId w:val="4"/>
        </w:numPr>
        <w:kinsoku/>
        <w:wordWrap/>
        <w:overflowPunct/>
        <w:topLinePunct w:val="0"/>
        <w:bidi w:val="0"/>
        <w:spacing w:after="315" w:afterLines="100" w:afterAutospacing="0" w:line="580" w:lineRule="exact"/>
        <w:ind w:leftChars="150"/>
        <w:jc w:val="both"/>
        <w:outlineLvl w:val="1"/>
        <w:rPr>
          <w:rStyle w:val="13"/>
          <w:rFonts w:hint="eastAsia" w:ascii="仿宋" w:hAnsi="仿宋" w:eastAsia="仿宋" w:cs="Times New Roman"/>
          <w:b w:val="0"/>
          <w:bCs w:val="0"/>
          <w:color w:val="auto"/>
          <w:highlight w:val="none"/>
          <w:lang w:val="en-US" w:eastAsia="zh-CN" w:bidi="ar-SA"/>
        </w:rPr>
      </w:pPr>
      <w:bookmarkStart w:id="191" w:name="_Toc16487"/>
      <w:bookmarkStart w:id="192" w:name="_Toc16377"/>
      <w:r>
        <w:rPr>
          <w:rStyle w:val="13"/>
          <w:rFonts w:hint="eastAsia" w:ascii="仿宋" w:hAnsi="仿宋" w:eastAsia="仿宋" w:cs="Times New Roman"/>
          <w:b w:val="0"/>
          <w:bCs w:val="0"/>
          <w:color w:val="auto"/>
          <w:highlight w:val="none"/>
          <w:lang w:val="en-US" w:eastAsia="zh-CN" w:bidi="ar-SA"/>
        </w:rPr>
        <w:t>国有资本经营预算财政拨款支出决算表</w:t>
      </w:r>
      <w:bookmarkEnd w:id="191"/>
      <w:bookmarkEnd w:id="192"/>
    </w:p>
    <w:p>
      <w:pPr>
        <w:pStyle w:val="6"/>
        <w:ind w:left="0" w:leftChars="0" w:firstLine="320" w:firstLineChars="100"/>
        <w:rPr>
          <w:rFonts w:hint="eastAsia" w:eastAsia="仿宋"/>
          <w:color w:val="auto"/>
          <w:highlight w:val="none"/>
          <w:lang w:eastAsia="zh-CN"/>
        </w:rPr>
      </w:pPr>
      <w:bookmarkStart w:id="193" w:name="_Toc15396631"/>
      <w:bookmarkStart w:id="194" w:name="_Toc31020"/>
      <w:bookmarkStart w:id="195" w:name="_Toc18007"/>
      <w:r>
        <w:rPr>
          <w:rStyle w:val="13"/>
          <w:rFonts w:hint="eastAsia" w:ascii="仿宋" w:hAnsi="仿宋" w:eastAsia="仿宋"/>
          <w:b w:val="0"/>
          <w:bCs w:val="0"/>
          <w:color w:val="auto"/>
          <w:highlight w:val="none"/>
        </w:rPr>
        <w:t>十三、</w:t>
      </w:r>
      <w:bookmarkEnd w:id="193"/>
      <w:r>
        <w:rPr>
          <w:rStyle w:val="13"/>
          <w:rFonts w:hint="eastAsia" w:ascii="仿宋" w:hAnsi="仿宋" w:eastAsia="仿宋"/>
          <w:b w:val="0"/>
          <w:bCs w:val="0"/>
          <w:color w:val="auto"/>
          <w:highlight w:val="none"/>
          <w:lang w:eastAsia="zh-CN"/>
        </w:rPr>
        <w:t>财政拨款“三公”经费支出决算表</w:t>
      </w:r>
      <w:bookmarkEnd w:id="194"/>
      <w:bookmarkEnd w:id="195"/>
    </w:p>
    <w:p>
      <w:pPr>
        <w:pStyle w:val="6"/>
        <w:pageBreakBefore w:val="0"/>
        <w:widowControl w:val="0"/>
        <w:kinsoku/>
        <w:wordWrap/>
        <w:overflowPunct/>
        <w:topLinePunct w:val="0"/>
        <w:autoSpaceDE/>
        <w:autoSpaceDN/>
        <w:bidi w:val="0"/>
        <w:adjustRightInd/>
        <w:snapToGrid/>
        <w:spacing w:before="0" w:after="0" w:line="580" w:lineRule="exact"/>
        <w:textAlignment w:val="auto"/>
        <w:outlineLvl w:val="9"/>
        <w:rPr>
          <w:rFonts w:ascii="仿宋" w:hAnsi="仿宋" w:eastAsia="仿宋"/>
          <w:color w:val="000000"/>
        </w:rPr>
      </w:pPr>
    </w:p>
    <w:sectPr>
      <w:footerReference r:id="rId6"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decorative"/>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p>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p>
  <w:p>
    <w:pPr>
      <w:pStyle w:val="2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rPr>
        <w:sz w:val="18"/>
      </w:rPr>
      <w:pict>
        <v:shape id="文本框 14"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v:textbox inset="0mm,0mm,0mm,0mm" style="mso-fit-shape-to-text:t;">
            <w:txbxContent>
              <w:p>
                <w:pPr>
                  <w:pStyle w:val="21"/>
                  <w:jc w:val="center"/>
                </w:pPr>
                <w:r>
                  <w:fldChar w:fldCharType="begin"/>
                </w:r>
                <w:r>
                  <w:instrText xml:space="preserve">PAGE   \* MERGEFORMAT</w:instrText>
                </w:r>
                <w:r>
                  <w:fldChar w:fldCharType="separate"/>
                </w:r>
                <w:r>
                  <w:rPr>
                    <w:lang w:val="zh-CN"/>
                  </w:rPr>
                  <w:t>3</w:t>
                </w:r>
                <w:r>
                  <w:fldChar w:fldCharType="end"/>
                </w:r>
              </w:p>
            </w:txbxContent>
          </v:textbox>
        </v:shape>
      </w:pict>
    </w:r>
  </w:p>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1"/>
      <w:numFmt w:val="chineseCounting"/>
      <w:suff w:val="nothing"/>
      <w:lvlText w:val="%1、"/>
      <w:lvlJc w:val="left"/>
      <w:rPr>
        <w:rFonts w:hint="eastAsia"/>
      </w:rPr>
    </w:lvl>
  </w:abstractNum>
  <w:abstractNum w:abstractNumId="1">
    <w:nsid w:val="CF092B84"/>
    <w:multiLevelType w:val="singleLevel"/>
    <w:tmpl w:val="CF092B84"/>
    <w:lvl w:ilvl="0" w:tentative="0">
      <w:start w:val="9"/>
      <w:numFmt w:val="chineseCounting"/>
      <w:suff w:val="nothing"/>
      <w:lvlText w:val="%1、"/>
      <w:lvlJc w:val="left"/>
      <w:rPr>
        <w:rFonts w:hint="eastAsia" w:cs="Times New Roman"/>
      </w:rPr>
    </w:lvl>
  </w:abstractNum>
  <w:abstractNum w:abstractNumId="2">
    <w:nsid w:val="0053208E"/>
    <w:multiLevelType w:val="multilevel"/>
    <w:tmpl w:val="0053208E"/>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3">
    <w:nsid w:val="59ADCABA"/>
    <w:multiLevelType w:val="singleLevel"/>
    <w:tmpl w:val="59ADCABA"/>
    <w:lvl w:ilvl="0" w:tentative="0">
      <w:start w:val="3"/>
      <w:numFmt w:val="chineseCounting"/>
      <w:suff w:val="space"/>
      <w:lvlText w:val="第%1部分"/>
      <w:lvlJc w:val="left"/>
      <w:rPr>
        <w:rFonts w:hint="eastAsia"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NotTrackMoves/>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5"/>
    <w:compatSetting w:name="enableOpenTypeFeatures" w:uri="http://schemas.microsoft.com/office/word" w:val="1"/>
    <w:compatSetting w:name="doNotFlipMirrorIndents" w:uri="http://schemas.microsoft.com/office/word" w:val="1"/>
  </w:compat>
  <w:docVars>
    <w:docVar w:name="commondata" w:val="eyJoZGlkIjoiZTBiNzA2ZjIyZTQwZmFmZGMwZjhhNjI3NTM3OGRmYjAifQ=="/>
  </w:docVars>
  <w:rsids>
    <w:rsidRoot w:val="00000000"/>
    <w:rsid w:val="16F462C6"/>
  </w:rsids>
  <m:mathPr>
    <m:brkBin m:val="before"/>
    <m:brkBinSub m:val="--"/>
    <m:smallFrac m:val="0"/>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31"/>
    <w:qFormat/>
    <w:uiPriority w:val="9"/>
    <w:pPr>
      <w:keepNext/>
      <w:keepLines/>
      <w:spacing w:before="340" w:after="330" w:line="578" w:lineRule="auto"/>
      <w:outlineLvl w:val="0"/>
    </w:pPr>
    <w:rPr>
      <w:b/>
      <w:bCs/>
      <w:kern w:val="44"/>
      <w:sz w:val="44"/>
      <w:szCs w:val="44"/>
    </w:rPr>
  </w:style>
  <w:style w:type="paragraph" w:customStyle="1" w:styleId="6">
    <w:name w:val="标题 21"/>
    <w:basedOn w:val="1"/>
    <w:next w:val="1"/>
    <w:link w:val="32"/>
    <w:unhideWhenUsed/>
    <w:qFormat/>
    <w:uiPriority w:val="9"/>
    <w:pPr>
      <w:keepNext/>
      <w:keepLines/>
      <w:spacing w:before="260" w:after="260" w:line="416" w:lineRule="auto"/>
      <w:outlineLvl w:val="1"/>
    </w:pPr>
    <w:rPr>
      <w:rFonts w:ascii="Cambria" w:hAnsi="Cambria"/>
      <w:b/>
      <w:bCs/>
      <w:sz w:val="32"/>
      <w:szCs w:val="32"/>
    </w:rPr>
  </w:style>
  <w:style w:type="paragraph" w:customStyle="1" w:styleId="7">
    <w:name w:val="标题 31"/>
    <w:basedOn w:val="1"/>
    <w:next w:val="1"/>
    <w:link w:val="14"/>
    <w:unhideWhenUsed/>
    <w:qFormat/>
    <w:uiPriority w:val="9"/>
    <w:pPr>
      <w:keepNext/>
      <w:keepLines/>
      <w:spacing w:before="260" w:after="260" w:line="416" w:lineRule="auto"/>
      <w:outlineLvl w:val="2"/>
    </w:pPr>
    <w:rPr>
      <w:b/>
      <w:bCs/>
      <w:sz w:val="32"/>
      <w:szCs w:val="32"/>
    </w:rPr>
  </w:style>
  <w:style w:type="character" w:customStyle="1" w:styleId="8">
    <w:name w:val="默认段落字体1"/>
    <w:unhideWhenUsed/>
    <w:uiPriority w:val="1"/>
  </w:style>
  <w:style w:type="table" w:customStyle="1" w:styleId="9">
    <w:name w:val="普通表格1"/>
    <w:unhideWhenUsed/>
    <w:qFormat/>
    <w:uiPriority w:val="99"/>
    <w:tblPr>
      <w:tblCellMar>
        <w:top w:w="0" w:type="dxa"/>
        <w:left w:w="108" w:type="dxa"/>
        <w:bottom w:w="0" w:type="dxa"/>
        <w:right w:w="108" w:type="dxa"/>
      </w:tblCellMar>
    </w:tblPr>
  </w:style>
  <w:style w:type="paragraph" w:customStyle="1" w:styleId="10">
    <w:name w:val="正文文本1"/>
    <w:basedOn w:val="1"/>
    <w:next w:val="1"/>
    <w:link w:val="11"/>
    <w:qFormat/>
    <w:uiPriority w:val="99"/>
    <w:pPr>
      <w:spacing w:beforeLines="30"/>
    </w:pPr>
    <w:rPr>
      <w:rFonts w:ascii="仿宋_GB2312" w:eastAsia="仿宋_GB2312"/>
      <w:kern w:val="0"/>
      <w:sz w:val="24"/>
      <w:szCs w:val="20"/>
    </w:rPr>
  </w:style>
  <w:style w:type="character" w:customStyle="1" w:styleId="11">
    <w:name w:val=" Char Char3"/>
    <w:link w:val="10"/>
    <w:qFormat/>
    <w:locked/>
    <w:uiPriority w:val="99"/>
    <w:rPr>
      <w:rFonts w:ascii="仿宋_GB2312" w:hAnsi="Times New Roman" w:eastAsia="仿宋_GB2312"/>
      <w:sz w:val="24"/>
    </w:rPr>
  </w:style>
  <w:style w:type="character" w:customStyle="1" w:styleId="12">
    <w:name w:val=" Char Char6"/>
    <w:basedOn w:val="8"/>
    <w:link w:val="5"/>
    <w:qFormat/>
    <w:locked/>
    <w:uiPriority w:val="9"/>
    <w:rPr>
      <w:rFonts w:ascii="Times New Roman" w:hAnsi="Times New Roman" w:cs="Times New Roman"/>
      <w:b/>
      <w:bCs/>
      <w:kern w:val="44"/>
      <w:sz w:val="44"/>
      <w:szCs w:val="44"/>
    </w:rPr>
  </w:style>
  <w:style w:type="character" w:customStyle="1" w:styleId="13">
    <w:name w:val="标题 2 Char"/>
    <w:basedOn w:val="8"/>
    <w:link w:val="6"/>
    <w:qFormat/>
    <w:uiPriority w:val="9"/>
    <w:rPr>
      <w:rFonts w:ascii="Cambria" w:hAnsi="Cambria" w:eastAsia="宋体" w:cs="Times New Roman"/>
      <w:b/>
      <w:bCs/>
      <w:kern w:val="2"/>
      <w:sz w:val="32"/>
      <w:szCs w:val="32"/>
    </w:rPr>
  </w:style>
  <w:style w:type="character" w:customStyle="1" w:styleId="14">
    <w:name w:val=" Char Char4"/>
    <w:basedOn w:val="8"/>
    <w:link w:val="7"/>
    <w:qFormat/>
    <w:locked/>
    <w:uiPriority w:val="9"/>
    <w:rPr>
      <w:rFonts w:ascii="Times New Roman" w:hAnsi="Times New Roman" w:cs="Times New Roman"/>
      <w:b/>
      <w:bCs/>
      <w:kern w:val="2"/>
      <w:sz w:val="32"/>
      <w:szCs w:val="32"/>
    </w:rPr>
  </w:style>
  <w:style w:type="paragraph" w:customStyle="1" w:styleId="15">
    <w:name w:val="称呼1"/>
    <w:basedOn w:val="1"/>
    <w:next w:val="1"/>
    <w:qFormat/>
    <w:uiPriority w:val="99"/>
    <w:rPr>
      <w:rFonts w:ascii="Times New Roman" w:hAnsi="Times New Roman"/>
      <w:szCs w:val="20"/>
    </w:rPr>
  </w:style>
  <w:style w:type="paragraph" w:customStyle="1" w:styleId="16">
    <w:name w:val="正文文本缩进1"/>
    <w:basedOn w:val="1"/>
    <w:next w:val="1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outlineLvl w:val="9"/>
    </w:pPr>
    <w:rPr>
      <w:rFonts w:ascii="Times New Roman" w:hAnsi="Times New Roman" w:eastAsia="仿宋_GB2312" w:cs="宋体"/>
      <w:b/>
      <w:snapToGrid/>
      <w:color w:val="000000"/>
      <w:spacing w:val="0"/>
      <w:w w:val="100"/>
      <w:kern w:val="2"/>
      <w:position w:val="0"/>
      <w:sz w:val="32"/>
      <w:szCs w:val="24"/>
      <w:u w:val="none" w:color="auto"/>
      <w:vertAlign w:val="baseline"/>
      <w:lang w:val="en-US" w:eastAsia="zh-CN" w:bidi="ar-SA"/>
    </w:rPr>
  </w:style>
  <w:style w:type="paragraph" w:customStyle="1" w:styleId="17">
    <w:name w:val="正文首行缩进 21"/>
    <w:basedOn w:val="16"/>
    <w:next w:val="1"/>
    <w:qFormat/>
    <w:uiPriority w:val="0"/>
    <w:pPr>
      <w:ind w:firstLine="420" w:firstLineChars="200"/>
    </w:pPr>
  </w:style>
  <w:style w:type="paragraph" w:customStyle="1" w:styleId="18">
    <w:name w:val="目录 31"/>
    <w:basedOn w:val="1"/>
    <w:next w:val="1"/>
    <w:unhideWhenUsed/>
    <w:qFormat/>
    <w:uiPriority w:val="39"/>
    <w:pPr>
      <w:tabs>
        <w:tab w:val="right" w:leader="dot" w:pos="8296"/>
      </w:tabs>
      <w:ind w:left="840" w:leftChars="400"/>
    </w:pPr>
  </w:style>
  <w:style w:type="paragraph" w:customStyle="1" w:styleId="19">
    <w:name w:val="批注框文本1"/>
    <w:basedOn w:val="1"/>
    <w:link w:val="20"/>
    <w:unhideWhenUsed/>
    <w:qFormat/>
    <w:uiPriority w:val="99"/>
    <w:rPr>
      <w:sz w:val="18"/>
      <w:szCs w:val="18"/>
    </w:rPr>
  </w:style>
  <w:style w:type="character" w:customStyle="1" w:styleId="20">
    <w:name w:val=" Char Char2"/>
    <w:basedOn w:val="8"/>
    <w:link w:val="19"/>
    <w:semiHidden/>
    <w:qFormat/>
    <w:locked/>
    <w:uiPriority w:val="99"/>
    <w:rPr>
      <w:rFonts w:ascii="Times New Roman" w:hAnsi="Times New Roman" w:cs="Times New Roman"/>
      <w:kern w:val="2"/>
      <w:sz w:val="18"/>
      <w:szCs w:val="18"/>
    </w:rPr>
  </w:style>
  <w:style w:type="paragraph" w:customStyle="1" w:styleId="21">
    <w:name w:val="页脚1"/>
    <w:basedOn w:val="1"/>
    <w:link w:val="22"/>
    <w:qFormat/>
    <w:uiPriority w:val="99"/>
    <w:pPr>
      <w:tabs>
        <w:tab w:val="center" w:pos="4153"/>
        <w:tab w:val="right" w:pos="8306"/>
      </w:tabs>
      <w:snapToGrid w:val="0"/>
      <w:jc w:val="left"/>
    </w:pPr>
    <w:rPr>
      <w:rFonts w:ascii="Calibri" w:hAnsi="Calibri"/>
      <w:kern w:val="0"/>
      <w:sz w:val="18"/>
      <w:szCs w:val="20"/>
    </w:rPr>
  </w:style>
  <w:style w:type="character" w:customStyle="1" w:styleId="22">
    <w:name w:val=" Char Char1"/>
    <w:link w:val="21"/>
    <w:qFormat/>
    <w:locked/>
    <w:uiPriority w:val="99"/>
    <w:rPr>
      <w:sz w:val="18"/>
    </w:rPr>
  </w:style>
  <w:style w:type="paragraph" w:customStyle="1" w:styleId="23">
    <w:name w:val="页眉1"/>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character" w:customStyle="1" w:styleId="24">
    <w:name w:val=" Char Char"/>
    <w:link w:val="23"/>
    <w:semiHidden/>
    <w:qFormat/>
    <w:locked/>
    <w:uiPriority w:val="99"/>
    <w:rPr>
      <w:sz w:val="18"/>
    </w:rPr>
  </w:style>
  <w:style w:type="paragraph" w:customStyle="1" w:styleId="25">
    <w:name w:val="目录 11"/>
    <w:basedOn w:val="1"/>
    <w:next w:val="1"/>
    <w:unhideWhenUsed/>
    <w:qFormat/>
    <w:uiPriority w:val="39"/>
    <w:pPr>
      <w:tabs>
        <w:tab w:val="right" w:leader="dot" w:pos="8296"/>
      </w:tabs>
      <w:spacing w:before="93"/>
      <w:jc w:val="center"/>
    </w:pPr>
    <w:rPr>
      <w:rFonts w:ascii="仿宋" w:hAnsi="仿宋" w:eastAsia="仿宋"/>
      <w:sz w:val="28"/>
      <w:szCs w:val="28"/>
    </w:rPr>
  </w:style>
  <w:style w:type="paragraph" w:customStyle="1" w:styleId="26">
    <w:name w:val="图表目录1"/>
    <w:basedOn w:val="1"/>
    <w:next w:val="1"/>
    <w:qFormat/>
    <w:uiPriority w:val="0"/>
    <w:pPr>
      <w:ind w:left="400" w:leftChars="200" w:hanging="200" w:hangingChars="200"/>
    </w:pPr>
  </w:style>
  <w:style w:type="paragraph" w:customStyle="1" w:styleId="27">
    <w:name w:val="目录 21"/>
    <w:basedOn w:val="1"/>
    <w:next w:val="1"/>
    <w:unhideWhenUsed/>
    <w:qFormat/>
    <w:uiPriority w:val="39"/>
    <w:pPr>
      <w:tabs>
        <w:tab w:val="right" w:leader="dot" w:pos="8296"/>
      </w:tabs>
      <w:ind w:left="420" w:leftChars="200"/>
    </w:pPr>
  </w:style>
  <w:style w:type="paragraph" w:customStyle="1" w:styleId="28">
    <w:name w:val="普通(网站)1"/>
    <w:basedOn w:val="1"/>
    <w:qFormat/>
    <w:uiPriority w:val="0"/>
    <w:pPr>
      <w:spacing w:before="100" w:beforeAutospacing="1" w:after="100" w:afterAutospacing="1"/>
      <w:ind w:left="0" w:right="0"/>
      <w:jc w:val="left"/>
    </w:pPr>
    <w:rPr>
      <w:kern w:val="0"/>
      <w:sz w:val="24"/>
      <w:lang w:val="en-US" w:eastAsia="zh-CN" w:bidi="en-AU"/>
    </w:rPr>
  </w:style>
  <w:style w:type="character" w:customStyle="1" w:styleId="29">
    <w:name w:val="要点1"/>
    <w:basedOn w:val="8"/>
    <w:qFormat/>
    <w:uiPriority w:val="99"/>
    <w:rPr>
      <w:rFonts w:cs="Times New Roman"/>
      <w:b/>
    </w:rPr>
  </w:style>
  <w:style w:type="character" w:customStyle="1" w:styleId="30">
    <w:name w:val="超链接1"/>
    <w:basedOn w:val="8"/>
    <w:unhideWhenUsed/>
    <w:qFormat/>
    <w:uiPriority w:val="99"/>
    <w:rPr>
      <w:rFonts w:cs="Times New Roman"/>
      <w:color w:val="0000FF"/>
      <w:u w:val="single"/>
    </w:rPr>
  </w:style>
  <w:style w:type="character" w:customStyle="1" w:styleId="31">
    <w:name w:val="标题 1 Char"/>
    <w:basedOn w:val="8"/>
    <w:link w:val="5"/>
    <w:qFormat/>
    <w:uiPriority w:val="9"/>
    <w:rPr>
      <w:rFonts w:ascii="Times New Roman" w:hAnsi="Times New Roman"/>
      <w:b/>
      <w:bCs/>
      <w:kern w:val="44"/>
      <w:sz w:val="44"/>
      <w:szCs w:val="44"/>
    </w:rPr>
  </w:style>
  <w:style w:type="character" w:customStyle="1" w:styleId="32">
    <w:name w:val=" Char Char5"/>
    <w:basedOn w:val="8"/>
    <w:link w:val="6"/>
    <w:qFormat/>
    <w:locked/>
    <w:uiPriority w:val="9"/>
    <w:rPr>
      <w:rFonts w:ascii="Cambria" w:hAnsi="Cambria" w:eastAsia="宋体" w:cs="Times New Roman"/>
      <w:b/>
      <w:bCs/>
      <w:kern w:val="2"/>
      <w:sz w:val="32"/>
      <w:szCs w:val="32"/>
    </w:rPr>
  </w:style>
  <w:style w:type="character" w:customStyle="1" w:styleId="33">
    <w:name w:val="Footer Char"/>
    <w:basedOn w:val="8"/>
    <w:semiHidden/>
    <w:qFormat/>
    <w:uiPriority w:val="99"/>
    <w:rPr>
      <w:rFonts w:ascii="Times New Roman" w:hAnsi="Times New Roman" w:cs="Times New Roman"/>
      <w:sz w:val="18"/>
      <w:szCs w:val="18"/>
    </w:rPr>
  </w:style>
  <w:style w:type="character" w:customStyle="1" w:styleId="34">
    <w:name w:val="Body Text Char"/>
    <w:basedOn w:val="8"/>
    <w:semiHidden/>
    <w:qFormat/>
    <w:uiPriority w:val="99"/>
    <w:rPr>
      <w:rFonts w:ascii="Times New Roman" w:hAnsi="Times New Roman" w:cs="Times New Roman"/>
      <w:sz w:val="24"/>
      <w:szCs w:val="24"/>
    </w:rPr>
  </w:style>
  <w:style w:type="character" w:customStyle="1" w:styleId="35">
    <w:name w:val="Header Char"/>
    <w:basedOn w:val="8"/>
    <w:semiHidden/>
    <w:qFormat/>
    <w:uiPriority w:val="99"/>
    <w:rPr>
      <w:rFonts w:ascii="Times New Roman" w:hAnsi="Times New Roman" w:cs="Times New Roman"/>
      <w:sz w:val="18"/>
      <w:szCs w:val="18"/>
    </w:rPr>
  </w:style>
  <w:style w:type="paragraph" w:customStyle="1" w:styleId="36">
    <w:name w:val="TOC 标题1"/>
    <w:basedOn w:val="5"/>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7">
    <w:name w:val="Default"/>
    <w:qFormat/>
    <w:uiPriority w:val="99"/>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38">
    <w:name w:val="Normal_0"/>
    <w:uiPriority w:val="0"/>
    <w:pPr>
      <w:jc w:val="both"/>
    </w:pPr>
    <w:rPr>
      <w:rFonts w:ascii="Times New Roman" w:hAnsi="Times New Roman" w:eastAsia="宋体" w:cs="Times New Roman"/>
      <w:kern w:val="2"/>
      <w:sz w:val="21"/>
      <w:szCs w:val="21"/>
      <w:lang w:val="en-US" w:eastAsia="zh-CN" w:bidi="ar-SA"/>
    </w:rPr>
  </w:style>
  <w:style w:type="paragraph" w:styleId="39">
    <w:name w:val="List Paragraph"/>
    <w:basedOn w:val="1"/>
    <w:qFormat/>
    <w:uiPriority w:val="34"/>
    <w:pPr>
      <w:ind w:firstLine="420" w:firstLineChars="200"/>
    </w:pPr>
  </w:style>
  <w:style w:type="paragraph" w:customStyle="1" w:styleId="40">
    <w:name w:val="WPSOffice手动目录 2"/>
    <w:qFormat/>
    <w:uiPriority w:val="0"/>
    <w:pPr>
      <w:ind w:leftChars="200"/>
    </w:pPr>
    <w:rPr>
      <w:rFonts w:ascii="Times New Roman" w:hAnsi="Times New Roman" w:eastAsia="宋体" w:cs="Times New Roman"/>
      <w:sz w:val="20"/>
      <w:szCs w:val="20"/>
    </w:rPr>
  </w:style>
  <w:style w:type="paragraph" w:customStyle="1" w:styleId="41">
    <w:name w:val="TOC Heading1"/>
    <w:basedOn w:val="5"/>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42">
    <w:name w:val="WPSOffice手动目录 1"/>
    <w:qFormat/>
    <w:uiPriority w:val="0"/>
    <w:pPr>
      <w:ind w:leftChars="0"/>
    </w:pPr>
    <w:rPr>
      <w:rFonts w:ascii="Times New Roman" w:hAnsi="Times New Roman" w:eastAsia="宋体" w:cs="Times New Roman"/>
      <w:sz w:val="20"/>
      <w:szCs w:val="20"/>
    </w:rPr>
  </w:style>
  <w:style w:type="character" w:customStyle="1" w:styleId="43">
    <w:name w:val="font131"/>
    <w:basedOn w:val="8"/>
    <w:uiPriority w:val="0"/>
    <w:rPr>
      <w:rFonts w:hint="eastAsia" w:ascii="宋体" w:hAnsi="宋体" w:eastAsia="宋体" w:cs="宋体"/>
      <w:color w:val="000000"/>
      <w:sz w:val="20"/>
      <w:szCs w:val="20"/>
      <w:u w:val="none"/>
    </w:rPr>
  </w:style>
  <w:style w:type="character" w:customStyle="1" w:styleId="44">
    <w:name w:val="font51"/>
    <w:basedOn w:val="8"/>
    <w:uiPriority w:val="0"/>
    <w:rPr>
      <w:rFonts w:hint="eastAsia" w:ascii="宋体" w:hAnsi="宋体" w:eastAsia="宋体" w:cs="宋体"/>
      <w:color w:val="000000"/>
      <w:sz w:val="20"/>
      <w:szCs w:val="20"/>
      <w:u w:val="none"/>
    </w:rPr>
  </w:style>
  <w:style w:type="character" w:customStyle="1" w:styleId="45">
    <w:name w:val="font141"/>
    <w:basedOn w:val="8"/>
    <w:uiPriority w:val="0"/>
    <w:rPr>
      <w:rFonts w:hint="eastAsia" w:ascii="宋体" w:hAnsi="宋体" w:eastAsia="宋体" w:cs="宋体"/>
      <w:color w:val="000000"/>
      <w:sz w:val="18"/>
      <w:szCs w:val="18"/>
      <w:u w:val="none"/>
    </w:rPr>
  </w:style>
  <w:style w:type="character" w:customStyle="1" w:styleId="46">
    <w:name w:val="font91"/>
    <w:basedOn w:val="8"/>
    <w:uiPriority w:val="0"/>
    <w:rPr>
      <w:rFonts w:hint="eastAsia" w:ascii="宋体" w:hAnsi="宋体" w:eastAsia="宋体" w:cs="宋体"/>
      <w:color w:val="000000"/>
      <w:sz w:val="20"/>
      <w:szCs w:val="20"/>
      <w:u w:val="none"/>
    </w:rPr>
  </w:style>
  <w:style w:type="character" w:customStyle="1" w:styleId="47">
    <w:name w:val="font101"/>
    <w:basedOn w:val="8"/>
    <w:uiPriority w:val="0"/>
    <w:rPr>
      <w:rFonts w:hint="eastAsia" w:ascii="宋体" w:hAnsi="宋体" w:eastAsia="宋体" w:cs="宋体"/>
      <w:color w:val="000000"/>
      <w:sz w:val="18"/>
      <w:szCs w:val="18"/>
      <w:u w:val="none"/>
    </w:rPr>
  </w:style>
  <w:style w:type="paragraph" w:customStyle="1" w:styleId="48">
    <w:name w:val="列表段落1"/>
    <w:basedOn w:val="1"/>
    <w:qFormat/>
    <w:uiPriority w:val="34"/>
    <w:pPr>
      <w:ind w:firstLine="420" w:firstLineChars="200"/>
    </w:pPr>
    <w:rPr>
      <w:rFonts w:eastAsia="宋体"/>
    </w:rPr>
  </w:style>
  <w:style w:type="character" w:customStyle="1" w:styleId="49">
    <w:name w:val="font31"/>
    <w:basedOn w:val="8"/>
    <w:qFormat/>
    <w:uiPriority w:val="0"/>
    <w:rPr>
      <w:rFonts w:hint="eastAsia" w:ascii="宋体" w:hAnsi="宋体" w:eastAsia="宋体" w:cs="宋体"/>
      <w:color w:val="000000"/>
      <w:sz w:val="20"/>
      <w:szCs w:val="20"/>
      <w:u w:val="none"/>
    </w:rPr>
  </w:style>
  <w:style w:type="character" w:customStyle="1" w:styleId="50">
    <w:name w:val="font121"/>
    <w:basedOn w:val="8"/>
    <w:qFormat/>
    <w:uiPriority w:val="0"/>
    <w:rPr>
      <w:rFonts w:hint="eastAsia" w:ascii="宋体" w:hAnsi="宋体" w:eastAsia="宋体" w:cs="宋体"/>
      <w:color w:val="000000"/>
      <w:sz w:val="20"/>
      <w:szCs w:val="20"/>
      <w:u w:val="none"/>
    </w:rPr>
  </w:style>
  <w:style w:type="character" w:customStyle="1" w:styleId="51">
    <w:name w:val="font71"/>
    <w:basedOn w:val="8"/>
    <w:qFormat/>
    <w:uiPriority w:val="0"/>
    <w:rPr>
      <w:rFonts w:hint="eastAsia" w:ascii="宋体" w:hAnsi="宋体" w:eastAsia="宋体" w:cs="宋体"/>
      <w:color w:val="000000"/>
      <w:sz w:val="18"/>
      <w:szCs w:val="18"/>
      <w:u w:val="none"/>
    </w:rPr>
  </w:style>
  <w:style w:type="character" w:customStyle="1" w:styleId="52">
    <w:name w:val="font112"/>
    <w:basedOn w:val="8"/>
    <w:qFormat/>
    <w:uiPriority w:val="0"/>
    <w:rPr>
      <w:rFonts w:hint="eastAsia" w:ascii="宋体" w:hAnsi="宋体" w:eastAsia="宋体" w:cs="宋体"/>
      <w:color w:val="000000"/>
      <w:sz w:val="20"/>
      <w:szCs w:val="20"/>
      <w:u w:val="none"/>
    </w:rPr>
  </w:style>
  <w:style w:type="paragraph" w:customStyle="1" w:styleId="53">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26</Pages>
  <Words>10014</Words>
  <Characters>11024</Characters>
  <Lines>61</Lines>
  <Paragraphs>17</Paragraphs>
  <TotalTime>157515361</TotalTime>
  <ScaleCrop>false</ScaleCrop>
  <LinksUpToDate>false</LinksUpToDate>
  <CharactersWithSpaces>13247</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2020-08-04T01:49:00Z</dcterms:created>
  <dc:creator>曹颖</dc:creator>
  <cp:lastModifiedBy>WPS_1651227375</cp:lastModifiedBy>
  <cp:lastPrinted>2021-10-11T04:02:00Z</cp:lastPrinted>
  <dcterms:modified xsi:type="dcterms:W3CDTF">2024-08-12T06:55:07Z</dcterms:modified>
  <dc:title>四川省_x002A__x002A__x002A_</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2A07E24A64844AD6851DE52B634DF832_13</vt:lpwstr>
  </property>
</Properties>
</file>