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color w:val="auto"/>
          <w:sz w:val="72"/>
          <w:szCs w:val="72"/>
          <w:highlight w:val="none"/>
        </w:rPr>
      </w:pPr>
      <w:bookmarkStart w:id="0" w:name="_Toc15377425"/>
      <w:bookmarkStart w:id="1" w:name="_Toc15377193"/>
      <w:bookmarkStart w:id="2" w:name="_Toc15396475"/>
      <w:bookmarkStart w:id="3" w:name="_Toc15378441"/>
      <w:bookmarkStart w:id="4" w:name="_Toc15396597"/>
      <w:bookmarkStart w:id="5" w:name="_Toc15306267"/>
    </w:p>
    <w:p>
      <w:pPr>
        <w:spacing w:line="600" w:lineRule="exact"/>
        <w:jc w:val="center"/>
        <w:outlineLvl w:val="0"/>
        <w:rPr>
          <w:rFonts w:ascii="方正小标宋简体" w:hAnsi="宋体" w:eastAsia="方正小标宋简体"/>
          <w:color w:val="auto"/>
          <w:sz w:val="72"/>
          <w:szCs w:val="72"/>
          <w:highlight w:val="none"/>
        </w:rPr>
      </w:pPr>
    </w:p>
    <w:p>
      <w:pPr>
        <w:spacing w:line="600" w:lineRule="exact"/>
        <w:jc w:val="center"/>
        <w:outlineLvl w:val="0"/>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6" w:name="_Toc4971"/>
      <w:bookmarkStart w:id="7" w:name="_Toc27554"/>
      <w:bookmarkStart w:id="8" w:name="_Toc8220"/>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0"/>
      <w:bookmarkEnd w:id="1"/>
      <w:bookmarkEnd w:id="2"/>
      <w:bookmarkEnd w:id="3"/>
      <w:bookmarkEnd w:id="4"/>
      <w:bookmarkEnd w:id="6"/>
      <w:bookmarkEnd w:id="7"/>
      <w:bookmarkEnd w:id="8"/>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9" w:name="_Toc15396598"/>
      <w:bookmarkStart w:id="10" w:name="_Toc15377426"/>
      <w:bookmarkStart w:id="11" w:name="_Toc15378442"/>
      <w:bookmarkStart w:id="12" w:name="_Toc15377194"/>
      <w:bookmarkStart w:id="13" w:name="_Toc20889"/>
      <w:bookmarkStart w:id="14" w:name="_Toc4475"/>
      <w:bookmarkStart w:id="15" w:name="_Toc15396476"/>
      <w:bookmarkStart w:id="16" w:name="_Toc17647"/>
      <w:r>
        <w:rPr>
          <w:rFonts w:hint="eastAsia" w:ascii="方正小标宋简体" w:hAnsi="方正小标宋简体" w:eastAsia="方正小标宋简体" w:cs="方正小标宋简体"/>
          <w:color w:val="auto"/>
          <w:sz w:val="72"/>
          <w:szCs w:val="72"/>
          <w:highlight w:val="none"/>
        </w:rPr>
        <w:t>四川省</w:t>
      </w:r>
      <w:bookmarkEnd w:id="5"/>
      <w:bookmarkStart w:id="17" w:name="_Toc15306268"/>
      <w:r>
        <w:rPr>
          <w:rFonts w:hint="eastAsia" w:ascii="方正小标宋简体" w:hAnsi="方正小标宋简体" w:eastAsia="方正小标宋简体" w:cs="方正小标宋简体"/>
          <w:color w:val="auto"/>
          <w:sz w:val="72"/>
          <w:szCs w:val="72"/>
          <w:highlight w:val="none"/>
          <w:lang w:eastAsia="zh-CN"/>
        </w:rPr>
        <w:t>广元市昭化区疾病预防控制中心单位</w:t>
      </w:r>
      <w:r>
        <w:rPr>
          <w:rFonts w:hint="eastAsia" w:ascii="方正小标宋简体" w:hAnsi="方正小标宋简体" w:eastAsia="方正小标宋简体" w:cs="方正小标宋简体"/>
          <w:color w:val="auto"/>
          <w:sz w:val="72"/>
          <w:szCs w:val="72"/>
          <w:highlight w:val="none"/>
        </w:rPr>
        <w:t>决算</w:t>
      </w:r>
      <w:bookmarkEnd w:id="9"/>
      <w:bookmarkEnd w:id="10"/>
      <w:bookmarkEnd w:id="11"/>
      <w:bookmarkEnd w:id="12"/>
      <w:bookmarkEnd w:id="13"/>
      <w:bookmarkEnd w:id="14"/>
      <w:bookmarkEnd w:id="15"/>
      <w:bookmarkEnd w:id="16"/>
      <w:bookmarkEnd w:id="17"/>
    </w:p>
    <w:p>
      <w:pPr>
        <w:widowControl/>
        <w:jc w:val="center"/>
        <w:rPr>
          <w:rFonts w:hint="eastAsia" w:ascii="黑体" w:hAnsi="黑体" w:eastAsia="黑体"/>
          <w:color w:val="auto"/>
          <w:sz w:val="48"/>
          <w:szCs w:val="48"/>
          <w:highlight w:val="none"/>
        </w:rPr>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pPr>
    </w:p>
    <w:p>
      <w:pPr>
        <w:widowControl/>
        <w:jc w:val="center"/>
        <w:rPr>
          <w:rFonts w:ascii="黑体" w:hAnsi="黑体" w:eastAsia="黑体" w:cstheme="minorBidi"/>
          <w:color w:val="auto"/>
          <w:sz w:val="28"/>
          <w:szCs w:val="28"/>
          <w:highlight w:val="none"/>
        </w:rPr>
      </w:pPr>
      <w:r>
        <w:rPr>
          <w:rFonts w:hint="eastAsia" w:ascii="黑体" w:hAnsi="黑体" w:eastAsia="黑体"/>
          <w:color w:val="auto"/>
          <w:sz w:val="48"/>
          <w:szCs w:val="48"/>
          <w:highlight w:val="none"/>
        </w:rPr>
        <w:t>目录</w:t>
      </w:r>
    </w:p>
    <w:p>
      <w:pPr>
        <w:pStyle w:val="13"/>
        <w:rPr>
          <w:color w:val="auto"/>
          <w:highlight w:val="none"/>
        </w:rPr>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9</w:t>
      </w:r>
      <w:r>
        <w:rPr>
          <w:rFonts w:hint="eastAsia"/>
          <w:color w:val="auto"/>
          <w:highlight w:val="none"/>
        </w:rPr>
        <w:t>月</w:t>
      </w:r>
      <w:r>
        <w:rPr>
          <w:rFonts w:hint="eastAsia"/>
          <w:color w:val="auto"/>
          <w:highlight w:val="none"/>
          <w:lang w:val="en-US" w:eastAsia="zh-CN"/>
        </w:rPr>
        <w:t>26</w:t>
      </w:r>
      <w:r>
        <w:rPr>
          <w:rFonts w:hint="eastAsia"/>
          <w:color w:val="auto"/>
          <w:highlight w:val="none"/>
        </w:rPr>
        <w:t>日</w:t>
      </w:r>
    </w:p>
    <w:sdt>
      <w:sdtPr>
        <w:rPr>
          <w:rFonts w:ascii="宋体" w:hAnsi="宋体" w:eastAsia="宋体" w:cs="Times New Roman"/>
          <w:kern w:val="2"/>
          <w:sz w:val="21"/>
          <w:szCs w:val="24"/>
          <w:lang w:val="en-US" w:eastAsia="zh-CN" w:bidi="ar-SA"/>
        </w:rPr>
        <w:id w:val="147453774"/>
        <w15:color w:val="DBDBDB"/>
        <w:docPartObj>
          <w:docPartGallery w:val="Table of Contents"/>
          <w:docPartUnique/>
        </w:docPartObj>
      </w:sdtPr>
      <w:sdtEndPr>
        <w:rPr>
          <w:rFonts w:ascii="宋体" w:hAnsi="宋体" w:eastAsia="宋体" w:cs="Times New Roman"/>
          <w:kern w:val="2"/>
          <w:sz w:val="21"/>
          <w:szCs w:val="24"/>
          <w:lang w:val="en-US" w:eastAsia="zh-CN" w:bidi="ar-SA"/>
        </w:rPr>
      </w:sdtEndPr>
      <w:sdtContent>
        <w:p>
          <w:pPr>
            <w:spacing w:before="0" w:beforeLines="0" w:after="0" w:afterLines="0" w:line="240" w:lineRule="auto"/>
            <w:ind w:left="0" w:leftChars="0" w:right="0" w:rightChars="0" w:firstLine="0" w:firstLineChars="0"/>
            <w:jc w:val="center"/>
            <w:rPr>
              <w:rFonts w:ascii="Times New Roman" w:hAnsi="Times New Roman" w:eastAsia="宋体" w:cs="Times New Roman"/>
              <w:kern w:val="2"/>
              <w:sz w:val="21"/>
              <w:szCs w:val="24"/>
              <w:lang w:val="en-US" w:eastAsia="zh-CN" w:bidi="ar-SA"/>
            </w:rPr>
          </w:pPr>
          <w:r>
            <w:fldChar w:fldCharType="begin"/>
          </w:r>
          <w:r>
            <w:instrText xml:space="preserve">TOC \o "1-3" \h \u</w:instrText>
          </w:r>
          <w:r>
            <w:fldChar w:fldCharType="separate"/>
          </w:r>
        </w:p>
        <w:p>
          <w:pPr>
            <w:pStyle w:val="13"/>
            <w:tabs>
              <w:tab w:val="right" w:leader="dot" w:pos="8306"/>
              <w:tab w:val="clear" w:pos="8296"/>
            </w:tabs>
            <w:rPr>
              <w:rFonts w:hint="eastAsia" w:ascii="仿宋" w:hAnsi="仿宋" w:eastAsia="仿宋" w:cs="仿宋"/>
              <w:b w:val="0"/>
              <w:bCs w:val="0"/>
              <w:sz w:val="24"/>
              <w:szCs w:val="24"/>
            </w:rPr>
          </w:pPr>
          <w:r>
            <w:fldChar w:fldCharType="begin"/>
          </w:r>
          <w:r>
            <w:instrText xml:space="preserve"> HYPERLINK \l "_Toc27581" </w:instrText>
          </w:r>
          <w:r>
            <w:fldChar w:fldCharType="separate"/>
          </w:r>
          <w:r>
            <w:rPr>
              <w:rFonts w:hint="eastAsia" w:ascii="仿宋" w:hAnsi="仿宋" w:eastAsia="仿宋" w:cs="仿宋"/>
              <w:b w:val="0"/>
              <w:bCs w:val="0"/>
              <w:sz w:val="24"/>
              <w:szCs w:val="24"/>
              <w:lang w:val="en-US" w:eastAsia="zh-CN" w:bidi="ar-SA"/>
            </w:rPr>
            <w:t>第一部分 单位概况</w:t>
          </w:r>
          <w:r>
            <w:rPr>
              <w:rFonts w:hint="eastAsia" w:ascii="仿宋" w:hAnsi="仿宋" w:eastAsia="仿宋" w:cs="仿宋"/>
              <w:b w:val="0"/>
              <w:bCs w:val="0"/>
              <w:sz w:val="24"/>
              <w:szCs w:val="24"/>
              <w:lang w:val="en-US" w:eastAsia="zh-CN" w:bidi="ar-SA"/>
            </w:rPr>
            <w:tab/>
          </w:r>
          <w:r>
            <w:rPr>
              <w:rFonts w:hint="eastAsia" w:ascii="仿宋" w:hAnsi="仿宋" w:eastAsia="仿宋" w:cs="仿宋"/>
              <w:b w:val="0"/>
              <w:bCs w:val="0"/>
              <w:sz w:val="24"/>
              <w:szCs w:val="24"/>
              <w:lang w:val="en-US" w:eastAsia="zh-CN" w:bidi="ar-SA"/>
            </w:rPr>
            <w:fldChar w:fldCharType="begin"/>
          </w:r>
          <w:r>
            <w:rPr>
              <w:rFonts w:hint="eastAsia" w:ascii="仿宋" w:hAnsi="仿宋" w:eastAsia="仿宋" w:cs="仿宋"/>
              <w:b w:val="0"/>
              <w:bCs w:val="0"/>
              <w:sz w:val="24"/>
              <w:szCs w:val="24"/>
              <w:lang w:val="en-US" w:eastAsia="zh-CN" w:bidi="ar-SA"/>
            </w:rPr>
            <w:instrText xml:space="preserve"> PAGEREF _Toc27581 \h </w:instrText>
          </w:r>
          <w:r>
            <w:rPr>
              <w:rFonts w:hint="eastAsia" w:ascii="仿宋" w:hAnsi="仿宋" w:eastAsia="仿宋" w:cs="仿宋"/>
              <w:b w:val="0"/>
              <w:bCs w:val="0"/>
              <w:sz w:val="24"/>
              <w:szCs w:val="24"/>
              <w:lang w:val="en-US" w:eastAsia="zh-CN" w:bidi="ar-SA"/>
            </w:rPr>
            <w:fldChar w:fldCharType="separate"/>
          </w:r>
          <w:r>
            <w:rPr>
              <w:rFonts w:hint="eastAsia" w:ascii="仿宋" w:hAnsi="仿宋" w:eastAsia="仿宋" w:cs="仿宋"/>
              <w:b w:val="0"/>
              <w:bCs w:val="0"/>
              <w:sz w:val="24"/>
              <w:szCs w:val="24"/>
              <w:lang w:val="en-US" w:eastAsia="zh-CN" w:bidi="ar-SA"/>
            </w:rPr>
            <w:t>3</w:t>
          </w:r>
          <w:r>
            <w:rPr>
              <w:rFonts w:hint="eastAsia" w:ascii="仿宋" w:hAnsi="仿宋" w:eastAsia="仿宋" w:cs="仿宋"/>
              <w:b w:val="0"/>
              <w:bCs w:val="0"/>
              <w:sz w:val="24"/>
              <w:szCs w:val="24"/>
              <w:lang w:val="en-US" w:eastAsia="zh-CN" w:bidi="ar-SA"/>
            </w:rPr>
            <w:fldChar w:fldCharType="end"/>
          </w:r>
          <w:r>
            <w:rPr>
              <w:rFonts w:hint="eastAsia" w:ascii="仿宋" w:hAnsi="仿宋" w:eastAsia="仿宋" w:cs="仿宋"/>
              <w:b w:val="0"/>
              <w:bCs w:val="0"/>
              <w:sz w:val="24"/>
              <w:szCs w:val="24"/>
              <w:lang w:val="en-US" w:eastAsia="zh-CN" w:bidi="ar-SA"/>
            </w:rPr>
            <w:fldChar w:fldCharType="end"/>
          </w:r>
        </w:p>
        <w:p>
          <w:pPr>
            <w:pStyle w:val="42"/>
            <w:tabs>
              <w:tab w:val="right" w:leader="dot" w:pos="8306"/>
            </w:tabs>
            <w:spacing w:line="440" w:lineRule="exact"/>
            <w:ind w:left="420"/>
            <w:rPr>
              <w:rFonts w:hint="eastAsia" w:ascii="仿宋" w:hAnsi="仿宋" w:eastAsia="仿宋" w:cs="仿宋"/>
              <w:b w:val="0"/>
              <w:bCs w:val="0"/>
              <w:sz w:val="24"/>
              <w:szCs w:val="24"/>
            </w:rPr>
          </w:pPr>
          <w:r>
            <w:fldChar w:fldCharType="begin"/>
          </w:r>
          <w:r>
            <w:instrText xml:space="preserve"> HYPERLINK \l "_Toc13626" </w:instrText>
          </w:r>
          <w:r>
            <w:fldChar w:fldCharType="separate"/>
          </w:r>
          <w:r>
            <w:rPr>
              <w:rFonts w:hint="eastAsia" w:ascii="仿宋" w:hAnsi="仿宋" w:eastAsia="仿宋" w:cs="仿宋"/>
              <w:b w:val="0"/>
              <w:bCs w:val="0"/>
              <w:sz w:val="24"/>
              <w:szCs w:val="24"/>
              <w:lang w:eastAsia="zh-CN"/>
            </w:rPr>
            <w:t>一、主要职责</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_Toc13626 \h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3</w:t>
          </w:r>
          <w:r>
            <w:rPr>
              <w:rFonts w:hint="eastAsia" w:ascii="仿宋" w:hAnsi="仿宋" w:eastAsia="仿宋" w:cs="仿宋"/>
              <w:b w:val="0"/>
              <w:bCs w:val="0"/>
              <w:sz w:val="24"/>
              <w:szCs w:val="24"/>
            </w:rPr>
            <w:fldChar w:fldCharType="end"/>
          </w:r>
          <w:r>
            <w:rPr>
              <w:rFonts w:hint="eastAsia" w:ascii="仿宋" w:hAnsi="仿宋" w:eastAsia="仿宋" w:cs="仿宋"/>
              <w:b w:val="0"/>
              <w:bCs w:val="0"/>
              <w:sz w:val="24"/>
              <w:szCs w:val="24"/>
            </w:rPr>
            <w:fldChar w:fldCharType="end"/>
          </w:r>
        </w:p>
        <w:p>
          <w:pPr>
            <w:pStyle w:val="42"/>
            <w:tabs>
              <w:tab w:val="right" w:leader="dot" w:pos="8306"/>
            </w:tabs>
            <w:spacing w:line="440" w:lineRule="exact"/>
            <w:ind w:left="420"/>
            <w:rPr>
              <w:rFonts w:hint="eastAsia" w:ascii="仿宋" w:hAnsi="仿宋" w:eastAsia="仿宋" w:cs="仿宋"/>
              <w:b w:val="0"/>
              <w:bCs w:val="0"/>
              <w:sz w:val="24"/>
              <w:szCs w:val="24"/>
            </w:rPr>
          </w:pPr>
          <w:r>
            <w:fldChar w:fldCharType="begin"/>
          </w:r>
          <w:r>
            <w:instrText xml:space="preserve"> HYPERLINK \l "_Toc3895" </w:instrText>
          </w:r>
          <w:r>
            <w:fldChar w:fldCharType="separate"/>
          </w:r>
          <w:r>
            <w:rPr>
              <w:rFonts w:hint="eastAsia" w:ascii="仿宋" w:hAnsi="仿宋" w:eastAsia="仿宋" w:cs="仿宋"/>
              <w:b w:val="0"/>
              <w:bCs w:val="0"/>
              <w:sz w:val="24"/>
              <w:szCs w:val="24"/>
            </w:rPr>
            <w:t>二、机构设置</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_Toc3895 \h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3</w:t>
          </w:r>
          <w:r>
            <w:rPr>
              <w:rFonts w:hint="eastAsia" w:ascii="仿宋" w:hAnsi="仿宋" w:eastAsia="仿宋" w:cs="仿宋"/>
              <w:b w:val="0"/>
              <w:bCs w:val="0"/>
              <w:sz w:val="24"/>
              <w:szCs w:val="24"/>
            </w:rPr>
            <w:fldChar w:fldCharType="end"/>
          </w:r>
          <w:r>
            <w:rPr>
              <w:rFonts w:hint="eastAsia" w:ascii="仿宋" w:hAnsi="仿宋" w:eastAsia="仿宋" w:cs="仿宋"/>
              <w:b w:val="0"/>
              <w:bCs w:val="0"/>
              <w:sz w:val="24"/>
              <w:szCs w:val="24"/>
            </w:rPr>
            <w:fldChar w:fldCharType="end"/>
          </w:r>
        </w:p>
        <w:p>
          <w:pPr>
            <w:pStyle w:val="13"/>
            <w:tabs>
              <w:tab w:val="right" w:leader="dot" w:pos="8306"/>
              <w:tab w:val="clear" w:pos="8296"/>
            </w:tabs>
            <w:rPr>
              <w:rFonts w:hint="eastAsia" w:ascii="仿宋" w:hAnsi="仿宋" w:eastAsia="仿宋" w:cs="仿宋"/>
              <w:b w:val="0"/>
              <w:bCs w:val="0"/>
              <w:sz w:val="24"/>
              <w:szCs w:val="24"/>
              <w:lang w:val="en-US" w:eastAsia="zh-CN" w:bidi="ar-SA"/>
            </w:rPr>
          </w:pPr>
          <w:r>
            <w:fldChar w:fldCharType="begin"/>
          </w:r>
          <w:r>
            <w:instrText xml:space="preserve"> HYPERLINK \l "_Toc9047" </w:instrText>
          </w:r>
          <w:r>
            <w:fldChar w:fldCharType="separate"/>
          </w:r>
          <w:r>
            <w:rPr>
              <w:rFonts w:hint="eastAsia" w:ascii="仿宋" w:hAnsi="仿宋" w:eastAsia="仿宋" w:cs="仿宋"/>
              <w:b w:val="0"/>
              <w:bCs w:val="0"/>
              <w:sz w:val="24"/>
              <w:szCs w:val="24"/>
              <w:lang w:val="en-US" w:eastAsia="zh-CN" w:bidi="ar-SA"/>
            </w:rPr>
            <w:t>第二部分 2022年度单位决算情况说明</w:t>
          </w:r>
          <w:r>
            <w:rPr>
              <w:rFonts w:hint="eastAsia" w:ascii="仿宋" w:hAnsi="仿宋" w:eastAsia="仿宋" w:cs="仿宋"/>
              <w:b w:val="0"/>
              <w:bCs w:val="0"/>
              <w:sz w:val="24"/>
              <w:szCs w:val="24"/>
              <w:lang w:val="en-US" w:eastAsia="zh-CN" w:bidi="ar-SA"/>
            </w:rPr>
            <w:tab/>
          </w:r>
          <w:r>
            <w:rPr>
              <w:rFonts w:hint="eastAsia" w:ascii="仿宋" w:hAnsi="仿宋" w:eastAsia="仿宋" w:cs="仿宋"/>
              <w:b w:val="0"/>
              <w:bCs w:val="0"/>
              <w:sz w:val="24"/>
              <w:szCs w:val="24"/>
              <w:lang w:val="en-US" w:eastAsia="zh-CN" w:bidi="ar-SA"/>
            </w:rPr>
            <w:fldChar w:fldCharType="begin"/>
          </w:r>
          <w:r>
            <w:rPr>
              <w:rFonts w:hint="eastAsia" w:ascii="仿宋" w:hAnsi="仿宋" w:eastAsia="仿宋" w:cs="仿宋"/>
              <w:b w:val="0"/>
              <w:bCs w:val="0"/>
              <w:sz w:val="24"/>
              <w:szCs w:val="24"/>
              <w:lang w:val="en-US" w:eastAsia="zh-CN" w:bidi="ar-SA"/>
            </w:rPr>
            <w:instrText xml:space="preserve"> PAGEREF _Toc9047 \h </w:instrText>
          </w:r>
          <w:r>
            <w:rPr>
              <w:rFonts w:hint="eastAsia" w:ascii="仿宋" w:hAnsi="仿宋" w:eastAsia="仿宋" w:cs="仿宋"/>
              <w:b w:val="0"/>
              <w:bCs w:val="0"/>
              <w:sz w:val="24"/>
              <w:szCs w:val="24"/>
              <w:lang w:val="en-US" w:eastAsia="zh-CN" w:bidi="ar-SA"/>
            </w:rPr>
            <w:fldChar w:fldCharType="separate"/>
          </w:r>
          <w:r>
            <w:rPr>
              <w:rFonts w:hint="eastAsia" w:ascii="仿宋" w:hAnsi="仿宋" w:eastAsia="仿宋" w:cs="仿宋"/>
              <w:b w:val="0"/>
              <w:bCs w:val="0"/>
              <w:sz w:val="24"/>
              <w:szCs w:val="24"/>
              <w:lang w:val="en-US" w:eastAsia="zh-CN" w:bidi="ar-SA"/>
            </w:rPr>
            <w:t>4</w:t>
          </w:r>
          <w:r>
            <w:rPr>
              <w:rFonts w:hint="eastAsia" w:ascii="仿宋" w:hAnsi="仿宋" w:eastAsia="仿宋" w:cs="仿宋"/>
              <w:b w:val="0"/>
              <w:bCs w:val="0"/>
              <w:sz w:val="24"/>
              <w:szCs w:val="24"/>
              <w:lang w:val="en-US" w:eastAsia="zh-CN" w:bidi="ar-SA"/>
            </w:rPr>
            <w:fldChar w:fldCharType="end"/>
          </w:r>
          <w:r>
            <w:rPr>
              <w:rFonts w:hint="eastAsia" w:ascii="仿宋" w:hAnsi="仿宋" w:eastAsia="仿宋" w:cs="仿宋"/>
              <w:b w:val="0"/>
              <w:bCs w:val="0"/>
              <w:sz w:val="24"/>
              <w:szCs w:val="24"/>
              <w:lang w:val="en-US" w:eastAsia="zh-CN" w:bidi="ar-SA"/>
            </w:rPr>
            <w:fldChar w:fldCharType="end"/>
          </w:r>
        </w:p>
        <w:p>
          <w:pPr>
            <w:pStyle w:val="42"/>
            <w:tabs>
              <w:tab w:val="right" w:leader="dot" w:pos="8306"/>
            </w:tabs>
            <w:spacing w:line="440" w:lineRule="exact"/>
            <w:ind w:left="420"/>
            <w:rPr>
              <w:rFonts w:hint="eastAsia" w:ascii="仿宋" w:hAnsi="仿宋" w:eastAsia="仿宋" w:cs="仿宋"/>
              <w:b w:val="0"/>
              <w:bCs w:val="0"/>
              <w:sz w:val="24"/>
              <w:szCs w:val="24"/>
            </w:rPr>
          </w:pPr>
          <w:r>
            <w:fldChar w:fldCharType="begin"/>
          </w:r>
          <w:r>
            <w:instrText xml:space="preserve"> HYPERLINK \l "_Toc28767" </w:instrText>
          </w:r>
          <w:r>
            <w:fldChar w:fldCharType="separate"/>
          </w:r>
          <w:r>
            <w:rPr>
              <w:rFonts w:hint="eastAsia" w:ascii="仿宋" w:hAnsi="仿宋" w:eastAsia="仿宋" w:cs="仿宋"/>
              <w:b w:val="0"/>
              <w:bCs w:val="0"/>
              <w:sz w:val="24"/>
              <w:szCs w:val="24"/>
            </w:rPr>
            <w:t>一、收入支出决算总体情况说明</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_Toc28767 \h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4</w:t>
          </w:r>
          <w:r>
            <w:rPr>
              <w:rFonts w:hint="eastAsia" w:ascii="仿宋" w:hAnsi="仿宋" w:eastAsia="仿宋" w:cs="仿宋"/>
              <w:b w:val="0"/>
              <w:bCs w:val="0"/>
              <w:sz w:val="24"/>
              <w:szCs w:val="24"/>
            </w:rPr>
            <w:fldChar w:fldCharType="end"/>
          </w:r>
          <w:r>
            <w:rPr>
              <w:rFonts w:hint="eastAsia" w:ascii="仿宋" w:hAnsi="仿宋" w:eastAsia="仿宋" w:cs="仿宋"/>
              <w:b w:val="0"/>
              <w:bCs w:val="0"/>
              <w:sz w:val="24"/>
              <w:szCs w:val="24"/>
            </w:rPr>
            <w:fldChar w:fldCharType="end"/>
          </w:r>
        </w:p>
        <w:p>
          <w:pPr>
            <w:pStyle w:val="42"/>
            <w:tabs>
              <w:tab w:val="right" w:leader="dot" w:pos="8306"/>
            </w:tabs>
            <w:spacing w:line="440" w:lineRule="exact"/>
            <w:ind w:left="420"/>
            <w:rPr>
              <w:rFonts w:hint="eastAsia" w:ascii="仿宋" w:hAnsi="仿宋" w:eastAsia="仿宋" w:cs="仿宋"/>
              <w:b w:val="0"/>
              <w:bCs w:val="0"/>
              <w:sz w:val="24"/>
              <w:szCs w:val="24"/>
            </w:rPr>
          </w:pPr>
          <w:r>
            <w:fldChar w:fldCharType="begin"/>
          </w:r>
          <w:r>
            <w:instrText xml:space="preserve"> HYPERLINK \l "_Toc24065" </w:instrText>
          </w:r>
          <w:r>
            <w:fldChar w:fldCharType="separate"/>
          </w:r>
          <w:r>
            <w:rPr>
              <w:rFonts w:hint="eastAsia" w:ascii="仿宋" w:hAnsi="仿宋" w:eastAsia="仿宋" w:cs="仿宋"/>
              <w:b w:val="0"/>
              <w:bCs w:val="0"/>
              <w:sz w:val="24"/>
              <w:szCs w:val="24"/>
            </w:rPr>
            <w:t>二、收入决算情况说明</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_Toc24065 \h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4</w:t>
          </w:r>
          <w:r>
            <w:rPr>
              <w:rFonts w:hint="eastAsia" w:ascii="仿宋" w:hAnsi="仿宋" w:eastAsia="仿宋" w:cs="仿宋"/>
              <w:b w:val="0"/>
              <w:bCs w:val="0"/>
              <w:sz w:val="24"/>
              <w:szCs w:val="24"/>
            </w:rPr>
            <w:fldChar w:fldCharType="end"/>
          </w:r>
          <w:r>
            <w:rPr>
              <w:rFonts w:hint="eastAsia" w:ascii="仿宋" w:hAnsi="仿宋" w:eastAsia="仿宋" w:cs="仿宋"/>
              <w:b w:val="0"/>
              <w:bCs w:val="0"/>
              <w:sz w:val="24"/>
              <w:szCs w:val="24"/>
            </w:rPr>
            <w:fldChar w:fldCharType="end"/>
          </w:r>
        </w:p>
        <w:p>
          <w:pPr>
            <w:pStyle w:val="42"/>
            <w:tabs>
              <w:tab w:val="right" w:leader="dot" w:pos="8306"/>
            </w:tabs>
            <w:spacing w:line="440" w:lineRule="exact"/>
            <w:ind w:left="420"/>
            <w:rPr>
              <w:rFonts w:hint="eastAsia" w:ascii="仿宋" w:hAnsi="仿宋" w:eastAsia="仿宋" w:cs="仿宋"/>
              <w:b w:val="0"/>
              <w:bCs w:val="0"/>
              <w:sz w:val="24"/>
              <w:szCs w:val="24"/>
            </w:rPr>
          </w:pPr>
          <w:r>
            <w:fldChar w:fldCharType="begin"/>
          </w:r>
          <w:r>
            <w:instrText xml:space="preserve"> HYPERLINK \l "_Toc15659" </w:instrText>
          </w:r>
          <w:r>
            <w:fldChar w:fldCharType="separate"/>
          </w:r>
          <w:r>
            <w:rPr>
              <w:rFonts w:hint="eastAsia" w:ascii="仿宋" w:hAnsi="仿宋" w:eastAsia="仿宋" w:cs="仿宋"/>
              <w:b w:val="0"/>
              <w:bCs w:val="0"/>
              <w:sz w:val="24"/>
              <w:szCs w:val="24"/>
            </w:rPr>
            <w:t>三、支出决算情况说明</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_Toc15659 \h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5</w:t>
          </w:r>
          <w:r>
            <w:rPr>
              <w:rFonts w:hint="eastAsia" w:ascii="仿宋" w:hAnsi="仿宋" w:eastAsia="仿宋" w:cs="仿宋"/>
              <w:b w:val="0"/>
              <w:bCs w:val="0"/>
              <w:sz w:val="24"/>
              <w:szCs w:val="24"/>
            </w:rPr>
            <w:fldChar w:fldCharType="end"/>
          </w:r>
          <w:r>
            <w:rPr>
              <w:rFonts w:hint="eastAsia" w:ascii="仿宋" w:hAnsi="仿宋" w:eastAsia="仿宋" w:cs="仿宋"/>
              <w:b w:val="0"/>
              <w:bCs w:val="0"/>
              <w:sz w:val="24"/>
              <w:szCs w:val="24"/>
            </w:rPr>
            <w:fldChar w:fldCharType="end"/>
          </w:r>
        </w:p>
        <w:p>
          <w:pPr>
            <w:pStyle w:val="42"/>
            <w:tabs>
              <w:tab w:val="right" w:leader="dot" w:pos="8306"/>
            </w:tabs>
            <w:spacing w:line="440" w:lineRule="exact"/>
            <w:ind w:left="420"/>
            <w:rPr>
              <w:rFonts w:hint="eastAsia" w:ascii="仿宋" w:hAnsi="仿宋" w:eastAsia="仿宋" w:cs="仿宋"/>
              <w:b w:val="0"/>
              <w:bCs w:val="0"/>
              <w:sz w:val="24"/>
              <w:szCs w:val="24"/>
            </w:rPr>
          </w:pPr>
          <w:r>
            <w:fldChar w:fldCharType="begin"/>
          </w:r>
          <w:r>
            <w:instrText xml:space="preserve"> HYPERLINK \l "_Toc10477" </w:instrText>
          </w:r>
          <w:r>
            <w:fldChar w:fldCharType="separate"/>
          </w:r>
          <w:r>
            <w:rPr>
              <w:rFonts w:hint="eastAsia" w:ascii="仿宋" w:hAnsi="仿宋" w:eastAsia="仿宋" w:cs="仿宋"/>
              <w:b w:val="0"/>
              <w:bCs w:val="0"/>
              <w:sz w:val="24"/>
              <w:szCs w:val="24"/>
            </w:rPr>
            <w:t>四、财政拨款收入支出决算总体情况说明</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_Toc10477 \h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5</w:t>
          </w:r>
          <w:r>
            <w:rPr>
              <w:rFonts w:hint="eastAsia" w:ascii="仿宋" w:hAnsi="仿宋" w:eastAsia="仿宋" w:cs="仿宋"/>
              <w:b w:val="0"/>
              <w:bCs w:val="0"/>
              <w:sz w:val="24"/>
              <w:szCs w:val="24"/>
            </w:rPr>
            <w:fldChar w:fldCharType="end"/>
          </w:r>
          <w:r>
            <w:rPr>
              <w:rFonts w:hint="eastAsia" w:ascii="仿宋" w:hAnsi="仿宋" w:eastAsia="仿宋" w:cs="仿宋"/>
              <w:b w:val="0"/>
              <w:bCs w:val="0"/>
              <w:sz w:val="24"/>
              <w:szCs w:val="24"/>
            </w:rPr>
            <w:fldChar w:fldCharType="end"/>
          </w:r>
        </w:p>
        <w:p>
          <w:pPr>
            <w:pStyle w:val="42"/>
            <w:tabs>
              <w:tab w:val="right" w:leader="dot" w:pos="8306"/>
            </w:tabs>
            <w:spacing w:line="440" w:lineRule="exact"/>
            <w:ind w:left="420"/>
            <w:rPr>
              <w:rFonts w:hint="eastAsia" w:ascii="仿宋" w:hAnsi="仿宋" w:eastAsia="仿宋" w:cs="仿宋"/>
              <w:b w:val="0"/>
              <w:bCs w:val="0"/>
              <w:sz w:val="24"/>
              <w:szCs w:val="24"/>
            </w:rPr>
          </w:pPr>
          <w:r>
            <w:fldChar w:fldCharType="begin"/>
          </w:r>
          <w:r>
            <w:instrText xml:space="preserve"> HYPERLINK \l "_Toc12932" </w:instrText>
          </w:r>
          <w:r>
            <w:fldChar w:fldCharType="separate"/>
          </w:r>
          <w:r>
            <w:rPr>
              <w:rFonts w:hint="eastAsia" w:ascii="仿宋" w:hAnsi="仿宋" w:eastAsia="仿宋" w:cs="仿宋"/>
              <w:b w:val="0"/>
              <w:bCs w:val="0"/>
              <w:sz w:val="24"/>
              <w:szCs w:val="24"/>
            </w:rPr>
            <w:t>五、一般公共预算财政拨款支出决算情况说明</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_Toc12932 \h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6</w:t>
          </w:r>
          <w:r>
            <w:rPr>
              <w:rFonts w:hint="eastAsia" w:ascii="仿宋" w:hAnsi="仿宋" w:eastAsia="仿宋" w:cs="仿宋"/>
              <w:b w:val="0"/>
              <w:bCs w:val="0"/>
              <w:sz w:val="24"/>
              <w:szCs w:val="24"/>
            </w:rPr>
            <w:fldChar w:fldCharType="end"/>
          </w:r>
          <w:r>
            <w:rPr>
              <w:rFonts w:hint="eastAsia" w:ascii="仿宋" w:hAnsi="仿宋" w:eastAsia="仿宋" w:cs="仿宋"/>
              <w:b w:val="0"/>
              <w:bCs w:val="0"/>
              <w:sz w:val="24"/>
              <w:szCs w:val="24"/>
            </w:rPr>
            <w:fldChar w:fldCharType="end"/>
          </w:r>
        </w:p>
        <w:p>
          <w:pPr>
            <w:pStyle w:val="42"/>
            <w:tabs>
              <w:tab w:val="right" w:leader="dot" w:pos="8306"/>
            </w:tabs>
            <w:spacing w:line="440" w:lineRule="exact"/>
            <w:ind w:left="420"/>
            <w:rPr>
              <w:rFonts w:hint="eastAsia" w:ascii="仿宋" w:hAnsi="仿宋" w:eastAsia="仿宋" w:cs="仿宋"/>
              <w:b w:val="0"/>
              <w:bCs w:val="0"/>
              <w:sz w:val="24"/>
              <w:szCs w:val="24"/>
            </w:rPr>
          </w:pPr>
          <w:r>
            <w:fldChar w:fldCharType="begin"/>
          </w:r>
          <w:r>
            <w:instrText xml:space="preserve"> HYPERLINK \l "_Toc13351" </w:instrText>
          </w:r>
          <w:r>
            <w:fldChar w:fldCharType="separate"/>
          </w:r>
          <w:r>
            <w:rPr>
              <w:rFonts w:hint="eastAsia" w:ascii="仿宋" w:hAnsi="仿宋" w:eastAsia="仿宋" w:cs="仿宋"/>
              <w:b w:val="0"/>
              <w:bCs w:val="0"/>
              <w:sz w:val="24"/>
              <w:szCs w:val="24"/>
            </w:rPr>
            <w:t>六、一般公共预算财政拨款基本支出决算情况说明</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_Toc13351 \h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8</w:t>
          </w:r>
          <w:r>
            <w:rPr>
              <w:rFonts w:hint="eastAsia" w:ascii="仿宋" w:hAnsi="仿宋" w:eastAsia="仿宋" w:cs="仿宋"/>
              <w:b w:val="0"/>
              <w:bCs w:val="0"/>
              <w:sz w:val="24"/>
              <w:szCs w:val="24"/>
            </w:rPr>
            <w:fldChar w:fldCharType="end"/>
          </w:r>
          <w:r>
            <w:rPr>
              <w:rFonts w:hint="eastAsia" w:ascii="仿宋" w:hAnsi="仿宋" w:eastAsia="仿宋" w:cs="仿宋"/>
              <w:b w:val="0"/>
              <w:bCs w:val="0"/>
              <w:sz w:val="24"/>
              <w:szCs w:val="24"/>
            </w:rPr>
            <w:fldChar w:fldCharType="end"/>
          </w:r>
        </w:p>
        <w:p>
          <w:pPr>
            <w:pStyle w:val="42"/>
            <w:tabs>
              <w:tab w:val="right" w:leader="dot" w:pos="8306"/>
            </w:tabs>
            <w:spacing w:line="440" w:lineRule="exact"/>
            <w:ind w:left="420"/>
            <w:rPr>
              <w:rFonts w:hint="eastAsia" w:ascii="仿宋" w:hAnsi="仿宋" w:eastAsia="仿宋" w:cs="仿宋"/>
              <w:b w:val="0"/>
              <w:bCs w:val="0"/>
              <w:sz w:val="24"/>
              <w:szCs w:val="24"/>
            </w:rPr>
          </w:pPr>
          <w:r>
            <w:fldChar w:fldCharType="begin"/>
          </w:r>
          <w:r>
            <w:instrText xml:space="preserve"> HYPERLINK \l "_Toc6496" </w:instrText>
          </w:r>
          <w:r>
            <w:fldChar w:fldCharType="separate"/>
          </w:r>
          <w:r>
            <w:rPr>
              <w:rFonts w:hint="eastAsia" w:ascii="仿宋" w:hAnsi="仿宋" w:eastAsia="仿宋" w:cs="仿宋"/>
              <w:b w:val="0"/>
              <w:bCs w:val="0"/>
              <w:sz w:val="24"/>
              <w:szCs w:val="24"/>
            </w:rPr>
            <w:t>七、财政拨款“三公”经费支出决算情况说明</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_Toc6496 \h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8</w:t>
          </w:r>
          <w:r>
            <w:rPr>
              <w:rFonts w:hint="eastAsia" w:ascii="仿宋" w:hAnsi="仿宋" w:eastAsia="仿宋" w:cs="仿宋"/>
              <w:b w:val="0"/>
              <w:bCs w:val="0"/>
              <w:sz w:val="24"/>
              <w:szCs w:val="24"/>
            </w:rPr>
            <w:fldChar w:fldCharType="end"/>
          </w:r>
          <w:r>
            <w:rPr>
              <w:rFonts w:hint="eastAsia" w:ascii="仿宋" w:hAnsi="仿宋" w:eastAsia="仿宋" w:cs="仿宋"/>
              <w:b w:val="0"/>
              <w:bCs w:val="0"/>
              <w:sz w:val="24"/>
              <w:szCs w:val="24"/>
            </w:rPr>
            <w:fldChar w:fldCharType="end"/>
          </w:r>
        </w:p>
        <w:p>
          <w:pPr>
            <w:pStyle w:val="42"/>
            <w:tabs>
              <w:tab w:val="right" w:leader="dot" w:pos="8306"/>
            </w:tabs>
            <w:spacing w:line="440" w:lineRule="exact"/>
            <w:ind w:left="420"/>
            <w:rPr>
              <w:rFonts w:hint="eastAsia" w:ascii="仿宋" w:hAnsi="仿宋" w:eastAsia="仿宋" w:cs="仿宋"/>
              <w:b w:val="0"/>
              <w:bCs w:val="0"/>
              <w:sz w:val="24"/>
              <w:szCs w:val="24"/>
            </w:rPr>
          </w:pPr>
          <w:r>
            <w:fldChar w:fldCharType="begin"/>
          </w:r>
          <w:r>
            <w:instrText xml:space="preserve"> HYPERLINK \l "_Toc15210" </w:instrText>
          </w:r>
          <w:r>
            <w:fldChar w:fldCharType="separate"/>
          </w:r>
          <w:r>
            <w:rPr>
              <w:rFonts w:hint="eastAsia" w:ascii="仿宋" w:hAnsi="仿宋" w:eastAsia="仿宋" w:cs="仿宋"/>
              <w:b w:val="0"/>
              <w:bCs w:val="0"/>
              <w:sz w:val="24"/>
              <w:szCs w:val="24"/>
            </w:rPr>
            <w:t>八、政府性基金预算支出决算情况说明</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_Toc15210 \h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10</w:t>
          </w:r>
          <w:r>
            <w:rPr>
              <w:rFonts w:hint="eastAsia" w:ascii="仿宋" w:hAnsi="仿宋" w:eastAsia="仿宋" w:cs="仿宋"/>
              <w:b w:val="0"/>
              <w:bCs w:val="0"/>
              <w:sz w:val="24"/>
              <w:szCs w:val="24"/>
            </w:rPr>
            <w:fldChar w:fldCharType="end"/>
          </w:r>
          <w:r>
            <w:rPr>
              <w:rFonts w:hint="eastAsia" w:ascii="仿宋" w:hAnsi="仿宋" w:eastAsia="仿宋" w:cs="仿宋"/>
              <w:b w:val="0"/>
              <w:bCs w:val="0"/>
              <w:sz w:val="24"/>
              <w:szCs w:val="24"/>
            </w:rPr>
            <w:fldChar w:fldCharType="end"/>
          </w:r>
        </w:p>
        <w:p>
          <w:pPr>
            <w:pStyle w:val="42"/>
            <w:tabs>
              <w:tab w:val="right" w:leader="dot" w:pos="8306"/>
            </w:tabs>
            <w:spacing w:line="440" w:lineRule="exact"/>
            <w:ind w:left="420"/>
            <w:rPr>
              <w:rFonts w:hint="eastAsia" w:ascii="仿宋" w:hAnsi="仿宋" w:eastAsia="仿宋" w:cs="仿宋"/>
              <w:b w:val="0"/>
              <w:bCs w:val="0"/>
              <w:sz w:val="24"/>
              <w:szCs w:val="24"/>
            </w:rPr>
          </w:pPr>
          <w:r>
            <w:fldChar w:fldCharType="begin"/>
          </w:r>
          <w:r>
            <w:instrText xml:space="preserve"> HYPERLINK \l "_Toc23016" </w:instrText>
          </w:r>
          <w:r>
            <w:fldChar w:fldCharType="separate"/>
          </w:r>
          <w:r>
            <w:rPr>
              <w:rFonts w:hint="eastAsia" w:ascii="仿宋" w:hAnsi="仿宋" w:eastAsia="仿宋" w:cs="仿宋"/>
              <w:b w:val="0"/>
              <w:bCs w:val="0"/>
              <w:sz w:val="24"/>
              <w:szCs w:val="24"/>
            </w:rPr>
            <w:t>九、国有资本经营预算支出决算情况说明</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_Toc23016 \h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10</w:t>
          </w:r>
          <w:r>
            <w:rPr>
              <w:rFonts w:hint="eastAsia" w:ascii="仿宋" w:hAnsi="仿宋" w:eastAsia="仿宋" w:cs="仿宋"/>
              <w:b w:val="0"/>
              <w:bCs w:val="0"/>
              <w:sz w:val="24"/>
              <w:szCs w:val="24"/>
            </w:rPr>
            <w:fldChar w:fldCharType="end"/>
          </w:r>
          <w:r>
            <w:rPr>
              <w:rFonts w:hint="eastAsia" w:ascii="仿宋" w:hAnsi="仿宋" w:eastAsia="仿宋" w:cs="仿宋"/>
              <w:b w:val="0"/>
              <w:bCs w:val="0"/>
              <w:sz w:val="24"/>
              <w:szCs w:val="24"/>
            </w:rPr>
            <w:fldChar w:fldCharType="end"/>
          </w:r>
        </w:p>
        <w:p>
          <w:pPr>
            <w:pStyle w:val="42"/>
            <w:tabs>
              <w:tab w:val="right" w:leader="dot" w:pos="8306"/>
            </w:tabs>
            <w:spacing w:line="440" w:lineRule="exact"/>
            <w:ind w:left="420"/>
            <w:rPr>
              <w:rFonts w:hint="eastAsia" w:ascii="仿宋" w:hAnsi="仿宋" w:eastAsia="仿宋" w:cs="仿宋"/>
              <w:b w:val="0"/>
              <w:bCs w:val="0"/>
              <w:sz w:val="24"/>
              <w:szCs w:val="24"/>
            </w:rPr>
          </w:pPr>
          <w:r>
            <w:fldChar w:fldCharType="begin"/>
          </w:r>
          <w:r>
            <w:instrText xml:space="preserve"> HYPERLINK \l "_Toc25887" </w:instrText>
          </w:r>
          <w:r>
            <w:fldChar w:fldCharType="separate"/>
          </w:r>
          <w:r>
            <w:rPr>
              <w:rFonts w:hint="eastAsia" w:ascii="仿宋" w:hAnsi="仿宋" w:eastAsia="仿宋" w:cs="仿宋"/>
              <w:b w:val="0"/>
              <w:bCs w:val="0"/>
              <w:sz w:val="24"/>
              <w:szCs w:val="24"/>
            </w:rPr>
            <w:t>十、其他重要事项的情况说明</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_Toc25887 \h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10</w:t>
          </w:r>
          <w:r>
            <w:rPr>
              <w:rFonts w:hint="eastAsia" w:ascii="仿宋" w:hAnsi="仿宋" w:eastAsia="仿宋" w:cs="仿宋"/>
              <w:b w:val="0"/>
              <w:bCs w:val="0"/>
              <w:sz w:val="24"/>
              <w:szCs w:val="24"/>
            </w:rPr>
            <w:fldChar w:fldCharType="end"/>
          </w:r>
          <w:r>
            <w:rPr>
              <w:rFonts w:hint="eastAsia" w:ascii="仿宋" w:hAnsi="仿宋" w:eastAsia="仿宋" w:cs="仿宋"/>
              <w:b w:val="0"/>
              <w:bCs w:val="0"/>
              <w:sz w:val="24"/>
              <w:szCs w:val="24"/>
            </w:rPr>
            <w:fldChar w:fldCharType="end"/>
          </w:r>
        </w:p>
        <w:p>
          <w:pPr>
            <w:pStyle w:val="9"/>
            <w:tabs>
              <w:tab w:val="right" w:leader="dot" w:pos="8306"/>
              <w:tab w:val="clear" w:pos="8296"/>
            </w:tabs>
            <w:rPr>
              <w:rFonts w:hint="eastAsia" w:ascii="仿宋" w:hAnsi="仿宋" w:eastAsia="仿宋" w:cs="仿宋"/>
              <w:b w:val="0"/>
              <w:bCs w:val="0"/>
              <w:sz w:val="24"/>
              <w:szCs w:val="24"/>
              <w:lang w:val="en-US" w:eastAsia="zh-CN" w:bidi="ar-SA"/>
            </w:rPr>
          </w:pPr>
          <w:r>
            <w:fldChar w:fldCharType="begin"/>
          </w:r>
          <w:r>
            <w:instrText xml:space="preserve"> HYPERLINK \l "_Toc6297" </w:instrText>
          </w:r>
          <w:r>
            <w:fldChar w:fldCharType="separate"/>
          </w:r>
          <w:r>
            <w:rPr>
              <w:rFonts w:hint="eastAsia" w:ascii="仿宋" w:hAnsi="仿宋" w:eastAsia="仿宋" w:cs="仿宋"/>
              <w:b w:val="0"/>
              <w:bCs w:val="0"/>
              <w:sz w:val="24"/>
              <w:szCs w:val="24"/>
              <w:lang w:val="en-US" w:eastAsia="zh-CN" w:bidi="ar-SA"/>
            </w:rPr>
            <w:t>（一）机关运行经费支出情况</w:t>
          </w:r>
          <w:r>
            <w:rPr>
              <w:rFonts w:hint="eastAsia" w:ascii="仿宋" w:hAnsi="仿宋" w:eastAsia="仿宋" w:cs="仿宋"/>
              <w:b w:val="0"/>
              <w:bCs w:val="0"/>
              <w:sz w:val="24"/>
              <w:szCs w:val="24"/>
              <w:lang w:val="en-US" w:eastAsia="zh-CN" w:bidi="ar-SA"/>
            </w:rPr>
            <w:tab/>
          </w:r>
          <w:r>
            <w:rPr>
              <w:rFonts w:hint="eastAsia" w:ascii="仿宋" w:hAnsi="仿宋" w:eastAsia="仿宋" w:cs="仿宋"/>
              <w:b w:val="0"/>
              <w:bCs w:val="0"/>
              <w:sz w:val="24"/>
              <w:szCs w:val="24"/>
              <w:lang w:val="en-US" w:eastAsia="zh-CN" w:bidi="ar-SA"/>
            </w:rPr>
            <w:fldChar w:fldCharType="begin"/>
          </w:r>
          <w:r>
            <w:rPr>
              <w:rFonts w:hint="eastAsia" w:ascii="仿宋" w:hAnsi="仿宋" w:eastAsia="仿宋" w:cs="仿宋"/>
              <w:b w:val="0"/>
              <w:bCs w:val="0"/>
              <w:sz w:val="24"/>
              <w:szCs w:val="24"/>
              <w:lang w:val="en-US" w:eastAsia="zh-CN" w:bidi="ar-SA"/>
            </w:rPr>
            <w:instrText xml:space="preserve"> PAGEREF _Toc6297 \h </w:instrText>
          </w:r>
          <w:r>
            <w:rPr>
              <w:rFonts w:hint="eastAsia" w:ascii="仿宋" w:hAnsi="仿宋" w:eastAsia="仿宋" w:cs="仿宋"/>
              <w:b w:val="0"/>
              <w:bCs w:val="0"/>
              <w:sz w:val="24"/>
              <w:szCs w:val="24"/>
              <w:lang w:val="en-US" w:eastAsia="zh-CN" w:bidi="ar-SA"/>
            </w:rPr>
            <w:fldChar w:fldCharType="separate"/>
          </w:r>
          <w:r>
            <w:rPr>
              <w:rFonts w:hint="eastAsia" w:ascii="仿宋" w:hAnsi="仿宋" w:eastAsia="仿宋" w:cs="仿宋"/>
              <w:b w:val="0"/>
              <w:bCs w:val="0"/>
              <w:sz w:val="24"/>
              <w:szCs w:val="24"/>
              <w:lang w:val="en-US" w:eastAsia="zh-CN" w:bidi="ar-SA"/>
            </w:rPr>
            <w:t>10</w:t>
          </w:r>
          <w:r>
            <w:rPr>
              <w:rFonts w:hint="eastAsia" w:ascii="仿宋" w:hAnsi="仿宋" w:eastAsia="仿宋" w:cs="仿宋"/>
              <w:b w:val="0"/>
              <w:bCs w:val="0"/>
              <w:sz w:val="24"/>
              <w:szCs w:val="24"/>
              <w:lang w:val="en-US" w:eastAsia="zh-CN" w:bidi="ar-SA"/>
            </w:rPr>
            <w:fldChar w:fldCharType="end"/>
          </w:r>
          <w:r>
            <w:rPr>
              <w:rFonts w:hint="eastAsia" w:ascii="仿宋" w:hAnsi="仿宋" w:eastAsia="仿宋" w:cs="仿宋"/>
              <w:b w:val="0"/>
              <w:bCs w:val="0"/>
              <w:sz w:val="24"/>
              <w:szCs w:val="24"/>
              <w:lang w:val="en-US" w:eastAsia="zh-CN" w:bidi="ar-SA"/>
            </w:rPr>
            <w:fldChar w:fldCharType="end"/>
          </w:r>
        </w:p>
        <w:p>
          <w:pPr>
            <w:pStyle w:val="9"/>
            <w:tabs>
              <w:tab w:val="right" w:leader="dot" w:pos="8306"/>
              <w:tab w:val="clear" w:pos="8296"/>
            </w:tabs>
            <w:rPr>
              <w:rFonts w:hint="eastAsia" w:ascii="仿宋" w:hAnsi="仿宋" w:eastAsia="仿宋" w:cs="仿宋"/>
              <w:b w:val="0"/>
              <w:bCs w:val="0"/>
              <w:sz w:val="24"/>
              <w:szCs w:val="24"/>
              <w:lang w:val="en-US" w:eastAsia="zh-CN" w:bidi="ar-SA"/>
            </w:rPr>
          </w:pPr>
          <w:r>
            <w:fldChar w:fldCharType="begin"/>
          </w:r>
          <w:r>
            <w:instrText xml:space="preserve"> HYPERLINK \l "_Toc9022" </w:instrText>
          </w:r>
          <w:r>
            <w:fldChar w:fldCharType="separate"/>
          </w:r>
          <w:r>
            <w:rPr>
              <w:rFonts w:hint="eastAsia" w:ascii="仿宋" w:hAnsi="仿宋" w:eastAsia="仿宋" w:cs="仿宋"/>
              <w:b w:val="0"/>
              <w:bCs w:val="0"/>
              <w:sz w:val="24"/>
              <w:szCs w:val="24"/>
              <w:lang w:val="en-US" w:eastAsia="zh-CN" w:bidi="ar-SA"/>
            </w:rPr>
            <w:t>（二）政府采购支出情况</w:t>
          </w:r>
          <w:r>
            <w:rPr>
              <w:rFonts w:hint="eastAsia" w:ascii="仿宋" w:hAnsi="仿宋" w:eastAsia="仿宋" w:cs="仿宋"/>
              <w:b w:val="0"/>
              <w:bCs w:val="0"/>
              <w:sz w:val="24"/>
              <w:szCs w:val="24"/>
              <w:lang w:val="en-US" w:eastAsia="zh-CN" w:bidi="ar-SA"/>
            </w:rPr>
            <w:tab/>
          </w:r>
          <w:r>
            <w:rPr>
              <w:rFonts w:hint="eastAsia" w:ascii="仿宋" w:hAnsi="仿宋" w:eastAsia="仿宋" w:cs="仿宋"/>
              <w:b w:val="0"/>
              <w:bCs w:val="0"/>
              <w:sz w:val="24"/>
              <w:szCs w:val="24"/>
              <w:lang w:val="en-US" w:eastAsia="zh-CN" w:bidi="ar-SA"/>
            </w:rPr>
            <w:fldChar w:fldCharType="begin"/>
          </w:r>
          <w:r>
            <w:rPr>
              <w:rFonts w:hint="eastAsia" w:ascii="仿宋" w:hAnsi="仿宋" w:eastAsia="仿宋" w:cs="仿宋"/>
              <w:b w:val="0"/>
              <w:bCs w:val="0"/>
              <w:sz w:val="24"/>
              <w:szCs w:val="24"/>
              <w:lang w:val="en-US" w:eastAsia="zh-CN" w:bidi="ar-SA"/>
            </w:rPr>
            <w:instrText xml:space="preserve"> PAGEREF _Toc9022 \h </w:instrText>
          </w:r>
          <w:r>
            <w:rPr>
              <w:rFonts w:hint="eastAsia" w:ascii="仿宋" w:hAnsi="仿宋" w:eastAsia="仿宋" w:cs="仿宋"/>
              <w:b w:val="0"/>
              <w:bCs w:val="0"/>
              <w:sz w:val="24"/>
              <w:szCs w:val="24"/>
              <w:lang w:val="en-US" w:eastAsia="zh-CN" w:bidi="ar-SA"/>
            </w:rPr>
            <w:fldChar w:fldCharType="separate"/>
          </w:r>
          <w:r>
            <w:rPr>
              <w:rFonts w:hint="eastAsia" w:ascii="仿宋" w:hAnsi="仿宋" w:eastAsia="仿宋" w:cs="仿宋"/>
              <w:b w:val="0"/>
              <w:bCs w:val="0"/>
              <w:sz w:val="24"/>
              <w:szCs w:val="24"/>
              <w:lang w:val="en-US" w:eastAsia="zh-CN" w:bidi="ar-SA"/>
            </w:rPr>
            <w:t>10</w:t>
          </w:r>
          <w:r>
            <w:rPr>
              <w:rFonts w:hint="eastAsia" w:ascii="仿宋" w:hAnsi="仿宋" w:eastAsia="仿宋" w:cs="仿宋"/>
              <w:b w:val="0"/>
              <w:bCs w:val="0"/>
              <w:sz w:val="24"/>
              <w:szCs w:val="24"/>
              <w:lang w:val="en-US" w:eastAsia="zh-CN" w:bidi="ar-SA"/>
            </w:rPr>
            <w:fldChar w:fldCharType="end"/>
          </w:r>
          <w:r>
            <w:rPr>
              <w:rFonts w:hint="eastAsia" w:ascii="仿宋" w:hAnsi="仿宋" w:eastAsia="仿宋" w:cs="仿宋"/>
              <w:b w:val="0"/>
              <w:bCs w:val="0"/>
              <w:sz w:val="24"/>
              <w:szCs w:val="24"/>
              <w:lang w:val="en-US" w:eastAsia="zh-CN" w:bidi="ar-SA"/>
            </w:rPr>
            <w:fldChar w:fldCharType="end"/>
          </w:r>
        </w:p>
        <w:p>
          <w:pPr>
            <w:pStyle w:val="9"/>
            <w:tabs>
              <w:tab w:val="right" w:leader="dot" w:pos="8306"/>
              <w:tab w:val="clear" w:pos="8296"/>
            </w:tabs>
            <w:rPr>
              <w:rFonts w:hint="eastAsia" w:ascii="仿宋" w:hAnsi="仿宋" w:eastAsia="仿宋" w:cs="仿宋"/>
              <w:b w:val="0"/>
              <w:bCs w:val="0"/>
              <w:sz w:val="24"/>
              <w:szCs w:val="24"/>
              <w:lang w:val="en-US" w:eastAsia="zh-CN" w:bidi="ar-SA"/>
            </w:rPr>
          </w:pPr>
          <w:r>
            <w:fldChar w:fldCharType="begin"/>
          </w:r>
          <w:r>
            <w:instrText xml:space="preserve"> HYPERLINK \l "_Toc26304" </w:instrText>
          </w:r>
          <w:r>
            <w:fldChar w:fldCharType="separate"/>
          </w:r>
          <w:r>
            <w:rPr>
              <w:rFonts w:hint="eastAsia" w:ascii="仿宋" w:hAnsi="仿宋" w:eastAsia="仿宋" w:cs="仿宋"/>
              <w:b w:val="0"/>
              <w:bCs w:val="0"/>
              <w:sz w:val="24"/>
              <w:szCs w:val="24"/>
              <w:lang w:val="en-US" w:eastAsia="zh-CN" w:bidi="ar-SA"/>
            </w:rPr>
            <w:t>（三）国有资产占有使用情况</w:t>
          </w:r>
          <w:r>
            <w:rPr>
              <w:rFonts w:hint="eastAsia" w:ascii="仿宋" w:hAnsi="仿宋" w:eastAsia="仿宋" w:cs="仿宋"/>
              <w:b w:val="0"/>
              <w:bCs w:val="0"/>
              <w:sz w:val="24"/>
              <w:szCs w:val="24"/>
              <w:lang w:val="en-US" w:eastAsia="zh-CN" w:bidi="ar-SA"/>
            </w:rPr>
            <w:tab/>
          </w:r>
          <w:r>
            <w:rPr>
              <w:rFonts w:hint="eastAsia" w:ascii="仿宋" w:hAnsi="仿宋" w:eastAsia="仿宋" w:cs="仿宋"/>
              <w:b w:val="0"/>
              <w:bCs w:val="0"/>
              <w:sz w:val="24"/>
              <w:szCs w:val="24"/>
              <w:lang w:val="en-US" w:eastAsia="zh-CN" w:bidi="ar-SA"/>
            </w:rPr>
            <w:fldChar w:fldCharType="begin"/>
          </w:r>
          <w:r>
            <w:rPr>
              <w:rFonts w:hint="eastAsia" w:ascii="仿宋" w:hAnsi="仿宋" w:eastAsia="仿宋" w:cs="仿宋"/>
              <w:b w:val="0"/>
              <w:bCs w:val="0"/>
              <w:sz w:val="24"/>
              <w:szCs w:val="24"/>
              <w:lang w:val="en-US" w:eastAsia="zh-CN" w:bidi="ar-SA"/>
            </w:rPr>
            <w:instrText xml:space="preserve"> PAGEREF _Toc26304 \h </w:instrText>
          </w:r>
          <w:r>
            <w:rPr>
              <w:rFonts w:hint="eastAsia" w:ascii="仿宋" w:hAnsi="仿宋" w:eastAsia="仿宋" w:cs="仿宋"/>
              <w:b w:val="0"/>
              <w:bCs w:val="0"/>
              <w:sz w:val="24"/>
              <w:szCs w:val="24"/>
              <w:lang w:val="en-US" w:eastAsia="zh-CN" w:bidi="ar-SA"/>
            </w:rPr>
            <w:fldChar w:fldCharType="separate"/>
          </w:r>
          <w:r>
            <w:rPr>
              <w:rFonts w:hint="eastAsia" w:ascii="仿宋" w:hAnsi="仿宋" w:eastAsia="仿宋" w:cs="仿宋"/>
              <w:b w:val="0"/>
              <w:bCs w:val="0"/>
              <w:sz w:val="24"/>
              <w:szCs w:val="24"/>
              <w:lang w:val="en-US" w:eastAsia="zh-CN" w:bidi="ar-SA"/>
            </w:rPr>
            <w:t>10</w:t>
          </w:r>
          <w:r>
            <w:rPr>
              <w:rFonts w:hint="eastAsia" w:ascii="仿宋" w:hAnsi="仿宋" w:eastAsia="仿宋" w:cs="仿宋"/>
              <w:b w:val="0"/>
              <w:bCs w:val="0"/>
              <w:sz w:val="24"/>
              <w:szCs w:val="24"/>
              <w:lang w:val="en-US" w:eastAsia="zh-CN" w:bidi="ar-SA"/>
            </w:rPr>
            <w:fldChar w:fldCharType="end"/>
          </w:r>
          <w:r>
            <w:rPr>
              <w:rFonts w:hint="eastAsia" w:ascii="仿宋" w:hAnsi="仿宋" w:eastAsia="仿宋" w:cs="仿宋"/>
              <w:b w:val="0"/>
              <w:bCs w:val="0"/>
              <w:sz w:val="24"/>
              <w:szCs w:val="24"/>
              <w:lang w:val="en-US" w:eastAsia="zh-CN" w:bidi="ar-SA"/>
            </w:rPr>
            <w:fldChar w:fldCharType="end"/>
          </w:r>
        </w:p>
        <w:p>
          <w:pPr>
            <w:pStyle w:val="9"/>
            <w:tabs>
              <w:tab w:val="right" w:leader="dot" w:pos="8306"/>
              <w:tab w:val="clear" w:pos="8296"/>
            </w:tabs>
            <w:rPr>
              <w:rFonts w:hint="eastAsia" w:ascii="仿宋" w:hAnsi="仿宋" w:eastAsia="仿宋" w:cs="仿宋"/>
              <w:b w:val="0"/>
              <w:bCs w:val="0"/>
              <w:sz w:val="24"/>
              <w:szCs w:val="24"/>
              <w:lang w:val="en-US" w:eastAsia="zh-CN" w:bidi="ar-SA"/>
            </w:rPr>
          </w:pPr>
          <w:r>
            <w:fldChar w:fldCharType="begin"/>
          </w:r>
          <w:r>
            <w:instrText xml:space="preserve"> HYPERLINK \l "_Toc14808" </w:instrText>
          </w:r>
          <w:r>
            <w:fldChar w:fldCharType="separate"/>
          </w:r>
          <w:r>
            <w:rPr>
              <w:rFonts w:hint="eastAsia" w:ascii="仿宋" w:hAnsi="仿宋" w:eastAsia="仿宋" w:cs="仿宋"/>
              <w:b w:val="0"/>
              <w:bCs w:val="0"/>
              <w:sz w:val="24"/>
              <w:szCs w:val="24"/>
              <w:lang w:val="en-US" w:eastAsia="zh-CN" w:bidi="ar-SA"/>
            </w:rPr>
            <w:t>（四）预算绩效管理情况</w:t>
          </w:r>
          <w:r>
            <w:rPr>
              <w:rFonts w:hint="eastAsia" w:ascii="仿宋" w:hAnsi="仿宋" w:eastAsia="仿宋" w:cs="仿宋"/>
              <w:b w:val="0"/>
              <w:bCs w:val="0"/>
              <w:sz w:val="24"/>
              <w:szCs w:val="24"/>
              <w:lang w:val="en-US" w:eastAsia="zh-CN" w:bidi="ar-SA"/>
            </w:rPr>
            <w:tab/>
          </w:r>
          <w:r>
            <w:rPr>
              <w:rFonts w:hint="eastAsia" w:ascii="仿宋" w:hAnsi="仿宋" w:eastAsia="仿宋" w:cs="仿宋"/>
              <w:b w:val="0"/>
              <w:bCs w:val="0"/>
              <w:sz w:val="24"/>
              <w:szCs w:val="24"/>
              <w:lang w:val="en-US" w:eastAsia="zh-CN" w:bidi="ar-SA"/>
            </w:rPr>
            <w:fldChar w:fldCharType="begin"/>
          </w:r>
          <w:r>
            <w:rPr>
              <w:rFonts w:hint="eastAsia" w:ascii="仿宋" w:hAnsi="仿宋" w:eastAsia="仿宋" w:cs="仿宋"/>
              <w:b w:val="0"/>
              <w:bCs w:val="0"/>
              <w:sz w:val="24"/>
              <w:szCs w:val="24"/>
              <w:lang w:val="en-US" w:eastAsia="zh-CN" w:bidi="ar-SA"/>
            </w:rPr>
            <w:instrText xml:space="preserve"> PAGEREF _Toc14808 \h </w:instrText>
          </w:r>
          <w:r>
            <w:rPr>
              <w:rFonts w:hint="eastAsia" w:ascii="仿宋" w:hAnsi="仿宋" w:eastAsia="仿宋" w:cs="仿宋"/>
              <w:b w:val="0"/>
              <w:bCs w:val="0"/>
              <w:sz w:val="24"/>
              <w:szCs w:val="24"/>
              <w:lang w:val="en-US" w:eastAsia="zh-CN" w:bidi="ar-SA"/>
            </w:rPr>
            <w:fldChar w:fldCharType="separate"/>
          </w:r>
          <w:r>
            <w:rPr>
              <w:rFonts w:hint="eastAsia" w:ascii="仿宋" w:hAnsi="仿宋" w:eastAsia="仿宋" w:cs="仿宋"/>
              <w:b w:val="0"/>
              <w:bCs w:val="0"/>
              <w:sz w:val="24"/>
              <w:szCs w:val="24"/>
              <w:lang w:val="en-US" w:eastAsia="zh-CN" w:bidi="ar-SA"/>
            </w:rPr>
            <w:t>11</w:t>
          </w:r>
          <w:r>
            <w:rPr>
              <w:rFonts w:hint="eastAsia" w:ascii="仿宋" w:hAnsi="仿宋" w:eastAsia="仿宋" w:cs="仿宋"/>
              <w:b w:val="0"/>
              <w:bCs w:val="0"/>
              <w:sz w:val="24"/>
              <w:szCs w:val="24"/>
              <w:lang w:val="en-US" w:eastAsia="zh-CN" w:bidi="ar-SA"/>
            </w:rPr>
            <w:fldChar w:fldCharType="end"/>
          </w:r>
          <w:r>
            <w:rPr>
              <w:rFonts w:hint="eastAsia" w:ascii="仿宋" w:hAnsi="仿宋" w:eastAsia="仿宋" w:cs="仿宋"/>
              <w:b w:val="0"/>
              <w:bCs w:val="0"/>
              <w:sz w:val="24"/>
              <w:szCs w:val="24"/>
              <w:lang w:val="en-US" w:eastAsia="zh-CN" w:bidi="ar-SA"/>
            </w:rPr>
            <w:fldChar w:fldCharType="end"/>
          </w:r>
        </w:p>
        <w:p>
          <w:pPr>
            <w:pStyle w:val="13"/>
            <w:tabs>
              <w:tab w:val="right" w:leader="dot" w:pos="8306"/>
              <w:tab w:val="clear" w:pos="8296"/>
            </w:tabs>
            <w:rPr>
              <w:rFonts w:hint="eastAsia" w:ascii="仿宋" w:hAnsi="仿宋" w:eastAsia="仿宋" w:cs="仿宋"/>
              <w:b w:val="0"/>
              <w:bCs w:val="0"/>
              <w:sz w:val="24"/>
              <w:szCs w:val="24"/>
              <w:lang w:val="en-US" w:eastAsia="zh-CN" w:bidi="ar-SA"/>
            </w:rPr>
          </w:pPr>
          <w:r>
            <w:fldChar w:fldCharType="begin"/>
          </w:r>
          <w:r>
            <w:instrText xml:space="preserve"> HYPERLINK \l "_Toc20458" </w:instrText>
          </w:r>
          <w:r>
            <w:fldChar w:fldCharType="separate"/>
          </w:r>
          <w:r>
            <w:rPr>
              <w:rFonts w:hint="eastAsia" w:ascii="仿宋" w:hAnsi="仿宋" w:eastAsia="仿宋" w:cs="仿宋"/>
              <w:b w:val="0"/>
              <w:bCs w:val="0"/>
              <w:sz w:val="24"/>
              <w:szCs w:val="24"/>
              <w:lang w:val="en-US" w:eastAsia="zh-CN" w:bidi="ar-SA"/>
            </w:rPr>
            <w:t>第三部分 名词解释</w:t>
          </w:r>
          <w:r>
            <w:rPr>
              <w:rFonts w:hint="eastAsia" w:ascii="仿宋" w:hAnsi="仿宋" w:eastAsia="仿宋" w:cs="仿宋"/>
              <w:b w:val="0"/>
              <w:bCs w:val="0"/>
              <w:sz w:val="24"/>
              <w:szCs w:val="24"/>
              <w:lang w:val="en-US" w:eastAsia="zh-CN" w:bidi="ar-SA"/>
            </w:rPr>
            <w:tab/>
          </w:r>
          <w:r>
            <w:rPr>
              <w:rFonts w:hint="eastAsia" w:ascii="仿宋" w:hAnsi="仿宋" w:eastAsia="仿宋" w:cs="仿宋"/>
              <w:b w:val="0"/>
              <w:bCs w:val="0"/>
              <w:sz w:val="24"/>
              <w:szCs w:val="24"/>
              <w:lang w:val="en-US" w:eastAsia="zh-CN" w:bidi="ar-SA"/>
            </w:rPr>
            <w:fldChar w:fldCharType="begin"/>
          </w:r>
          <w:r>
            <w:rPr>
              <w:rFonts w:hint="eastAsia" w:ascii="仿宋" w:hAnsi="仿宋" w:eastAsia="仿宋" w:cs="仿宋"/>
              <w:b w:val="0"/>
              <w:bCs w:val="0"/>
              <w:sz w:val="24"/>
              <w:szCs w:val="24"/>
              <w:lang w:val="en-US" w:eastAsia="zh-CN" w:bidi="ar-SA"/>
            </w:rPr>
            <w:instrText xml:space="preserve"> PAGEREF _Toc20458 \h </w:instrText>
          </w:r>
          <w:r>
            <w:rPr>
              <w:rFonts w:hint="eastAsia" w:ascii="仿宋" w:hAnsi="仿宋" w:eastAsia="仿宋" w:cs="仿宋"/>
              <w:b w:val="0"/>
              <w:bCs w:val="0"/>
              <w:sz w:val="24"/>
              <w:szCs w:val="24"/>
              <w:lang w:val="en-US" w:eastAsia="zh-CN" w:bidi="ar-SA"/>
            </w:rPr>
            <w:fldChar w:fldCharType="separate"/>
          </w:r>
          <w:r>
            <w:rPr>
              <w:rFonts w:hint="eastAsia" w:ascii="仿宋" w:hAnsi="仿宋" w:eastAsia="仿宋" w:cs="仿宋"/>
              <w:b w:val="0"/>
              <w:bCs w:val="0"/>
              <w:sz w:val="24"/>
              <w:szCs w:val="24"/>
              <w:lang w:val="en-US" w:eastAsia="zh-CN" w:bidi="ar-SA"/>
            </w:rPr>
            <w:t>12</w:t>
          </w:r>
          <w:r>
            <w:rPr>
              <w:rFonts w:hint="eastAsia" w:ascii="仿宋" w:hAnsi="仿宋" w:eastAsia="仿宋" w:cs="仿宋"/>
              <w:b w:val="0"/>
              <w:bCs w:val="0"/>
              <w:sz w:val="24"/>
              <w:szCs w:val="24"/>
              <w:lang w:val="en-US" w:eastAsia="zh-CN" w:bidi="ar-SA"/>
            </w:rPr>
            <w:fldChar w:fldCharType="end"/>
          </w:r>
          <w:r>
            <w:rPr>
              <w:rFonts w:hint="eastAsia" w:ascii="仿宋" w:hAnsi="仿宋" w:eastAsia="仿宋" w:cs="仿宋"/>
              <w:b w:val="0"/>
              <w:bCs w:val="0"/>
              <w:sz w:val="24"/>
              <w:szCs w:val="24"/>
              <w:lang w:val="en-US" w:eastAsia="zh-CN" w:bidi="ar-SA"/>
            </w:rPr>
            <w:fldChar w:fldCharType="end"/>
          </w:r>
        </w:p>
        <w:p>
          <w:pPr>
            <w:pStyle w:val="13"/>
            <w:tabs>
              <w:tab w:val="right" w:leader="dot" w:pos="8306"/>
              <w:tab w:val="clear" w:pos="8296"/>
            </w:tabs>
            <w:rPr>
              <w:rFonts w:hint="eastAsia" w:ascii="仿宋" w:hAnsi="仿宋" w:eastAsia="仿宋" w:cs="仿宋"/>
              <w:b w:val="0"/>
              <w:bCs w:val="0"/>
              <w:sz w:val="24"/>
              <w:szCs w:val="24"/>
              <w:lang w:val="en-US" w:eastAsia="zh-CN" w:bidi="ar-SA"/>
            </w:rPr>
          </w:pPr>
          <w:r>
            <w:fldChar w:fldCharType="begin"/>
          </w:r>
          <w:r>
            <w:instrText xml:space="preserve"> HYPERLINK \l "_Toc26388" </w:instrText>
          </w:r>
          <w:r>
            <w:fldChar w:fldCharType="separate"/>
          </w:r>
          <w:r>
            <w:rPr>
              <w:rFonts w:hint="eastAsia" w:ascii="仿宋" w:hAnsi="仿宋" w:eastAsia="仿宋" w:cs="仿宋"/>
              <w:b w:val="0"/>
              <w:bCs w:val="0"/>
              <w:sz w:val="24"/>
              <w:szCs w:val="24"/>
              <w:lang w:val="en-US" w:eastAsia="zh-CN" w:bidi="ar-SA"/>
            </w:rPr>
            <w:t>第四部分 附件</w:t>
          </w:r>
          <w:r>
            <w:rPr>
              <w:rFonts w:hint="eastAsia" w:ascii="仿宋" w:hAnsi="仿宋" w:eastAsia="仿宋" w:cs="仿宋"/>
              <w:b w:val="0"/>
              <w:bCs w:val="0"/>
              <w:sz w:val="24"/>
              <w:szCs w:val="24"/>
              <w:lang w:val="en-US" w:eastAsia="zh-CN" w:bidi="ar-SA"/>
            </w:rPr>
            <w:tab/>
          </w:r>
          <w:r>
            <w:rPr>
              <w:rFonts w:hint="eastAsia" w:ascii="仿宋" w:hAnsi="仿宋" w:eastAsia="仿宋" w:cs="仿宋"/>
              <w:b w:val="0"/>
              <w:bCs w:val="0"/>
              <w:sz w:val="24"/>
              <w:szCs w:val="24"/>
              <w:lang w:val="en-US" w:eastAsia="zh-CN" w:bidi="ar-SA"/>
            </w:rPr>
            <w:fldChar w:fldCharType="begin"/>
          </w:r>
          <w:r>
            <w:rPr>
              <w:rFonts w:hint="eastAsia" w:ascii="仿宋" w:hAnsi="仿宋" w:eastAsia="仿宋" w:cs="仿宋"/>
              <w:b w:val="0"/>
              <w:bCs w:val="0"/>
              <w:sz w:val="24"/>
              <w:szCs w:val="24"/>
              <w:lang w:val="en-US" w:eastAsia="zh-CN" w:bidi="ar-SA"/>
            </w:rPr>
            <w:instrText xml:space="preserve"> PAGEREF _Toc26388 \h </w:instrText>
          </w:r>
          <w:r>
            <w:rPr>
              <w:rFonts w:hint="eastAsia" w:ascii="仿宋" w:hAnsi="仿宋" w:eastAsia="仿宋" w:cs="仿宋"/>
              <w:b w:val="0"/>
              <w:bCs w:val="0"/>
              <w:sz w:val="24"/>
              <w:szCs w:val="24"/>
              <w:lang w:val="en-US" w:eastAsia="zh-CN" w:bidi="ar-SA"/>
            </w:rPr>
            <w:fldChar w:fldCharType="separate"/>
          </w:r>
          <w:r>
            <w:rPr>
              <w:rFonts w:hint="eastAsia" w:ascii="仿宋" w:hAnsi="仿宋" w:eastAsia="仿宋" w:cs="仿宋"/>
              <w:b w:val="0"/>
              <w:bCs w:val="0"/>
              <w:sz w:val="24"/>
              <w:szCs w:val="24"/>
              <w:lang w:val="en-US" w:eastAsia="zh-CN" w:bidi="ar-SA"/>
            </w:rPr>
            <w:t>14</w:t>
          </w:r>
          <w:r>
            <w:rPr>
              <w:rFonts w:hint="eastAsia" w:ascii="仿宋" w:hAnsi="仿宋" w:eastAsia="仿宋" w:cs="仿宋"/>
              <w:b w:val="0"/>
              <w:bCs w:val="0"/>
              <w:sz w:val="24"/>
              <w:szCs w:val="24"/>
              <w:lang w:val="en-US" w:eastAsia="zh-CN" w:bidi="ar-SA"/>
            </w:rPr>
            <w:fldChar w:fldCharType="end"/>
          </w:r>
          <w:r>
            <w:rPr>
              <w:rFonts w:hint="eastAsia" w:ascii="仿宋" w:hAnsi="仿宋" w:eastAsia="仿宋" w:cs="仿宋"/>
              <w:b w:val="0"/>
              <w:bCs w:val="0"/>
              <w:sz w:val="24"/>
              <w:szCs w:val="24"/>
              <w:lang w:val="en-US" w:eastAsia="zh-CN" w:bidi="ar-SA"/>
            </w:rPr>
            <w:fldChar w:fldCharType="end"/>
          </w:r>
        </w:p>
        <w:p>
          <w:pPr>
            <w:pStyle w:val="42"/>
            <w:tabs>
              <w:tab w:val="right" w:leader="dot" w:pos="8306"/>
            </w:tabs>
            <w:spacing w:line="440" w:lineRule="exact"/>
            <w:ind w:left="420"/>
            <w:rPr>
              <w:rFonts w:hint="eastAsia" w:ascii="仿宋" w:hAnsi="仿宋" w:eastAsia="仿宋" w:cs="仿宋"/>
              <w:b w:val="0"/>
              <w:bCs w:val="0"/>
              <w:sz w:val="24"/>
              <w:szCs w:val="24"/>
            </w:rPr>
          </w:pPr>
          <w:r>
            <w:fldChar w:fldCharType="begin"/>
          </w:r>
          <w:r>
            <w:instrText xml:space="preserve"> HYPERLINK \l "_Toc8476" </w:instrText>
          </w:r>
          <w:r>
            <w:fldChar w:fldCharType="separate"/>
          </w:r>
          <w:r>
            <w:rPr>
              <w:rFonts w:hint="eastAsia" w:ascii="仿宋" w:hAnsi="仿宋" w:eastAsia="仿宋" w:cs="仿宋"/>
              <w:b w:val="0"/>
              <w:bCs w:val="0"/>
              <w:sz w:val="24"/>
              <w:szCs w:val="24"/>
            </w:rPr>
            <w:t>202</w:t>
          </w:r>
          <w:r>
            <w:rPr>
              <w:rFonts w:hint="eastAsia" w:ascii="仿宋" w:hAnsi="仿宋" w:eastAsia="仿宋" w:cs="仿宋"/>
              <w:b w:val="0"/>
              <w:bCs w:val="0"/>
              <w:sz w:val="24"/>
              <w:szCs w:val="24"/>
              <w:lang w:val="en-US" w:eastAsia="zh-CN"/>
            </w:rPr>
            <w:t>2</w:t>
          </w:r>
          <w:r>
            <w:rPr>
              <w:rFonts w:hint="eastAsia" w:ascii="仿宋" w:hAnsi="仿宋" w:eastAsia="仿宋" w:cs="仿宋"/>
              <w:b w:val="0"/>
              <w:bCs w:val="0"/>
              <w:sz w:val="24"/>
              <w:szCs w:val="24"/>
            </w:rPr>
            <w:t>年部门预算项目</w:t>
          </w:r>
          <w:r>
            <w:rPr>
              <w:rFonts w:hint="eastAsia" w:ascii="仿宋" w:hAnsi="仿宋" w:eastAsia="仿宋" w:cs="仿宋"/>
              <w:b w:val="0"/>
              <w:bCs w:val="0"/>
              <w:sz w:val="24"/>
              <w:szCs w:val="24"/>
              <w:lang w:eastAsia="zh-CN"/>
            </w:rPr>
            <w:t>支出</w:t>
          </w:r>
          <w:r>
            <w:rPr>
              <w:rFonts w:hint="eastAsia" w:ascii="仿宋" w:hAnsi="仿宋" w:eastAsia="仿宋" w:cs="仿宋"/>
              <w:b w:val="0"/>
              <w:bCs w:val="0"/>
              <w:sz w:val="24"/>
              <w:szCs w:val="24"/>
            </w:rPr>
            <w:t>绩效自评</w:t>
          </w:r>
          <w:r>
            <w:rPr>
              <w:rFonts w:hint="eastAsia" w:ascii="仿宋" w:hAnsi="仿宋" w:eastAsia="仿宋" w:cs="仿宋"/>
              <w:b w:val="0"/>
              <w:bCs w:val="0"/>
              <w:sz w:val="24"/>
              <w:szCs w:val="24"/>
              <w:lang w:eastAsia="zh-CN"/>
            </w:rPr>
            <w:t>表</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_Toc8476 \h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14</w:t>
          </w:r>
          <w:r>
            <w:rPr>
              <w:rFonts w:hint="eastAsia" w:ascii="仿宋" w:hAnsi="仿宋" w:eastAsia="仿宋" w:cs="仿宋"/>
              <w:b w:val="0"/>
              <w:bCs w:val="0"/>
              <w:sz w:val="24"/>
              <w:szCs w:val="24"/>
            </w:rPr>
            <w:fldChar w:fldCharType="end"/>
          </w:r>
          <w:r>
            <w:rPr>
              <w:rFonts w:hint="eastAsia" w:ascii="仿宋" w:hAnsi="仿宋" w:eastAsia="仿宋" w:cs="仿宋"/>
              <w:b w:val="0"/>
              <w:bCs w:val="0"/>
              <w:sz w:val="24"/>
              <w:szCs w:val="24"/>
            </w:rPr>
            <w:fldChar w:fldCharType="end"/>
          </w:r>
        </w:p>
        <w:p>
          <w:pPr>
            <w:pStyle w:val="13"/>
            <w:tabs>
              <w:tab w:val="right" w:leader="dot" w:pos="8306"/>
              <w:tab w:val="clear" w:pos="8296"/>
            </w:tabs>
            <w:rPr>
              <w:rFonts w:hint="eastAsia" w:ascii="仿宋" w:hAnsi="仿宋" w:eastAsia="仿宋" w:cs="仿宋"/>
              <w:b w:val="0"/>
              <w:bCs w:val="0"/>
              <w:sz w:val="24"/>
              <w:szCs w:val="24"/>
              <w:lang w:val="en-US" w:eastAsia="zh-CN" w:bidi="ar-SA"/>
            </w:rPr>
          </w:pPr>
          <w:r>
            <w:fldChar w:fldCharType="begin"/>
          </w:r>
          <w:r>
            <w:instrText xml:space="preserve"> HYPERLINK \l "_Toc13274" </w:instrText>
          </w:r>
          <w:r>
            <w:fldChar w:fldCharType="separate"/>
          </w:r>
          <w:r>
            <w:rPr>
              <w:rFonts w:hint="eastAsia" w:ascii="仿宋" w:hAnsi="仿宋" w:eastAsia="仿宋" w:cs="仿宋"/>
              <w:b w:val="0"/>
              <w:bCs w:val="0"/>
              <w:sz w:val="24"/>
              <w:szCs w:val="24"/>
              <w:lang w:val="en-US" w:eastAsia="zh-CN" w:bidi="ar-SA"/>
            </w:rPr>
            <w:t>第五部分 附表</w:t>
          </w:r>
          <w:r>
            <w:rPr>
              <w:rFonts w:hint="eastAsia" w:ascii="仿宋" w:hAnsi="仿宋" w:eastAsia="仿宋" w:cs="仿宋"/>
              <w:b w:val="0"/>
              <w:bCs w:val="0"/>
              <w:sz w:val="24"/>
              <w:szCs w:val="24"/>
              <w:lang w:val="en-US" w:eastAsia="zh-CN" w:bidi="ar-SA"/>
            </w:rPr>
            <w:tab/>
          </w:r>
          <w:r>
            <w:rPr>
              <w:rFonts w:hint="eastAsia" w:ascii="仿宋" w:hAnsi="仿宋" w:eastAsia="仿宋" w:cs="仿宋"/>
              <w:b w:val="0"/>
              <w:bCs w:val="0"/>
              <w:sz w:val="24"/>
              <w:szCs w:val="24"/>
              <w:lang w:val="en-US" w:eastAsia="zh-CN" w:bidi="ar-SA"/>
            </w:rPr>
            <w:fldChar w:fldCharType="begin"/>
          </w:r>
          <w:r>
            <w:rPr>
              <w:rFonts w:hint="eastAsia" w:ascii="仿宋" w:hAnsi="仿宋" w:eastAsia="仿宋" w:cs="仿宋"/>
              <w:b w:val="0"/>
              <w:bCs w:val="0"/>
              <w:sz w:val="24"/>
              <w:szCs w:val="24"/>
              <w:lang w:val="en-US" w:eastAsia="zh-CN" w:bidi="ar-SA"/>
            </w:rPr>
            <w:instrText xml:space="preserve"> PAGEREF _Toc13274 \h </w:instrText>
          </w:r>
          <w:r>
            <w:rPr>
              <w:rFonts w:hint="eastAsia" w:ascii="仿宋" w:hAnsi="仿宋" w:eastAsia="仿宋" w:cs="仿宋"/>
              <w:b w:val="0"/>
              <w:bCs w:val="0"/>
              <w:sz w:val="24"/>
              <w:szCs w:val="24"/>
              <w:lang w:val="en-US" w:eastAsia="zh-CN" w:bidi="ar-SA"/>
            </w:rPr>
            <w:fldChar w:fldCharType="separate"/>
          </w:r>
          <w:r>
            <w:rPr>
              <w:rFonts w:hint="eastAsia" w:ascii="仿宋" w:hAnsi="仿宋" w:eastAsia="仿宋" w:cs="仿宋"/>
              <w:b w:val="0"/>
              <w:bCs w:val="0"/>
              <w:sz w:val="24"/>
              <w:szCs w:val="24"/>
              <w:lang w:val="en-US" w:eastAsia="zh-CN" w:bidi="ar-SA"/>
            </w:rPr>
            <w:t>18</w:t>
          </w:r>
          <w:r>
            <w:rPr>
              <w:rFonts w:hint="eastAsia" w:ascii="仿宋" w:hAnsi="仿宋" w:eastAsia="仿宋" w:cs="仿宋"/>
              <w:b w:val="0"/>
              <w:bCs w:val="0"/>
              <w:sz w:val="24"/>
              <w:szCs w:val="24"/>
              <w:lang w:val="en-US" w:eastAsia="zh-CN" w:bidi="ar-SA"/>
            </w:rPr>
            <w:fldChar w:fldCharType="end"/>
          </w:r>
          <w:r>
            <w:rPr>
              <w:rFonts w:hint="eastAsia" w:ascii="仿宋" w:hAnsi="仿宋" w:eastAsia="仿宋" w:cs="仿宋"/>
              <w:b w:val="0"/>
              <w:bCs w:val="0"/>
              <w:sz w:val="24"/>
              <w:szCs w:val="24"/>
              <w:lang w:val="en-US" w:eastAsia="zh-CN" w:bidi="ar-SA"/>
            </w:rPr>
            <w:fldChar w:fldCharType="end"/>
          </w:r>
        </w:p>
        <w:p>
          <w:pPr>
            <w:pStyle w:val="42"/>
            <w:tabs>
              <w:tab w:val="right" w:leader="dot" w:pos="8306"/>
            </w:tabs>
            <w:spacing w:line="440" w:lineRule="exact"/>
            <w:ind w:left="420"/>
            <w:rPr>
              <w:rFonts w:hint="eastAsia" w:ascii="仿宋" w:hAnsi="仿宋" w:eastAsia="仿宋" w:cs="仿宋"/>
              <w:b w:val="0"/>
              <w:bCs w:val="0"/>
              <w:sz w:val="24"/>
              <w:szCs w:val="24"/>
            </w:rPr>
          </w:pPr>
          <w:r>
            <w:fldChar w:fldCharType="begin"/>
          </w:r>
          <w:r>
            <w:instrText xml:space="preserve"> HYPERLINK \l "_Toc11348" </w:instrText>
          </w:r>
          <w:r>
            <w:fldChar w:fldCharType="separate"/>
          </w:r>
          <w:r>
            <w:rPr>
              <w:rFonts w:hint="eastAsia" w:ascii="仿宋" w:hAnsi="仿宋" w:eastAsia="仿宋" w:cs="仿宋"/>
              <w:b w:val="0"/>
              <w:bCs w:val="0"/>
              <w:sz w:val="24"/>
              <w:szCs w:val="24"/>
            </w:rPr>
            <w:t>一、收入支出决算总表</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_Toc11348 \h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18</w:t>
          </w:r>
          <w:r>
            <w:rPr>
              <w:rFonts w:hint="eastAsia" w:ascii="仿宋" w:hAnsi="仿宋" w:eastAsia="仿宋" w:cs="仿宋"/>
              <w:b w:val="0"/>
              <w:bCs w:val="0"/>
              <w:sz w:val="24"/>
              <w:szCs w:val="24"/>
            </w:rPr>
            <w:fldChar w:fldCharType="end"/>
          </w:r>
          <w:r>
            <w:rPr>
              <w:rFonts w:hint="eastAsia" w:ascii="仿宋" w:hAnsi="仿宋" w:eastAsia="仿宋" w:cs="仿宋"/>
              <w:b w:val="0"/>
              <w:bCs w:val="0"/>
              <w:sz w:val="24"/>
              <w:szCs w:val="24"/>
            </w:rPr>
            <w:fldChar w:fldCharType="end"/>
          </w:r>
        </w:p>
        <w:p>
          <w:pPr>
            <w:pStyle w:val="42"/>
            <w:tabs>
              <w:tab w:val="right" w:leader="dot" w:pos="8306"/>
            </w:tabs>
            <w:spacing w:line="440" w:lineRule="exact"/>
            <w:ind w:left="420"/>
            <w:rPr>
              <w:rFonts w:hint="eastAsia" w:ascii="仿宋" w:hAnsi="仿宋" w:eastAsia="仿宋" w:cs="仿宋"/>
              <w:b w:val="0"/>
              <w:bCs w:val="0"/>
              <w:sz w:val="24"/>
              <w:szCs w:val="24"/>
            </w:rPr>
          </w:pPr>
          <w:r>
            <w:fldChar w:fldCharType="begin"/>
          </w:r>
          <w:r>
            <w:instrText xml:space="preserve"> HYPERLINK \l "_Toc24951" </w:instrText>
          </w:r>
          <w:r>
            <w:fldChar w:fldCharType="separate"/>
          </w:r>
          <w:r>
            <w:rPr>
              <w:rFonts w:hint="eastAsia" w:ascii="仿宋" w:hAnsi="仿宋" w:eastAsia="仿宋" w:cs="仿宋"/>
              <w:b w:val="0"/>
              <w:bCs w:val="0"/>
              <w:sz w:val="24"/>
              <w:szCs w:val="24"/>
            </w:rPr>
            <w:t>二、收入决算表</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_Toc24951 \h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18</w:t>
          </w:r>
          <w:r>
            <w:rPr>
              <w:rFonts w:hint="eastAsia" w:ascii="仿宋" w:hAnsi="仿宋" w:eastAsia="仿宋" w:cs="仿宋"/>
              <w:b w:val="0"/>
              <w:bCs w:val="0"/>
              <w:sz w:val="24"/>
              <w:szCs w:val="24"/>
            </w:rPr>
            <w:fldChar w:fldCharType="end"/>
          </w:r>
          <w:r>
            <w:rPr>
              <w:rFonts w:hint="eastAsia" w:ascii="仿宋" w:hAnsi="仿宋" w:eastAsia="仿宋" w:cs="仿宋"/>
              <w:b w:val="0"/>
              <w:bCs w:val="0"/>
              <w:sz w:val="24"/>
              <w:szCs w:val="24"/>
            </w:rPr>
            <w:fldChar w:fldCharType="end"/>
          </w:r>
        </w:p>
        <w:p>
          <w:pPr>
            <w:pStyle w:val="42"/>
            <w:tabs>
              <w:tab w:val="right" w:leader="dot" w:pos="8306"/>
            </w:tabs>
            <w:spacing w:line="440" w:lineRule="exact"/>
            <w:ind w:left="420"/>
            <w:rPr>
              <w:rFonts w:hint="eastAsia" w:ascii="仿宋" w:hAnsi="仿宋" w:eastAsia="仿宋" w:cs="仿宋"/>
              <w:b w:val="0"/>
              <w:bCs w:val="0"/>
              <w:sz w:val="24"/>
              <w:szCs w:val="24"/>
            </w:rPr>
          </w:pPr>
          <w:r>
            <w:fldChar w:fldCharType="begin"/>
          </w:r>
          <w:r>
            <w:instrText xml:space="preserve"> HYPERLINK \l "_Toc5191" </w:instrText>
          </w:r>
          <w:r>
            <w:fldChar w:fldCharType="separate"/>
          </w:r>
          <w:r>
            <w:rPr>
              <w:rFonts w:hint="eastAsia" w:ascii="仿宋" w:hAnsi="仿宋" w:eastAsia="仿宋" w:cs="仿宋"/>
              <w:b w:val="0"/>
              <w:bCs w:val="0"/>
              <w:sz w:val="24"/>
              <w:szCs w:val="24"/>
            </w:rPr>
            <w:t>三、支出决算表</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_Toc5191 \h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18</w:t>
          </w:r>
          <w:r>
            <w:rPr>
              <w:rFonts w:hint="eastAsia" w:ascii="仿宋" w:hAnsi="仿宋" w:eastAsia="仿宋" w:cs="仿宋"/>
              <w:b w:val="0"/>
              <w:bCs w:val="0"/>
              <w:sz w:val="24"/>
              <w:szCs w:val="24"/>
            </w:rPr>
            <w:fldChar w:fldCharType="end"/>
          </w:r>
          <w:r>
            <w:rPr>
              <w:rFonts w:hint="eastAsia" w:ascii="仿宋" w:hAnsi="仿宋" w:eastAsia="仿宋" w:cs="仿宋"/>
              <w:b w:val="0"/>
              <w:bCs w:val="0"/>
              <w:sz w:val="24"/>
              <w:szCs w:val="24"/>
            </w:rPr>
            <w:fldChar w:fldCharType="end"/>
          </w:r>
        </w:p>
        <w:p>
          <w:pPr>
            <w:pStyle w:val="42"/>
            <w:tabs>
              <w:tab w:val="right" w:leader="dot" w:pos="8306"/>
            </w:tabs>
            <w:spacing w:line="440" w:lineRule="exact"/>
            <w:ind w:left="420"/>
            <w:rPr>
              <w:rFonts w:hint="eastAsia" w:ascii="仿宋" w:hAnsi="仿宋" w:eastAsia="仿宋" w:cs="仿宋"/>
              <w:b w:val="0"/>
              <w:bCs w:val="0"/>
              <w:sz w:val="24"/>
              <w:szCs w:val="24"/>
            </w:rPr>
          </w:pPr>
          <w:r>
            <w:fldChar w:fldCharType="begin"/>
          </w:r>
          <w:r>
            <w:instrText xml:space="preserve"> HYPERLINK \l "_Toc15200" </w:instrText>
          </w:r>
          <w:r>
            <w:fldChar w:fldCharType="separate"/>
          </w:r>
          <w:r>
            <w:rPr>
              <w:rFonts w:hint="eastAsia" w:ascii="仿宋" w:hAnsi="仿宋" w:eastAsia="仿宋" w:cs="仿宋"/>
              <w:b w:val="0"/>
              <w:bCs w:val="0"/>
              <w:sz w:val="24"/>
              <w:szCs w:val="24"/>
            </w:rPr>
            <w:t>四、财政拨款收入支出决算总表</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_Toc15200 \h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18</w:t>
          </w:r>
          <w:r>
            <w:rPr>
              <w:rFonts w:hint="eastAsia" w:ascii="仿宋" w:hAnsi="仿宋" w:eastAsia="仿宋" w:cs="仿宋"/>
              <w:b w:val="0"/>
              <w:bCs w:val="0"/>
              <w:sz w:val="24"/>
              <w:szCs w:val="24"/>
            </w:rPr>
            <w:fldChar w:fldCharType="end"/>
          </w:r>
          <w:r>
            <w:rPr>
              <w:rFonts w:hint="eastAsia" w:ascii="仿宋" w:hAnsi="仿宋" w:eastAsia="仿宋" w:cs="仿宋"/>
              <w:b w:val="0"/>
              <w:bCs w:val="0"/>
              <w:sz w:val="24"/>
              <w:szCs w:val="24"/>
            </w:rPr>
            <w:fldChar w:fldCharType="end"/>
          </w:r>
        </w:p>
        <w:p>
          <w:pPr>
            <w:pStyle w:val="42"/>
            <w:tabs>
              <w:tab w:val="right" w:leader="dot" w:pos="8306"/>
            </w:tabs>
            <w:spacing w:line="440" w:lineRule="exact"/>
            <w:ind w:left="420"/>
            <w:rPr>
              <w:rFonts w:hint="eastAsia" w:ascii="仿宋" w:hAnsi="仿宋" w:eastAsia="仿宋" w:cs="仿宋"/>
              <w:b w:val="0"/>
              <w:bCs w:val="0"/>
              <w:sz w:val="24"/>
              <w:szCs w:val="24"/>
            </w:rPr>
          </w:pPr>
          <w:r>
            <w:fldChar w:fldCharType="begin"/>
          </w:r>
          <w:r>
            <w:instrText xml:space="preserve"> HYPERLINK \l "_Toc9450" </w:instrText>
          </w:r>
          <w:r>
            <w:fldChar w:fldCharType="separate"/>
          </w:r>
          <w:r>
            <w:rPr>
              <w:rFonts w:hint="eastAsia" w:ascii="仿宋" w:hAnsi="仿宋" w:eastAsia="仿宋" w:cs="仿宋"/>
              <w:b w:val="0"/>
              <w:bCs w:val="0"/>
              <w:sz w:val="24"/>
              <w:szCs w:val="24"/>
            </w:rPr>
            <w:t>五、财政拨款支出决算明细表</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_Toc9450 \h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18</w:t>
          </w:r>
          <w:r>
            <w:rPr>
              <w:rFonts w:hint="eastAsia" w:ascii="仿宋" w:hAnsi="仿宋" w:eastAsia="仿宋" w:cs="仿宋"/>
              <w:b w:val="0"/>
              <w:bCs w:val="0"/>
              <w:sz w:val="24"/>
              <w:szCs w:val="24"/>
            </w:rPr>
            <w:fldChar w:fldCharType="end"/>
          </w:r>
          <w:r>
            <w:rPr>
              <w:rFonts w:hint="eastAsia" w:ascii="仿宋" w:hAnsi="仿宋" w:eastAsia="仿宋" w:cs="仿宋"/>
              <w:b w:val="0"/>
              <w:bCs w:val="0"/>
              <w:sz w:val="24"/>
              <w:szCs w:val="24"/>
            </w:rPr>
            <w:fldChar w:fldCharType="end"/>
          </w:r>
        </w:p>
        <w:p>
          <w:pPr>
            <w:pStyle w:val="42"/>
            <w:tabs>
              <w:tab w:val="right" w:leader="dot" w:pos="8306"/>
            </w:tabs>
            <w:spacing w:line="440" w:lineRule="exact"/>
            <w:ind w:left="420"/>
            <w:rPr>
              <w:rFonts w:hint="eastAsia" w:ascii="仿宋" w:hAnsi="仿宋" w:eastAsia="仿宋" w:cs="仿宋"/>
              <w:b w:val="0"/>
              <w:bCs w:val="0"/>
              <w:sz w:val="24"/>
              <w:szCs w:val="24"/>
            </w:rPr>
          </w:pPr>
          <w:r>
            <w:fldChar w:fldCharType="begin"/>
          </w:r>
          <w:r>
            <w:instrText xml:space="preserve"> HYPERLINK \l "_Toc13179" </w:instrText>
          </w:r>
          <w:r>
            <w:fldChar w:fldCharType="separate"/>
          </w:r>
          <w:r>
            <w:rPr>
              <w:rFonts w:hint="eastAsia" w:ascii="仿宋" w:hAnsi="仿宋" w:eastAsia="仿宋" w:cs="仿宋"/>
              <w:b w:val="0"/>
              <w:bCs w:val="0"/>
              <w:sz w:val="24"/>
              <w:szCs w:val="24"/>
            </w:rPr>
            <w:t>六、一般公共预算财政拨款支出决算表</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_Toc13179 \h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18</w:t>
          </w:r>
          <w:r>
            <w:rPr>
              <w:rFonts w:hint="eastAsia" w:ascii="仿宋" w:hAnsi="仿宋" w:eastAsia="仿宋" w:cs="仿宋"/>
              <w:b w:val="0"/>
              <w:bCs w:val="0"/>
              <w:sz w:val="24"/>
              <w:szCs w:val="24"/>
            </w:rPr>
            <w:fldChar w:fldCharType="end"/>
          </w:r>
          <w:r>
            <w:rPr>
              <w:rFonts w:hint="eastAsia" w:ascii="仿宋" w:hAnsi="仿宋" w:eastAsia="仿宋" w:cs="仿宋"/>
              <w:b w:val="0"/>
              <w:bCs w:val="0"/>
              <w:sz w:val="24"/>
              <w:szCs w:val="24"/>
            </w:rPr>
            <w:fldChar w:fldCharType="end"/>
          </w:r>
        </w:p>
        <w:p>
          <w:pPr>
            <w:pStyle w:val="42"/>
            <w:tabs>
              <w:tab w:val="right" w:leader="dot" w:pos="8306"/>
            </w:tabs>
            <w:spacing w:line="440" w:lineRule="exact"/>
            <w:ind w:left="420"/>
            <w:rPr>
              <w:rFonts w:hint="eastAsia" w:ascii="仿宋" w:hAnsi="仿宋" w:eastAsia="仿宋" w:cs="仿宋"/>
              <w:b w:val="0"/>
              <w:bCs w:val="0"/>
              <w:sz w:val="24"/>
              <w:szCs w:val="24"/>
            </w:rPr>
          </w:pPr>
          <w:r>
            <w:fldChar w:fldCharType="begin"/>
          </w:r>
          <w:r>
            <w:instrText xml:space="preserve"> HYPERLINK \l "_Toc12080" </w:instrText>
          </w:r>
          <w:r>
            <w:fldChar w:fldCharType="separate"/>
          </w:r>
          <w:r>
            <w:rPr>
              <w:rFonts w:hint="eastAsia" w:ascii="仿宋" w:hAnsi="仿宋" w:eastAsia="仿宋" w:cs="仿宋"/>
              <w:b w:val="0"/>
              <w:bCs w:val="0"/>
              <w:sz w:val="24"/>
              <w:szCs w:val="24"/>
            </w:rPr>
            <w:t>七、一般公共预算财政拨款支出决算明细表</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_Toc12080 \h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18</w:t>
          </w:r>
          <w:r>
            <w:rPr>
              <w:rFonts w:hint="eastAsia" w:ascii="仿宋" w:hAnsi="仿宋" w:eastAsia="仿宋" w:cs="仿宋"/>
              <w:b w:val="0"/>
              <w:bCs w:val="0"/>
              <w:sz w:val="24"/>
              <w:szCs w:val="24"/>
            </w:rPr>
            <w:fldChar w:fldCharType="end"/>
          </w:r>
          <w:r>
            <w:rPr>
              <w:rFonts w:hint="eastAsia" w:ascii="仿宋" w:hAnsi="仿宋" w:eastAsia="仿宋" w:cs="仿宋"/>
              <w:b w:val="0"/>
              <w:bCs w:val="0"/>
              <w:sz w:val="24"/>
              <w:szCs w:val="24"/>
            </w:rPr>
            <w:fldChar w:fldCharType="end"/>
          </w:r>
        </w:p>
        <w:p>
          <w:pPr>
            <w:pStyle w:val="42"/>
            <w:tabs>
              <w:tab w:val="right" w:leader="dot" w:pos="8306"/>
            </w:tabs>
            <w:spacing w:line="440" w:lineRule="exact"/>
            <w:ind w:left="420"/>
            <w:rPr>
              <w:rFonts w:hint="eastAsia" w:ascii="仿宋" w:hAnsi="仿宋" w:eastAsia="仿宋" w:cs="仿宋"/>
              <w:b w:val="0"/>
              <w:bCs w:val="0"/>
              <w:sz w:val="24"/>
              <w:szCs w:val="24"/>
            </w:rPr>
          </w:pPr>
          <w:r>
            <w:fldChar w:fldCharType="begin"/>
          </w:r>
          <w:r>
            <w:instrText xml:space="preserve"> HYPERLINK \l "_Toc27401" </w:instrText>
          </w:r>
          <w:r>
            <w:fldChar w:fldCharType="separate"/>
          </w:r>
          <w:r>
            <w:rPr>
              <w:rFonts w:hint="eastAsia" w:ascii="仿宋" w:hAnsi="仿宋" w:eastAsia="仿宋" w:cs="仿宋"/>
              <w:b w:val="0"/>
              <w:bCs w:val="0"/>
              <w:sz w:val="24"/>
              <w:szCs w:val="24"/>
            </w:rPr>
            <w:t>八、一般公共预算财政拨款基本支出决算表</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_Toc27401 \h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18</w:t>
          </w:r>
          <w:r>
            <w:rPr>
              <w:rFonts w:hint="eastAsia" w:ascii="仿宋" w:hAnsi="仿宋" w:eastAsia="仿宋" w:cs="仿宋"/>
              <w:b w:val="0"/>
              <w:bCs w:val="0"/>
              <w:sz w:val="24"/>
              <w:szCs w:val="24"/>
            </w:rPr>
            <w:fldChar w:fldCharType="end"/>
          </w:r>
          <w:r>
            <w:rPr>
              <w:rFonts w:hint="eastAsia" w:ascii="仿宋" w:hAnsi="仿宋" w:eastAsia="仿宋" w:cs="仿宋"/>
              <w:b w:val="0"/>
              <w:bCs w:val="0"/>
              <w:sz w:val="24"/>
              <w:szCs w:val="24"/>
            </w:rPr>
            <w:fldChar w:fldCharType="end"/>
          </w:r>
        </w:p>
        <w:p>
          <w:pPr>
            <w:pStyle w:val="42"/>
            <w:tabs>
              <w:tab w:val="right" w:leader="dot" w:pos="8306"/>
            </w:tabs>
            <w:spacing w:line="440" w:lineRule="exact"/>
            <w:ind w:left="420"/>
            <w:rPr>
              <w:rFonts w:hint="eastAsia" w:ascii="仿宋" w:hAnsi="仿宋" w:eastAsia="仿宋" w:cs="仿宋"/>
              <w:b w:val="0"/>
              <w:bCs w:val="0"/>
              <w:sz w:val="24"/>
              <w:szCs w:val="24"/>
            </w:rPr>
          </w:pPr>
          <w:r>
            <w:fldChar w:fldCharType="begin"/>
          </w:r>
          <w:r>
            <w:instrText xml:space="preserve"> HYPERLINK \l "_Toc31489" </w:instrText>
          </w:r>
          <w:r>
            <w:fldChar w:fldCharType="separate"/>
          </w:r>
          <w:r>
            <w:rPr>
              <w:rFonts w:hint="eastAsia" w:ascii="仿宋" w:hAnsi="仿宋" w:eastAsia="仿宋" w:cs="仿宋"/>
              <w:b w:val="0"/>
              <w:bCs w:val="0"/>
              <w:sz w:val="24"/>
              <w:szCs w:val="24"/>
            </w:rPr>
            <w:t>九、一般公共预算财政拨款项目支出决算表</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_Toc31489 \h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18</w:t>
          </w:r>
          <w:r>
            <w:rPr>
              <w:rFonts w:hint="eastAsia" w:ascii="仿宋" w:hAnsi="仿宋" w:eastAsia="仿宋" w:cs="仿宋"/>
              <w:b w:val="0"/>
              <w:bCs w:val="0"/>
              <w:sz w:val="24"/>
              <w:szCs w:val="24"/>
            </w:rPr>
            <w:fldChar w:fldCharType="end"/>
          </w:r>
          <w:r>
            <w:rPr>
              <w:rFonts w:hint="eastAsia" w:ascii="仿宋" w:hAnsi="仿宋" w:eastAsia="仿宋" w:cs="仿宋"/>
              <w:b w:val="0"/>
              <w:bCs w:val="0"/>
              <w:sz w:val="24"/>
              <w:szCs w:val="24"/>
            </w:rPr>
            <w:fldChar w:fldCharType="end"/>
          </w:r>
        </w:p>
        <w:p>
          <w:pPr>
            <w:pStyle w:val="42"/>
            <w:tabs>
              <w:tab w:val="right" w:leader="dot" w:pos="8306"/>
            </w:tabs>
            <w:spacing w:line="440" w:lineRule="exact"/>
            <w:ind w:left="420"/>
            <w:rPr>
              <w:rFonts w:hint="eastAsia" w:ascii="仿宋" w:hAnsi="仿宋" w:eastAsia="仿宋" w:cs="仿宋"/>
              <w:b w:val="0"/>
              <w:bCs w:val="0"/>
              <w:sz w:val="24"/>
              <w:szCs w:val="24"/>
            </w:rPr>
          </w:pPr>
          <w:r>
            <w:fldChar w:fldCharType="begin"/>
          </w:r>
          <w:r>
            <w:instrText xml:space="preserve"> HYPERLINK \l "_Toc20286" </w:instrText>
          </w:r>
          <w:r>
            <w:fldChar w:fldCharType="separate"/>
          </w:r>
          <w:r>
            <w:rPr>
              <w:rFonts w:hint="eastAsia" w:ascii="仿宋" w:hAnsi="仿宋" w:eastAsia="仿宋" w:cs="仿宋"/>
              <w:b w:val="0"/>
              <w:bCs w:val="0"/>
              <w:sz w:val="24"/>
              <w:szCs w:val="24"/>
            </w:rPr>
            <w:t>十、政府性基金预算财政拨款收入支出决算表</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_Toc20286 \h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18</w:t>
          </w:r>
          <w:r>
            <w:rPr>
              <w:rFonts w:hint="eastAsia" w:ascii="仿宋" w:hAnsi="仿宋" w:eastAsia="仿宋" w:cs="仿宋"/>
              <w:b w:val="0"/>
              <w:bCs w:val="0"/>
              <w:sz w:val="24"/>
              <w:szCs w:val="24"/>
            </w:rPr>
            <w:fldChar w:fldCharType="end"/>
          </w:r>
          <w:r>
            <w:rPr>
              <w:rFonts w:hint="eastAsia" w:ascii="仿宋" w:hAnsi="仿宋" w:eastAsia="仿宋" w:cs="仿宋"/>
              <w:b w:val="0"/>
              <w:bCs w:val="0"/>
              <w:sz w:val="24"/>
              <w:szCs w:val="24"/>
            </w:rPr>
            <w:fldChar w:fldCharType="end"/>
          </w:r>
        </w:p>
        <w:p>
          <w:pPr>
            <w:pStyle w:val="42"/>
            <w:tabs>
              <w:tab w:val="right" w:leader="dot" w:pos="8306"/>
            </w:tabs>
            <w:spacing w:line="440" w:lineRule="exact"/>
            <w:ind w:left="420"/>
            <w:rPr>
              <w:rFonts w:hint="eastAsia" w:ascii="仿宋" w:hAnsi="仿宋" w:eastAsia="仿宋" w:cs="仿宋"/>
              <w:b w:val="0"/>
              <w:bCs w:val="0"/>
              <w:sz w:val="24"/>
              <w:szCs w:val="24"/>
            </w:rPr>
          </w:pPr>
          <w:r>
            <w:fldChar w:fldCharType="begin"/>
          </w:r>
          <w:r>
            <w:instrText xml:space="preserve"> HYPERLINK \l "_Toc6667" </w:instrText>
          </w:r>
          <w:r>
            <w:fldChar w:fldCharType="separate"/>
          </w:r>
          <w:r>
            <w:rPr>
              <w:rFonts w:hint="eastAsia" w:ascii="仿宋" w:hAnsi="仿宋" w:eastAsia="仿宋" w:cs="仿宋"/>
              <w:b w:val="0"/>
              <w:bCs w:val="0"/>
              <w:sz w:val="24"/>
              <w:szCs w:val="24"/>
            </w:rPr>
            <w:t>十一、国有资本经营预算</w:t>
          </w:r>
          <w:r>
            <w:rPr>
              <w:rFonts w:hint="eastAsia" w:ascii="仿宋" w:hAnsi="仿宋" w:eastAsia="仿宋" w:cs="仿宋"/>
              <w:b w:val="0"/>
              <w:bCs w:val="0"/>
              <w:sz w:val="24"/>
              <w:szCs w:val="24"/>
              <w:lang w:eastAsia="zh-CN"/>
            </w:rPr>
            <w:t>财政拨款收入</w:t>
          </w:r>
          <w:r>
            <w:rPr>
              <w:rFonts w:hint="eastAsia" w:ascii="仿宋" w:hAnsi="仿宋" w:eastAsia="仿宋" w:cs="仿宋"/>
              <w:b w:val="0"/>
              <w:bCs w:val="0"/>
              <w:sz w:val="24"/>
              <w:szCs w:val="24"/>
            </w:rPr>
            <w:t>支出决算表</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_Toc6667 \h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18</w:t>
          </w:r>
          <w:r>
            <w:rPr>
              <w:rFonts w:hint="eastAsia" w:ascii="仿宋" w:hAnsi="仿宋" w:eastAsia="仿宋" w:cs="仿宋"/>
              <w:b w:val="0"/>
              <w:bCs w:val="0"/>
              <w:sz w:val="24"/>
              <w:szCs w:val="24"/>
            </w:rPr>
            <w:fldChar w:fldCharType="end"/>
          </w:r>
          <w:r>
            <w:rPr>
              <w:rFonts w:hint="eastAsia" w:ascii="仿宋" w:hAnsi="仿宋" w:eastAsia="仿宋" w:cs="仿宋"/>
              <w:b w:val="0"/>
              <w:bCs w:val="0"/>
              <w:sz w:val="24"/>
              <w:szCs w:val="24"/>
            </w:rPr>
            <w:fldChar w:fldCharType="end"/>
          </w:r>
        </w:p>
        <w:p>
          <w:pPr>
            <w:pStyle w:val="42"/>
            <w:tabs>
              <w:tab w:val="right" w:leader="dot" w:pos="8306"/>
            </w:tabs>
            <w:spacing w:line="440" w:lineRule="exact"/>
            <w:ind w:left="420"/>
            <w:rPr>
              <w:rFonts w:hint="eastAsia" w:ascii="仿宋" w:hAnsi="仿宋" w:eastAsia="仿宋" w:cs="仿宋"/>
              <w:b w:val="0"/>
              <w:bCs w:val="0"/>
              <w:sz w:val="24"/>
              <w:szCs w:val="24"/>
            </w:rPr>
          </w:pPr>
          <w:r>
            <w:fldChar w:fldCharType="begin"/>
          </w:r>
          <w:r>
            <w:instrText xml:space="preserve"> HYPERLINK \l "_Toc10057" </w:instrText>
          </w:r>
          <w:r>
            <w:fldChar w:fldCharType="separate"/>
          </w:r>
          <w:r>
            <w:rPr>
              <w:rFonts w:hint="eastAsia" w:ascii="仿宋" w:hAnsi="仿宋" w:eastAsia="仿宋" w:cs="仿宋"/>
              <w:b w:val="0"/>
              <w:bCs w:val="0"/>
              <w:sz w:val="24"/>
              <w:szCs w:val="24"/>
            </w:rPr>
            <w:t>十二、</w:t>
          </w:r>
          <w:r>
            <w:rPr>
              <w:rFonts w:hint="eastAsia" w:ascii="仿宋" w:hAnsi="仿宋" w:eastAsia="仿宋" w:cs="仿宋"/>
              <w:b w:val="0"/>
              <w:bCs w:val="0"/>
              <w:sz w:val="24"/>
              <w:szCs w:val="24"/>
              <w:lang w:eastAsia="zh-CN"/>
            </w:rPr>
            <w:t>国有资本经营预算财政拨款支出决算表</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_Toc10057 \h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18</w:t>
          </w:r>
          <w:r>
            <w:rPr>
              <w:rFonts w:hint="eastAsia" w:ascii="仿宋" w:hAnsi="仿宋" w:eastAsia="仿宋" w:cs="仿宋"/>
              <w:b w:val="0"/>
              <w:bCs w:val="0"/>
              <w:sz w:val="24"/>
              <w:szCs w:val="24"/>
            </w:rPr>
            <w:fldChar w:fldCharType="end"/>
          </w:r>
          <w:r>
            <w:rPr>
              <w:rFonts w:hint="eastAsia" w:ascii="仿宋" w:hAnsi="仿宋" w:eastAsia="仿宋" w:cs="仿宋"/>
              <w:b w:val="0"/>
              <w:bCs w:val="0"/>
              <w:sz w:val="24"/>
              <w:szCs w:val="24"/>
            </w:rPr>
            <w:fldChar w:fldCharType="end"/>
          </w:r>
        </w:p>
        <w:p>
          <w:pPr>
            <w:pStyle w:val="42"/>
            <w:tabs>
              <w:tab w:val="right" w:leader="dot" w:pos="8306"/>
            </w:tabs>
            <w:spacing w:line="440" w:lineRule="exact"/>
            <w:ind w:left="420"/>
            <w:rPr>
              <w:rFonts w:ascii="Times New Roman" w:hAnsi="Times New Roman" w:cs="Times New Roman"/>
              <w:sz w:val="24"/>
              <w:szCs w:val="24"/>
            </w:rPr>
          </w:pPr>
          <w:r>
            <w:fldChar w:fldCharType="begin"/>
          </w:r>
          <w:r>
            <w:instrText xml:space="preserve"> HYPERLINK \l "_Toc10766" </w:instrText>
          </w:r>
          <w:r>
            <w:fldChar w:fldCharType="separate"/>
          </w:r>
          <w:r>
            <w:rPr>
              <w:rFonts w:hint="eastAsia" w:ascii="仿宋" w:hAnsi="仿宋" w:eastAsia="仿宋" w:cs="仿宋"/>
              <w:b w:val="0"/>
              <w:bCs w:val="0"/>
              <w:sz w:val="24"/>
              <w:szCs w:val="24"/>
            </w:rPr>
            <w:t>十三、</w:t>
          </w:r>
          <w:r>
            <w:rPr>
              <w:rFonts w:hint="eastAsia" w:ascii="仿宋" w:hAnsi="仿宋" w:eastAsia="仿宋" w:cs="仿宋"/>
              <w:b w:val="0"/>
              <w:bCs w:val="0"/>
              <w:sz w:val="24"/>
              <w:szCs w:val="24"/>
              <w:lang w:eastAsia="zh-CN"/>
            </w:rPr>
            <w:t>财政拨款“三公”经费支出决算表</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_Toc10766 \h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18</w:t>
          </w:r>
          <w:r>
            <w:rPr>
              <w:rFonts w:hint="eastAsia" w:ascii="仿宋" w:hAnsi="仿宋" w:eastAsia="仿宋" w:cs="仿宋"/>
              <w:b w:val="0"/>
              <w:bCs w:val="0"/>
              <w:sz w:val="24"/>
              <w:szCs w:val="24"/>
            </w:rPr>
            <w:fldChar w:fldCharType="end"/>
          </w:r>
          <w:r>
            <w:rPr>
              <w:rFonts w:hint="eastAsia" w:ascii="仿宋" w:hAnsi="仿宋" w:eastAsia="仿宋" w:cs="仿宋"/>
              <w:b w:val="0"/>
              <w:bCs w:val="0"/>
              <w:sz w:val="24"/>
              <w:szCs w:val="24"/>
            </w:rPr>
            <w:fldChar w:fldCharType="end"/>
          </w:r>
        </w:p>
        <w:p>
          <w:pPr>
            <w:spacing w:before="0" w:beforeLines="0" w:after="0" w:afterLines="0" w:line="240" w:lineRule="auto"/>
            <w:ind w:left="0" w:leftChars="0" w:right="0" w:rightChars="0" w:firstLine="0" w:firstLineChars="0"/>
            <w:jc w:val="center"/>
            <w:sectPr>
              <w:footerReference r:id="rId6" w:type="first"/>
              <w:footerReference r:id="rId5" w:type="default"/>
              <w:pgSz w:w="11906" w:h="16838"/>
              <w:pgMar w:top="1440" w:right="1800" w:bottom="1440" w:left="1800" w:header="851" w:footer="992" w:gutter="0"/>
              <w:pgNumType w:fmt="decimal" w:start="1"/>
              <w:cols w:space="425" w:num="1"/>
              <w:titlePg/>
              <w:docGrid w:type="lines" w:linePitch="312" w:charSpace="0"/>
            </w:sectPr>
          </w:pPr>
          <w:r>
            <w:fldChar w:fldCharType="end"/>
          </w:r>
        </w:p>
      </w:sdtContent>
    </w:sdt>
    <w:p>
      <w:pPr>
        <w:pStyle w:val="2"/>
        <w:jc w:val="center"/>
        <w:rPr>
          <w:rFonts w:ascii="黑体" w:eastAsia="黑体"/>
          <w:color w:val="auto"/>
          <w:sz w:val="32"/>
          <w:szCs w:val="32"/>
          <w:highlight w:val="none"/>
        </w:rPr>
      </w:pPr>
      <w:bookmarkStart w:id="18" w:name="_Toc15377196"/>
      <w:bookmarkStart w:id="19" w:name="_Toc15396599"/>
      <w:bookmarkStart w:id="20" w:name="_Toc27581"/>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31"/>
          <w:rFonts w:hint="eastAsia" w:ascii="黑体" w:hAnsi="黑体" w:eastAsia="黑体"/>
          <w:b w:val="0"/>
          <w:bCs w:val="0"/>
          <w:color w:val="auto"/>
          <w:highlight w:val="none"/>
        </w:rPr>
        <w:t>概况</w:t>
      </w:r>
      <w:bookmarkEnd w:id="18"/>
      <w:bookmarkEnd w:id="19"/>
      <w:bookmarkEnd w:id="20"/>
    </w:p>
    <w:p>
      <w:pPr>
        <w:ind w:firstLine="640" w:firstLineChars="200"/>
        <w:rPr>
          <w:rFonts w:hint="eastAsia" w:ascii="黑体" w:hAnsi="黑体" w:eastAsia="黑体" w:cs="黑体"/>
          <w:sz w:val="32"/>
          <w:szCs w:val="32"/>
          <w:lang w:eastAsia="zh-CN"/>
        </w:rPr>
      </w:pPr>
      <w:bookmarkStart w:id="21" w:name="_Toc13626"/>
      <w:r>
        <w:rPr>
          <w:rFonts w:hint="eastAsia" w:ascii="黑体" w:hAnsi="黑体" w:eastAsia="黑体" w:cs="黑体"/>
          <w:sz w:val="32"/>
          <w:szCs w:val="32"/>
          <w:lang w:eastAsia="zh-CN"/>
        </w:rPr>
        <w:t>一、主要职责</w:t>
      </w:r>
      <w:bookmarkEnd w:id="21"/>
    </w:p>
    <w:p>
      <w:pPr>
        <w:ind w:firstLine="640" w:firstLineChars="200"/>
        <w:rPr>
          <w:rFonts w:hint="eastAsia" w:ascii="仿宋" w:hAnsi="仿宋" w:eastAsia="仿宋" w:cs="仿宋"/>
          <w:kern w:val="0"/>
          <w:sz w:val="32"/>
          <w:szCs w:val="32"/>
          <w:lang w:val="en-US" w:eastAsia="zh-CN" w:bidi="ar-SA"/>
        </w:rPr>
      </w:pPr>
      <w:bookmarkStart w:id="22" w:name="_Toc26141"/>
      <w:r>
        <w:rPr>
          <w:rFonts w:hint="eastAsia" w:ascii="仿宋" w:hAnsi="仿宋" w:eastAsia="仿宋" w:cs="仿宋"/>
          <w:kern w:val="0"/>
          <w:sz w:val="32"/>
          <w:szCs w:val="32"/>
          <w:lang w:val="en-US" w:eastAsia="zh-CN" w:bidi="ar-SA"/>
        </w:rPr>
        <w:t>1.疾病预防与控制;</w:t>
      </w:r>
      <w:bookmarkEnd w:id="22"/>
    </w:p>
    <w:p>
      <w:pPr>
        <w:pStyle w:val="7"/>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bookmarkStart w:id="23" w:name="_Toc20050"/>
      <w:r>
        <w:rPr>
          <w:rFonts w:hint="eastAsia" w:ascii="仿宋" w:hAnsi="仿宋" w:eastAsia="仿宋" w:cs="仿宋"/>
          <w:sz w:val="32"/>
          <w:szCs w:val="32"/>
        </w:rPr>
        <w:t>2</w:t>
      </w:r>
      <w:r>
        <w:rPr>
          <w:rFonts w:hint="eastAsia" w:ascii="仿宋" w:hAnsi="仿宋" w:eastAsia="仿宋" w:cs="仿宋"/>
          <w:sz w:val="32"/>
          <w:szCs w:val="32"/>
          <w:lang w:val="en-US" w:eastAsia="zh-CN"/>
        </w:rPr>
        <w:t>.</w:t>
      </w:r>
      <w:r>
        <w:rPr>
          <w:rFonts w:hint="eastAsia" w:ascii="仿宋" w:hAnsi="仿宋" w:eastAsia="仿宋" w:cs="仿宋"/>
          <w:sz w:val="32"/>
          <w:szCs w:val="32"/>
        </w:rPr>
        <w:t>突发公共卫生事件应急处置;</w:t>
      </w:r>
      <w:bookmarkEnd w:id="23"/>
    </w:p>
    <w:p>
      <w:pPr>
        <w:pStyle w:val="7"/>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bookmarkStart w:id="24" w:name="_Toc13562"/>
      <w:r>
        <w:rPr>
          <w:rFonts w:hint="eastAsia" w:ascii="仿宋" w:hAnsi="仿宋" w:eastAsia="仿宋" w:cs="仿宋"/>
          <w:sz w:val="32"/>
          <w:szCs w:val="32"/>
        </w:rPr>
        <w:t>3</w:t>
      </w:r>
      <w:r>
        <w:rPr>
          <w:rFonts w:hint="eastAsia" w:ascii="仿宋" w:hAnsi="仿宋" w:eastAsia="仿宋" w:cs="仿宋"/>
          <w:sz w:val="32"/>
          <w:szCs w:val="32"/>
          <w:lang w:val="en-US" w:eastAsia="zh-CN"/>
        </w:rPr>
        <w:t>.</w:t>
      </w:r>
      <w:r>
        <w:rPr>
          <w:rFonts w:hint="eastAsia" w:ascii="仿宋" w:hAnsi="仿宋" w:eastAsia="仿宋" w:cs="仿宋"/>
          <w:sz w:val="32"/>
          <w:szCs w:val="32"/>
        </w:rPr>
        <w:t>疫情及健康相关因素信息管理;</w:t>
      </w:r>
      <w:bookmarkEnd w:id="24"/>
    </w:p>
    <w:p>
      <w:pPr>
        <w:pStyle w:val="7"/>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bookmarkStart w:id="25" w:name="_Toc475"/>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健康危害因素监测与干预;</w:t>
      </w:r>
      <w:bookmarkEnd w:id="25"/>
    </w:p>
    <w:p>
      <w:pPr>
        <w:pStyle w:val="7"/>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bookmarkStart w:id="26" w:name="_Toc15517"/>
      <w:r>
        <w:rPr>
          <w:rFonts w:hint="eastAsia" w:ascii="仿宋" w:hAnsi="仿宋" w:eastAsia="仿宋" w:cs="仿宋"/>
          <w:sz w:val="32"/>
          <w:szCs w:val="32"/>
        </w:rPr>
        <w:t>5</w:t>
      </w:r>
      <w:r>
        <w:rPr>
          <w:rFonts w:hint="eastAsia" w:ascii="仿宋" w:hAnsi="仿宋" w:eastAsia="仿宋" w:cs="仿宋"/>
          <w:sz w:val="32"/>
          <w:szCs w:val="32"/>
          <w:lang w:val="en-US" w:eastAsia="zh-CN"/>
        </w:rPr>
        <w:t>.</w:t>
      </w:r>
      <w:r>
        <w:rPr>
          <w:rFonts w:hint="eastAsia" w:ascii="仿宋" w:hAnsi="仿宋" w:eastAsia="仿宋" w:cs="仿宋"/>
          <w:sz w:val="32"/>
          <w:szCs w:val="32"/>
        </w:rPr>
        <w:t>实验室检测检验与评价;</w:t>
      </w:r>
      <w:bookmarkEnd w:id="26"/>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bookmarkStart w:id="27" w:name="_Toc31825"/>
      <w:r>
        <w:rPr>
          <w:rFonts w:hint="eastAsia" w:ascii="仿宋" w:hAnsi="仿宋" w:eastAsia="仿宋" w:cs="仿宋"/>
          <w:sz w:val="32"/>
          <w:szCs w:val="32"/>
        </w:rPr>
        <w:t>6</w:t>
      </w:r>
      <w:r>
        <w:rPr>
          <w:rFonts w:hint="eastAsia" w:ascii="仿宋" w:hAnsi="仿宋" w:eastAsia="仿宋" w:cs="仿宋"/>
          <w:sz w:val="32"/>
          <w:szCs w:val="32"/>
          <w:lang w:val="en-US" w:eastAsia="zh-CN"/>
        </w:rPr>
        <w:t>.</w:t>
      </w:r>
      <w:r>
        <w:rPr>
          <w:rFonts w:hint="eastAsia" w:ascii="仿宋" w:hAnsi="仿宋" w:eastAsia="仿宋" w:cs="仿宋"/>
          <w:sz w:val="32"/>
          <w:szCs w:val="32"/>
        </w:rPr>
        <w:t>健康教育与健康促进等。</w:t>
      </w:r>
      <w:bookmarkEnd w:id="27"/>
    </w:p>
    <w:p>
      <w:pPr>
        <w:numPr>
          <w:ilvl w:val="0"/>
          <w:numId w:val="0"/>
        </w:numPr>
        <w:rPr>
          <w:rFonts w:hint="eastAsia"/>
          <w:lang w:eastAsia="zh-CN"/>
        </w:rPr>
      </w:pPr>
    </w:p>
    <w:p>
      <w:pPr>
        <w:ind w:firstLine="640" w:firstLineChars="200"/>
        <w:rPr>
          <w:rFonts w:hint="eastAsia" w:ascii="黑体" w:hAnsi="黑体" w:eastAsia="黑体" w:cs="黑体"/>
          <w:sz w:val="32"/>
          <w:szCs w:val="32"/>
        </w:rPr>
      </w:pPr>
      <w:bookmarkStart w:id="28" w:name="_Toc15396601"/>
      <w:bookmarkStart w:id="29" w:name="_Toc3895"/>
      <w:bookmarkStart w:id="30" w:name="_Toc15377200"/>
      <w:r>
        <w:rPr>
          <w:rFonts w:hint="eastAsia" w:ascii="黑体" w:hAnsi="黑体" w:eastAsia="黑体" w:cs="黑体"/>
          <w:sz w:val="32"/>
          <w:szCs w:val="32"/>
        </w:rPr>
        <w:t>二、机构设置</w:t>
      </w:r>
      <w:bookmarkEnd w:id="28"/>
      <w:bookmarkEnd w:id="29"/>
      <w:bookmarkEnd w:id="30"/>
    </w:p>
    <w:p>
      <w:pPr>
        <w:ind w:firstLine="800" w:firstLineChars="250"/>
        <w:rPr>
          <w:rFonts w:hint="eastAsia" w:ascii="黑体" w:hAnsi="黑体" w:eastAsia="黑体"/>
          <w:b w:val="0"/>
          <w:bCs/>
          <w:color w:val="auto"/>
          <w:highlight w:val="none"/>
        </w:rPr>
      </w:pPr>
      <w:r>
        <w:rPr>
          <w:rFonts w:hint="eastAsia" w:ascii="仿宋" w:hAnsi="仿宋" w:eastAsia="仿宋"/>
          <w:color w:val="auto"/>
          <w:sz w:val="32"/>
          <w:szCs w:val="32"/>
          <w:highlight w:val="none"/>
          <w:lang w:eastAsia="zh-CN"/>
        </w:rPr>
        <w:t>广元市昭化区疾病预防控制中心</w:t>
      </w:r>
      <w:r>
        <w:rPr>
          <w:rFonts w:hint="eastAsia" w:ascii="仿宋" w:hAnsi="仿宋" w:eastAsia="仿宋"/>
          <w:color w:val="auto"/>
          <w:sz w:val="32"/>
          <w:szCs w:val="32"/>
          <w:highlight w:val="none"/>
        </w:rPr>
        <w:t>下属二级</w:t>
      </w:r>
      <w:r>
        <w:rPr>
          <w:rFonts w:hint="eastAsia" w:ascii="仿宋" w:hAnsi="仿宋" w:eastAsia="仿宋"/>
          <w:color w:val="auto"/>
          <w:sz w:val="32"/>
          <w:szCs w:val="32"/>
          <w:highlight w:val="none"/>
          <w:lang w:eastAsia="zh-CN"/>
        </w:rPr>
        <w:t>预算</w:t>
      </w:r>
      <w:r>
        <w:rPr>
          <w:rFonts w:hint="eastAsia" w:ascii="仿宋" w:hAnsi="仿宋" w:eastAsia="仿宋"/>
          <w:color w:val="auto"/>
          <w:sz w:val="32"/>
          <w:szCs w:val="32"/>
          <w:highlight w:val="none"/>
        </w:rPr>
        <w:t>单位</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个，其中行政单位</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个，参照公务员法管理的事业单位</w:t>
      </w:r>
      <w:r>
        <w:rPr>
          <w:rFonts w:hint="eastAsia" w:ascii="仿宋" w:hAnsi="仿宋" w:eastAsia="仿宋"/>
          <w:bCs/>
          <w:color w:val="auto"/>
          <w:sz w:val="32"/>
          <w:szCs w:val="32"/>
          <w:highlight w:val="none"/>
          <w:lang w:val="en-US" w:eastAsia="zh-CN"/>
        </w:rPr>
        <w:t>0</w:t>
      </w:r>
      <w:r>
        <w:rPr>
          <w:rFonts w:hint="eastAsia" w:ascii="仿宋" w:hAnsi="仿宋" w:eastAsia="仿宋"/>
          <w:color w:val="auto"/>
          <w:sz w:val="32"/>
          <w:szCs w:val="32"/>
          <w:highlight w:val="none"/>
        </w:rPr>
        <w:t>个，其他事业单位</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个。</w:t>
      </w:r>
      <w:bookmarkStart w:id="31" w:name="_Toc15396602"/>
      <w:bookmarkStart w:id="32" w:name="_Toc15377204"/>
      <w:r>
        <w:br w:type="page"/>
      </w:r>
    </w:p>
    <w:p>
      <w:pPr>
        <w:pStyle w:val="2"/>
        <w:ind w:right="440"/>
        <w:jc w:val="center"/>
        <w:rPr>
          <w:rStyle w:val="31"/>
          <w:rFonts w:ascii="黑体" w:hAnsi="黑体" w:eastAsia="黑体"/>
          <w:b w:val="0"/>
          <w:bCs/>
          <w:color w:val="auto"/>
          <w:highlight w:val="none"/>
        </w:rPr>
      </w:pPr>
      <w:r>
        <w:rPr>
          <w:rFonts w:hint="eastAsia" w:ascii="黑体" w:hAnsi="黑体" w:eastAsia="黑体"/>
          <w:b w:val="0"/>
          <w:bCs/>
          <w:color w:val="auto"/>
          <w:highlight w:val="none"/>
          <w:lang w:val="en-US" w:eastAsia="zh-CN"/>
        </w:rPr>
        <w:t xml:space="preserve">  </w:t>
      </w:r>
      <w:bookmarkStart w:id="33" w:name="_Toc9047"/>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2022年度单位</w:t>
      </w:r>
      <w:r>
        <w:rPr>
          <w:rStyle w:val="31"/>
          <w:rFonts w:hint="eastAsia" w:ascii="黑体" w:hAnsi="黑体" w:eastAsia="黑体"/>
          <w:b w:val="0"/>
          <w:bCs/>
          <w:color w:val="auto"/>
          <w:highlight w:val="none"/>
        </w:rPr>
        <w:t>决算情况说明</w:t>
      </w:r>
      <w:bookmarkEnd w:id="31"/>
      <w:bookmarkEnd w:id="32"/>
      <w:bookmarkEnd w:id="33"/>
    </w:p>
    <w:p>
      <w:pPr>
        <w:rPr>
          <w:color w:val="auto"/>
          <w:highlight w:val="none"/>
        </w:rPr>
      </w:pPr>
    </w:p>
    <w:p>
      <w:pPr>
        <w:pStyle w:val="30"/>
        <w:numPr>
          <w:ilvl w:val="0"/>
          <w:numId w:val="1"/>
        </w:numPr>
        <w:spacing w:line="600" w:lineRule="exact"/>
        <w:ind w:firstLineChars="0"/>
        <w:outlineLvl w:val="1"/>
        <w:rPr>
          <w:rStyle w:val="32"/>
          <w:rFonts w:ascii="黑体" w:hAnsi="黑体" w:eastAsia="黑体"/>
          <w:b w:val="0"/>
          <w:color w:val="auto"/>
          <w:highlight w:val="none"/>
        </w:rPr>
      </w:pPr>
      <w:bookmarkStart w:id="34" w:name="_Toc15377205"/>
      <w:bookmarkStart w:id="35" w:name="_Toc28767"/>
      <w:bookmarkStart w:id="36" w:name="_Toc15396603"/>
      <w:r>
        <w:rPr>
          <w:rFonts w:hint="eastAsia" w:ascii="黑体" w:hAnsi="黑体" w:eastAsia="黑体"/>
          <w:color w:val="auto"/>
          <w:sz w:val="32"/>
          <w:szCs w:val="32"/>
          <w:highlight w:val="none"/>
        </w:rPr>
        <w:t>收</w:t>
      </w:r>
      <w:r>
        <w:rPr>
          <w:rStyle w:val="32"/>
          <w:rFonts w:hint="eastAsia" w:ascii="黑体" w:hAnsi="黑体" w:eastAsia="黑体"/>
          <w:b w:val="0"/>
          <w:color w:val="auto"/>
          <w:highlight w:val="none"/>
        </w:rPr>
        <w:t>入支出决算总体情况说明</w:t>
      </w:r>
      <w:bookmarkEnd w:id="34"/>
      <w:bookmarkEnd w:id="35"/>
      <w:bookmarkEnd w:id="36"/>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lang w:eastAsia="zh-CN"/>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年度收、支总计</w:t>
      </w:r>
      <w:r>
        <w:rPr>
          <w:rFonts w:hint="eastAsia" w:ascii="仿宋" w:hAnsi="仿宋" w:eastAsia="仿宋"/>
          <w:color w:val="auto"/>
          <w:sz w:val="32"/>
          <w:szCs w:val="32"/>
          <w:highlight w:val="none"/>
          <w:lang w:val="en-US" w:eastAsia="zh-CN"/>
        </w:rPr>
        <w:t>1081.2</w:t>
      </w:r>
      <w:r>
        <w:rPr>
          <w:rFonts w:hint="eastAsia" w:ascii="仿宋" w:hAnsi="仿宋" w:eastAsia="仿宋"/>
          <w:color w:val="auto"/>
          <w:sz w:val="32"/>
          <w:szCs w:val="32"/>
          <w:highlight w:val="none"/>
        </w:rPr>
        <w:t>万元。与20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年相比，收</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支总计各</w:t>
      </w:r>
      <w:r>
        <w:rPr>
          <w:rFonts w:hint="eastAsia" w:ascii="仿宋" w:hAnsi="仿宋" w:eastAsia="仿宋"/>
          <w:color w:val="auto"/>
          <w:sz w:val="32"/>
          <w:szCs w:val="32"/>
          <w:highlight w:val="none"/>
          <w:lang w:eastAsia="zh-CN"/>
        </w:rPr>
        <w:t>增加</w:t>
      </w:r>
      <w:r>
        <w:rPr>
          <w:rFonts w:hint="eastAsia" w:ascii="仿宋" w:hAnsi="仿宋" w:eastAsia="仿宋"/>
          <w:color w:val="auto"/>
          <w:sz w:val="32"/>
          <w:szCs w:val="32"/>
          <w:highlight w:val="none"/>
          <w:lang w:val="en-US" w:eastAsia="zh-CN"/>
        </w:rPr>
        <w:t>162.58</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增长</w:t>
      </w:r>
      <w:r>
        <w:rPr>
          <w:rFonts w:hint="eastAsia" w:ascii="仿宋" w:hAnsi="仿宋" w:eastAsia="仿宋"/>
          <w:color w:val="auto"/>
          <w:sz w:val="32"/>
          <w:szCs w:val="32"/>
          <w:highlight w:val="none"/>
          <w:lang w:val="en-US" w:eastAsia="zh-CN"/>
        </w:rPr>
        <w:t>17.7</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人员增加，项目增加。</w:t>
      </w:r>
    </w:p>
    <w:p>
      <w:pPr>
        <w:pStyle w:val="7"/>
        <w:rPr>
          <w:rFonts w:hint="eastAsia"/>
          <w:lang w:eastAsia="zh-CN"/>
        </w:rPr>
      </w:pPr>
      <w:r>
        <w:rPr>
          <w:rFonts w:hint="eastAsia"/>
          <w:lang w:val="en-US" w:eastAsia="zh-CN"/>
        </w:rPr>
        <w:t xml:space="preserve">       </w:t>
      </w:r>
      <w:r>
        <w:rPr>
          <w:rFonts w:hint="eastAsia"/>
          <w:lang w:eastAsia="zh-CN"/>
        </w:rPr>
        <w:drawing>
          <wp:inline distT="0" distB="0" distL="114300" distR="114300">
            <wp:extent cx="3866515" cy="1905000"/>
            <wp:effectExtent l="4445" t="4445" r="15240" b="14605"/>
            <wp:docPr id="15" name="图表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jc w:val="center"/>
        <w:rPr>
          <w:rFonts w:ascii="仿宋_GB2312" w:eastAsia="仿宋_GB2312"/>
          <w:color w:val="auto"/>
          <w:sz w:val="32"/>
          <w:szCs w:val="32"/>
          <w:highlight w:val="none"/>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w:t>
      </w:r>
    </w:p>
    <w:p>
      <w:pPr>
        <w:pStyle w:val="30"/>
        <w:numPr>
          <w:ilvl w:val="0"/>
          <w:numId w:val="1"/>
        </w:numPr>
        <w:spacing w:line="600" w:lineRule="exact"/>
        <w:ind w:firstLineChars="0"/>
        <w:outlineLvl w:val="1"/>
        <w:rPr>
          <w:rStyle w:val="32"/>
          <w:rFonts w:ascii="黑体" w:hAnsi="黑体" w:eastAsia="黑体"/>
          <w:b w:val="0"/>
          <w:color w:val="auto"/>
          <w:highlight w:val="none"/>
        </w:rPr>
      </w:pPr>
      <w:bookmarkStart w:id="37" w:name="_Toc15396604"/>
      <w:bookmarkStart w:id="38" w:name="_Toc24065"/>
      <w:bookmarkStart w:id="39" w:name="_Toc15377206"/>
      <w:r>
        <w:rPr>
          <w:rFonts w:hint="eastAsia" w:ascii="黑体" w:hAnsi="黑体" w:eastAsia="黑体"/>
          <w:color w:val="auto"/>
          <w:sz w:val="32"/>
          <w:szCs w:val="32"/>
          <w:highlight w:val="none"/>
        </w:rPr>
        <w:t>收</w:t>
      </w:r>
      <w:r>
        <w:rPr>
          <w:rStyle w:val="32"/>
          <w:rFonts w:hint="eastAsia" w:ascii="黑体" w:hAnsi="黑体" w:eastAsia="黑体"/>
          <w:b w:val="0"/>
          <w:color w:val="auto"/>
          <w:highlight w:val="none"/>
        </w:rPr>
        <w:t>入决算情况说明</w:t>
      </w:r>
      <w:bookmarkEnd w:id="37"/>
      <w:bookmarkEnd w:id="38"/>
      <w:bookmarkEnd w:id="39"/>
    </w:p>
    <w:p>
      <w:pPr>
        <w:spacing w:line="600" w:lineRule="exact"/>
        <w:ind w:firstLine="640" w:firstLineChars="200"/>
        <w:outlineLvl w:val="1"/>
        <w:rPr>
          <w:rFonts w:hint="eastAsia"/>
          <w:lang w:eastAsia="zh-CN"/>
        </w:rPr>
      </w:pPr>
      <w:bookmarkStart w:id="40" w:name="_Toc6420"/>
      <w:bookmarkStart w:id="41" w:name="_Toc1055"/>
      <w:bookmarkStart w:id="42" w:name="_Toc23225"/>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年本年收入合计</w:t>
      </w:r>
      <w:r>
        <w:rPr>
          <w:rFonts w:hint="eastAsia" w:ascii="仿宋" w:hAnsi="仿宋" w:eastAsia="仿宋"/>
          <w:color w:val="auto"/>
          <w:sz w:val="32"/>
          <w:szCs w:val="32"/>
          <w:highlight w:val="none"/>
          <w:lang w:val="en-US" w:eastAsia="zh-CN"/>
        </w:rPr>
        <w:t>1081.2</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1081.2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bookmarkEnd w:id="40"/>
      <w:bookmarkEnd w:id="41"/>
      <w:bookmarkEnd w:id="42"/>
    </w:p>
    <w:p>
      <w:pPr>
        <w:pStyle w:val="7"/>
        <w:rPr>
          <w:rFonts w:hint="eastAsia"/>
          <w:lang w:eastAsia="zh-CN"/>
        </w:rPr>
      </w:pPr>
      <w:r>
        <w:rPr>
          <w:rFonts w:hint="eastAsia"/>
          <w:lang w:val="en-US" w:eastAsia="zh-CN"/>
        </w:rPr>
        <w:t xml:space="preserve">        </w:t>
      </w:r>
      <w:r>
        <w:rPr>
          <w:rFonts w:hint="eastAsia"/>
          <w:lang w:eastAsia="zh-CN"/>
        </w:rPr>
        <w:drawing>
          <wp:inline distT="0" distB="0" distL="114300" distR="114300">
            <wp:extent cx="3658235" cy="2226945"/>
            <wp:effectExtent l="4445" t="4445" r="13970" b="16510"/>
            <wp:docPr id="16" name="图表 6" descr="7b0a202020202263686172745265734964223a2022383733373733220a7d0a"/>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（图2：收入决算结构图）</w:t>
      </w:r>
    </w:p>
    <w:p>
      <w:pPr>
        <w:spacing w:line="600" w:lineRule="exact"/>
        <w:ind w:firstLine="640" w:firstLineChars="200"/>
        <w:rPr>
          <w:rFonts w:ascii="仿宋_GB2312" w:eastAsia="仿宋_GB2312"/>
          <w:color w:val="auto"/>
          <w:sz w:val="32"/>
          <w:szCs w:val="32"/>
          <w:highlight w:val="none"/>
        </w:rPr>
      </w:pPr>
    </w:p>
    <w:p>
      <w:pPr>
        <w:pStyle w:val="30"/>
        <w:numPr>
          <w:ilvl w:val="0"/>
          <w:numId w:val="1"/>
        </w:numPr>
        <w:spacing w:line="600" w:lineRule="exact"/>
        <w:ind w:firstLineChars="0"/>
        <w:outlineLvl w:val="1"/>
        <w:rPr>
          <w:rStyle w:val="32"/>
          <w:rFonts w:ascii="黑体" w:hAnsi="黑体" w:eastAsia="黑体"/>
          <w:b w:val="0"/>
          <w:color w:val="auto"/>
          <w:highlight w:val="none"/>
        </w:rPr>
      </w:pPr>
      <w:bookmarkStart w:id="43" w:name="_Toc15396605"/>
      <w:bookmarkStart w:id="44" w:name="_Toc15659"/>
      <w:bookmarkStart w:id="45" w:name="_Toc15377207"/>
      <w:r>
        <w:rPr>
          <w:rFonts w:hint="eastAsia" w:ascii="黑体" w:hAnsi="黑体" w:eastAsia="黑体"/>
          <w:color w:val="auto"/>
          <w:sz w:val="32"/>
          <w:szCs w:val="32"/>
          <w:highlight w:val="none"/>
        </w:rPr>
        <w:t>支</w:t>
      </w:r>
      <w:r>
        <w:rPr>
          <w:rStyle w:val="32"/>
          <w:rFonts w:hint="eastAsia" w:ascii="黑体" w:hAnsi="黑体" w:eastAsia="黑体"/>
          <w:b w:val="0"/>
          <w:color w:val="auto"/>
          <w:highlight w:val="none"/>
        </w:rPr>
        <w:t>出决算情况说明</w:t>
      </w:r>
      <w:bookmarkEnd w:id="43"/>
      <w:bookmarkEnd w:id="44"/>
      <w:bookmarkEnd w:id="45"/>
    </w:p>
    <w:p>
      <w:pPr>
        <w:spacing w:line="600" w:lineRule="exact"/>
        <w:ind w:firstLine="640" w:firstLineChars="200"/>
        <w:outlineLvl w:val="1"/>
        <w:rPr>
          <w:rFonts w:hint="eastAsia" w:ascii="仿宋" w:hAnsi="仿宋" w:eastAsia="仿宋"/>
          <w:color w:val="auto"/>
          <w:sz w:val="32"/>
          <w:szCs w:val="32"/>
          <w:highlight w:val="none"/>
        </w:rPr>
      </w:pPr>
      <w:bookmarkStart w:id="46" w:name="_Toc15541"/>
      <w:bookmarkStart w:id="47" w:name="_Toc17097"/>
      <w:bookmarkStart w:id="48" w:name="_Toc26244"/>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年本年支出合计</w:t>
      </w:r>
      <w:r>
        <w:rPr>
          <w:rFonts w:hint="eastAsia" w:ascii="仿宋" w:hAnsi="仿宋" w:eastAsia="仿宋"/>
          <w:color w:val="auto"/>
          <w:sz w:val="32"/>
          <w:szCs w:val="32"/>
          <w:highlight w:val="none"/>
          <w:lang w:val="en-US" w:eastAsia="zh-CN"/>
        </w:rPr>
        <w:t>1081.2</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455.81</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42.16</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625.39</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57.84</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46"/>
      <w:bookmarkEnd w:id="47"/>
      <w:bookmarkEnd w:id="48"/>
    </w:p>
    <w:p>
      <w:pPr>
        <w:pStyle w:val="7"/>
        <w:rPr>
          <w:rFonts w:hint="eastAsia" w:ascii="仿宋" w:hAnsi="仿宋" w:eastAsia="仿宋"/>
          <w:color w:val="auto"/>
          <w:sz w:val="32"/>
          <w:szCs w:val="32"/>
          <w:highlight w:val="none"/>
          <w:shd w:val="pct10" w:color="auto" w:fill="FFFFFF"/>
          <w:lang w:eastAsia="zh-CN"/>
        </w:rPr>
      </w:pPr>
      <w:r>
        <w:rPr>
          <w:rFonts w:hint="eastAsia" w:ascii="仿宋" w:hAnsi="仿宋" w:eastAsia="仿宋"/>
          <w:color w:val="auto"/>
          <w:sz w:val="32"/>
          <w:szCs w:val="32"/>
          <w:highlight w:val="none"/>
          <w:shd w:val="pct10" w:color="auto" w:fill="FFFFFF"/>
          <w:lang w:val="en-US" w:eastAsia="zh-CN"/>
        </w:rPr>
        <w:t xml:space="preserve">        </w:t>
      </w:r>
      <w:r>
        <w:rPr>
          <w:rFonts w:hint="eastAsia" w:ascii="仿宋" w:hAnsi="仿宋" w:eastAsia="仿宋"/>
          <w:color w:val="auto"/>
          <w:sz w:val="32"/>
          <w:szCs w:val="32"/>
          <w:highlight w:val="none"/>
          <w:shd w:val="pct10" w:color="auto" w:fill="FFFFFF"/>
          <w:lang w:eastAsia="zh-CN"/>
        </w:rPr>
        <w:drawing>
          <wp:inline distT="0" distB="0" distL="114300" distR="114300">
            <wp:extent cx="3731260" cy="2121535"/>
            <wp:effectExtent l="4445" t="5080" r="13335" b="6985"/>
            <wp:docPr id="17" name="图表 7" descr="7b0a202020202263686172745265734964223a2022383733373733220a7d0a"/>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（图3：支出决算结构图）</w:t>
      </w:r>
    </w:p>
    <w:p>
      <w:pPr>
        <w:spacing w:line="600" w:lineRule="exact"/>
        <w:ind w:firstLine="640" w:firstLineChars="200"/>
        <w:rPr>
          <w:rFonts w:ascii="仿宋_GB2312" w:eastAsia="仿宋_GB2312"/>
          <w:color w:val="auto"/>
          <w:sz w:val="32"/>
          <w:szCs w:val="32"/>
          <w:highlight w:val="none"/>
        </w:rPr>
      </w:pPr>
    </w:p>
    <w:p>
      <w:pPr>
        <w:spacing w:line="600" w:lineRule="exact"/>
        <w:ind w:firstLine="640" w:firstLineChars="200"/>
        <w:outlineLvl w:val="1"/>
        <w:rPr>
          <w:rStyle w:val="32"/>
          <w:rFonts w:ascii="黑体" w:hAnsi="黑体" w:eastAsia="黑体"/>
          <w:b w:val="0"/>
          <w:color w:val="auto"/>
          <w:highlight w:val="none"/>
        </w:rPr>
      </w:pPr>
      <w:bookmarkStart w:id="49" w:name="_Toc10477"/>
      <w:bookmarkStart w:id="50" w:name="_Toc15377208"/>
      <w:bookmarkStart w:id="51" w:name="_Toc15396606"/>
      <w:r>
        <w:rPr>
          <w:rFonts w:hint="eastAsia" w:ascii="黑体" w:hAnsi="黑体" w:eastAsia="黑体"/>
          <w:color w:val="auto"/>
          <w:sz w:val="32"/>
          <w:szCs w:val="32"/>
          <w:highlight w:val="none"/>
        </w:rPr>
        <w:t>四、财</w:t>
      </w:r>
      <w:r>
        <w:rPr>
          <w:rStyle w:val="32"/>
          <w:rFonts w:hint="eastAsia" w:ascii="黑体" w:hAnsi="黑体" w:eastAsia="黑体"/>
          <w:b w:val="0"/>
          <w:color w:val="auto"/>
          <w:highlight w:val="none"/>
        </w:rPr>
        <w:t>政拨款收入支出决算总体情况说明</w:t>
      </w:r>
      <w:bookmarkEnd w:id="49"/>
      <w:bookmarkEnd w:id="50"/>
      <w:bookmarkEnd w:id="51"/>
    </w:p>
    <w:p>
      <w:pPr>
        <w:spacing w:line="600" w:lineRule="exact"/>
        <w:ind w:firstLine="640"/>
        <w:rPr>
          <w:rFonts w:hint="eastAsia" w:ascii="仿宋" w:hAnsi="仿宋" w:eastAsia="仿宋"/>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年财政拨款收、支总计</w:t>
      </w:r>
      <w:r>
        <w:rPr>
          <w:rFonts w:hint="eastAsia" w:ascii="仿宋" w:hAnsi="仿宋" w:eastAsia="仿宋"/>
          <w:color w:val="auto"/>
          <w:sz w:val="32"/>
          <w:szCs w:val="32"/>
          <w:highlight w:val="none"/>
          <w:lang w:val="en-US" w:eastAsia="zh-CN"/>
        </w:rPr>
        <w:t>1081.2</w:t>
      </w:r>
      <w:r>
        <w:rPr>
          <w:rFonts w:hint="eastAsia" w:ascii="仿宋" w:hAnsi="仿宋" w:eastAsia="仿宋"/>
          <w:color w:val="auto"/>
          <w:sz w:val="32"/>
          <w:szCs w:val="32"/>
          <w:highlight w:val="none"/>
        </w:rPr>
        <w:t>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年相比，财政拨款收、支总计各增加</w:t>
      </w:r>
      <w:r>
        <w:rPr>
          <w:rFonts w:hint="eastAsia" w:ascii="仿宋" w:hAnsi="仿宋" w:eastAsia="仿宋"/>
          <w:color w:val="auto"/>
          <w:sz w:val="32"/>
          <w:szCs w:val="32"/>
          <w:highlight w:val="none"/>
          <w:lang w:val="en-US" w:eastAsia="zh-CN"/>
        </w:rPr>
        <w:t>162.58</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17.7</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项目增加。</w:t>
      </w:r>
    </w:p>
    <w:p>
      <w:pPr>
        <w:pStyle w:val="7"/>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val="en-US" w:eastAsia="zh-CN"/>
        </w:rPr>
        <w:t xml:space="preserve">      </w:t>
      </w:r>
      <w:r>
        <w:rPr>
          <w:rFonts w:hint="eastAsia" w:ascii="仿宋" w:hAnsi="仿宋" w:eastAsia="仿宋"/>
          <w:color w:val="auto"/>
          <w:sz w:val="32"/>
          <w:szCs w:val="32"/>
          <w:highlight w:val="none"/>
          <w:lang w:eastAsia="zh-CN"/>
        </w:rPr>
        <w:drawing>
          <wp:inline distT="0" distB="0" distL="114300" distR="114300">
            <wp:extent cx="4053205" cy="2152015"/>
            <wp:effectExtent l="4445" t="4445" r="11430" b="7620"/>
            <wp:docPr id="18" name="图表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jc w:val="center"/>
        <w:rPr>
          <w:rFonts w:ascii="仿宋" w:hAnsi="仿宋" w:eastAsia="仿宋"/>
          <w:b/>
          <w:color w:val="auto"/>
          <w:sz w:val="32"/>
          <w:szCs w:val="32"/>
          <w:highlight w:val="none"/>
        </w:rPr>
      </w:pPr>
      <w:r>
        <w:rPr>
          <w:rFonts w:hint="eastAsia" w:ascii="仿宋" w:hAnsi="仿宋" w:eastAsia="仿宋"/>
          <w:color w:val="auto"/>
          <w:sz w:val="32"/>
          <w:szCs w:val="32"/>
          <w:highlight w:val="none"/>
        </w:rPr>
        <w:t>（图4：财政拨款收、支决算总计变动情况）</w:t>
      </w:r>
    </w:p>
    <w:p>
      <w:pPr>
        <w:spacing w:line="600" w:lineRule="exact"/>
        <w:ind w:firstLine="640" w:firstLineChars="200"/>
        <w:outlineLvl w:val="1"/>
        <w:rPr>
          <w:rStyle w:val="32"/>
          <w:rFonts w:ascii="黑体" w:hAnsi="黑体" w:eastAsia="黑体"/>
          <w:b w:val="0"/>
          <w:color w:val="auto"/>
          <w:highlight w:val="none"/>
        </w:rPr>
      </w:pPr>
      <w:bookmarkStart w:id="52" w:name="_Toc12932"/>
      <w:bookmarkStart w:id="53" w:name="_Toc15396607"/>
      <w:bookmarkStart w:id="54" w:name="_Toc15377209"/>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32"/>
          <w:rFonts w:hint="eastAsia" w:ascii="黑体" w:hAnsi="黑体" w:eastAsia="黑体"/>
          <w:b w:val="0"/>
          <w:color w:val="auto"/>
          <w:highlight w:val="none"/>
        </w:rPr>
        <w:t>般公共预算财政拨款支出决算情况说明</w:t>
      </w:r>
      <w:bookmarkEnd w:id="52"/>
      <w:bookmarkEnd w:id="53"/>
      <w:bookmarkEnd w:id="54"/>
    </w:p>
    <w:p>
      <w:pPr>
        <w:spacing w:line="600" w:lineRule="exact"/>
        <w:ind w:firstLine="643" w:firstLineChars="200"/>
        <w:outlineLvl w:val="2"/>
        <w:rPr>
          <w:rFonts w:ascii="仿宋" w:hAnsi="仿宋" w:eastAsia="仿宋"/>
          <w:b/>
          <w:color w:val="auto"/>
          <w:sz w:val="32"/>
          <w:szCs w:val="32"/>
          <w:highlight w:val="none"/>
        </w:rPr>
      </w:pPr>
      <w:bookmarkStart w:id="55" w:name="_Toc19839"/>
      <w:bookmarkStart w:id="56" w:name="_Toc30631"/>
      <w:bookmarkStart w:id="57" w:name="_Toc16062"/>
      <w:bookmarkStart w:id="58" w:name="_Toc15377210"/>
      <w:r>
        <w:rPr>
          <w:rFonts w:hint="eastAsia" w:ascii="仿宋" w:hAnsi="仿宋" w:eastAsia="仿宋"/>
          <w:b/>
          <w:color w:val="auto"/>
          <w:sz w:val="32"/>
          <w:szCs w:val="32"/>
          <w:highlight w:val="none"/>
        </w:rPr>
        <w:t>（一）一般公共预算财政拨款支出决算总体情况</w:t>
      </w:r>
      <w:bookmarkEnd w:id="55"/>
      <w:bookmarkEnd w:id="56"/>
      <w:bookmarkEnd w:id="57"/>
      <w:bookmarkEnd w:id="58"/>
    </w:p>
    <w:p>
      <w:pPr>
        <w:spacing w:line="600" w:lineRule="exact"/>
        <w:ind w:firstLine="640" w:firstLineChars="200"/>
        <w:rPr>
          <w:rFonts w:hint="eastAsia" w:ascii="仿宋" w:hAnsi="仿宋" w:eastAsia="仿宋"/>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1081.2</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增加</w:t>
      </w:r>
      <w:r>
        <w:rPr>
          <w:rFonts w:hint="eastAsia" w:ascii="仿宋" w:hAnsi="仿宋" w:eastAsia="仿宋"/>
          <w:color w:val="auto"/>
          <w:sz w:val="32"/>
          <w:szCs w:val="32"/>
          <w:highlight w:val="none"/>
          <w:lang w:val="en-US" w:eastAsia="zh-CN"/>
        </w:rPr>
        <w:t>322.17</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42.44</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项目增加，增加了教育支出。</w:t>
      </w:r>
    </w:p>
    <w:p>
      <w:pPr>
        <w:pStyle w:val="7"/>
        <w:rPr>
          <w:rFonts w:hint="eastAsia"/>
          <w:lang w:val="en-US" w:eastAsia="zh-CN"/>
        </w:rPr>
      </w:pPr>
      <w:r>
        <w:rPr>
          <w:rFonts w:hint="eastAsia"/>
          <w:lang w:val="en-US" w:eastAsia="zh-CN"/>
        </w:rPr>
        <w:t xml:space="preserve">    </w:t>
      </w:r>
      <w:r>
        <w:rPr>
          <w:rFonts w:hint="eastAsia"/>
          <w:lang w:val="en-US" w:eastAsia="zh-CN"/>
        </w:rPr>
        <w:drawing>
          <wp:inline distT="0" distB="0" distL="114300" distR="114300">
            <wp:extent cx="4432935" cy="2566670"/>
            <wp:effectExtent l="4445" t="4445" r="12700" b="19685"/>
            <wp:docPr id="19" name="图表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（图5：一般公共预算财政拨款支出决算变动情况）</w:t>
      </w:r>
    </w:p>
    <w:p>
      <w:pPr>
        <w:spacing w:line="600" w:lineRule="exact"/>
        <w:ind w:firstLine="643" w:firstLineChars="200"/>
        <w:outlineLvl w:val="2"/>
        <w:rPr>
          <w:rFonts w:ascii="仿宋" w:hAnsi="仿宋" w:eastAsia="仿宋"/>
          <w:b/>
          <w:color w:val="auto"/>
          <w:sz w:val="32"/>
          <w:szCs w:val="32"/>
          <w:highlight w:val="none"/>
        </w:rPr>
      </w:pPr>
      <w:bookmarkStart w:id="59" w:name="_Toc23600"/>
      <w:bookmarkStart w:id="60" w:name="_Toc3263"/>
      <w:bookmarkStart w:id="61" w:name="_Toc15377211"/>
      <w:bookmarkStart w:id="62" w:name="_Toc1808"/>
      <w:r>
        <w:rPr>
          <w:rFonts w:hint="eastAsia" w:ascii="仿宋" w:hAnsi="仿宋" w:eastAsia="仿宋"/>
          <w:b/>
          <w:color w:val="auto"/>
          <w:sz w:val="32"/>
          <w:szCs w:val="32"/>
          <w:highlight w:val="none"/>
        </w:rPr>
        <w:t>（二）一般公共预算财政拨款支出决算结构情况</w:t>
      </w:r>
      <w:bookmarkEnd w:id="59"/>
      <w:bookmarkEnd w:id="60"/>
      <w:bookmarkEnd w:id="61"/>
      <w:bookmarkEnd w:id="62"/>
    </w:p>
    <w:p>
      <w:pPr>
        <w:spacing w:line="600" w:lineRule="exact"/>
        <w:ind w:firstLine="640"/>
        <w:rPr>
          <w:rFonts w:hint="eastAsia" w:ascii="仿宋" w:hAnsi="仿宋" w:eastAsia="仿宋"/>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1081.2</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教育支出</w:t>
      </w:r>
      <w:r>
        <w:rPr>
          <w:rFonts w:hint="eastAsia" w:ascii="仿宋" w:hAnsi="仿宋" w:eastAsia="仿宋"/>
          <w:color w:val="auto"/>
          <w:sz w:val="32"/>
          <w:szCs w:val="32"/>
          <w:highlight w:val="none"/>
          <w:lang w:val="en-US" w:eastAsia="zh-CN"/>
        </w:rPr>
        <w:t>200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18.5</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社会保障和就业</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lang w:val="en-US" w:eastAsia="zh-CN"/>
        </w:rPr>
        <w:t>49.36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4.57</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w:t>
      </w:r>
      <w:r>
        <w:rPr>
          <w:rFonts w:hint="eastAsia" w:ascii="仿宋" w:hAnsi="仿宋" w:eastAsia="仿宋"/>
          <w:color w:val="auto"/>
          <w:sz w:val="32"/>
          <w:szCs w:val="32"/>
          <w:highlight w:val="none"/>
          <w:lang w:val="en-US" w:eastAsia="zh-CN"/>
        </w:rPr>
        <w:t>798.91</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73.89</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w:t>
      </w:r>
      <w:r>
        <w:rPr>
          <w:rFonts w:hint="eastAsia" w:ascii="仿宋" w:hAnsi="仿宋" w:eastAsia="仿宋"/>
          <w:color w:val="auto"/>
          <w:sz w:val="32"/>
          <w:szCs w:val="32"/>
          <w:highlight w:val="none"/>
          <w:lang w:val="en-US" w:eastAsia="zh-CN"/>
        </w:rPr>
        <w:t>32.93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3.04</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pStyle w:val="7"/>
        <w:rPr>
          <w:rFonts w:hint="eastAsia"/>
          <w:lang w:eastAsia="zh-CN"/>
        </w:rPr>
      </w:pPr>
      <w:r>
        <w:rPr>
          <w:rFonts w:hint="eastAsia"/>
          <w:lang w:val="en-US" w:eastAsia="zh-CN"/>
        </w:rPr>
        <w:t xml:space="preserve">     </w:t>
      </w:r>
      <w:r>
        <w:rPr>
          <w:rFonts w:hint="eastAsia"/>
          <w:lang w:eastAsia="zh-CN"/>
        </w:rPr>
        <w:drawing>
          <wp:inline distT="0" distB="0" distL="114300" distR="114300">
            <wp:extent cx="4322445" cy="2221865"/>
            <wp:effectExtent l="4445" t="4445" r="16510" b="13970"/>
            <wp:docPr id="20" name="图表 8" descr="7b0a202020202263686172745265734964223a2022383733373733220a7d0a"/>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w:t>
      </w:r>
    </w:p>
    <w:p>
      <w:pPr>
        <w:spacing w:line="600" w:lineRule="exact"/>
        <w:ind w:firstLine="643" w:firstLineChars="200"/>
        <w:outlineLvl w:val="2"/>
        <w:rPr>
          <w:rFonts w:ascii="仿宋" w:hAnsi="仿宋" w:eastAsia="仿宋"/>
          <w:b/>
          <w:color w:val="auto"/>
          <w:sz w:val="32"/>
          <w:szCs w:val="32"/>
          <w:highlight w:val="none"/>
        </w:rPr>
      </w:pPr>
      <w:bookmarkStart w:id="63" w:name="_Toc16793"/>
      <w:bookmarkStart w:id="64" w:name="_Toc14514"/>
      <w:bookmarkStart w:id="65" w:name="_Toc15377212"/>
      <w:bookmarkStart w:id="66" w:name="_Toc30052"/>
      <w:r>
        <w:rPr>
          <w:rFonts w:hint="eastAsia" w:ascii="仿宋" w:hAnsi="仿宋" w:eastAsia="仿宋"/>
          <w:b/>
          <w:color w:val="auto"/>
          <w:sz w:val="32"/>
          <w:szCs w:val="32"/>
          <w:highlight w:val="none"/>
        </w:rPr>
        <w:t>（三）一般公共预算财政拨款支出决算具体情况</w:t>
      </w:r>
      <w:bookmarkEnd w:id="63"/>
      <w:bookmarkEnd w:id="64"/>
      <w:bookmarkEnd w:id="65"/>
      <w:bookmarkEnd w:id="66"/>
    </w:p>
    <w:p>
      <w:pPr>
        <w:spacing w:line="600" w:lineRule="exact"/>
        <w:ind w:firstLine="643" w:firstLineChars="200"/>
        <w:outlineLvl w:val="2"/>
        <w:rPr>
          <w:rFonts w:ascii="仿宋" w:hAnsi="仿宋" w:eastAsia="仿宋"/>
          <w:b/>
          <w:color w:val="auto"/>
          <w:sz w:val="32"/>
          <w:szCs w:val="32"/>
          <w:highlight w:val="none"/>
        </w:rPr>
      </w:pPr>
      <w:bookmarkStart w:id="67" w:name="_Toc28172"/>
      <w:bookmarkStart w:id="68" w:name="_Toc15378460"/>
      <w:bookmarkStart w:id="69" w:name="_Toc15377444"/>
      <w:bookmarkStart w:id="70" w:name="_Toc10174"/>
      <w:bookmarkStart w:id="71" w:name="_Toc8613"/>
      <w:bookmarkStart w:id="72" w:name="_Toc15377213"/>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22</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一</w:t>
      </w:r>
      <w:r>
        <w:rPr>
          <w:rFonts w:hint="eastAsia" w:ascii="仿宋" w:hAnsi="仿宋" w:eastAsia="仿宋"/>
          <w:b/>
          <w:color w:val="auto"/>
          <w:sz w:val="32"/>
          <w:szCs w:val="32"/>
          <w:highlight w:val="none"/>
        </w:rPr>
        <w:t>般公共预算支出决算数为</w:t>
      </w:r>
      <w:r>
        <w:rPr>
          <w:rFonts w:hint="eastAsia" w:ascii="仿宋" w:hAnsi="仿宋" w:eastAsia="仿宋"/>
          <w:b/>
          <w:color w:val="auto"/>
          <w:sz w:val="32"/>
          <w:szCs w:val="32"/>
          <w:highlight w:val="none"/>
          <w:lang w:val="en-US" w:eastAsia="zh-CN"/>
        </w:rPr>
        <w:t>1081.2万元</w:t>
      </w:r>
      <w:r>
        <w:rPr>
          <w:rFonts w:hint="eastAsia" w:ascii="仿宋" w:hAnsi="仿宋" w:eastAsia="仿宋"/>
          <w:color w:val="auto"/>
          <w:sz w:val="32"/>
          <w:szCs w:val="32"/>
          <w:highlight w:val="none"/>
        </w:rPr>
        <w:t>，</w:t>
      </w:r>
      <w:r>
        <w:rPr>
          <w:rStyle w:val="20"/>
          <w:rFonts w:hint="eastAsia" w:ascii="仿宋" w:hAnsi="仿宋" w:eastAsia="仿宋"/>
          <w:bCs/>
          <w:color w:val="auto"/>
          <w:sz w:val="32"/>
          <w:szCs w:val="32"/>
          <w:highlight w:val="none"/>
        </w:rPr>
        <w:t>完成预算</w:t>
      </w:r>
      <w:r>
        <w:rPr>
          <w:rStyle w:val="20"/>
          <w:rFonts w:hint="eastAsia" w:ascii="仿宋" w:hAnsi="仿宋" w:eastAsia="仿宋"/>
          <w:bCs/>
          <w:color w:val="auto"/>
          <w:sz w:val="32"/>
          <w:szCs w:val="32"/>
          <w:highlight w:val="none"/>
          <w:lang w:val="en-US" w:eastAsia="zh-CN"/>
        </w:rPr>
        <w:t>100</w:t>
      </w:r>
      <w:r>
        <w:rPr>
          <w:rStyle w:val="20"/>
          <w:rFonts w:ascii="仿宋" w:hAnsi="仿宋" w:eastAsia="仿宋"/>
          <w:bCs/>
          <w:color w:val="auto"/>
          <w:sz w:val="32"/>
          <w:szCs w:val="32"/>
          <w:highlight w:val="none"/>
        </w:rPr>
        <w:t>%</w:t>
      </w:r>
      <w:r>
        <w:rPr>
          <w:rStyle w:val="20"/>
          <w:rFonts w:hint="eastAsia" w:ascii="仿宋" w:hAnsi="仿宋" w:eastAsia="仿宋"/>
          <w:bCs/>
          <w:color w:val="auto"/>
          <w:sz w:val="32"/>
          <w:szCs w:val="32"/>
          <w:highlight w:val="none"/>
        </w:rPr>
        <w:t>。其中：</w:t>
      </w:r>
      <w:bookmarkEnd w:id="67"/>
      <w:bookmarkEnd w:id="68"/>
      <w:bookmarkEnd w:id="69"/>
      <w:bookmarkEnd w:id="70"/>
      <w:bookmarkEnd w:id="71"/>
      <w:bookmarkEnd w:id="72"/>
    </w:p>
    <w:p>
      <w:pPr>
        <w:spacing w:line="600" w:lineRule="exact"/>
        <w:ind w:firstLine="643" w:firstLineChars="200"/>
        <w:rPr>
          <w:rFonts w:ascii="仿宋" w:hAnsi="仿宋" w:eastAsia="仿宋"/>
          <w:b/>
          <w:color w:val="auto"/>
          <w:sz w:val="32"/>
          <w:szCs w:val="32"/>
          <w:highlight w:val="none"/>
        </w:rPr>
      </w:pPr>
      <w:r>
        <w:rPr>
          <w:rStyle w:val="20"/>
          <w:rFonts w:hint="eastAsia" w:ascii="仿宋" w:hAnsi="仿宋" w:eastAsia="仿宋"/>
          <w:bCs/>
          <w:color w:val="auto"/>
          <w:sz w:val="32"/>
          <w:szCs w:val="32"/>
          <w:highlight w:val="none"/>
          <w:lang w:val="en-US" w:eastAsia="zh-CN"/>
        </w:rPr>
        <w:t>1.</w:t>
      </w:r>
      <w:r>
        <w:rPr>
          <w:rStyle w:val="20"/>
          <w:rFonts w:hint="eastAsia" w:ascii="仿宋" w:hAnsi="仿宋" w:eastAsia="仿宋"/>
          <w:bCs/>
          <w:color w:val="auto"/>
          <w:sz w:val="32"/>
          <w:szCs w:val="32"/>
          <w:highlight w:val="none"/>
        </w:rPr>
        <w:t>教育（类）</w:t>
      </w:r>
      <w:r>
        <w:rPr>
          <w:rStyle w:val="20"/>
          <w:rFonts w:hint="eastAsia" w:ascii="仿宋" w:hAnsi="仿宋" w:eastAsia="仿宋"/>
          <w:bCs/>
          <w:color w:val="auto"/>
          <w:sz w:val="32"/>
          <w:szCs w:val="32"/>
          <w:highlight w:val="none"/>
          <w:lang w:eastAsia="zh-CN"/>
        </w:rPr>
        <w:t>其他教育支出</w:t>
      </w:r>
      <w:r>
        <w:rPr>
          <w:rStyle w:val="20"/>
          <w:rFonts w:hint="eastAsia" w:ascii="仿宋" w:hAnsi="仿宋" w:eastAsia="仿宋"/>
          <w:bCs/>
          <w:color w:val="auto"/>
          <w:sz w:val="32"/>
          <w:szCs w:val="32"/>
          <w:highlight w:val="none"/>
        </w:rPr>
        <w:t>（款）</w:t>
      </w:r>
      <w:r>
        <w:rPr>
          <w:rStyle w:val="20"/>
          <w:rFonts w:hint="eastAsia" w:ascii="仿宋" w:hAnsi="仿宋" w:eastAsia="仿宋"/>
          <w:bCs/>
          <w:color w:val="auto"/>
          <w:sz w:val="32"/>
          <w:szCs w:val="32"/>
          <w:highlight w:val="none"/>
          <w:lang w:eastAsia="zh-CN"/>
        </w:rPr>
        <w:t>其他教育支出</w:t>
      </w:r>
      <w:r>
        <w:rPr>
          <w:rStyle w:val="20"/>
          <w:rFonts w:hint="eastAsia" w:ascii="仿宋" w:hAnsi="仿宋" w:eastAsia="仿宋"/>
          <w:bCs/>
          <w:color w:val="auto"/>
          <w:sz w:val="32"/>
          <w:szCs w:val="32"/>
          <w:highlight w:val="none"/>
        </w:rPr>
        <w:t>（项）</w:t>
      </w:r>
      <w:r>
        <w:rPr>
          <w:rStyle w:val="20"/>
          <w:rFonts w:ascii="仿宋" w:hAnsi="仿宋" w:eastAsia="仿宋"/>
          <w:bCs/>
          <w:color w:val="auto"/>
          <w:sz w:val="32"/>
          <w:szCs w:val="32"/>
          <w:highlight w:val="none"/>
        </w:rPr>
        <w:t>:</w:t>
      </w:r>
      <w:r>
        <w:rPr>
          <w:rStyle w:val="20"/>
          <w:rFonts w:ascii="仿宋" w:hAnsi="仿宋" w:eastAsia="仿宋"/>
          <w:b w:val="0"/>
          <w:bCs/>
          <w:color w:val="auto"/>
          <w:sz w:val="32"/>
          <w:szCs w:val="32"/>
          <w:highlight w:val="none"/>
        </w:rPr>
        <w:t xml:space="preserve"> </w:t>
      </w:r>
      <w:r>
        <w:rPr>
          <w:rStyle w:val="20"/>
          <w:rFonts w:hint="eastAsia" w:ascii="仿宋" w:hAnsi="仿宋" w:eastAsia="仿宋"/>
          <w:b w:val="0"/>
          <w:bCs/>
          <w:color w:val="auto"/>
          <w:sz w:val="32"/>
          <w:szCs w:val="32"/>
          <w:highlight w:val="none"/>
        </w:rPr>
        <w:t>支出决算为</w:t>
      </w:r>
      <w:r>
        <w:rPr>
          <w:rStyle w:val="20"/>
          <w:rFonts w:hint="eastAsia" w:ascii="仿宋" w:hAnsi="仿宋" w:eastAsia="仿宋"/>
          <w:b w:val="0"/>
          <w:bCs/>
          <w:color w:val="auto"/>
          <w:sz w:val="32"/>
          <w:szCs w:val="32"/>
          <w:highlight w:val="none"/>
          <w:lang w:val="en-US" w:eastAsia="zh-CN"/>
        </w:rPr>
        <w:t>200</w:t>
      </w:r>
      <w:r>
        <w:rPr>
          <w:rStyle w:val="20"/>
          <w:rFonts w:hint="eastAsia" w:ascii="仿宋" w:hAnsi="仿宋" w:eastAsia="仿宋"/>
          <w:b w:val="0"/>
          <w:bCs/>
          <w:color w:val="auto"/>
          <w:sz w:val="32"/>
          <w:szCs w:val="32"/>
          <w:highlight w:val="none"/>
        </w:rPr>
        <w:t>万元，完成预算</w:t>
      </w:r>
      <w:r>
        <w:rPr>
          <w:rStyle w:val="20"/>
          <w:rFonts w:hint="eastAsia" w:ascii="仿宋" w:hAnsi="仿宋" w:eastAsia="仿宋"/>
          <w:b w:val="0"/>
          <w:bCs/>
          <w:color w:val="auto"/>
          <w:sz w:val="32"/>
          <w:szCs w:val="32"/>
          <w:highlight w:val="none"/>
          <w:lang w:val="en-US" w:eastAsia="zh-CN"/>
        </w:rPr>
        <w:t>100</w:t>
      </w:r>
      <w:r>
        <w:rPr>
          <w:rStyle w:val="20"/>
          <w:rFonts w:ascii="仿宋" w:hAnsi="仿宋" w:eastAsia="仿宋"/>
          <w:b w:val="0"/>
          <w:bCs/>
          <w:color w:val="auto"/>
          <w:sz w:val="32"/>
          <w:szCs w:val="32"/>
          <w:highlight w:val="none"/>
        </w:rPr>
        <w:t>%</w:t>
      </w:r>
      <w:r>
        <w:rPr>
          <w:rStyle w:val="20"/>
          <w:rFonts w:hint="eastAsia" w:ascii="仿宋" w:hAnsi="仿宋" w:eastAsia="仿宋"/>
          <w:b w:val="0"/>
          <w:bCs/>
          <w:color w:val="auto"/>
          <w:sz w:val="32"/>
          <w:szCs w:val="32"/>
          <w:highlight w:val="none"/>
        </w:rPr>
        <w:t>。</w:t>
      </w:r>
    </w:p>
    <w:p>
      <w:pPr>
        <w:spacing w:line="600" w:lineRule="exact"/>
        <w:ind w:firstLine="643" w:firstLineChars="200"/>
        <w:rPr>
          <w:rStyle w:val="20"/>
          <w:rFonts w:hint="eastAsia" w:ascii="仿宋" w:hAnsi="仿宋" w:eastAsia="仿宋"/>
          <w:bCs/>
          <w:color w:val="auto"/>
          <w:sz w:val="32"/>
          <w:szCs w:val="32"/>
          <w:highlight w:val="none"/>
          <w:lang w:eastAsia="zh-CN"/>
        </w:rPr>
      </w:pPr>
      <w:r>
        <w:rPr>
          <w:rStyle w:val="20"/>
          <w:rFonts w:hint="eastAsia" w:ascii="仿宋" w:hAnsi="仿宋" w:eastAsia="仿宋"/>
          <w:bCs/>
          <w:color w:val="auto"/>
          <w:sz w:val="32"/>
          <w:szCs w:val="32"/>
          <w:highlight w:val="none"/>
          <w:lang w:val="en-US" w:eastAsia="zh-CN"/>
        </w:rPr>
        <w:t>2.</w:t>
      </w:r>
      <w:r>
        <w:rPr>
          <w:rStyle w:val="20"/>
          <w:rFonts w:hint="eastAsia" w:ascii="仿宋" w:hAnsi="仿宋" w:eastAsia="仿宋"/>
          <w:bCs/>
          <w:color w:val="auto"/>
          <w:sz w:val="32"/>
          <w:szCs w:val="32"/>
          <w:highlight w:val="none"/>
        </w:rPr>
        <w:t>社会保障和就业（类）行政事业单位养老支出（款）机关事业单位基本养老保险缴费支出（项）</w:t>
      </w:r>
      <w:r>
        <w:rPr>
          <w:rStyle w:val="20"/>
          <w:rFonts w:ascii="仿宋" w:hAnsi="仿宋" w:eastAsia="仿宋"/>
          <w:bCs/>
          <w:color w:val="auto"/>
          <w:sz w:val="32"/>
          <w:szCs w:val="32"/>
          <w:highlight w:val="none"/>
        </w:rPr>
        <w:t>:</w:t>
      </w:r>
      <w:r>
        <w:rPr>
          <w:rStyle w:val="20"/>
          <w:rFonts w:hint="eastAsia" w:ascii="仿宋" w:hAnsi="仿宋" w:eastAsia="仿宋"/>
          <w:b w:val="0"/>
          <w:bCs/>
          <w:color w:val="auto"/>
          <w:sz w:val="32"/>
          <w:szCs w:val="32"/>
          <w:highlight w:val="none"/>
        </w:rPr>
        <w:t>支出决算为</w:t>
      </w:r>
      <w:r>
        <w:rPr>
          <w:rStyle w:val="20"/>
          <w:rFonts w:hint="eastAsia" w:ascii="仿宋" w:hAnsi="仿宋" w:eastAsia="仿宋"/>
          <w:b w:val="0"/>
          <w:bCs/>
          <w:color w:val="auto"/>
          <w:sz w:val="32"/>
          <w:szCs w:val="32"/>
          <w:highlight w:val="none"/>
          <w:lang w:val="en-US" w:eastAsia="zh-CN"/>
        </w:rPr>
        <w:t>43.81</w:t>
      </w:r>
      <w:r>
        <w:rPr>
          <w:rStyle w:val="20"/>
          <w:rFonts w:hint="eastAsia" w:ascii="仿宋" w:hAnsi="仿宋" w:eastAsia="仿宋"/>
          <w:b w:val="0"/>
          <w:bCs/>
          <w:color w:val="auto"/>
          <w:sz w:val="32"/>
          <w:szCs w:val="32"/>
          <w:highlight w:val="none"/>
        </w:rPr>
        <w:t>万元，完成预算</w:t>
      </w:r>
      <w:r>
        <w:rPr>
          <w:rStyle w:val="20"/>
          <w:rFonts w:hint="eastAsia" w:ascii="仿宋" w:hAnsi="仿宋" w:eastAsia="仿宋"/>
          <w:b w:val="0"/>
          <w:bCs/>
          <w:color w:val="auto"/>
          <w:sz w:val="32"/>
          <w:szCs w:val="32"/>
          <w:highlight w:val="none"/>
          <w:lang w:val="en-US" w:eastAsia="zh-CN"/>
        </w:rPr>
        <w:t>100</w:t>
      </w:r>
      <w:r>
        <w:rPr>
          <w:rStyle w:val="20"/>
          <w:rFonts w:ascii="仿宋" w:hAnsi="仿宋" w:eastAsia="仿宋"/>
          <w:b w:val="0"/>
          <w:bCs/>
          <w:color w:val="auto"/>
          <w:sz w:val="32"/>
          <w:szCs w:val="32"/>
          <w:highlight w:val="none"/>
        </w:rPr>
        <w:t>%</w:t>
      </w:r>
      <w:r>
        <w:rPr>
          <w:rStyle w:val="20"/>
          <w:rFonts w:hint="eastAsia" w:ascii="仿宋" w:hAnsi="仿宋" w:eastAsia="仿宋"/>
          <w:b w:val="0"/>
          <w:bCs/>
          <w:color w:val="auto"/>
          <w:sz w:val="32"/>
          <w:szCs w:val="32"/>
          <w:highlight w:val="none"/>
          <w:lang w:eastAsia="zh-CN"/>
        </w:rPr>
        <w:t>。</w:t>
      </w:r>
    </w:p>
    <w:p>
      <w:pPr>
        <w:spacing w:line="600" w:lineRule="exact"/>
        <w:ind w:firstLine="643" w:firstLineChars="200"/>
        <w:rPr>
          <w:rFonts w:ascii="仿宋" w:hAnsi="仿宋" w:eastAsia="仿宋"/>
          <w:b/>
          <w:color w:val="auto"/>
          <w:sz w:val="32"/>
          <w:szCs w:val="32"/>
          <w:highlight w:val="none"/>
        </w:rPr>
      </w:pPr>
      <w:r>
        <w:rPr>
          <w:rStyle w:val="20"/>
          <w:rFonts w:hint="eastAsia" w:ascii="仿宋" w:hAnsi="仿宋" w:eastAsia="仿宋"/>
          <w:bCs/>
          <w:color w:val="auto"/>
          <w:sz w:val="32"/>
          <w:szCs w:val="32"/>
          <w:highlight w:val="none"/>
          <w:lang w:val="en-US" w:eastAsia="zh-CN"/>
        </w:rPr>
        <w:t>3.</w:t>
      </w:r>
      <w:r>
        <w:rPr>
          <w:rStyle w:val="20"/>
          <w:rFonts w:hint="eastAsia" w:ascii="仿宋" w:hAnsi="仿宋" w:eastAsia="仿宋"/>
          <w:bCs/>
          <w:color w:val="auto"/>
          <w:sz w:val="32"/>
          <w:szCs w:val="32"/>
          <w:highlight w:val="none"/>
        </w:rPr>
        <w:t>社会保障和就业（类）行政事业单位养老支出（款）机关事业单位职业年金缴费支出（项）</w:t>
      </w:r>
      <w:r>
        <w:rPr>
          <w:rStyle w:val="20"/>
          <w:rFonts w:ascii="仿宋" w:hAnsi="仿宋" w:eastAsia="仿宋"/>
          <w:bCs/>
          <w:color w:val="auto"/>
          <w:sz w:val="32"/>
          <w:szCs w:val="32"/>
          <w:highlight w:val="none"/>
        </w:rPr>
        <w:t>:</w:t>
      </w:r>
      <w:r>
        <w:rPr>
          <w:rStyle w:val="20"/>
          <w:rFonts w:ascii="仿宋" w:hAnsi="仿宋" w:eastAsia="仿宋"/>
          <w:b w:val="0"/>
          <w:bCs/>
          <w:color w:val="auto"/>
          <w:sz w:val="32"/>
          <w:szCs w:val="32"/>
          <w:highlight w:val="none"/>
        </w:rPr>
        <w:t xml:space="preserve"> </w:t>
      </w:r>
      <w:r>
        <w:rPr>
          <w:rStyle w:val="20"/>
          <w:rFonts w:hint="eastAsia" w:ascii="仿宋" w:hAnsi="仿宋" w:eastAsia="仿宋"/>
          <w:b w:val="0"/>
          <w:bCs/>
          <w:color w:val="auto"/>
          <w:sz w:val="32"/>
          <w:szCs w:val="32"/>
          <w:highlight w:val="none"/>
        </w:rPr>
        <w:t>支出决算为</w:t>
      </w:r>
      <w:r>
        <w:rPr>
          <w:rStyle w:val="20"/>
          <w:rFonts w:hint="eastAsia" w:ascii="仿宋" w:hAnsi="仿宋" w:eastAsia="仿宋"/>
          <w:b w:val="0"/>
          <w:bCs/>
          <w:color w:val="auto"/>
          <w:sz w:val="32"/>
          <w:szCs w:val="32"/>
          <w:highlight w:val="none"/>
          <w:lang w:val="en-US" w:eastAsia="zh-CN"/>
        </w:rPr>
        <w:t>5.55</w:t>
      </w:r>
      <w:r>
        <w:rPr>
          <w:rStyle w:val="20"/>
          <w:rFonts w:hint="eastAsia" w:ascii="仿宋" w:hAnsi="仿宋" w:eastAsia="仿宋"/>
          <w:b w:val="0"/>
          <w:bCs/>
          <w:color w:val="auto"/>
          <w:sz w:val="32"/>
          <w:szCs w:val="32"/>
          <w:highlight w:val="none"/>
        </w:rPr>
        <w:t>万元，完成预算</w:t>
      </w:r>
      <w:r>
        <w:rPr>
          <w:rStyle w:val="20"/>
          <w:rFonts w:hint="eastAsia" w:ascii="仿宋" w:hAnsi="仿宋" w:eastAsia="仿宋"/>
          <w:b w:val="0"/>
          <w:bCs/>
          <w:color w:val="auto"/>
          <w:sz w:val="32"/>
          <w:szCs w:val="32"/>
          <w:highlight w:val="none"/>
          <w:lang w:val="en-US" w:eastAsia="zh-CN"/>
        </w:rPr>
        <w:t>100</w:t>
      </w:r>
      <w:r>
        <w:rPr>
          <w:rStyle w:val="20"/>
          <w:rFonts w:ascii="仿宋" w:hAnsi="仿宋" w:eastAsia="仿宋"/>
          <w:b w:val="0"/>
          <w:bCs/>
          <w:color w:val="auto"/>
          <w:sz w:val="32"/>
          <w:szCs w:val="32"/>
          <w:highlight w:val="none"/>
        </w:rPr>
        <w:t>%</w:t>
      </w:r>
      <w:r>
        <w:rPr>
          <w:rStyle w:val="20"/>
          <w:rFonts w:hint="eastAsia" w:ascii="仿宋" w:hAnsi="仿宋" w:eastAsia="仿宋"/>
          <w:b w:val="0"/>
          <w:bCs/>
          <w:color w:val="auto"/>
          <w:sz w:val="32"/>
          <w:szCs w:val="32"/>
          <w:highlight w:val="none"/>
        </w:rPr>
        <w:t>。</w:t>
      </w:r>
    </w:p>
    <w:p>
      <w:pPr>
        <w:spacing w:line="600" w:lineRule="exact"/>
        <w:ind w:firstLine="643" w:firstLineChars="200"/>
        <w:rPr>
          <w:rFonts w:ascii="仿宋" w:hAnsi="仿宋" w:eastAsia="仿宋"/>
          <w:b/>
          <w:color w:val="auto"/>
          <w:sz w:val="32"/>
          <w:szCs w:val="32"/>
          <w:highlight w:val="none"/>
        </w:rPr>
      </w:pPr>
      <w:r>
        <w:rPr>
          <w:rStyle w:val="20"/>
          <w:rFonts w:hint="eastAsia" w:ascii="仿宋" w:hAnsi="仿宋" w:eastAsia="仿宋"/>
          <w:bCs/>
          <w:color w:val="auto"/>
          <w:sz w:val="32"/>
          <w:szCs w:val="32"/>
          <w:highlight w:val="none"/>
          <w:lang w:val="en-US" w:eastAsia="zh-CN"/>
        </w:rPr>
        <w:t>4</w:t>
      </w:r>
      <w:r>
        <w:rPr>
          <w:rStyle w:val="20"/>
          <w:rFonts w:ascii="仿宋" w:hAnsi="仿宋" w:eastAsia="仿宋"/>
          <w:bCs/>
          <w:color w:val="auto"/>
          <w:sz w:val="32"/>
          <w:szCs w:val="32"/>
          <w:highlight w:val="none"/>
        </w:rPr>
        <w:t>.</w:t>
      </w:r>
      <w:r>
        <w:rPr>
          <w:rFonts w:hint="eastAsia" w:ascii="仿宋" w:hAnsi="仿宋" w:eastAsia="仿宋"/>
          <w:b/>
          <w:bCs/>
          <w:color w:val="auto"/>
          <w:sz w:val="32"/>
          <w:szCs w:val="32"/>
          <w:highlight w:val="none"/>
        </w:rPr>
        <w:t>卫生健康</w:t>
      </w:r>
      <w:r>
        <w:rPr>
          <w:rStyle w:val="20"/>
          <w:rFonts w:hint="eastAsia" w:ascii="仿宋" w:hAnsi="仿宋" w:eastAsia="仿宋"/>
          <w:bCs/>
          <w:color w:val="auto"/>
          <w:sz w:val="32"/>
          <w:szCs w:val="32"/>
          <w:highlight w:val="none"/>
        </w:rPr>
        <w:t>（类）卫生健康管理事务（款）行政运行（项）</w:t>
      </w:r>
      <w:r>
        <w:rPr>
          <w:rStyle w:val="20"/>
          <w:rFonts w:ascii="仿宋" w:hAnsi="仿宋" w:eastAsia="仿宋"/>
          <w:bCs/>
          <w:color w:val="auto"/>
          <w:sz w:val="32"/>
          <w:szCs w:val="32"/>
          <w:highlight w:val="none"/>
        </w:rPr>
        <w:t>:</w:t>
      </w:r>
      <w:r>
        <w:rPr>
          <w:rStyle w:val="20"/>
          <w:rFonts w:hint="eastAsia" w:ascii="仿宋" w:hAnsi="仿宋" w:eastAsia="仿宋"/>
          <w:b w:val="0"/>
          <w:bCs/>
          <w:color w:val="auto"/>
          <w:sz w:val="32"/>
          <w:szCs w:val="32"/>
          <w:highlight w:val="none"/>
        </w:rPr>
        <w:t>支出决算为</w:t>
      </w:r>
      <w:r>
        <w:rPr>
          <w:rStyle w:val="20"/>
          <w:rFonts w:hint="eastAsia" w:ascii="仿宋" w:hAnsi="仿宋" w:eastAsia="仿宋"/>
          <w:b w:val="0"/>
          <w:bCs/>
          <w:color w:val="auto"/>
          <w:sz w:val="32"/>
          <w:szCs w:val="32"/>
          <w:highlight w:val="none"/>
          <w:lang w:val="en-US" w:eastAsia="zh-CN"/>
        </w:rPr>
        <w:t>40.34</w:t>
      </w:r>
      <w:r>
        <w:rPr>
          <w:rStyle w:val="20"/>
          <w:rFonts w:hint="eastAsia" w:ascii="仿宋" w:hAnsi="仿宋" w:eastAsia="仿宋"/>
          <w:b w:val="0"/>
          <w:bCs/>
          <w:color w:val="auto"/>
          <w:sz w:val="32"/>
          <w:szCs w:val="32"/>
          <w:highlight w:val="none"/>
        </w:rPr>
        <w:t>万元，完成预算</w:t>
      </w:r>
      <w:r>
        <w:rPr>
          <w:rStyle w:val="20"/>
          <w:rFonts w:hint="eastAsia" w:ascii="仿宋" w:hAnsi="仿宋" w:eastAsia="仿宋"/>
          <w:b w:val="0"/>
          <w:bCs/>
          <w:color w:val="auto"/>
          <w:sz w:val="32"/>
          <w:szCs w:val="32"/>
          <w:highlight w:val="none"/>
          <w:lang w:val="en-US" w:eastAsia="zh-CN"/>
        </w:rPr>
        <w:t>100</w:t>
      </w:r>
      <w:r>
        <w:rPr>
          <w:rStyle w:val="20"/>
          <w:rFonts w:ascii="仿宋" w:hAnsi="仿宋" w:eastAsia="仿宋"/>
          <w:b w:val="0"/>
          <w:bCs/>
          <w:color w:val="auto"/>
          <w:sz w:val="32"/>
          <w:szCs w:val="32"/>
          <w:highlight w:val="none"/>
        </w:rPr>
        <w:t>%</w:t>
      </w:r>
      <w:r>
        <w:rPr>
          <w:rStyle w:val="20"/>
          <w:rFonts w:hint="eastAsia" w:ascii="仿宋" w:hAnsi="仿宋" w:eastAsia="仿宋"/>
          <w:b w:val="0"/>
          <w:bCs/>
          <w:color w:val="auto"/>
          <w:sz w:val="32"/>
          <w:szCs w:val="32"/>
          <w:highlight w:val="none"/>
        </w:rPr>
        <w:t>。</w:t>
      </w:r>
    </w:p>
    <w:p>
      <w:pPr>
        <w:spacing w:line="600" w:lineRule="exact"/>
        <w:ind w:firstLine="643" w:firstLineChars="200"/>
        <w:rPr>
          <w:rFonts w:ascii="仿宋" w:hAnsi="仿宋" w:eastAsia="仿宋"/>
          <w:b/>
          <w:color w:val="auto"/>
          <w:sz w:val="32"/>
          <w:szCs w:val="32"/>
          <w:highlight w:val="none"/>
        </w:rPr>
      </w:pPr>
      <w:r>
        <w:rPr>
          <w:rStyle w:val="20"/>
          <w:rFonts w:hint="eastAsia" w:ascii="仿宋" w:hAnsi="仿宋" w:eastAsia="仿宋"/>
          <w:bCs/>
          <w:color w:val="auto"/>
          <w:sz w:val="32"/>
          <w:szCs w:val="32"/>
          <w:highlight w:val="none"/>
          <w:lang w:val="en-US" w:eastAsia="zh-CN"/>
        </w:rPr>
        <w:t>5</w:t>
      </w:r>
      <w:r>
        <w:rPr>
          <w:rStyle w:val="20"/>
          <w:rFonts w:ascii="仿宋" w:hAnsi="仿宋" w:eastAsia="仿宋"/>
          <w:bCs/>
          <w:color w:val="auto"/>
          <w:sz w:val="32"/>
          <w:szCs w:val="32"/>
          <w:highlight w:val="none"/>
        </w:rPr>
        <w:t>.</w:t>
      </w:r>
      <w:r>
        <w:rPr>
          <w:rFonts w:hint="eastAsia" w:ascii="仿宋" w:hAnsi="仿宋" w:eastAsia="仿宋"/>
          <w:b/>
          <w:bCs/>
          <w:color w:val="auto"/>
          <w:sz w:val="32"/>
          <w:szCs w:val="32"/>
          <w:highlight w:val="none"/>
        </w:rPr>
        <w:t>卫生健康</w:t>
      </w:r>
      <w:r>
        <w:rPr>
          <w:rStyle w:val="20"/>
          <w:rFonts w:hint="eastAsia" w:ascii="仿宋" w:hAnsi="仿宋" w:eastAsia="仿宋"/>
          <w:bCs/>
          <w:color w:val="auto"/>
          <w:sz w:val="32"/>
          <w:szCs w:val="32"/>
          <w:highlight w:val="none"/>
        </w:rPr>
        <w:t>（类）公共卫生（款）疾病预防控制机构（项）</w:t>
      </w:r>
      <w:r>
        <w:rPr>
          <w:rStyle w:val="20"/>
          <w:rFonts w:ascii="仿宋" w:hAnsi="仿宋" w:eastAsia="仿宋"/>
          <w:bCs/>
          <w:color w:val="auto"/>
          <w:sz w:val="32"/>
          <w:szCs w:val="32"/>
          <w:highlight w:val="none"/>
        </w:rPr>
        <w:t>:</w:t>
      </w:r>
      <w:r>
        <w:rPr>
          <w:rStyle w:val="20"/>
          <w:rFonts w:hint="eastAsia" w:ascii="仿宋" w:hAnsi="仿宋" w:eastAsia="仿宋"/>
          <w:b w:val="0"/>
          <w:bCs/>
          <w:color w:val="auto"/>
          <w:sz w:val="32"/>
          <w:szCs w:val="32"/>
          <w:highlight w:val="none"/>
        </w:rPr>
        <w:t>支出决算为</w:t>
      </w:r>
      <w:r>
        <w:rPr>
          <w:rStyle w:val="20"/>
          <w:rFonts w:hint="eastAsia" w:ascii="仿宋" w:hAnsi="仿宋" w:eastAsia="仿宋"/>
          <w:b w:val="0"/>
          <w:bCs/>
          <w:color w:val="auto"/>
          <w:sz w:val="32"/>
          <w:szCs w:val="32"/>
          <w:highlight w:val="none"/>
          <w:lang w:val="en-US" w:eastAsia="zh-CN"/>
        </w:rPr>
        <w:t>329.26</w:t>
      </w:r>
      <w:r>
        <w:rPr>
          <w:rStyle w:val="20"/>
          <w:rFonts w:hint="eastAsia" w:ascii="仿宋" w:hAnsi="仿宋" w:eastAsia="仿宋"/>
          <w:b w:val="0"/>
          <w:bCs/>
          <w:color w:val="auto"/>
          <w:sz w:val="32"/>
          <w:szCs w:val="32"/>
          <w:highlight w:val="none"/>
        </w:rPr>
        <w:t>万元，完成预算</w:t>
      </w:r>
      <w:r>
        <w:rPr>
          <w:rStyle w:val="20"/>
          <w:rFonts w:hint="eastAsia" w:ascii="仿宋" w:hAnsi="仿宋" w:eastAsia="仿宋"/>
          <w:b w:val="0"/>
          <w:bCs/>
          <w:color w:val="auto"/>
          <w:sz w:val="32"/>
          <w:szCs w:val="32"/>
          <w:highlight w:val="none"/>
          <w:lang w:val="en-US" w:eastAsia="zh-CN"/>
        </w:rPr>
        <w:t>100</w:t>
      </w:r>
      <w:r>
        <w:rPr>
          <w:rStyle w:val="20"/>
          <w:rFonts w:ascii="仿宋" w:hAnsi="仿宋" w:eastAsia="仿宋"/>
          <w:b w:val="0"/>
          <w:bCs/>
          <w:color w:val="auto"/>
          <w:sz w:val="32"/>
          <w:szCs w:val="32"/>
          <w:highlight w:val="none"/>
        </w:rPr>
        <w:t>%</w:t>
      </w:r>
      <w:r>
        <w:rPr>
          <w:rStyle w:val="20"/>
          <w:rFonts w:hint="eastAsia" w:ascii="仿宋" w:hAnsi="仿宋" w:eastAsia="仿宋"/>
          <w:b w:val="0"/>
          <w:bCs/>
          <w:color w:val="auto"/>
          <w:sz w:val="32"/>
          <w:szCs w:val="32"/>
          <w:highlight w:val="none"/>
        </w:rPr>
        <w:t>。</w:t>
      </w:r>
    </w:p>
    <w:p>
      <w:pPr>
        <w:spacing w:line="600" w:lineRule="exact"/>
        <w:ind w:firstLine="643" w:firstLineChars="200"/>
        <w:rPr>
          <w:rFonts w:ascii="仿宋" w:hAnsi="仿宋" w:eastAsia="仿宋"/>
          <w:b/>
          <w:color w:val="auto"/>
          <w:sz w:val="32"/>
          <w:szCs w:val="32"/>
          <w:highlight w:val="none"/>
        </w:rPr>
      </w:pPr>
      <w:r>
        <w:rPr>
          <w:rStyle w:val="20"/>
          <w:rFonts w:ascii="仿宋" w:hAnsi="仿宋" w:eastAsia="仿宋"/>
          <w:bCs/>
          <w:color w:val="auto"/>
          <w:sz w:val="32"/>
          <w:szCs w:val="32"/>
          <w:highlight w:val="none"/>
        </w:rPr>
        <w:t>6.</w:t>
      </w:r>
      <w:r>
        <w:rPr>
          <w:rFonts w:hint="eastAsia" w:ascii="仿宋" w:hAnsi="仿宋" w:eastAsia="仿宋"/>
          <w:b/>
          <w:bCs/>
          <w:color w:val="auto"/>
          <w:sz w:val="32"/>
          <w:szCs w:val="32"/>
          <w:highlight w:val="none"/>
        </w:rPr>
        <w:t>卫生健康</w:t>
      </w:r>
      <w:r>
        <w:rPr>
          <w:rStyle w:val="20"/>
          <w:rFonts w:hint="eastAsia" w:ascii="仿宋" w:hAnsi="仿宋" w:eastAsia="仿宋"/>
          <w:bCs/>
          <w:color w:val="auto"/>
          <w:sz w:val="32"/>
          <w:szCs w:val="32"/>
          <w:highlight w:val="none"/>
        </w:rPr>
        <w:t>（类）公共卫生（款）重大公共卫生服务（项）</w:t>
      </w:r>
      <w:r>
        <w:rPr>
          <w:rStyle w:val="20"/>
          <w:rFonts w:ascii="仿宋" w:hAnsi="仿宋" w:eastAsia="仿宋"/>
          <w:bCs/>
          <w:color w:val="auto"/>
          <w:sz w:val="32"/>
          <w:szCs w:val="32"/>
          <w:highlight w:val="none"/>
        </w:rPr>
        <w:t>:</w:t>
      </w:r>
      <w:r>
        <w:rPr>
          <w:rStyle w:val="20"/>
          <w:rFonts w:hint="eastAsia" w:ascii="仿宋" w:hAnsi="仿宋" w:eastAsia="仿宋"/>
          <w:b w:val="0"/>
          <w:bCs/>
          <w:color w:val="auto"/>
          <w:sz w:val="32"/>
          <w:szCs w:val="32"/>
          <w:highlight w:val="none"/>
        </w:rPr>
        <w:t>支出决算为</w:t>
      </w:r>
      <w:r>
        <w:rPr>
          <w:rStyle w:val="20"/>
          <w:rFonts w:hint="eastAsia" w:ascii="仿宋" w:hAnsi="仿宋" w:eastAsia="仿宋"/>
          <w:b w:val="0"/>
          <w:bCs/>
          <w:color w:val="auto"/>
          <w:sz w:val="32"/>
          <w:szCs w:val="32"/>
          <w:highlight w:val="none"/>
          <w:lang w:val="en-US" w:eastAsia="zh-CN"/>
        </w:rPr>
        <w:t>200</w:t>
      </w:r>
      <w:r>
        <w:rPr>
          <w:rStyle w:val="20"/>
          <w:rFonts w:hint="eastAsia" w:ascii="仿宋" w:hAnsi="仿宋" w:eastAsia="仿宋"/>
          <w:b w:val="0"/>
          <w:bCs/>
          <w:color w:val="auto"/>
          <w:sz w:val="32"/>
          <w:szCs w:val="32"/>
          <w:highlight w:val="none"/>
        </w:rPr>
        <w:t>万元，完成预算</w:t>
      </w:r>
      <w:r>
        <w:rPr>
          <w:rStyle w:val="20"/>
          <w:rFonts w:hint="eastAsia" w:ascii="仿宋" w:hAnsi="仿宋" w:eastAsia="仿宋"/>
          <w:b w:val="0"/>
          <w:bCs/>
          <w:color w:val="auto"/>
          <w:sz w:val="32"/>
          <w:szCs w:val="32"/>
          <w:highlight w:val="none"/>
          <w:lang w:val="en-US" w:eastAsia="zh-CN"/>
        </w:rPr>
        <w:t>100</w:t>
      </w:r>
      <w:r>
        <w:rPr>
          <w:rStyle w:val="20"/>
          <w:rFonts w:ascii="仿宋" w:hAnsi="仿宋" w:eastAsia="仿宋"/>
          <w:b w:val="0"/>
          <w:bCs/>
          <w:color w:val="auto"/>
          <w:sz w:val="32"/>
          <w:szCs w:val="32"/>
          <w:highlight w:val="none"/>
        </w:rPr>
        <w:t>%</w:t>
      </w:r>
      <w:r>
        <w:rPr>
          <w:rStyle w:val="20"/>
          <w:rFonts w:hint="eastAsia" w:ascii="仿宋" w:hAnsi="仿宋" w:eastAsia="仿宋"/>
          <w:b w:val="0"/>
          <w:bCs/>
          <w:color w:val="auto"/>
          <w:sz w:val="32"/>
          <w:szCs w:val="32"/>
          <w:highlight w:val="none"/>
        </w:rPr>
        <w:t>。</w:t>
      </w:r>
    </w:p>
    <w:p>
      <w:pPr>
        <w:spacing w:line="600" w:lineRule="exact"/>
        <w:ind w:firstLine="643" w:firstLineChars="200"/>
        <w:rPr>
          <w:rFonts w:ascii="仿宋" w:hAnsi="仿宋" w:eastAsia="仿宋"/>
          <w:b/>
          <w:color w:val="auto"/>
          <w:sz w:val="32"/>
          <w:szCs w:val="32"/>
          <w:highlight w:val="none"/>
        </w:rPr>
      </w:pPr>
      <w:r>
        <w:rPr>
          <w:rStyle w:val="20"/>
          <w:rFonts w:hint="eastAsia" w:ascii="仿宋" w:hAnsi="仿宋" w:eastAsia="仿宋"/>
          <w:bCs/>
          <w:color w:val="auto"/>
          <w:sz w:val="32"/>
          <w:szCs w:val="32"/>
          <w:highlight w:val="none"/>
          <w:lang w:val="en-US" w:eastAsia="zh-CN"/>
        </w:rPr>
        <w:t>7</w:t>
      </w:r>
      <w:r>
        <w:rPr>
          <w:rStyle w:val="20"/>
          <w:rFonts w:ascii="仿宋" w:hAnsi="仿宋" w:eastAsia="仿宋"/>
          <w:bCs/>
          <w:color w:val="auto"/>
          <w:sz w:val="32"/>
          <w:szCs w:val="32"/>
          <w:highlight w:val="none"/>
        </w:rPr>
        <w:t>.</w:t>
      </w:r>
      <w:r>
        <w:rPr>
          <w:rFonts w:hint="eastAsia" w:ascii="仿宋" w:hAnsi="仿宋" w:eastAsia="仿宋"/>
          <w:b/>
          <w:bCs/>
          <w:color w:val="auto"/>
          <w:sz w:val="32"/>
          <w:szCs w:val="32"/>
          <w:highlight w:val="none"/>
        </w:rPr>
        <w:t>卫生健康</w:t>
      </w:r>
      <w:r>
        <w:rPr>
          <w:rStyle w:val="20"/>
          <w:rFonts w:hint="eastAsia" w:ascii="仿宋" w:hAnsi="仿宋" w:eastAsia="仿宋"/>
          <w:bCs/>
          <w:color w:val="auto"/>
          <w:sz w:val="32"/>
          <w:szCs w:val="32"/>
          <w:highlight w:val="none"/>
        </w:rPr>
        <w:t>（类）公共卫生（款）其他公共卫生支出（项）</w:t>
      </w:r>
      <w:r>
        <w:rPr>
          <w:rStyle w:val="20"/>
          <w:rFonts w:ascii="仿宋" w:hAnsi="仿宋" w:eastAsia="仿宋"/>
          <w:bCs/>
          <w:color w:val="auto"/>
          <w:sz w:val="32"/>
          <w:szCs w:val="32"/>
          <w:highlight w:val="none"/>
        </w:rPr>
        <w:t>:</w:t>
      </w:r>
      <w:r>
        <w:rPr>
          <w:rStyle w:val="20"/>
          <w:rFonts w:hint="eastAsia" w:ascii="仿宋" w:hAnsi="仿宋" w:eastAsia="仿宋"/>
          <w:b w:val="0"/>
          <w:bCs/>
          <w:color w:val="auto"/>
          <w:sz w:val="32"/>
          <w:szCs w:val="32"/>
          <w:highlight w:val="none"/>
        </w:rPr>
        <w:t>支出决算为</w:t>
      </w:r>
      <w:r>
        <w:rPr>
          <w:rStyle w:val="20"/>
          <w:rFonts w:hint="eastAsia" w:ascii="仿宋" w:hAnsi="仿宋" w:eastAsia="仿宋"/>
          <w:b w:val="0"/>
          <w:bCs/>
          <w:color w:val="auto"/>
          <w:sz w:val="32"/>
          <w:szCs w:val="32"/>
          <w:highlight w:val="none"/>
          <w:lang w:val="en-US" w:eastAsia="zh-CN"/>
        </w:rPr>
        <w:t>13.39</w:t>
      </w:r>
      <w:r>
        <w:rPr>
          <w:rStyle w:val="20"/>
          <w:rFonts w:hint="eastAsia" w:ascii="仿宋" w:hAnsi="仿宋" w:eastAsia="仿宋"/>
          <w:b w:val="0"/>
          <w:bCs/>
          <w:color w:val="auto"/>
          <w:sz w:val="32"/>
          <w:szCs w:val="32"/>
          <w:highlight w:val="none"/>
        </w:rPr>
        <w:t>万元，完成预算</w:t>
      </w:r>
      <w:r>
        <w:rPr>
          <w:rStyle w:val="20"/>
          <w:rFonts w:hint="eastAsia" w:ascii="仿宋" w:hAnsi="仿宋" w:eastAsia="仿宋"/>
          <w:b w:val="0"/>
          <w:bCs/>
          <w:color w:val="auto"/>
          <w:sz w:val="32"/>
          <w:szCs w:val="32"/>
          <w:highlight w:val="none"/>
          <w:lang w:val="en-US" w:eastAsia="zh-CN"/>
        </w:rPr>
        <w:t>100</w:t>
      </w:r>
      <w:r>
        <w:rPr>
          <w:rStyle w:val="20"/>
          <w:rFonts w:ascii="仿宋" w:hAnsi="仿宋" w:eastAsia="仿宋"/>
          <w:b w:val="0"/>
          <w:bCs/>
          <w:color w:val="auto"/>
          <w:sz w:val="32"/>
          <w:szCs w:val="32"/>
          <w:highlight w:val="none"/>
        </w:rPr>
        <w:t>%</w:t>
      </w:r>
      <w:r>
        <w:rPr>
          <w:rStyle w:val="20"/>
          <w:rFonts w:hint="eastAsia" w:ascii="仿宋" w:hAnsi="仿宋" w:eastAsia="仿宋"/>
          <w:b w:val="0"/>
          <w:bCs/>
          <w:color w:val="auto"/>
          <w:sz w:val="32"/>
          <w:szCs w:val="32"/>
          <w:highlight w:val="none"/>
        </w:rPr>
        <w:t>。</w:t>
      </w:r>
    </w:p>
    <w:p>
      <w:pPr>
        <w:spacing w:line="600" w:lineRule="exact"/>
        <w:ind w:firstLine="643" w:firstLineChars="200"/>
        <w:rPr>
          <w:rFonts w:ascii="仿宋" w:hAnsi="仿宋" w:eastAsia="仿宋"/>
          <w:b/>
          <w:color w:val="auto"/>
          <w:sz w:val="32"/>
          <w:szCs w:val="32"/>
          <w:highlight w:val="none"/>
        </w:rPr>
      </w:pPr>
      <w:r>
        <w:rPr>
          <w:rStyle w:val="20"/>
          <w:rFonts w:hint="eastAsia" w:ascii="仿宋" w:hAnsi="仿宋" w:eastAsia="仿宋"/>
          <w:bCs/>
          <w:color w:val="auto"/>
          <w:sz w:val="32"/>
          <w:szCs w:val="32"/>
          <w:highlight w:val="none"/>
          <w:lang w:val="en-US" w:eastAsia="zh-CN"/>
        </w:rPr>
        <w:t>8</w:t>
      </w:r>
      <w:r>
        <w:rPr>
          <w:rStyle w:val="20"/>
          <w:rFonts w:ascii="仿宋" w:hAnsi="仿宋" w:eastAsia="仿宋"/>
          <w:bCs/>
          <w:color w:val="auto"/>
          <w:sz w:val="32"/>
          <w:szCs w:val="32"/>
          <w:highlight w:val="none"/>
        </w:rPr>
        <w:t>.</w:t>
      </w:r>
      <w:r>
        <w:rPr>
          <w:rFonts w:hint="eastAsia" w:ascii="仿宋" w:hAnsi="仿宋" w:eastAsia="仿宋"/>
          <w:b/>
          <w:bCs/>
          <w:color w:val="auto"/>
          <w:sz w:val="32"/>
          <w:szCs w:val="32"/>
          <w:highlight w:val="none"/>
        </w:rPr>
        <w:t>卫生健康</w:t>
      </w:r>
      <w:r>
        <w:rPr>
          <w:rStyle w:val="20"/>
          <w:rFonts w:hint="eastAsia" w:ascii="仿宋" w:hAnsi="仿宋" w:eastAsia="仿宋"/>
          <w:bCs/>
          <w:color w:val="auto"/>
          <w:sz w:val="32"/>
          <w:szCs w:val="32"/>
          <w:highlight w:val="none"/>
        </w:rPr>
        <w:t>（类）行政事业单位医疗（款）事业单位医疗（项）</w:t>
      </w:r>
      <w:r>
        <w:rPr>
          <w:rStyle w:val="20"/>
          <w:rFonts w:ascii="仿宋" w:hAnsi="仿宋" w:eastAsia="仿宋"/>
          <w:bCs/>
          <w:color w:val="auto"/>
          <w:sz w:val="32"/>
          <w:szCs w:val="32"/>
          <w:highlight w:val="none"/>
        </w:rPr>
        <w:t>:</w:t>
      </w:r>
      <w:r>
        <w:rPr>
          <w:rStyle w:val="20"/>
          <w:rFonts w:hint="eastAsia" w:ascii="仿宋" w:hAnsi="仿宋" w:eastAsia="仿宋"/>
          <w:b w:val="0"/>
          <w:bCs/>
          <w:color w:val="auto"/>
          <w:sz w:val="32"/>
          <w:szCs w:val="32"/>
          <w:highlight w:val="none"/>
        </w:rPr>
        <w:t>支出决算为</w:t>
      </w:r>
      <w:r>
        <w:rPr>
          <w:rStyle w:val="20"/>
          <w:rFonts w:hint="eastAsia" w:ascii="仿宋" w:hAnsi="仿宋" w:eastAsia="仿宋"/>
          <w:b w:val="0"/>
          <w:bCs/>
          <w:color w:val="auto"/>
          <w:sz w:val="32"/>
          <w:szCs w:val="32"/>
          <w:highlight w:val="none"/>
          <w:lang w:val="en-US" w:eastAsia="zh-CN"/>
        </w:rPr>
        <w:t>15.92</w:t>
      </w:r>
      <w:r>
        <w:rPr>
          <w:rStyle w:val="20"/>
          <w:rFonts w:hint="eastAsia" w:ascii="仿宋" w:hAnsi="仿宋" w:eastAsia="仿宋"/>
          <w:b w:val="0"/>
          <w:bCs/>
          <w:color w:val="auto"/>
          <w:sz w:val="32"/>
          <w:szCs w:val="32"/>
          <w:highlight w:val="none"/>
        </w:rPr>
        <w:t>万元，完成预算</w:t>
      </w:r>
      <w:r>
        <w:rPr>
          <w:rStyle w:val="20"/>
          <w:rFonts w:hint="eastAsia" w:ascii="仿宋" w:hAnsi="仿宋" w:eastAsia="仿宋"/>
          <w:b w:val="0"/>
          <w:bCs/>
          <w:color w:val="auto"/>
          <w:sz w:val="32"/>
          <w:szCs w:val="32"/>
          <w:highlight w:val="none"/>
          <w:lang w:val="en-US" w:eastAsia="zh-CN"/>
        </w:rPr>
        <w:t>100</w:t>
      </w:r>
      <w:r>
        <w:rPr>
          <w:rStyle w:val="20"/>
          <w:rFonts w:ascii="仿宋" w:hAnsi="仿宋" w:eastAsia="仿宋"/>
          <w:b w:val="0"/>
          <w:bCs/>
          <w:color w:val="auto"/>
          <w:sz w:val="32"/>
          <w:szCs w:val="32"/>
          <w:highlight w:val="none"/>
        </w:rPr>
        <w:t>%</w:t>
      </w:r>
      <w:r>
        <w:rPr>
          <w:rStyle w:val="20"/>
          <w:rFonts w:hint="eastAsia" w:ascii="仿宋" w:hAnsi="仿宋" w:eastAsia="仿宋"/>
          <w:b w:val="0"/>
          <w:bCs/>
          <w:color w:val="auto"/>
          <w:sz w:val="32"/>
          <w:szCs w:val="32"/>
          <w:highlight w:val="none"/>
        </w:rPr>
        <w:t>。</w:t>
      </w:r>
    </w:p>
    <w:p>
      <w:pPr>
        <w:spacing w:line="600" w:lineRule="exact"/>
        <w:ind w:firstLine="643" w:firstLineChars="200"/>
        <w:rPr>
          <w:rStyle w:val="20"/>
          <w:rFonts w:hint="eastAsia" w:ascii="仿宋" w:hAnsi="仿宋" w:eastAsia="仿宋"/>
          <w:b w:val="0"/>
          <w:bCs/>
          <w:color w:val="auto"/>
          <w:sz w:val="32"/>
          <w:szCs w:val="32"/>
          <w:highlight w:val="none"/>
        </w:rPr>
      </w:pPr>
      <w:r>
        <w:rPr>
          <w:rStyle w:val="20"/>
          <w:rFonts w:hint="eastAsia" w:ascii="仿宋" w:hAnsi="仿宋" w:eastAsia="仿宋"/>
          <w:bCs/>
          <w:color w:val="auto"/>
          <w:sz w:val="32"/>
          <w:szCs w:val="32"/>
          <w:highlight w:val="none"/>
          <w:lang w:val="en-US" w:eastAsia="zh-CN"/>
        </w:rPr>
        <w:t>9</w:t>
      </w:r>
      <w:r>
        <w:rPr>
          <w:rStyle w:val="20"/>
          <w:rFonts w:ascii="仿宋" w:hAnsi="仿宋" w:eastAsia="仿宋"/>
          <w:bCs/>
          <w:color w:val="auto"/>
          <w:sz w:val="32"/>
          <w:szCs w:val="32"/>
          <w:highlight w:val="none"/>
        </w:rPr>
        <w:t>.</w:t>
      </w:r>
      <w:r>
        <w:rPr>
          <w:rFonts w:hint="eastAsia" w:ascii="仿宋" w:hAnsi="仿宋" w:eastAsia="仿宋"/>
          <w:b/>
          <w:bCs/>
          <w:color w:val="auto"/>
          <w:sz w:val="32"/>
          <w:szCs w:val="32"/>
          <w:highlight w:val="none"/>
        </w:rPr>
        <w:t>卫生健康</w:t>
      </w:r>
      <w:r>
        <w:rPr>
          <w:rStyle w:val="20"/>
          <w:rFonts w:hint="eastAsia" w:ascii="仿宋" w:hAnsi="仿宋" w:eastAsia="仿宋"/>
          <w:bCs/>
          <w:color w:val="auto"/>
          <w:sz w:val="32"/>
          <w:szCs w:val="32"/>
          <w:highlight w:val="none"/>
        </w:rPr>
        <w:t>（类）其他卫生健康支出（款）其他卫生健康支出（项）</w:t>
      </w:r>
      <w:r>
        <w:rPr>
          <w:rStyle w:val="20"/>
          <w:rFonts w:ascii="仿宋" w:hAnsi="仿宋" w:eastAsia="仿宋"/>
          <w:bCs/>
          <w:color w:val="auto"/>
          <w:sz w:val="32"/>
          <w:szCs w:val="32"/>
          <w:highlight w:val="none"/>
        </w:rPr>
        <w:t>:</w:t>
      </w:r>
      <w:r>
        <w:rPr>
          <w:rStyle w:val="20"/>
          <w:rFonts w:hint="eastAsia" w:ascii="仿宋" w:hAnsi="仿宋" w:eastAsia="仿宋"/>
          <w:b w:val="0"/>
          <w:bCs/>
          <w:color w:val="auto"/>
          <w:sz w:val="32"/>
          <w:szCs w:val="32"/>
          <w:highlight w:val="none"/>
        </w:rPr>
        <w:t>支出决算为</w:t>
      </w:r>
      <w:r>
        <w:rPr>
          <w:rStyle w:val="20"/>
          <w:rFonts w:hint="eastAsia" w:ascii="仿宋" w:hAnsi="仿宋" w:eastAsia="仿宋"/>
          <w:b w:val="0"/>
          <w:bCs/>
          <w:color w:val="auto"/>
          <w:sz w:val="32"/>
          <w:szCs w:val="32"/>
          <w:highlight w:val="none"/>
          <w:lang w:val="en-US" w:eastAsia="zh-CN"/>
        </w:rPr>
        <w:t>200</w:t>
      </w:r>
      <w:r>
        <w:rPr>
          <w:rStyle w:val="20"/>
          <w:rFonts w:hint="eastAsia" w:ascii="仿宋" w:hAnsi="仿宋" w:eastAsia="仿宋"/>
          <w:b w:val="0"/>
          <w:bCs/>
          <w:color w:val="auto"/>
          <w:sz w:val="32"/>
          <w:szCs w:val="32"/>
          <w:highlight w:val="none"/>
        </w:rPr>
        <w:t>万元，完成预算</w:t>
      </w:r>
      <w:r>
        <w:rPr>
          <w:rStyle w:val="20"/>
          <w:rFonts w:hint="eastAsia" w:ascii="仿宋" w:hAnsi="仿宋" w:eastAsia="仿宋"/>
          <w:b w:val="0"/>
          <w:bCs/>
          <w:color w:val="auto"/>
          <w:sz w:val="32"/>
          <w:szCs w:val="32"/>
          <w:highlight w:val="none"/>
          <w:lang w:val="en-US" w:eastAsia="zh-CN"/>
        </w:rPr>
        <w:t>100</w:t>
      </w:r>
      <w:r>
        <w:rPr>
          <w:rStyle w:val="20"/>
          <w:rFonts w:ascii="仿宋" w:hAnsi="仿宋" w:eastAsia="仿宋"/>
          <w:b w:val="0"/>
          <w:bCs/>
          <w:color w:val="auto"/>
          <w:sz w:val="32"/>
          <w:szCs w:val="32"/>
          <w:highlight w:val="none"/>
        </w:rPr>
        <w:t>%</w:t>
      </w:r>
      <w:r>
        <w:rPr>
          <w:rStyle w:val="20"/>
          <w:rFonts w:hint="eastAsia" w:ascii="仿宋" w:hAnsi="仿宋" w:eastAsia="仿宋"/>
          <w:b w:val="0"/>
          <w:bCs/>
          <w:color w:val="auto"/>
          <w:sz w:val="32"/>
          <w:szCs w:val="32"/>
          <w:highlight w:val="none"/>
        </w:rPr>
        <w:t>。</w:t>
      </w:r>
    </w:p>
    <w:p>
      <w:pPr>
        <w:pStyle w:val="7"/>
        <w:keepNext w:val="0"/>
        <w:keepLines w:val="0"/>
        <w:pageBreakBefore w:val="0"/>
        <w:widowControl w:val="0"/>
        <w:tabs>
          <w:tab w:val="left" w:pos="782"/>
        </w:tabs>
        <w:kinsoku/>
        <w:wordWrap/>
        <w:overflowPunct/>
        <w:topLinePunct w:val="0"/>
        <w:autoSpaceDE/>
        <w:autoSpaceDN/>
        <w:bidi w:val="0"/>
        <w:adjustRightInd/>
        <w:snapToGrid/>
        <w:ind w:firstLine="643" w:firstLineChars="200"/>
        <w:textAlignment w:val="auto"/>
        <w:rPr>
          <w:rStyle w:val="20"/>
          <w:rFonts w:hint="eastAsia" w:ascii="仿宋" w:hAnsi="仿宋" w:eastAsia="仿宋"/>
          <w:b w:val="0"/>
          <w:bCs/>
          <w:color w:val="auto"/>
          <w:sz w:val="32"/>
          <w:szCs w:val="32"/>
          <w:highlight w:val="none"/>
        </w:rPr>
      </w:pPr>
      <w:r>
        <w:rPr>
          <w:rStyle w:val="20"/>
          <w:rFonts w:hint="eastAsia" w:ascii="仿宋" w:hAnsi="仿宋" w:eastAsia="仿宋"/>
          <w:bCs/>
          <w:color w:val="auto"/>
          <w:sz w:val="32"/>
          <w:szCs w:val="32"/>
          <w:highlight w:val="none"/>
          <w:lang w:val="en-US" w:eastAsia="zh-CN"/>
        </w:rPr>
        <w:t>10</w:t>
      </w:r>
      <w:r>
        <w:rPr>
          <w:rStyle w:val="20"/>
          <w:rFonts w:ascii="仿宋" w:hAnsi="仿宋" w:eastAsia="仿宋"/>
          <w:bCs/>
          <w:color w:val="auto"/>
          <w:sz w:val="32"/>
          <w:szCs w:val="32"/>
          <w:highlight w:val="none"/>
        </w:rPr>
        <w:t>.</w:t>
      </w:r>
      <w:r>
        <w:rPr>
          <w:rFonts w:hint="eastAsia" w:ascii="仿宋" w:hAnsi="仿宋" w:eastAsia="仿宋"/>
          <w:b/>
          <w:bCs/>
          <w:color w:val="auto"/>
          <w:sz w:val="32"/>
          <w:szCs w:val="32"/>
          <w:highlight w:val="none"/>
          <w:lang w:eastAsia="zh-CN"/>
        </w:rPr>
        <w:t>住房保障支出</w:t>
      </w:r>
      <w:r>
        <w:rPr>
          <w:rStyle w:val="20"/>
          <w:rFonts w:hint="eastAsia" w:ascii="仿宋" w:hAnsi="仿宋" w:eastAsia="仿宋"/>
          <w:bCs/>
          <w:color w:val="auto"/>
          <w:sz w:val="32"/>
          <w:szCs w:val="32"/>
          <w:highlight w:val="none"/>
        </w:rPr>
        <w:t>（类）住房改革支出（款）住房公积金（项）</w:t>
      </w:r>
      <w:r>
        <w:rPr>
          <w:rStyle w:val="20"/>
          <w:rFonts w:ascii="仿宋" w:hAnsi="仿宋" w:eastAsia="仿宋"/>
          <w:bCs/>
          <w:color w:val="auto"/>
          <w:sz w:val="32"/>
          <w:szCs w:val="32"/>
          <w:highlight w:val="none"/>
        </w:rPr>
        <w:t>:</w:t>
      </w:r>
      <w:r>
        <w:rPr>
          <w:rStyle w:val="20"/>
          <w:rFonts w:hint="eastAsia" w:ascii="仿宋" w:hAnsi="仿宋" w:eastAsia="仿宋"/>
          <w:b w:val="0"/>
          <w:bCs/>
          <w:color w:val="auto"/>
          <w:sz w:val="32"/>
          <w:szCs w:val="32"/>
          <w:highlight w:val="none"/>
        </w:rPr>
        <w:t>支出决算为</w:t>
      </w:r>
      <w:r>
        <w:rPr>
          <w:rStyle w:val="20"/>
          <w:rFonts w:hint="eastAsia" w:ascii="仿宋" w:hAnsi="仿宋" w:eastAsia="仿宋"/>
          <w:b w:val="0"/>
          <w:bCs/>
          <w:color w:val="auto"/>
          <w:sz w:val="32"/>
          <w:szCs w:val="32"/>
          <w:highlight w:val="none"/>
          <w:lang w:val="en-US" w:eastAsia="zh-CN"/>
        </w:rPr>
        <w:t>32.93</w:t>
      </w:r>
      <w:r>
        <w:rPr>
          <w:rStyle w:val="20"/>
          <w:rFonts w:hint="eastAsia" w:ascii="仿宋" w:hAnsi="仿宋" w:eastAsia="仿宋"/>
          <w:b w:val="0"/>
          <w:bCs/>
          <w:color w:val="auto"/>
          <w:sz w:val="32"/>
          <w:szCs w:val="32"/>
          <w:highlight w:val="none"/>
        </w:rPr>
        <w:t>万元，完成预算</w:t>
      </w:r>
      <w:r>
        <w:rPr>
          <w:rStyle w:val="20"/>
          <w:rFonts w:hint="eastAsia" w:ascii="仿宋" w:hAnsi="仿宋" w:eastAsia="仿宋"/>
          <w:b w:val="0"/>
          <w:bCs/>
          <w:color w:val="auto"/>
          <w:sz w:val="32"/>
          <w:szCs w:val="32"/>
          <w:highlight w:val="none"/>
          <w:lang w:val="en-US" w:eastAsia="zh-CN"/>
        </w:rPr>
        <w:t>100</w:t>
      </w:r>
      <w:r>
        <w:rPr>
          <w:rStyle w:val="20"/>
          <w:rFonts w:ascii="仿宋" w:hAnsi="仿宋" w:eastAsia="仿宋"/>
          <w:b w:val="0"/>
          <w:bCs/>
          <w:color w:val="auto"/>
          <w:sz w:val="32"/>
          <w:szCs w:val="32"/>
          <w:highlight w:val="none"/>
        </w:rPr>
        <w:t>%</w:t>
      </w:r>
      <w:r>
        <w:rPr>
          <w:rStyle w:val="20"/>
          <w:rFonts w:hint="eastAsia" w:ascii="仿宋" w:hAnsi="仿宋" w:eastAsia="仿宋"/>
          <w:b w:val="0"/>
          <w:bCs/>
          <w:color w:val="auto"/>
          <w:sz w:val="32"/>
          <w:szCs w:val="32"/>
          <w:highlight w:val="none"/>
        </w:rPr>
        <w:t>。</w:t>
      </w:r>
    </w:p>
    <w:p>
      <w:pPr>
        <w:spacing w:line="600" w:lineRule="exact"/>
        <w:ind w:firstLine="640"/>
        <w:rPr>
          <w:rFonts w:ascii="仿宋" w:hAnsi="仿宋" w:eastAsia="仿宋"/>
          <w:b/>
          <w:color w:val="auto"/>
          <w:sz w:val="32"/>
          <w:szCs w:val="32"/>
          <w:highlight w:val="none"/>
        </w:rPr>
      </w:pPr>
    </w:p>
    <w:p>
      <w:pPr>
        <w:tabs>
          <w:tab w:val="right" w:pos="8306"/>
        </w:tabs>
        <w:spacing w:line="600" w:lineRule="exact"/>
        <w:ind w:firstLine="640"/>
        <w:outlineLvl w:val="1"/>
        <w:rPr>
          <w:rStyle w:val="32"/>
          <w:color w:val="auto"/>
          <w:highlight w:val="none"/>
        </w:rPr>
      </w:pPr>
      <w:bookmarkStart w:id="73" w:name="_Toc13351"/>
      <w:bookmarkStart w:id="74" w:name="_Toc15377214"/>
      <w:bookmarkStart w:id="75" w:name="_Toc15396608"/>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32"/>
          <w:rFonts w:hint="eastAsia" w:ascii="黑体" w:hAnsi="黑体" w:eastAsia="黑体"/>
          <w:b w:val="0"/>
          <w:color w:val="auto"/>
          <w:highlight w:val="none"/>
        </w:rPr>
        <w:t>般公共预算财政拨款基本支出决算情况说明</w:t>
      </w:r>
      <w:bookmarkEnd w:id="73"/>
      <w:bookmarkEnd w:id="74"/>
      <w:bookmarkEnd w:id="75"/>
      <w:r>
        <w:rPr>
          <w:rStyle w:val="32"/>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年一般公共预算财政拨款基本支出</w:t>
      </w:r>
      <w:r>
        <w:rPr>
          <w:rFonts w:hint="eastAsia" w:ascii="仿宋" w:hAnsi="仿宋" w:eastAsia="仿宋"/>
          <w:color w:val="auto"/>
          <w:sz w:val="32"/>
          <w:szCs w:val="32"/>
          <w:highlight w:val="none"/>
          <w:lang w:val="en-US" w:eastAsia="zh-CN"/>
        </w:rPr>
        <w:t>455.81</w:t>
      </w:r>
      <w:r>
        <w:rPr>
          <w:rFonts w:hint="eastAsia" w:ascii="仿宋" w:hAnsi="仿宋" w:eastAsia="仿宋"/>
          <w:color w:val="auto"/>
          <w:sz w:val="32"/>
          <w:szCs w:val="32"/>
          <w:highlight w:val="none"/>
        </w:rPr>
        <w:t>万元，其中：</w:t>
      </w:r>
    </w:p>
    <w:p>
      <w:pPr>
        <w:spacing w:line="600" w:lineRule="exact"/>
        <w:ind w:firstLine="645"/>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395.11</w:t>
      </w:r>
      <w:r>
        <w:rPr>
          <w:rFonts w:hint="eastAsia" w:ascii="仿宋" w:hAnsi="仿宋" w:eastAsia="仿宋"/>
          <w:color w:val="auto"/>
          <w:sz w:val="32"/>
          <w:szCs w:val="32"/>
          <w:highlight w:val="none"/>
        </w:rPr>
        <w:t>万元，主要包括：基本工资、津贴补贴、绩效工资、机关事业单位基本养老保险缴费、职业年金缴费、其他社会保障缴费、住房公积金。</w:t>
      </w:r>
    </w:p>
    <w:p>
      <w:pPr>
        <w:spacing w:line="600" w:lineRule="exact"/>
        <w:ind w:firstLine="645"/>
        <w:rPr>
          <w:rFonts w:ascii="仿宋" w:hAnsi="仿宋" w:eastAsia="仿宋"/>
          <w:b/>
          <w:color w:val="auto"/>
          <w:sz w:val="32"/>
          <w:szCs w:val="32"/>
          <w:highlight w:val="none"/>
        </w:rPr>
      </w:pPr>
      <w:r>
        <w:rPr>
          <w:rFonts w:hint="eastAsia" w:ascii="仿宋" w:hAnsi="仿宋" w:eastAsia="仿宋"/>
          <w:color w:val="auto"/>
          <w:sz w:val="32"/>
          <w:szCs w:val="32"/>
          <w:highlight w:val="none"/>
        </w:rPr>
        <w:t>公用经费</w:t>
      </w:r>
      <w:r>
        <w:rPr>
          <w:rFonts w:hint="eastAsia" w:ascii="仿宋" w:hAnsi="仿宋" w:eastAsia="仿宋"/>
          <w:color w:val="auto"/>
          <w:sz w:val="32"/>
          <w:szCs w:val="32"/>
          <w:highlight w:val="none"/>
          <w:lang w:val="en-US" w:eastAsia="zh-CN"/>
        </w:rPr>
        <w:t>60.70</w:t>
      </w:r>
      <w:r>
        <w:rPr>
          <w:rFonts w:hint="eastAsia" w:ascii="仿宋" w:hAnsi="仿宋" w:eastAsia="仿宋"/>
          <w:color w:val="auto"/>
          <w:sz w:val="32"/>
          <w:szCs w:val="32"/>
          <w:highlight w:val="none"/>
        </w:rPr>
        <w:t>万元，主要包括：办公费、印刷费、咨询费、手续费、水费、电费、邮电费、取暖费、差旅费、维修（护）费、会议费、培训费、公务接待费、</w:t>
      </w:r>
      <w:r>
        <w:rPr>
          <w:rFonts w:hint="eastAsia" w:ascii="仿宋" w:hAnsi="仿宋" w:eastAsia="仿宋"/>
          <w:color w:val="auto"/>
          <w:sz w:val="32"/>
          <w:szCs w:val="32"/>
          <w:highlight w:val="none"/>
          <w:lang w:eastAsia="zh-CN"/>
        </w:rPr>
        <w:t>专用材料费、</w:t>
      </w:r>
      <w:r>
        <w:rPr>
          <w:rFonts w:hint="eastAsia" w:ascii="仿宋" w:hAnsi="仿宋" w:eastAsia="仿宋"/>
          <w:color w:val="auto"/>
          <w:sz w:val="32"/>
          <w:szCs w:val="32"/>
          <w:highlight w:val="none"/>
        </w:rPr>
        <w:t>劳务费、公务用车运行维护费。</w:t>
      </w:r>
    </w:p>
    <w:p>
      <w:pPr>
        <w:spacing w:line="600" w:lineRule="exact"/>
        <w:ind w:firstLine="640"/>
        <w:outlineLvl w:val="1"/>
        <w:rPr>
          <w:rStyle w:val="32"/>
          <w:rFonts w:ascii="黑体" w:hAnsi="黑体" w:eastAsia="黑体"/>
          <w:b w:val="0"/>
          <w:color w:val="auto"/>
          <w:highlight w:val="none"/>
        </w:rPr>
      </w:pPr>
      <w:bookmarkStart w:id="76" w:name="_Toc6496"/>
      <w:bookmarkStart w:id="77" w:name="_Toc15377215"/>
      <w:bookmarkStart w:id="78" w:name="_Toc15396609"/>
      <w:r>
        <w:rPr>
          <w:rFonts w:hint="eastAsia" w:ascii="黑体" w:eastAsia="黑体"/>
          <w:color w:val="auto"/>
          <w:sz w:val="32"/>
          <w:szCs w:val="32"/>
          <w:highlight w:val="none"/>
        </w:rPr>
        <w:t>七、</w:t>
      </w:r>
      <w:r>
        <w:rPr>
          <w:rStyle w:val="32"/>
          <w:rFonts w:hint="eastAsia" w:ascii="黑体" w:hAnsi="黑体" w:eastAsia="黑体"/>
          <w:b w:val="0"/>
          <w:color w:val="auto"/>
          <w:highlight w:val="none"/>
        </w:rPr>
        <w:t>财政拨款</w:t>
      </w:r>
      <w:r>
        <w:rPr>
          <w:rStyle w:val="32"/>
          <w:rFonts w:hint="eastAsia" w:ascii="黑体" w:hAnsi="黑体" w:eastAsia="黑体"/>
          <w:color w:val="auto"/>
          <w:highlight w:val="none"/>
        </w:rPr>
        <w:t>“</w:t>
      </w:r>
      <w:r>
        <w:rPr>
          <w:rStyle w:val="32"/>
          <w:rFonts w:hint="eastAsia" w:ascii="黑体" w:hAnsi="黑体" w:eastAsia="黑体"/>
          <w:b w:val="0"/>
          <w:color w:val="auto"/>
          <w:highlight w:val="none"/>
        </w:rPr>
        <w:t>三公”经费支出决算情况说明</w:t>
      </w:r>
      <w:bookmarkEnd w:id="76"/>
      <w:bookmarkEnd w:id="77"/>
      <w:bookmarkEnd w:id="78"/>
    </w:p>
    <w:p>
      <w:pPr>
        <w:keepNext w:val="0"/>
        <w:keepLines w:val="0"/>
        <w:pageBreakBefore w:val="0"/>
        <w:widowControl w:val="0"/>
        <w:kinsoku/>
        <w:wordWrap/>
        <w:overflowPunct/>
        <w:topLinePunct w:val="0"/>
        <w:autoSpaceDE/>
        <w:autoSpaceDN/>
        <w:bidi w:val="0"/>
        <w:adjustRightInd/>
        <w:snapToGrid/>
        <w:spacing w:line="600" w:lineRule="exact"/>
        <w:ind w:firstLine="641"/>
        <w:textAlignment w:val="auto"/>
        <w:outlineLvl w:val="2"/>
        <w:rPr>
          <w:rFonts w:ascii="仿宋" w:hAnsi="仿宋" w:eastAsia="仿宋"/>
          <w:b/>
          <w:color w:val="auto"/>
          <w:sz w:val="32"/>
          <w:szCs w:val="32"/>
          <w:highlight w:val="none"/>
        </w:rPr>
      </w:pPr>
      <w:bookmarkStart w:id="79" w:name="_Toc24504"/>
      <w:bookmarkStart w:id="80" w:name="_Toc13671"/>
      <w:bookmarkStart w:id="81" w:name="_Toc27419"/>
      <w:bookmarkStart w:id="82" w:name="_Toc15377216"/>
      <w:r>
        <w:rPr>
          <w:rFonts w:hint="eastAsia" w:ascii="仿宋" w:hAnsi="仿宋" w:eastAsia="仿宋"/>
          <w:b/>
          <w:color w:val="auto"/>
          <w:sz w:val="32"/>
          <w:szCs w:val="32"/>
          <w:highlight w:val="none"/>
        </w:rPr>
        <w:t>（一）“三公”经费财政拨款支出决算总体情况说明</w:t>
      </w:r>
      <w:bookmarkEnd w:id="79"/>
      <w:bookmarkEnd w:id="80"/>
      <w:bookmarkEnd w:id="81"/>
      <w:bookmarkEnd w:id="82"/>
    </w:p>
    <w:p>
      <w:pPr>
        <w:spacing w:line="600" w:lineRule="exact"/>
        <w:ind w:firstLine="640"/>
        <w:rPr>
          <w:rFonts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年“三公”经费财政拨款支出决算为</w:t>
      </w:r>
      <w:r>
        <w:rPr>
          <w:rFonts w:hint="eastAsia" w:ascii="仿宋" w:hAnsi="仿宋" w:eastAsia="仿宋"/>
          <w:color w:val="auto"/>
          <w:sz w:val="32"/>
          <w:szCs w:val="32"/>
          <w:highlight w:val="none"/>
          <w:lang w:val="en-US" w:eastAsia="zh-CN"/>
        </w:rPr>
        <w:t>1.2</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w:t>
      </w:r>
      <w:r>
        <w:rPr>
          <w:rFonts w:hint="eastAsia" w:ascii="仿宋" w:hAnsi="仿宋" w:eastAsia="仿宋"/>
          <w:color w:val="auto"/>
          <w:sz w:val="32"/>
          <w:szCs w:val="32"/>
          <w:highlight w:val="none"/>
          <w:lang w:val="en-US" w:eastAsia="zh-CN"/>
        </w:rPr>
        <w:t>减少0.3万元，下降20%。</w:t>
      </w:r>
      <w:r>
        <w:rPr>
          <w:rFonts w:hint="eastAsia" w:ascii="仿宋" w:hAnsi="仿宋" w:eastAsia="仿宋"/>
          <w:color w:val="auto"/>
          <w:sz w:val="32"/>
          <w:szCs w:val="32"/>
          <w:highlight w:val="none"/>
        </w:rPr>
        <w:t>决算数与预算数持平的主要原因是</w:t>
      </w:r>
      <w:r>
        <w:rPr>
          <w:rFonts w:hint="eastAsia" w:ascii="仿宋" w:hAnsi="仿宋" w:eastAsia="仿宋"/>
          <w:color w:val="auto"/>
          <w:sz w:val="32"/>
          <w:szCs w:val="32"/>
          <w:highlight w:val="none"/>
          <w:lang w:eastAsia="zh-CN"/>
        </w:rPr>
        <w:t>严控三公经费支出，确保不超支</w:t>
      </w:r>
      <w:r>
        <w:rPr>
          <w:rFonts w:hint="eastAsia" w:ascii="仿宋" w:hAnsi="仿宋" w:eastAsia="仿宋"/>
          <w:color w:val="auto"/>
          <w:sz w:val="32"/>
          <w:szCs w:val="32"/>
          <w:highlight w:val="none"/>
        </w:rPr>
        <w:t>。</w:t>
      </w:r>
    </w:p>
    <w:p>
      <w:pPr>
        <w:spacing w:line="600" w:lineRule="exact"/>
        <w:ind w:firstLine="640"/>
        <w:outlineLvl w:val="2"/>
        <w:rPr>
          <w:rFonts w:ascii="仿宋" w:hAnsi="仿宋" w:eastAsia="仿宋"/>
          <w:b/>
          <w:color w:val="auto"/>
          <w:sz w:val="32"/>
          <w:szCs w:val="32"/>
          <w:highlight w:val="none"/>
        </w:rPr>
      </w:pPr>
      <w:bookmarkStart w:id="83" w:name="_Toc15377217"/>
      <w:bookmarkStart w:id="84" w:name="_Toc2028"/>
      <w:bookmarkStart w:id="85" w:name="_Toc22640"/>
      <w:bookmarkStart w:id="86" w:name="_Toc4237"/>
      <w:r>
        <w:rPr>
          <w:rFonts w:hint="eastAsia" w:ascii="仿宋" w:hAnsi="仿宋" w:eastAsia="仿宋"/>
          <w:b/>
          <w:color w:val="auto"/>
          <w:sz w:val="32"/>
          <w:szCs w:val="32"/>
          <w:highlight w:val="none"/>
        </w:rPr>
        <w:t>（二）“三公”经费财政拨款支出决算具体情况说明</w:t>
      </w:r>
      <w:bookmarkEnd w:id="83"/>
      <w:bookmarkEnd w:id="84"/>
      <w:bookmarkEnd w:id="85"/>
      <w:bookmarkEnd w:id="86"/>
    </w:p>
    <w:p>
      <w:pPr>
        <w:spacing w:line="600" w:lineRule="exact"/>
        <w:ind w:firstLine="640"/>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1.2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pStyle w:val="7"/>
        <w:rPr>
          <w:rFonts w:hint="eastAsia" w:eastAsia="仿宋"/>
          <w:lang w:eastAsia="zh-CN"/>
        </w:rPr>
      </w:pPr>
      <w:r>
        <w:rPr>
          <w:rFonts w:hint="eastAsia" w:eastAsia="仿宋"/>
          <w:lang w:val="en-US" w:eastAsia="zh-CN"/>
        </w:rPr>
        <w:t xml:space="preserve">     </w:t>
      </w:r>
      <w:r>
        <w:rPr>
          <w:rFonts w:hint="eastAsia" w:eastAsia="仿宋"/>
          <w:lang w:eastAsia="zh-CN"/>
        </w:rPr>
        <w:drawing>
          <wp:inline distT="0" distB="0" distL="114300" distR="114300">
            <wp:extent cx="4343400" cy="2116455"/>
            <wp:effectExtent l="4445" t="4445" r="10795" b="12700"/>
            <wp:docPr id="21" name="图表 4" descr="7b0a202020202263686172745265734964223a2022383733373733220a7d0a"/>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（图7：“三公”经费财政拨款支出结构）</w:t>
      </w:r>
    </w:p>
    <w:p>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万元，年初未安排预算。因公出国（境）支出决算较202</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年无变化。</w:t>
      </w:r>
    </w:p>
    <w:p>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万元,年初未安排预算。公务用车购置及运行维护费支出决算</w:t>
      </w:r>
      <w:r>
        <w:rPr>
          <w:rFonts w:hint="eastAsia" w:ascii="仿宋_GB2312" w:eastAsia="仿宋_GB2312"/>
          <w:color w:val="auto"/>
          <w:sz w:val="32"/>
          <w:szCs w:val="32"/>
          <w:highlight w:val="none"/>
          <w:lang w:eastAsia="zh-CN"/>
        </w:rPr>
        <w:t>较</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无变化</w:t>
      </w:r>
      <w:r>
        <w:rPr>
          <w:rFonts w:hint="eastAsia" w:ascii="仿宋_GB2312" w:eastAsia="仿宋_GB2312"/>
          <w:color w:val="auto"/>
          <w:sz w:val="32"/>
          <w:szCs w:val="32"/>
          <w:highlight w:val="none"/>
        </w:rPr>
        <w:t>。</w:t>
      </w:r>
    </w:p>
    <w:p>
      <w:pPr>
        <w:spacing w:line="600" w:lineRule="exact"/>
        <w:ind w:firstLine="640" w:firstLineChars="200"/>
        <w:rPr>
          <w:rFonts w:ascii="仿宋_GB2312" w:eastAsia="仿宋_GB2312"/>
          <w:b/>
          <w:color w:val="auto"/>
          <w:sz w:val="32"/>
          <w:szCs w:val="32"/>
          <w:highlight w:val="none"/>
        </w:rPr>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spacing w:line="600" w:lineRule="exact"/>
        <w:ind w:firstLine="640"/>
        <w:rPr>
          <w:rFonts w:hint="eastAsia" w:ascii="仿宋_GB2312" w:eastAsia="仿宋_GB2312"/>
          <w:color w:val="auto"/>
          <w:sz w:val="32"/>
          <w:szCs w:val="32"/>
          <w:highlight w:val="none"/>
        </w:rPr>
      </w:pPr>
      <w:r>
        <w:rPr>
          <w:rFonts w:hint="eastAsia" w:ascii="仿宋_GB2312" w:eastAsia="仿宋_GB2312"/>
          <w:b/>
          <w:color w:val="auto"/>
          <w:sz w:val="32"/>
          <w:szCs w:val="32"/>
          <w:highlight w:val="none"/>
        </w:rPr>
        <w:t>公务用车运行维护费支出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spacing w:line="600" w:lineRule="exact"/>
        <w:ind w:firstLine="640"/>
        <w:rPr>
          <w:rFonts w:ascii="仿宋_GB2312" w:eastAsia="仿宋_GB2312"/>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1.2</w:t>
      </w:r>
      <w:r>
        <w:rPr>
          <w:rFonts w:hint="eastAsia" w:ascii="仿宋_GB2312" w:eastAsia="仿宋_GB2312"/>
          <w:color w:val="auto"/>
          <w:sz w:val="32"/>
          <w:szCs w:val="32"/>
          <w:highlight w:val="none"/>
        </w:rPr>
        <w:t>万元，</w:t>
      </w:r>
      <w:r>
        <w:rPr>
          <w:rStyle w:val="20"/>
          <w:rFonts w:hint="eastAsia" w:ascii="仿宋" w:hAnsi="仿宋" w:eastAsia="仿宋"/>
          <w:b w:val="0"/>
          <w:bCs/>
          <w:color w:val="auto"/>
          <w:sz w:val="32"/>
          <w:szCs w:val="32"/>
          <w:highlight w:val="none"/>
        </w:rPr>
        <w:t>完成预算</w:t>
      </w:r>
      <w:r>
        <w:rPr>
          <w:rStyle w:val="20"/>
          <w:rFonts w:hint="eastAsia" w:ascii="仿宋" w:hAnsi="仿宋" w:eastAsia="仿宋"/>
          <w:b w:val="0"/>
          <w:bCs/>
          <w:color w:val="auto"/>
          <w:sz w:val="32"/>
          <w:szCs w:val="32"/>
          <w:highlight w:val="none"/>
          <w:lang w:val="en-US" w:eastAsia="zh-CN"/>
        </w:rPr>
        <w:t>100</w:t>
      </w:r>
      <w:r>
        <w:rPr>
          <w:rStyle w:val="20"/>
          <w:rFonts w:ascii="仿宋" w:hAnsi="仿宋" w:eastAsia="仿宋"/>
          <w:b w:val="0"/>
          <w:bCs/>
          <w:color w:val="auto"/>
          <w:sz w:val="32"/>
          <w:szCs w:val="32"/>
          <w:highlight w:val="none"/>
        </w:rPr>
        <w:t>%</w:t>
      </w:r>
      <w:r>
        <w:rPr>
          <w:rStyle w:val="20"/>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年减少</w:t>
      </w:r>
      <w:r>
        <w:rPr>
          <w:rFonts w:hint="eastAsia" w:ascii="仿宋_GB2312" w:eastAsia="仿宋_GB2312"/>
          <w:color w:val="auto"/>
          <w:sz w:val="32"/>
          <w:szCs w:val="32"/>
          <w:highlight w:val="none"/>
          <w:lang w:val="en-US" w:eastAsia="zh-CN"/>
        </w:rPr>
        <w:t>0.3</w:t>
      </w:r>
      <w:r>
        <w:rPr>
          <w:rFonts w:hint="eastAsia" w:ascii="仿宋_GB2312" w:eastAsia="仿宋_GB2312"/>
          <w:color w:val="auto"/>
          <w:sz w:val="32"/>
          <w:szCs w:val="32"/>
          <w:highlight w:val="none"/>
        </w:rPr>
        <w:t>万元，下降</w:t>
      </w:r>
      <w:r>
        <w:rPr>
          <w:rFonts w:hint="eastAsia" w:ascii="仿宋_GB2312" w:eastAsia="仿宋_GB2312"/>
          <w:color w:val="auto"/>
          <w:sz w:val="32"/>
          <w:szCs w:val="32"/>
          <w:highlight w:val="none"/>
          <w:lang w:val="en-US" w:eastAsia="zh-CN"/>
        </w:rPr>
        <w:t>20</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eastAsia="zh-CN"/>
        </w:rPr>
        <w:t>国内公务接待批次减少、人次减少</w:t>
      </w:r>
      <w:r>
        <w:rPr>
          <w:rFonts w:hint="eastAsia" w:ascii="仿宋_GB2312" w:eastAsia="仿宋_GB2312"/>
          <w:color w:val="auto"/>
          <w:sz w:val="32"/>
          <w:szCs w:val="32"/>
          <w:highlight w:val="none"/>
        </w:rPr>
        <w:t>。其中：</w:t>
      </w:r>
    </w:p>
    <w:p>
      <w:pPr>
        <w:spacing w:line="600" w:lineRule="exact"/>
        <w:ind w:firstLine="640"/>
        <w:rPr>
          <w:rFonts w:hint="eastAsia" w:ascii="仿宋_GB2312" w:eastAsia="仿宋_GB2312"/>
          <w:color w:val="auto"/>
          <w:sz w:val="32"/>
          <w:szCs w:val="32"/>
          <w:highlight w:val="none"/>
          <w:lang w:eastAsia="zh-CN"/>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1.2</w:t>
      </w:r>
      <w:r>
        <w:rPr>
          <w:rFonts w:hint="eastAsia" w:ascii="仿宋_GB2312" w:eastAsia="仿宋_GB2312"/>
          <w:color w:val="auto"/>
          <w:sz w:val="32"/>
          <w:szCs w:val="32"/>
          <w:highlight w:val="none"/>
        </w:rPr>
        <w:t>万元，主要用于</w:t>
      </w:r>
      <w:r>
        <w:rPr>
          <w:rFonts w:hint="eastAsia" w:ascii="仿宋_GB2312" w:eastAsia="仿宋_GB2312"/>
          <w:b w:val="0"/>
          <w:bCs/>
          <w:color w:val="000000"/>
          <w:sz w:val="32"/>
          <w:szCs w:val="32"/>
          <w:lang w:eastAsia="zh-CN"/>
        </w:rPr>
        <w:t>各项病种的督导、检查等</w:t>
      </w:r>
      <w:r>
        <w:rPr>
          <w:rFonts w:hint="eastAsia" w:ascii="仿宋_GB2312" w:eastAsia="仿宋_GB2312"/>
          <w:b w:val="0"/>
          <w:bCs/>
          <w:color w:val="000000"/>
          <w:sz w:val="32"/>
          <w:szCs w:val="32"/>
        </w:rPr>
        <w:t>用餐费</w:t>
      </w:r>
      <w:r>
        <w:rPr>
          <w:rFonts w:hint="eastAsia" w:ascii="仿宋_GB2312" w:eastAsia="仿宋_GB2312"/>
          <w:color w:val="auto"/>
          <w:sz w:val="32"/>
          <w:szCs w:val="32"/>
          <w:highlight w:val="none"/>
        </w:rPr>
        <w:t>。国内公务接待</w:t>
      </w:r>
      <w:r>
        <w:rPr>
          <w:rFonts w:hint="eastAsia" w:ascii="仿宋_GB2312" w:eastAsia="仿宋_GB2312"/>
          <w:color w:val="auto"/>
          <w:sz w:val="32"/>
          <w:szCs w:val="32"/>
          <w:highlight w:val="none"/>
          <w:lang w:val="en-US" w:eastAsia="zh-CN"/>
        </w:rPr>
        <w:t>40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245</w:t>
      </w:r>
      <w:r>
        <w:rPr>
          <w:rFonts w:hint="eastAsia" w:ascii="仿宋_GB2312" w:eastAsia="仿宋_GB2312"/>
          <w:color w:val="auto"/>
          <w:sz w:val="32"/>
          <w:szCs w:val="32"/>
          <w:highlight w:val="none"/>
        </w:rPr>
        <w:t>人次（不包括陪同人员），共计支出</w:t>
      </w:r>
      <w:r>
        <w:rPr>
          <w:rFonts w:hint="eastAsia" w:ascii="仿宋_GB2312" w:eastAsia="仿宋_GB2312"/>
          <w:color w:val="auto"/>
          <w:sz w:val="32"/>
          <w:szCs w:val="32"/>
          <w:highlight w:val="none"/>
          <w:lang w:val="en-US" w:eastAsia="zh-CN"/>
        </w:rPr>
        <w:t>1.2</w:t>
      </w:r>
      <w:r>
        <w:rPr>
          <w:rFonts w:hint="eastAsia" w:ascii="仿宋_GB2312" w:eastAsia="仿宋_GB2312"/>
          <w:color w:val="auto"/>
          <w:sz w:val="32"/>
          <w:szCs w:val="32"/>
          <w:highlight w:val="none"/>
        </w:rPr>
        <w:t>万元，具体内容包括：</w:t>
      </w:r>
      <w:r>
        <w:rPr>
          <w:rFonts w:hint="eastAsia" w:ascii="仿宋_GB2312" w:eastAsia="仿宋_GB2312"/>
          <w:color w:val="auto"/>
          <w:sz w:val="32"/>
          <w:szCs w:val="32"/>
          <w:highlight w:val="none"/>
          <w:lang w:eastAsia="zh-CN"/>
        </w:rPr>
        <w:t>新冠疫苗接种督导</w:t>
      </w:r>
      <w:r>
        <w:rPr>
          <w:rFonts w:hint="eastAsia" w:ascii="仿宋_GB2312" w:eastAsia="仿宋_GB2312"/>
          <w:color w:val="auto"/>
          <w:sz w:val="32"/>
          <w:szCs w:val="32"/>
          <w:highlight w:val="none"/>
          <w:lang w:val="en-US" w:eastAsia="zh-CN"/>
        </w:rPr>
        <w:t>0.3万元</w:t>
      </w:r>
      <w:r>
        <w:rPr>
          <w:rFonts w:hint="eastAsia" w:ascii="仿宋_GB2312" w:eastAsia="仿宋_GB2312"/>
          <w:color w:val="auto"/>
          <w:sz w:val="32"/>
          <w:szCs w:val="32"/>
          <w:highlight w:val="none"/>
          <w:lang w:eastAsia="zh-CN"/>
        </w:rPr>
        <w:t>、</w:t>
      </w:r>
      <w:r>
        <w:rPr>
          <w:rFonts w:hint="eastAsia" w:ascii="仿宋_GB2312" w:eastAsia="仿宋_GB2312"/>
          <w:color w:val="000000"/>
          <w:sz w:val="32"/>
          <w:szCs w:val="32"/>
          <w:lang w:val="en-US" w:eastAsia="zh-CN"/>
        </w:rPr>
        <w:t>艾滋病、结核病、慢病、学校卫生监测等重大传染病督导0.9万元</w:t>
      </w:r>
      <w:r>
        <w:rPr>
          <w:rFonts w:hint="eastAsia" w:ascii="仿宋_GB2312" w:eastAsia="仿宋_GB2312"/>
          <w:color w:val="auto"/>
          <w:sz w:val="32"/>
          <w:szCs w:val="32"/>
          <w:highlight w:val="none"/>
        </w:rPr>
        <w:t>。</w:t>
      </w:r>
    </w:p>
    <w:p>
      <w:pPr>
        <w:spacing w:line="600" w:lineRule="exact"/>
        <w:ind w:firstLine="643" w:firstLineChars="200"/>
        <w:rPr>
          <w:rFonts w:ascii="黑体" w:eastAsia="黑体"/>
          <w:color w:val="auto"/>
          <w:sz w:val="32"/>
          <w:szCs w:val="32"/>
          <w:highlight w:val="none"/>
        </w:rPr>
      </w:pPr>
      <w:r>
        <w:rPr>
          <w:rFonts w:hint="eastAsia" w:ascii="仿宋" w:hAnsi="仿宋" w:eastAsia="仿宋"/>
          <w:b/>
          <w:color w:val="auto"/>
          <w:sz w:val="32"/>
          <w:szCs w:val="32"/>
          <w:highlight w:val="none"/>
        </w:rPr>
        <w:t>外事接待支出</w:t>
      </w:r>
      <w:r>
        <w:rPr>
          <w:rFonts w:hint="eastAsia" w:ascii="仿宋" w:hAnsi="仿宋" w:eastAsia="仿宋"/>
          <w:b/>
          <w:color w:val="auto"/>
          <w:sz w:val="32"/>
          <w:szCs w:val="32"/>
          <w:highlight w:val="none"/>
          <w:lang w:val="en-US" w:eastAsia="zh-CN"/>
        </w:rPr>
        <w:t>0</w:t>
      </w:r>
      <w:r>
        <w:rPr>
          <w:rFonts w:hint="eastAsia" w:ascii="仿宋_GB2312" w:eastAsia="仿宋_GB2312"/>
          <w:color w:val="auto"/>
          <w:sz w:val="32"/>
          <w:szCs w:val="32"/>
          <w:highlight w:val="none"/>
        </w:rPr>
        <w:t>万元。</w:t>
      </w:r>
      <w:bookmarkStart w:id="87" w:name="_Toc15396610"/>
      <w:bookmarkStart w:id="88" w:name="_Toc15377218"/>
    </w:p>
    <w:p>
      <w:pPr>
        <w:spacing w:line="600" w:lineRule="exact"/>
        <w:ind w:firstLine="640"/>
        <w:outlineLvl w:val="1"/>
        <w:rPr>
          <w:rStyle w:val="32"/>
          <w:rFonts w:ascii="黑体" w:hAnsi="黑体" w:eastAsia="黑体"/>
          <w:color w:val="auto"/>
          <w:highlight w:val="none"/>
        </w:rPr>
      </w:pPr>
      <w:bookmarkStart w:id="89" w:name="_Toc15210"/>
      <w:r>
        <w:rPr>
          <w:rFonts w:hint="eastAsia" w:ascii="黑体" w:eastAsia="黑体"/>
          <w:color w:val="auto"/>
          <w:sz w:val="32"/>
          <w:szCs w:val="32"/>
          <w:highlight w:val="none"/>
        </w:rPr>
        <w:t>八、</w:t>
      </w:r>
      <w:r>
        <w:rPr>
          <w:rStyle w:val="32"/>
          <w:rFonts w:hint="eastAsia" w:ascii="黑体" w:hAnsi="黑体" w:eastAsia="黑体"/>
          <w:b w:val="0"/>
          <w:color w:val="auto"/>
          <w:highlight w:val="none"/>
        </w:rPr>
        <w:t>政府性基金预算支出决算情况说明</w:t>
      </w:r>
      <w:bookmarkEnd w:id="87"/>
      <w:bookmarkEnd w:id="88"/>
      <w:bookmarkEnd w:id="89"/>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2"/>
        </w:numPr>
        <w:spacing w:line="600" w:lineRule="exact"/>
        <w:ind w:firstLine="640"/>
        <w:outlineLvl w:val="1"/>
        <w:rPr>
          <w:rStyle w:val="32"/>
          <w:rFonts w:ascii="黑体" w:hAnsi="黑体" w:eastAsia="黑体"/>
          <w:b w:val="0"/>
          <w:color w:val="auto"/>
          <w:highlight w:val="none"/>
        </w:rPr>
      </w:pPr>
      <w:bookmarkStart w:id="90" w:name="_Toc15377219"/>
      <w:bookmarkStart w:id="91" w:name="_Toc15396611"/>
      <w:bookmarkStart w:id="92" w:name="_Toc23016"/>
      <w:r>
        <w:rPr>
          <w:rStyle w:val="32"/>
          <w:rFonts w:hint="eastAsia" w:ascii="黑体" w:hAnsi="黑体" w:eastAsia="黑体"/>
          <w:b w:val="0"/>
          <w:color w:val="auto"/>
          <w:highlight w:val="none"/>
        </w:rPr>
        <w:t>国有资本经营预算支出决算情况说明</w:t>
      </w:r>
      <w:bookmarkEnd w:id="90"/>
      <w:bookmarkEnd w:id="91"/>
      <w:bookmarkEnd w:id="92"/>
    </w:p>
    <w:p>
      <w:pPr>
        <w:spacing w:line="600" w:lineRule="exact"/>
        <w:ind w:firstLine="640"/>
        <w:rPr>
          <w:rFonts w:hint="eastAsia" w:ascii="方正小标宋简体" w:hAnsi="方正小标宋简体" w:eastAsia="方正小标宋简体" w:cs="方正小标宋简体"/>
          <w:color w:val="auto"/>
          <w:sz w:val="44"/>
          <w:szCs w:val="44"/>
          <w:highlight w:val="none"/>
          <w:lang w:val="en-US"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2"/>
        </w:numPr>
        <w:spacing w:line="600" w:lineRule="exact"/>
        <w:ind w:firstLine="640"/>
        <w:outlineLvl w:val="1"/>
        <w:rPr>
          <w:rStyle w:val="32"/>
          <w:rFonts w:hint="eastAsia" w:ascii="黑体" w:hAnsi="黑体" w:eastAsia="黑体"/>
          <w:b w:val="0"/>
          <w:color w:val="auto"/>
          <w:highlight w:val="none"/>
        </w:rPr>
      </w:pPr>
      <w:bookmarkStart w:id="93" w:name="_Toc15396612"/>
      <w:bookmarkStart w:id="94" w:name="_Toc15377221"/>
      <w:bookmarkStart w:id="95" w:name="_Toc25887"/>
      <w:r>
        <w:rPr>
          <w:rStyle w:val="32"/>
          <w:rFonts w:hint="eastAsia" w:ascii="黑体" w:hAnsi="黑体" w:eastAsia="黑体"/>
          <w:b w:val="0"/>
          <w:color w:val="auto"/>
          <w:highlight w:val="none"/>
        </w:rPr>
        <w:t>其他重要事项的情况说明</w:t>
      </w:r>
      <w:bookmarkEnd w:id="93"/>
      <w:bookmarkEnd w:id="94"/>
      <w:bookmarkEnd w:id="95"/>
    </w:p>
    <w:p>
      <w:pPr>
        <w:ind w:firstLine="643" w:firstLineChars="200"/>
        <w:rPr>
          <w:rFonts w:hint="eastAsia" w:ascii="Times New Roman" w:hAnsi="Times New Roman" w:eastAsia="仿宋" w:cs="Times New Roman"/>
          <w:b/>
          <w:bCs/>
          <w:kern w:val="2"/>
          <w:sz w:val="32"/>
          <w:szCs w:val="32"/>
          <w:lang w:val="en-US" w:eastAsia="zh-CN" w:bidi="ar-SA"/>
        </w:rPr>
      </w:pPr>
      <w:bookmarkStart w:id="96" w:name="_Toc15377222"/>
      <w:bookmarkStart w:id="97" w:name="_Toc6297"/>
      <w:bookmarkStart w:id="98" w:name="_Toc8449"/>
      <w:r>
        <w:rPr>
          <w:rFonts w:hint="eastAsia" w:ascii="Times New Roman" w:hAnsi="Times New Roman" w:eastAsia="仿宋" w:cs="Times New Roman"/>
          <w:b/>
          <w:bCs/>
          <w:kern w:val="2"/>
          <w:sz w:val="32"/>
          <w:szCs w:val="32"/>
          <w:lang w:val="en-US" w:eastAsia="zh-CN" w:bidi="ar-SA"/>
        </w:rPr>
        <w:t>（一）机关运行经费支出情况</w:t>
      </w:r>
      <w:bookmarkEnd w:id="96"/>
      <w:bookmarkEnd w:id="97"/>
      <w:bookmarkEnd w:id="98"/>
    </w:p>
    <w:p>
      <w:pPr>
        <w:spacing w:line="600" w:lineRule="exact"/>
        <w:ind w:firstLine="640" w:firstLineChars="200"/>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eastAsia="zh-CN"/>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lang w:eastAsia="zh-CN"/>
        </w:rPr>
        <w:t>年</w:t>
      </w:r>
      <w:r>
        <w:rPr>
          <w:rFonts w:hint="eastAsia" w:ascii="仿宋_GB2312" w:eastAsia="仿宋_GB2312"/>
          <w:color w:val="auto"/>
          <w:sz w:val="32"/>
          <w:szCs w:val="32"/>
          <w:highlight w:val="none"/>
          <w:lang w:val="en-US" w:eastAsia="zh-CN"/>
        </w:rPr>
        <w:t>未发生机关运行经费支出，与2021年决算数持平。</w:t>
      </w:r>
    </w:p>
    <w:p>
      <w:pPr>
        <w:ind w:firstLine="643" w:firstLineChars="200"/>
        <w:rPr>
          <w:rFonts w:hint="eastAsia" w:ascii="Times New Roman" w:hAnsi="Times New Roman" w:eastAsia="仿宋" w:cs="Times New Roman"/>
          <w:b/>
          <w:bCs/>
          <w:kern w:val="2"/>
          <w:sz w:val="32"/>
          <w:szCs w:val="32"/>
          <w:lang w:val="en-US" w:eastAsia="zh-CN" w:bidi="ar-SA"/>
        </w:rPr>
      </w:pPr>
      <w:bookmarkStart w:id="99" w:name="_Toc15377223"/>
      <w:bookmarkStart w:id="100" w:name="_Toc25760"/>
      <w:bookmarkStart w:id="101" w:name="_Toc9022"/>
      <w:r>
        <w:rPr>
          <w:rFonts w:hint="eastAsia" w:ascii="Times New Roman" w:hAnsi="Times New Roman" w:eastAsia="仿宋" w:cs="Times New Roman"/>
          <w:b/>
          <w:bCs/>
          <w:kern w:val="2"/>
          <w:sz w:val="32"/>
          <w:szCs w:val="32"/>
          <w:lang w:val="en-US" w:eastAsia="zh-CN" w:bidi="ar-SA"/>
        </w:rPr>
        <w:t>（二）政府采购支出情况</w:t>
      </w:r>
      <w:bookmarkEnd w:id="99"/>
      <w:bookmarkEnd w:id="100"/>
      <w:bookmarkEnd w:id="101"/>
    </w:p>
    <w:p>
      <w:pPr>
        <w:spacing w:line="600" w:lineRule="exact"/>
        <w:ind w:firstLine="640" w:firstLineChars="200"/>
        <w:rPr>
          <w:rFonts w:ascii="仿宋_GB2312" w:eastAsia="仿宋_GB2312"/>
          <w:color w:val="auto"/>
          <w:sz w:val="32"/>
          <w:szCs w:val="32"/>
          <w:highlight w:val="none"/>
        </w:rPr>
      </w:pPr>
      <w:bookmarkStart w:id="102" w:name="_Toc15377224"/>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未发生</w:t>
      </w:r>
      <w:r>
        <w:rPr>
          <w:rFonts w:hint="eastAsia" w:ascii="仿宋_GB2312" w:eastAsia="仿宋_GB2312"/>
          <w:color w:val="auto"/>
          <w:sz w:val="32"/>
          <w:szCs w:val="32"/>
          <w:highlight w:val="none"/>
        </w:rPr>
        <w:t>政府采购支出。</w:t>
      </w:r>
    </w:p>
    <w:p>
      <w:pPr>
        <w:pStyle w:val="4"/>
        <w:keepNext/>
        <w:keepLines/>
        <w:pageBreakBefore w:val="0"/>
        <w:widowControl w:val="0"/>
        <w:kinsoku/>
        <w:wordWrap/>
        <w:overflowPunct/>
        <w:topLinePunct w:val="0"/>
        <w:autoSpaceDE/>
        <w:autoSpaceDN/>
        <w:bidi w:val="0"/>
        <w:adjustRightInd/>
        <w:snapToGrid/>
        <w:spacing w:before="0" w:after="0"/>
        <w:ind w:firstLine="641"/>
        <w:textAlignment w:val="auto"/>
      </w:pPr>
      <w:bookmarkStart w:id="103" w:name="_Toc26091"/>
      <w:bookmarkStart w:id="104" w:name="_Toc26304"/>
      <w:r>
        <w:rPr>
          <w:rFonts w:hint="eastAsia"/>
        </w:rPr>
        <w:t>（三）国有资产占有使用情况</w:t>
      </w:r>
      <w:bookmarkEnd w:id="102"/>
      <w:bookmarkEnd w:id="103"/>
      <w:bookmarkEnd w:id="104"/>
    </w:p>
    <w:p>
      <w:pPr>
        <w:autoSpaceDE w:val="0"/>
        <w:autoSpaceDN w:val="0"/>
        <w:adjustRightInd w:val="0"/>
        <w:spacing w:line="600" w:lineRule="exact"/>
        <w:ind w:firstLine="640" w:firstLineChars="200"/>
        <w:jc w:val="left"/>
        <w:rPr>
          <w:rFonts w:ascii="仿宋" w:hAnsi="仿宋" w:eastAsia="仿宋"/>
          <w:b/>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eastAsia="zh-CN"/>
        </w:rPr>
        <w:t>广元市昭化区疾病预防控制中心</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rPr>
        <w:t>辆，其中：其他用车</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其他用车主要是用于疫苗配送转运。单价</w:t>
      </w:r>
      <w:r>
        <w:rPr>
          <w:rFonts w:hint="eastAsia" w:ascii="仿宋_GB2312" w:eastAsia="仿宋_GB2312"/>
          <w:color w:val="auto"/>
          <w:sz w:val="32"/>
          <w:szCs w:val="32"/>
          <w:highlight w:val="none"/>
          <w:lang w:val="en-US" w:eastAsia="zh-CN"/>
        </w:rPr>
        <w:t>50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12</w:t>
      </w:r>
      <w:r>
        <w:rPr>
          <w:rFonts w:hint="eastAsia" w:ascii="仿宋_GB2312" w:eastAsia="仿宋_GB2312"/>
          <w:color w:val="auto"/>
          <w:sz w:val="32"/>
          <w:szCs w:val="32"/>
          <w:highlight w:val="none"/>
        </w:rPr>
        <w:t>台（套）。</w:t>
      </w:r>
    </w:p>
    <w:p>
      <w:pPr>
        <w:pStyle w:val="4"/>
        <w:bidi w:val="0"/>
      </w:pPr>
      <w:bookmarkStart w:id="105" w:name="_Toc30980"/>
      <w:bookmarkStart w:id="106" w:name="_Toc14808"/>
      <w:r>
        <w:rPr>
          <w:rFonts w:hint="eastAsia"/>
        </w:rPr>
        <w:t>（四）预算绩效管理情况</w:t>
      </w:r>
      <w:bookmarkEnd w:id="105"/>
      <w:bookmarkEnd w:id="106"/>
    </w:p>
    <w:p>
      <w:pPr>
        <w:widowControl/>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根据预算绩效管理要求，本部门在202</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年度预算编制阶段，组织对</w:t>
      </w:r>
      <w:r>
        <w:rPr>
          <w:rFonts w:hint="eastAsia" w:ascii="仿宋_GB2312" w:hAnsi="仿宋_GB2312" w:eastAsia="仿宋_GB2312" w:cs="仿宋_GB2312"/>
          <w:color w:val="auto"/>
          <w:sz w:val="32"/>
          <w:szCs w:val="32"/>
          <w:highlight w:val="none"/>
          <w:lang w:eastAsia="zh-CN"/>
        </w:rPr>
        <w:t>艾滋病防治、</w:t>
      </w:r>
      <w:r>
        <w:rPr>
          <w:rFonts w:hint="eastAsia" w:ascii="仿宋_GB2312" w:hAnsi="仿宋_GB2312" w:eastAsia="仿宋_GB2312" w:cs="仿宋_GB2312"/>
          <w:color w:val="auto"/>
          <w:sz w:val="32"/>
          <w:szCs w:val="32"/>
          <w:highlight w:val="none"/>
          <w:lang w:val="en-US" w:eastAsia="zh-CN"/>
        </w:rPr>
        <w:t>结核病防治、麻风病</w:t>
      </w:r>
      <w:r>
        <w:rPr>
          <w:rFonts w:hint="eastAsia" w:ascii="仿宋_GB2312" w:hAnsi="仿宋_GB2312" w:eastAsia="仿宋_GB2312" w:cs="仿宋_GB2312"/>
          <w:color w:val="auto"/>
          <w:sz w:val="32"/>
          <w:szCs w:val="32"/>
          <w:highlight w:val="none"/>
        </w:rPr>
        <w:t>项目等</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个项目开展了预算事前绩效评估，对</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个项目编制了绩效目标，预算执行过程中，选取</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个项目开展绩效监控，组织对</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个项目开展绩效自评，绩效自评表</w:t>
      </w:r>
      <w:r>
        <w:rPr>
          <w:rFonts w:hint="eastAsia" w:ascii="仿宋_GB2312" w:hAnsi="仿宋_GB2312" w:eastAsia="仿宋_GB2312" w:cs="仿宋_GB2312"/>
          <w:color w:val="auto"/>
          <w:sz w:val="32"/>
          <w:szCs w:val="32"/>
          <w:highlight w:val="none"/>
          <w:lang w:val="en-US" w:eastAsia="zh-CN"/>
        </w:rPr>
        <w:t>详见第四部分附件。</w:t>
      </w:r>
    </w:p>
    <w:p>
      <w:pPr>
        <w:rPr>
          <w:rFonts w:hint="eastAsia" w:ascii="仿宋_GB2312" w:hAnsi="仿宋_GB2312" w:eastAsia="仿宋_GB2312" w:cs="仿宋_GB2312"/>
          <w:color w:val="auto"/>
          <w:sz w:val="32"/>
          <w:szCs w:val="32"/>
          <w:highlight w:val="none"/>
          <w:lang w:eastAsia="zh-CN"/>
        </w:rPr>
      </w:pPr>
      <w:r>
        <w:br w:type="page"/>
      </w:r>
    </w:p>
    <w:p>
      <w:pPr>
        <w:numPr>
          <w:ilvl w:val="0"/>
          <w:numId w:val="3"/>
        </w:numPr>
        <w:spacing w:line="600" w:lineRule="exact"/>
        <w:ind w:firstLine="660" w:firstLineChars="150"/>
        <w:jc w:val="center"/>
        <w:outlineLvl w:val="0"/>
        <w:rPr>
          <w:rStyle w:val="31"/>
          <w:rFonts w:ascii="黑体" w:hAnsi="黑体" w:eastAsia="黑体"/>
          <w:b w:val="0"/>
          <w:color w:val="auto"/>
          <w:highlight w:val="none"/>
        </w:rPr>
      </w:pPr>
      <w:bookmarkStart w:id="107" w:name="_Toc15396613"/>
      <w:bookmarkStart w:id="108" w:name="_Toc15377225"/>
      <w:bookmarkStart w:id="109" w:name="_Toc20458"/>
      <w:r>
        <w:rPr>
          <w:rFonts w:hint="eastAsia" w:ascii="黑体" w:hAnsi="黑体" w:eastAsia="黑体"/>
          <w:color w:val="auto"/>
          <w:sz w:val="44"/>
          <w:szCs w:val="44"/>
          <w:highlight w:val="none"/>
        </w:rPr>
        <w:t>名</w:t>
      </w:r>
      <w:r>
        <w:rPr>
          <w:rStyle w:val="31"/>
          <w:rFonts w:hint="eastAsia" w:ascii="黑体" w:hAnsi="黑体" w:eastAsia="黑体"/>
          <w:b w:val="0"/>
          <w:color w:val="auto"/>
          <w:highlight w:val="none"/>
        </w:rPr>
        <w:t>词解释</w:t>
      </w:r>
      <w:bookmarkEnd w:id="107"/>
      <w:bookmarkEnd w:id="108"/>
      <w:bookmarkEnd w:id="109"/>
    </w:p>
    <w:p>
      <w:pPr>
        <w:spacing w:line="600" w:lineRule="exact"/>
        <w:jc w:val="left"/>
        <w:rPr>
          <w:rFonts w:ascii="宋体"/>
          <w:b/>
          <w:color w:val="auto"/>
          <w:sz w:val="44"/>
          <w:szCs w:val="44"/>
          <w:highlight w:val="none"/>
        </w:rPr>
      </w:pPr>
    </w:p>
    <w:p>
      <w:pPr>
        <w:pStyle w:val="29"/>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p>
    <w:p>
      <w:pPr>
        <w:ind w:firstLine="640" w:firstLineChars="200"/>
        <w:rPr>
          <w:rFonts w:ascii="仿宋_GB2312" w:eastAsia="仿宋_GB2312"/>
          <w:color w:val="auto"/>
          <w:sz w:val="32"/>
          <w:szCs w:val="32"/>
          <w:highlight w:val="none"/>
        </w:rPr>
      </w:pPr>
      <w:r>
        <w:rPr>
          <w:rFonts w:hint="eastAsia" w:ascii="Times New Roman" w:hAnsi="Times New Roman" w:eastAsia="仿宋_GB2312" w:cs="Times New Roman"/>
          <w:color w:val="auto"/>
          <w:sz w:val="32"/>
          <w:szCs w:val="32"/>
          <w:highlight w:val="none"/>
          <w:lang w:val="en-US" w:eastAsia="zh-CN"/>
        </w:rPr>
        <w:t>2.教育（类）其他教育支出（款）其他教育支出（项）：指其他用</w:t>
      </w:r>
      <w:r>
        <w:rPr>
          <w:rFonts w:hint="eastAsia" w:ascii="Times New Roman" w:hAnsi="Times New Roman" w:eastAsia="仿宋_GB2312"/>
          <w:color w:val="auto"/>
          <w:sz w:val="32"/>
          <w:szCs w:val="32"/>
          <w:highlight w:val="none"/>
          <w:lang w:val="en-US" w:eastAsia="zh-CN"/>
        </w:rPr>
        <w:t>于教育方面的支出</w:t>
      </w:r>
      <w:r>
        <w:rPr>
          <w:rFonts w:hint="eastAsia" w:ascii="Times New Roman" w:hAnsi="Times New Roman" w:eastAsia="仿宋_GB2312"/>
          <w:color w:val="auto"/>
          <w:sz w:val="32"/>
          <w:szCs w:val="32"/>
          <w:highlight w:val="none"/>
        </w:rPr>
        <w:t>。</w:t>
      </w:r>
    </w:p>
    <w:p>
      <w:pPr>
        <w:ind w:firstLine="640" w:firstLineChars="2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t>3</w:t>
      </w:r>
      <w:r>
        <w:rPr>
          <w:rFonts w:ascii="仿宋_GB2312" w:eastAsia="仿宋_GB2312"/>
          <w:color w:val="auto"/>
          <w:sz w:val="32"/>
          <w:szCs w:val="32"/>
          <w:highlight w:val="none"/>
        </w:rPr>
        <w:t>.</w:t>
      </w:r>
      <w:r>
        <w:rPr>
          <w:rFonts w:hint="eastAsia" w:ascii="仿宋_GB2312" w:eastAsia="仿宋_GB2312"/>
          <w:color w:val="auto"/>
          <w:sz w:val="32"/>
          <w:szCs w:val="32"/>
          <w:highlight w:val="none"/>
        </w:rPr>
        <w:t>社会保障和就业（类）行政事业单位养老支出（款）机关事业单位基本养老保险缴费支出（项）：指机关事业单位实施养老保险制度由单位缴纳的基本养老保险支出</w:t>
      </w:r>
      <w:r>
        <w:rPr>
          <w:rFonts w:hint="eastAsia" w:ascii="仿宋_GB2312" w:eastAsia="仿宋_GB2312"/>
          <w:color w:val="auto"/>
          <w:sz w:val="32"/>
          <w:szCs w:val="32"/>
          <w:highlight w:val="none"/>
          <w:lang w:eastAsia="zh-CN"/>
        </w:rPr>
        <w:t>；</w:t>
      </w:r>
    </w:p>
    <w:p>
      <w:pPr>
        <w:ind w:firstLine="640" w:firstLineChars="20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4.社会保障和就业（类）行政事业单位养老支出（款）机关事业单位职业年金缴费支出（项）：指机关事业单位</w:t>
      </w:r>
      <w:r>
        <w:rPr>
          <w:rFonts w:hint="eastAsia" w:ascii="仿宋_GB2312" w:eastAsia="仿宋_GB2312"/>
          <w:color w:val="auto"/>
          <w:sz w:val="32"/>
          <w:szCs w:val="32"/>
          <w:highlight w:val="none"/>
        </w:rPr>
        <w:t>实施养老保险制度由单位</w:t>
      </w:r>
      <w:r>
        <w:rPr>
          <w:rFonts w:hint="eastAsia" w:ascii="仿宋_GB2312" w:eastAsia="仿宋_GB2312"/>
          <w:color w:val="auto"/>
          <w:sz w:val="32"/>
          <w:szCs w:val="32"/>
          <w:highlight w:val="none"/>
          <w:lang w:eastAsia="zh-CN"/>
        </w:rPr>
        <w:t>实际</w:t>
      </w:r>
      <w:r>
        <w:rPr>
          <w:rFonts w:hint="eastAsia" w:ascii="仿宋_GB2312" w:eastAsia="仿宋_GB2312"/>
          <w:color w:val="auto"/>
          <w:sz w:val="32"/>
          <w:szCs w:val="32"/>
          <w:highlight w:val="none"/>
        </w:rPr>
        <w:t>缴纳的</w:t>
      </w:r>
      <w:r>
        <w:rPr>
          <w:rFonts w:hint="eastAsia" w:ascii="仿宋_GB2312" w:eastAsia="仿宋_GB2312"/>
          <w:color w:val="auto"/>
          <w:sz w:val="32"/>
          <w:szCs w:val="32"/>
          <w:highlight w:val="none"/>
          <w:lang w:eastAsia="zh-CN"/>
        </w:rPr>
        <w:t>职业年金支出</w:t>
      </w:r>
      <w:r>
        <w:rPr>
          <w:rFonts w:hint="eastAsia" w:ascii="仿宋_GB2312" w:eastAsia="仿宋_GB2312"/>
          <w:color w:val="auto"/>
          <w:sz w:val="32"/>
          <w:szCs w:val="32"/>
          <w:highlight w:val="none"/>
          <w:lang w:val="en-US" w:eastAsia="zh-CN"/>
        </w:rPr>
        <w:t>。</w:t>
      </w:r>
    </w:p>
    <w:p>
      <w:pPr>
        <w:ind w:firstLine="640" w:firstLineChars="200"/>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5.卫生健康（类）卫生健康管理事务（款）行政运行（项）：指行政单位和参公单位的基本支出。</w:t>
      </w:r>
    </w:p>
    <w:p>
      <w:pPr>
        <w:ind w:firstLine="640" w:firstLineChars="200"/>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6.卫生健康（类）公共卫生（款）疾病预防控制机构（项）：指</w:t>
      </w:r>
      <w:r>
        <w:rPr>
          <w:rFonts w:hint="eastAsia" w:ascii="仿宋_GB2312" w:eastAsia="仿宋_GB2312"/>
          <w:color w:val="auto"/>
          <w:sz w:val="32"/>
          <w:szCs w:val="32"/>
          <w:highlight w:val="none"/>
        </w:rPr>
        <w:t>反映卫生健康部门所属的疾病预防控制机构的支出；</w:t>
      </w:r>
    </w:p>
    <w:p>
      <w:pPr>
        <w:ind w:firstLine="640" w:firstLineChars="200"/>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7.卫生健康（类）公共卫生（款）重大公共卫生服务（项）：指</w:t>
      </w:r>
      <w:r>
        <w:rPr>
          <w:rFonts w:hint="eastAsia" w:ascii="仿宋_GB2312" w:eastAsia="仿宋_GB2312"/>
          <w:color w:val="auto"/>
          <w:sz w:val="32"/>
          <w:szCs w:val="32"/>
          <w:highlight w:val="none"/>
        </w:rPr>
        <w:t>反映重大疾病预防控制等重大公共卫生服务项目支出；</w:t>
      </w:r>
    </w:p>
    <w:p>
      <w:pPr>
        <w:pStyle w:val="7"/>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8.卫生健康（类）公共卫生（款）其他公共卫生支出（项）：指</w:t>
      </w:r>
      <w:r>
        <w:rPr>
          <w:rFonts w:hint="eastAsia" w:cs="Times New Roman"/>
          <w:color w:val="auto"/>
          <w:kern w:val="2"/>
          <w:sz w:val="32"/>
          <w:szCs w:val="32"/>
          <w:highlight w:val="none"/>
          <w:lang w:val="en-US" w:eastAsia="zh-CN" w:bidi="ar-SA"/>
        </w:rPr>
        <w:t>其他</w:t>
      </w:r>
      <w:r>
        <w:rPr>
          <w:rFonts w:hint="eastAsia" w:ascii="仿宋_GB2312" w:eastAsia="仿宋_GB2312"/>
          <w:color w:val="auto"/>
          <w:sz w:val="32"/>
          <w:szCs w:val="32"/>
          <w:highlight w:val="none"/>
        </w:rPr>
        <w:t>公共卫生服务项目支出</w:t>
      </w:r>
      <w:r>
        <w:rPr>
          <w:rFonts w:hint="eastAsia" w:cs="Times New Roman"/>
          <w:color w:val="auto"/>
          <w:kern w:val="2"/>
          <w:sz w:val="32"/>
          <w:szCs w:val="32"/>
          <w:highlight w:val="none"/>
          <w:lang w:val="en-US" w:eastAsia="zh-CN" w:bidi="ar-SA"/>
        </w:rPr>
        <w:t>；</w:t>
      </w:r>
    </w:p>
    <w:p>
      <w:pPr>
        <w:pStyle w:val="7"/>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9.卫生健康（类）行政事业单位医疗（款）事业单位医疗（项）：指反映卫生健康支出中的在职人员医疗保险；</w:t>
      </w:r>
    </w:p>
    <w:p>
      <w:pPr>
        <w:pStyle w:val="7"/>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10.卫生健康（类）其他卫生健康支出（款）其他卫生健康支出（项）：指反映其他用于卫生健康方面的支出。</w:t>
      </w:r>
    </w:p>
    <w:p>
      <w:pPr>
        <w:ind w:firstLine="640" w:firstLineChars="200"/>
        <w:rPr>
          <w:rFonts w:ascii="仿宋" w:hAnsi="仿宋" w:eastAsia="仿宋"/>
          <w:b/>
          <w:color w:val="auto"/>
          <w:sz w:val="32"/>
          <w:szCs w:val="32"/>
          <w:highlight w:val="none"/>
        </w:rPr>
      </w:pPr>
      <w:r>
        <w:rPr>
          <w:rFonts w:hint="eastAsia" w:ascii="仿宋_GB2312" w:eastAsia="仿宋_GB2312"/>
          <w:color w:val="auto"/>
          <w:sz w:val="32"/>
          <w:szCs w:val="32"/>
          <w:highlight w:val="none"/>
          <w:lang w:val="en-US" w:eastAsia="zh-CN"/>
        </w:rPr>
        <w:t>11</w:t>
      </w:r>
      <w:r>
        <w:rPr>
          <w:rFonts w:ascii="仿宋_GB2312" w:eastAsia="仿宋_GB2312"/>
          <w:color w:val="auto"/>
          <w:sz w:val="32"/>
          <w:szCs w:val="32"/>
          <w:highlight w:val="none"/>
        </w:rPr>
        <w:t>.</w:t>
      </w:r>
      <w:r>
        <w:rPr>
          <w:rFonts w:hint="eastAsia" w:ascii="仿宋_GB2312" w:eastAsia="仿宋_GB2312"/>
          <w:color w:val="auto"/>
          <w:sz w:val="32"/>
          <w:szCs w:val="32"/>
          <w:highlight w:val="none"/>
        </w:rPr>
        <w:t>住房保障（类）住房改革支出（款）住房公积金（项）：指行政事业单位按人力资源和社会保障部、财政部规定的基本工资和津贴补贴以及规定比例为职工缴纳的住房公积金。</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12</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13</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项目支出：指在基本支出之外为完成特定行政任务和事业发展目标所发生的支出。</w:t>
      </w:r>
    </w:p>
    <w:p>
      <w:pPr>
        <w:pStyle w:val="29"/>
        <w:spacing w:line="560" w:lineRule="exact"/>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14</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rPr>
          <w:rFonts w:ascii="仿宋" w:hAnsi="仿宋" w:eastAsia="仿宋"/>
          <w:b/>
          <w:color w:val="auto"/>
          <w:sz w:val="32"/>
          <w:szCs w:val="32"/>
          <w:highlight w:val="none"/>
        </w:rPr>
      </w:pPr>
      <w:r>
        <w:br w:type="page"/>
      </w:r>
    </w:p>
    <w:p>
      <w:pPr>
        <w:numPr>
          <w:ilvl w:val="0"/>
          <w:numId w:val="3"/>
        </w:numPr>
        <w:spacing w:line="600" w:lineRule="exact"/>
        <w:ind w:left="0" w:leftChars="0" w:firstLine="660" w:firstLineChars="150"/>
        <w:jc w:val="center"/>
        <w:outlineLvl w:val="0"/>
        <w:rPr>
          <w:rStyle w:val="31"/>
          <w:rFonts w:hint="eastAsia" w:ascii="黑体" w:hAnsi="黑体" w:eastAsia="黑体"/>
          <w:b w:val="0"/>
          <w:color w:val="auto"/>
          <w:highlight w:val="none"/>
        </w:rPr>
      </w:pPr>
      <w:bookmarkStart w:id="110" w:name="_Toc15396614"/>
      <w:bookmarkStart w:id="111" w:name="_Toc26388"/>
      <w:bookmarkStart w:id="112" w:name="_Toc15377226"/>
      <w:r>
        <w:rPr>
          <w:rStyle w:val="31"/>
          <w:rFonts w:hint="eastAsia" w:ascii="黑体" w:hAnsi="黑体" w:eastAsia="黑体"/>
          <w:b w:val="0"/>
          <w:color w:val="auto"/>
          <w:highlight w:val="none"/>
        </w:rPr>
        <w:t>附件</w:t>
      </w:r>
      <w:bookmarkEnd w:id="110"/>
      <w:bookmarkEnd w:id="111"/>
    </w:p>
    <w:tbl>
      <w:tblPr>
        <w:tblStyle w:val="17"/>
        <w:tblpPr w:leftFromText="180" w:rightFromText="180" w:vertAnchor="text" w:horzAnchor="page" w:tblpX="1900" w:tblpY="660"/>
        <w:tblOverlap w:val="never"/>
        <w:tblW w:w="8280" w:type="dxa"/>
        <w:tblInd w:w="0" w:type="dxa"/>
        <w:tblLayout w:type="fixed"/>
        <w:tblCellMar>
          <w:top w:w="0" w:type="dxa"/>
          <w:left w:w="108" w:type="dxa"/>
          <w:bottom w:w="0" w:type="dxa"/>
          <w:right w:w="108" w:type="dxa"/>
        </w:tblCellMar>
      </w:tblPr>
      <w:tblGrid>
        <w:gridCol w:w="1168"/>
        <w:gridCol w:w="767"/>
        <w:gridCol w:w="1266"/>
        <w:gridCol w:w="1554"/>
        <w:gridCol w:w="1108"/>
        <w:gridCol w:w="2181"/>
        <w:gridCol w:w="236"/>
      </w:tblGrid>
      <w:tr>
        <w:tblPrEx>
          <w:tblCellMar>
            <w:top w:w="0" w:type="dxa"/>
            <w:left w:w="108" w:type="dxa"/>
            <w:bottom w:w="0" w:type="dxa"/>
            <w:right w:w="108" w:type="dxa"/>
          </w:tblCellMar>
        </w:tblPrEx>
        <w:trPr>
          <w:trHeight w:val="675" w:hRule="atLeast"/>
        </w:trPr>
        <w:tc>
          <w:tcPr>
            <w:tcW w:w="8044" w:type="dxa"/>
            <w:gridSpan w:val="6"/>
            <w:tcBorders>
              <w:top w:val="nil"/>
              <w:left w:val="nil"/>
              <w:bottom w:val="nil"/>
              <w:right w:val="nil"/>
            </w:tcBorders>
            <w:shd w:val="clear" w:color="auto" w:fill="auto"/>
            <w:vAlign w:val="center"/>
          </w:tcPr>
          <w:p>
            <w:pPr>
              <w:pStyle w:val="3"/>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宋体" w:hAnsi="宋体" w:eastAsia="宋体" w:cs="宋体"/>
                <w:b/>
                <w:szCs w:val="32"/>
                <w:lang w:eastAsia="zh-CN"/>
              </w:rPr>
            </w:pPr>
            <w:bookmarkStart w:id="113" w:name="_Toc8476"/>
            <w:r>
              <w:rPr>
                <w:rFonts w:hint="eastAsia" w:ascii="宋体" w:hAnsi="宋体" w:eastAsia="宋体" w:cs="宋体"/>
              </w:rPr>
              <w:t>202</w:t>
            </w:r>
            <w:r>
              <w:rPr>
                <w:rFonts w:hint="eastAsia" w:ascii="宋体" w:hAnsi="宋体" w:eastAsia="宋体" w:cs="宋体"/>
                <w:lang w:val="en-US" w:eastAsia="zh-CN"/>
              </w:rPr>
              <w:t>2</w:t>
            </w:r>
            <w:r>
              <w:rPr>
                <w:rFonts w:hint="eastAsia" w:ascii="宋体" w:hAnsi="宋体" w:eastAsia="宋体" w:cs="宋体"/>
              </w:rPr>
              <w:t>年部门预算项目</w:t>
            </w:r>
            <w:r>
              <w:rPr>
                <w:rFonts w:hint="eastAsia" w:ascii="宋体" w:hAnsi="宋体" w:eastAsia="宋体" w:cs="宋体"/>
                <w:lang w:eastAsia="zh-CN"/>
              </w:rPr>
              <w:t>支出</w:t>
            </w:r>
            <w:r>
              <w:rPr>
                <w:rFonts w:hint="eastAsia" w:ascii="宋体" w:hAnsi="宋体" w:eastAsia="宋体" w:cs="宋体"/>
              </w:rPr>
              <w:t>绩效自评</w:t>
            </w:r>
            <w:r>
              <w:rPr>
                <w:rFonts w:hint="eastAsia" w:ascii="宋体" w:hAnsi="宋体" w:eastAsia="宋体" w:cs="宋体"/>
                <w:lang w:eastAsia="zh-CN"/>
              </w:rPr>
              <w:t>表</w:t>
            </w:r>
            <w:bookmarkEnd w:id="113"/>
          </w:p>
        </w:tc>
        <w:tc>
          <w:tcPr>
            <w:tcW w:w="236" w:type="dxa"/>
            <w:tcBorders>
              <w:top w:val="nil"/>
              <w:left w:val="nil"/>
              <w:bottom w:val="nil"/>
              <w:right w:val="nil"/>
            </w:tcBorders>
            <w:shd w:val="clear" w:color="auto" w:fill="auto"/>
            <w:vAlign w:val="center"/>
          </w:tcPr>
          <w:p>
            <w:pPr>
              <w:widowControl/>
              <w:jc w:val="both"/>
              <w:textAlignment w:val="center"/>
              <w:rPr>
                <w:rFonts w:ascii="宋体" w:hAnsi="宋体" w:cs="宋体"/>
                <w:b/>
                <w:kern w:val="0"/>
                <w:sz w:val="32"/>
                <w:szCs w:val="32"/>
              </w:rPr>
            </w:pPr>
          </w:p>
        </w:tc>
      </w:tr>
      <w:tr>
        <w:tblPrEx>
          <w:tblCellMar>
            <w:top w:w="0" w:type="dxa"/>
            <w:left w:w="108" w:type="dxa"/>
            <w:bottom w:w="0" w:type="dxa"/>
            <w:right w:w="108" w:type="dxa"/>
          </w:tblCellMar>
        </w:tblPrEx>
        <w:trPr>
          <w:gridAfter w:val="1"/>
          <w:wAfter w:w="236" w:type="dxa"/>
          <w:trHeight w:val="254" w:hRule="atLeast"/>
        </w:trPr>
        <w:tc>
          <w:tcPr>
            <w:tcW w:w="19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24"/>
              </w:rPr>
            </w:pPr>
            <w:r>
              <w:rPr>
                <w:rFonts w:hint="eastAsia" w:ascii="宋体" w:hAnsi="宋体" w:cs="宋体"/>
                <w:kern w:val="0"/>
                <w:sz w:val="24"/>
              </w:rPr>
              <w:t>主管部门及代码</w:t>
            </w:r>
          </w:p>
        </w:tc>
        <w:tc>
          <w:tcPr>
            <w:tcW w:w="28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24"/>
              </w:rPr>
            </w:pPr>
            <w:r>
              <w:rPr>
                <w:rFonts w:hint="eastAsia" w:ascii="宋体" w:hAnsi="宋体" w:cs="宋体"/>
                <w:sz w:val="24"/>
              </w:rPr>
              <w:t>昭化区卫生健康局</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24"/>
              </w:rPr>
            </w:pPr>
            <w:r>
              <w:rPr>
                <w:rFonts w:hint="eastAsia" w:ascii="宋体" w:hAnsi="宋体" w:cs="宋体"/>
                <w:kern w:val="0"/>
                <w:sz w:val="24"/>
              </w:rPr>
              <w:t>实施单位</w:t>
            </w:r>
          </w:p>
        </w:tc>
        <w:tc>
          <w:tcPr>
            <w:tcW w:w="21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24"/>
              </w:rPr>
            </w:pPr>
            <w:r>
              <w:rPr>
                <w:rFonts w:hint="eastAsia" w:ascii="宋体" w:hAnsi="宋体" w:cs="宋体"/>
                <w:sz w:val="24"/>
              </w:rPr>
              <w:t>区疾病预防控制中心</w:t>
            </w:r>
          </w:p>
        </w:tc>
      </w:tr>
      <w:tr>
        <w:tblPrEx>
          <w:tblCellMar>
            <w:top w:w="0" w:type="dxa"/>
            <w:left w:w="108" w:type="dxa"/>
            <w:bottom w:w="0" w:type="dxa"/>
            <w:right w:w="108" w:type="dxa"/>
          </w:tblCellMar>
        </w:tblPrEx>
        <w:trPr>
          <w:gridAfter w:val="1"/>
          <w:wAfter w:w="236" w:type="dxa"/>
          <w:trHeight w:val="341" w:hRule="atLeast"/>
        </w:trPr>
        <w:tc>
          <w:tcPr>
            <w:tcW w:w="193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kern w:val="0"/>
                <w:sz w:val="24"/>
              </w:rPr>
            </w:pPr>
            <w:r>
              <w:rPr>
                <w:rFonts w:hint="eastAsia" w:ascii="宋体" w:hAnsi="宋体" w:cs="宋体"/>
                <w:kern w:val="0"/>
                <w:sz w:val="24"/>
              </w:rPr>
              <w:t>项目预算</w:t>
            </w:r>
          </w:p>
          <w:p>
            <w:pPr>
              <w:widowControl/>
              <w:spacing w:line="320" w:lineRule="exact"/>
              <w:jc w:val="center"/>
              <w:textAlignment w:val="center"/>
              <w:rPr>
                <w:rFonts w:ascii="宋体" w:hAnsi="宋体" w:cs="宋体"/>
                <w:kern w:val="0"/>
                <w:sz w:val="24"/>
              </w:rPr>
            </w:pPr>
            <w:r>
              <w:rPr>
                <w:rFonts w:hint="eastAsia" w:ascii="宋体" w:hAnsi="宋体" w:cs="宋体"/>
                <w:kern w:val="0"/>
                <w:sz w:val="24"/>
              </w:rPr>
              <w:t>执行情况</w:t>
            </w:r>
          </w:p>
          <w:p>
            <w:pPr>
              <w:widowControl/>
              <w:spacing w:line="320" w:lineRule="exact"/>
              <w:jc w:val="center"/>
              <w:textAlignment w:val="center"/>
              <w:rPr>
                <w:rFonts w:ascii="宋体" w:hAnsi="宋体" w:cs="宋体"/>
                <w:sz w:val="24"/>
              </w:rPr>
            </w:pPr>
            <w:r>
              <w:rPr>
                <w:rFonts w:hint="eastAsia" w:ascii="宋体" w:hAnsi="宋体" w:cs="宋体"/>
                <w:kern w:val="0"/>
                <w:sz w:val="24"/>
              </w:rPr>
              <w:t>（万元）</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24"/>
              </w:rPr>
            </w:pPr>
            <w:r>
              <w:rPr>
                <w:rFonts w:hint="eastAsia" w:ascii="宋体" w:hAnsi="宋体" w:cs="宋体"/>
                <w:kern w:val="0"/>
                <w:sz w:val="24"/>
              </w:rPr>
              <w:t>预算数：</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hint="default" w:ascii="宋体" w:hAnsi="宋体" w:eastAsia="宋体" w:cs="宋体"/>
                <w:sz w:val="24"/>
                <w:lang w:val="en-US" w:eastAsia="zh-CN"/>
              </w:rPr>
            </w:pPr>
            <w:r>
              <w:rPr>
                <w:rFonts w:hint="eastAsia" w:ascii="宋体" w:hAnsi="宋体" w:cs="宋体"/>
                <w:sz w:val="24"/>
                <w:lang w:val="en-US" w:eastAsia="zh-CN"/>
              </w:rPr>
              <w:t>122.471</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24"/>
              </w:rPr>
            </w:pPr>
            <w:r>
              <w:rPr>
                <w:rFonts w:hint="eastAsia" w:ascii="宋体" w:hAnsi="宋体" w:cs="宋体"/>
                <w:kern w:val="0"/>
                <w:sz w:val="24"/>
              </w:rPr>
              <w:t>执行数：</w:t>
            </w:r>
          </w:p>
        </w:tc>
        <w:tc>
          <w:tcPr>
            <w:tcW w:w="21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24"/>
              </w:rPr>
            </w:pPr>
            <w:r>
              <w:rPr>
                <w:rFonts w:hint="eastAsia" w:ascii="宋体" w:hAnsi="宋体" w:cs="宋体"/>
                <w:sz w:val="24"/>
                <w:lang w:val="en-US" w:eastAsia="zh-CN"/>
              </w:rPr>
              <w:t>122.471</w:t>
            </w:r>
          </w:p>
        </w:tc>
      </w:tr>
      <w:tr>
        <w:tblPrEx>
          <w:tblCellMar>
            <w:top w:w="0" w:type="dxa"/>
            <w:left w:w="108" w:type="dxa"/>
            <w:bottom w:w="0" w:type="dxa"/>
            <w:right w:w="108" w:type="dxa"/>
          </w:tblCellMar>
        </w:tblPrEx>
        <w:trPr>
          <w:gridAfter w:val="1"/>
          <w:wAfter w:w="236" w:type="dxa"/>
          <w:trHeight w:val="555" w:hRule="atLeast"/>
        </w:trPr>
        <w:tc>
          <w:tcPr>
            <w:tcW w:w="19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宋体" w:hAnsi="宋体" w:cs="宋体"/>
                <w:sz w:val="24"/>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kern w:val="0"/>
                <w:sz w:val="24"/>
              </w:rPr>
            </w:pPr>
            <w:r>
              <w:rPr>
                <w:rFonts w:hint="eastAsia" w:ascii="宋体" w:hAnsi="宋体" w:cs="宋体"/>
                <w:kern w:val="0"/>
                <w:sz w:val="24"/>
              </w:rPr>
              <w:t>其中：</w:t>
            </w:r>
          </w:p>
          <w:p>
            <w:pPr>
              <w:widowControl/>
              <w:spacing w:line="320" w:lineRule="exact"/>
              <w:jc w:val="center"/>
              <w:textAlignment w:val="center"/>
              <w:rPr>
                <w:rFonts w:ascii="宋体" w:hAnsi="宋体" w:cs="宋体"/>
                <w:sz w:val="24"/>
              </w:rPr>
            </w:pPr>
            <w:r>
              <w:rPr>
                <w:rFonts w:hint="eastAsia" w:ascii="宋体" w:hAnsi="宋体" w:cs="宋体"/>
                <w:kern w:val="0"/>
                <w:sz w:val="24"/>
              </w:rPr>
              <w:t>财政拨款</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24"/>
              </w:rPr>
            </w:pPr>
            <w:r>
              <w:rPr>
                <w:rFonts w:hint="eastAsia" w:ascii="宋体" w:hAnsi="宋体" w:cs="宋体"/>
                <w:sz w:val="24"/>
                <w:lang w:val="en-US" w:eastAsia="zh-CN"/>
              </w:rPr>
              <w:t>122.471</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kern w:val="0"/>
                <w:sz w:val="24"/>
              </w:rPr>
            </w:pPr>
            <w:r>
              <w:rPr>
                <w:rFonts w:hint="eastAsia" w:ascii="宋体" w:hAnsi="宋体" w:cs="宋体"/>
                <w:kern w:val="0"/>
                <w:sz w:val="24"/>
              </w:rPr>
              <w:t>其中：</w:t>
            </w:r>
          </w:p>
          <w:p>
            <w:pPr>
              <w:widowControl/>
              <w:spacing w:line="320" w:lineRule="exact"/>
              <w:jc w:val="center"/>
              <w:textAlignment w:val="center"/>
              <w:rPr>
                <w:rFonts w:ascii="宋体" w:hAnsi="宋体" w:cs="宋体"/>
                <w:sz w:val="24"/>
              </w:rPr>
            </w:pPr>
            <w:r>
              <w:rPr>
                <w:rFonts w:hint="eastAsia" w:ascii="宋体" w:hAnsi="宋体" w:cs="宋体"/>
                <w:kern w:val="0"/>
                <w:sz w:val="24"/>
              </w:rPr>
              <w:t>财政拨款</w:t>
            </w:r>
          </w:p>
        </w:tc>
        <w:tc>
          <w:tcPr>
            <w:tcW w:w="21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24"/>
              </w:rPr>
            </w:pPr>
            <w:r>
              <w:rPr>
                <w:rFonts w:hint="eastAsia" w:ascii="宋体" w:hAnsi="宋体" w:cs="宋体"/>
                <w:sz w:val="24"/>
                <w:lang w:val="en-US" w:eastAsia="zh-CN"/>
              </w:rPr>
              <w:t>122.471</w:t>
            </w:r>
          </w:p>
        </w:tc>
      </w:tr>
      <w:tr>
        <w:tblPrEx>
          <w:tblCellMar>
            <w:top w:w="0" w:type="dxa"/>
            <w:left w:w="108" w:type="dxa"/>
            <w:bottom w:w="0" w:type="dxa"/>
            <w:right w:w="108" w:type="dxa"/>
          </w:tblCellMar>
        </w:tblPrEx>
        <w:trPr>
          <w:gridAfter w:val="1"/>
          <w:wAfter w:w="236" w:type="dxa"/>
          <w:trHeight w:val="341" w:hRule="atLeast"/>
        </w:trPr>
        <w:tc>
          <w:tcPr>
            <w:tcW w:w="19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宋体" w:hAnsi="宋体" w:cs="宋体"/>
                <w:sz w:val="24"/>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24"/>
              </w:rPr>
            </w:pPr>
            <w:r>
              <w:rPr>
                <w:rFonts w:hint="eastAsia" w:ascii="宋体" w:hAnsi="宋体" w:cs="宋体"/>
                <w:kern w:val="0"/>
                <w:sz w:val="24"/>
              </w:rPr>
              <w:t>其他资金</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24"/>
              </w:rPr>
            </w:pP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24"/>
              </w:rPr>
            </w:pPr>
            <w:r>
              <w:rPr>
                <w:rFonts w:hint="eastAsia" w:ascii="宋体" w:hAnsi="宋体" w:cs="宋体"/>
                <w:kern w:val="0"/>
                <w:sz w:val="24"/>
              </w:rPr>
              <w:t>其他资金</w:t>
            </w:r>
          </w:p>
        </w:tc>
        <w:tc>
          <w:tcPr>
            <w:tcW w:w="21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24"/>
              </w:rPr>
            </w:pPr>
          </w:p>
        </w:tc>
      </w:tr>
      <w:tr>
        <w:tblPrEx>
          <w:tblCellMar>
            <w:top w:w="0" w:type="dxa"/>
            <w:left w:w="108" w:type="dxa"/>
            <w:bottom w:w="0" w:type="dxa"/>
            <w:right w:w="108" w:type="dxa"/>
          </w:tblCellMar>
        </w:tblPrEx>
        <w:trPr>
          <w:gridAfter w:val="1"/>
          <w:wAfter w:w="236" w:type="dxa"/>
          <w:trHeight w:val="217" w:hRule="atLeast"/>
        </w:trPr>
        <w:tc>
          <w:tcPr>
            <w:tcW w:w="11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kern w:val="0"/>
                <w:sz w:val="24"/>
              </w:rPr>
            </w:pPr>
            <w:r>
              <w:rPr>
                <w:rFonts w:hint="eastAsia" w:ascii="宋体" w:hAnsi="宋体" w:cs="宋体"/>
                <w:kern w:val="0"/>
                <w:sz w:val="24"/>
              </w:rPr>
              <w:t>年度总体目标</w:t>
            </w:r>
          </w:p>
          <w:p>
            <w:pPr>
              <w:widowControl/>
              <w:spacing w:line="320" w:lineRule="exact"/>
              <w:jc w:val="center"/>
              <w:textAlignment w:val="center"/>
              <w:rPr>
                <w:rFonts w:ascii="宋体" w:hAnsi="宋体" w:cs="宋体"/>
                <w:sz w:val="24"/>
              </w:rPr>
            </w:pPr>
            <w:r>
              <w:rPr>
                <w:rFonts w:hint="eastAsia" w:ascii="宋体" w:hAnsi="宋体" w:cs="宋体"/>
                <w:kern w:val="0"/>
                <w:sz w:val="24"/>
              </w:rPr>
              <w:t>完成情况</w:t>
            </w:r>
          </w:p>
        </w:tc>
        <w:tc>
          <w:tcPr>
            <w:tcW w:w="35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24"/>
              </w:rPr>
            </w:pPr>
            <w:r>
              <w:rPr>
                <w:rFonts w:hint="eastAsia" w:ascii="宋体" w:hAnsi="宋体" w:cs="宋体"/>
                <w:kern w:val="0"/>
                <w:sz w:val="24"/>
              </w:rPr>
              <w:t>预期目标</w:t>
            </w:r>
          </w:p>
        </w:tc>
        <w:tc>
          <w:tcPr>
            <w:tcW w:w="32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24"/>
              </w:rPr>
            </w:pPr>
            <w:r>
              <w:rPr>
                <w:rFonts w:hint="eastAsia" w:ascii="宋体" w:hAnsi="宋体" w:cs="宋体"/>
                <w:kern w:val="0"/>
                <w:sz w:val="24"/>
              </w:rPr>
              <w:t>目标实际完成情况</w:t>
            </w:r>
          </w:p>
        </w:tc>
      </w:tr>
      <w:tr>
        <w:tblPrEx>
          <w:tblCellMar>
            <w:top w:w="0" w:type="dxa"/>
            <w:left w:w="108" w:type="dxa"/>
            <w:bottom w:w="0" w:type="dxa"/>
            <w:right w:w="108" w:type="dxa"/>
          </w:tblCellMar>
        </w:tblPrEx>
        <w:trPr>
          <w:gridAfter w:val="1"/>
          <w:wAfter w:w="236" w:type="dxa"/>
          <w:trHeight w:val="1070" w:hRule="atLeast"/>
        </w:trPr>
        <w:tc>
          <w:tcPr>
            <w:tcW w:w="11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宋体" w:hAnsi="宋体" w:cs="宋体"/>
                <w:sz w:val="24"/>
              </w:rPr>
            </w:pPr>
          </w:p>
        </w:tc>
        <w:tc>
          <w:tcPr>
            <w:tcW w:w="35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top"/>
              <w:rPr>
                <w:rFonts w:hint="eastAsia" w:ascii="宋体" w:hAnsi="宋体" w:eastAsia="宋体" w:cs="宋体"/>
                <w:sz w:val="24"/>
                <w:lang w:eastAsia="zh-CN"/>
              </w:rPr>
            </w:pPr>
            <w:r>
              <w:rPr>
                <w:rFonts w:hint="eastAsia" w:ascii="宋体" w:hAnsi="宋体" w:cs="宋体"/>
                <w:sz w:val="24"/>
              </w:rPr>
              <w:t>进一步完善“政府组织领导、部门各负其责、全社会共同参与”的防治机制,全面落实各项预防控制措施，提高发现率，扩大治疗覆盖面，提升治疗成功率，降低死亡率，降低新发感染，提高感染者和病人的生活质量。及时发现和规范治疗管理结核病患者，持续降低结核病的感染、发生与死亡，确保结核病疫情稳步下降，提高群众健康水平</w:t>
            </w:r>
            <w:r>
              <w:rPr>
                <w:rFonts w:hint="eastAsia" w:ascii="宋体" w:hAnsi="宋体" w:cs="宋体"/>
                <w:sz w:val="24"/>
                <w:lang w:eastAsia="zh-CN"/>
              </w:rPr>
              <w:t>。</w:t>
            </w:r>
            <w:r>
              <w:rPr>
                <w:rFonts w:hint="eastAsia" w:ascii="宋体" w:hAnsi="宋体" w:cs="宋体"/>
                <w:sz w:val="24"/>
              </w:rPr>
              <w:t>强化重点人群心理行为问题干预力度，遏制精神疾病负担上升趋势。继续为0-6岁适龄儿童常规接种。保持高水平国家免疫</w:t>
            </w:r>
            <w:r>
              <w:rPr>
                <w:rFonts w:hint="eastAsia" w:ascii="宋体" w:hAnsi="宋体" w:cs="宋体"/>
                <w:sz w:val="24"/>
                <w:lang w:eastAsia="zh-CN"/>
              </w:rPr>
              <w:t>规划疫苗接种率</w:t>
            </w:r>
          </w:p>
        </w:tc>
        <w:tc>
          <w:tcPr>
            <w:tcW w:w="32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top"/>
              <w:rPr>
                <w:rFonts w:ascii="宋体" w:hAnsi="宋体" w:cs="宋体"/>
                <w:sz w:val="24"/>
              </w:rPr>
            </w:pPr>
            <w:r>
              <w:rPr>
                <w:rFonts w:hint="eastAsia" w:ascii="宋体" w:hAnsi="宋体" w:cs="宋体"/>
                <w:sz w:val="24"/>
              </w:rPr>
              <w:t>1、202</w:t>
            </w:r>
            <w:r>
              <w:rPr>
                <w:rFonts w:hint="eastAsia" w:ascii="宋体" w:hAnsi="宋体" w:cs="宋体"/>
                <w:sz w:val="24"/>
                <w:lang w:val="en-US" w:eastAsia="zh-CN"/>
              </w:rPr>
              <w:t>2</w:t>
            </w:r>
            <w:r>
              <w:rPr>
                <w:rFonts w:hint="eastAsia" w:ascii="宋体" w:hAnsi="宋体" w:cs="宋体"/>
                <w:sz w:val="24"/>
              </w:rPr>
              <w:t>年艾滋病防治各项指标均达到上级要求；2、全年收治管理登记肺结核患者</w:t>
            </w:r>
            <w:r>
              <w:rPr>
                <w:rFonts w:hint="eastAsia" w:ascii="宋体" w:hAnsi="宋体" w:cs="宋体"/>
                <w:sz w:val="24"/>
                <w:lang w:val="en-US" w:eastAsia="zh-CN"/>
              </w:rPr>
              <w:t>86</w:t>
            </w:r>
            <w:r>
              <w:rPr>
                <w:rFonts w:hint="eastAsia" w:ascii="宋体" w:hAnsi="宋体" w:cs="宋体"/>
                <w:sz w:val="24"/>
              </w:rPr>
              <w:t>例</w:t>
            </w:r>
            <w:r>
              <w:rPr>
                <w:rFonts w:hint="eastAsia" w:ascii="宋体" w:hAnsi="宋体" w:cs="宋体"/>
                <w:sz w:val="24"/>
                <w:lang w:eastAsia="zh-CN"/>
              </w:rPr>
              <w:t>（</w:t>
            </w:r>
            <w:r>
              <w:rPr>
                <w:rFonts w:hint="eastAsia" w:ascii="宋体" w:hAnsi="宋体" w:cs="宋体"/>
                <w:sz w:val="24"/>
                <w:lang w:val="en-US" w:eastAsia="zh-CN"/>
              </w:rPr>
              <w:t>其中区外收治管理黄3例</w:t>
            </w:r>
            <w:r>
              <w:rPr>
                <w:rFonts w:hint="eastAsia" w:ascii="宋体" w:hAnsi="宋体" w:cs="宋体"/>
                <w:sz w:val="24"/>
                <w:lang w:eastAsia="zh-CN"/>
              </w:rPr>
              <w:t>），</w:t>
            </w:r>
            <w:r>
              <w:rPr>
                <w:rFonts w:hint="eastAsia" w:ascii="宋体" w:hAnsi="宋体" w:cs="宋体"/>
                <w:sz w:val="24"/>
              </w:rPr>
              <w:t>落实了疾病早发现、早诊断、早治疗、早管理。报告发病率</w:t>
            </w:r>
            <w:r>
              <w:rPr>
                <w:rFonts w:hint="eastAsia" w:ascii="宋体" w:hAnsi="宋体" w:cs="宋体"/>
                <w:sz w:val="24"/>
                <w:lang w:val="en-US" w:eastAsia="zh-CN"/>
              </w:rPr>
              <w:t>54.68</w:t>
            </w:r>
            <w:r>
              <w:rPr>
                <w:rFonts w:hint="eastAsia" w:ascii="宋体" w:hAnsi="宋体" w:cs="宋体"/>
                <w:sz w:val="24"/>
              </w:rPr>
              <w:t>/10万，与202</w:t>
            </w:r>
            <w:r>
              <w:rPr>
                <w:rFonts w:hint="eastAsia" w:ascii="宋体" w:hAnsi="宋体" w:cs="宋体"/>
                <w:sz w:val="24"/>
                <w:lang w:val="en-US" w:eastAsia="zh-CN"/>
              </w:rPr>
              <w:t>1</w:t>
            </w:r>
            <w:r>
              <w:rPr>
                <w:rFonts w:hint="eastAsia" w:ascii="宋体" w:hAnsi="宋体" w:cs="宋体"/>
                <w:sz w:val="24"/>
              </w:rPr>
              <w:t>年同期下降</w:t>
            </w:r>
            <w:r>
              <w:rPr>
                <w:rFonts w:hint="eastAsia" w:ascii="宋体" w:hAnsi="宋体" w:cs="宋体"/>
                <w:sz w:val="24"/>
                <w:lang w:val="en-US" w:eastAsia="zh-CN"/>
              </w:rPr>
              <w:t>17.77</w:t>
            </w:r>
            <w:r>
              <w:rPr>
                <w:rFonts w:hint="eastAsia" w:ascii="宋体" w:hAnsi="宋体" w:cs="宋体"/>
                <w:sz w:val="24"/>
              </w:rPr>
              <w:t>%，完成</w:t>
            </w:r>
            <w:r>
              <w:rPr>
                <w:rFonts w:hint="eastAsia" w:ascii="宋体" w:hAnsi="宋体" w:cs="宋体"/>
                <w:sz w:val="24"/>
                <w:lang w:val="en-US" w:eastAsia="zh-CN"/>
              </w:rPr>
              <w:t>了</w:t>
            </w:r>
            <w:r>
              <w:rPr>
                <w:rFonts w:hint="eastAsia" w:ascii="宋体" w:hAnsi="宋体" w:cs="宋体"/>
                <w:sz w:val="24"/>
              </w:rPr>
              <w:t>项目要求的55/10万</w:t>
            </w:r>
            <w:r>
              <w:rPr>
                <w:rFonts w:hint="eastAsia" w:ascii="宋体" w:hAnsi="宋体" w:cs="宋体"/>
                <w:sz w:val="24"/>
                <w:lang w:eastAsia="zh-CN"/>
              </w:rPr>
              <w:t>，</w:t>
            </w:r>
            <w:r>
              <w:rPr>
                <w:rFonts w:hint="eastAsia" w:ascii="宋体" w:hAnsi="宋体" w:cs="宋体"/>
                <w:sz w:val="24"/>
                <w:lang w:val="en-US" w:eastAsia="zh-CN"/>
              </w:rPr>
              <w:t>成功治疗率98.90%，</w:t>
            </w:r>
            <w:r>
              <w:rPr>
                <w:rFonts w:hint="eastAsia" w:ascii="宋体" w:hAnsi="宋体" w:cs="宋体"/>
                <w:sz w:val="24"/>
              </w:rPr>
              <w:t>治疗管理肺结核患者任务数未完成指标人数，其它各项指标均达到项目要求完成</w:t>
            </w:r>
            <w:r>
              <w:rPr>
                <w:rFonts w:hint="eastAsia" w:ascii="宋体" w:hAnsi="宋体" w:cs="宋体"/>
                <w:sz w:val="24"/>
                <w:lang w:eastAsia="zh-CN"/>
              </w:rPr>
              <w:t>；</w:t>
            </w:r>
            <w:r>
              <w:rPr>
                <w:rFonts w:hint="eastAsia" w:ascii="宋体" w:hAnsi="宋体" w:cs="宋体"/>
                <w:sz w:val="24"/>
              </w:rPr>
              <w:t>3、</w:t>
            </w:r>
            <w:r>
              <w:rPr>
                <w:rFonts w:hint="eastAsia" w:ascii="宋体" w:hAnsi="宋体" w:cs="宋体"/>
                <w:sz w:val="24"/>
                <w:lang w:val="en-US" w:eastAsia="zh-CN"/>
              </w:rPr>
              <w:t>公众对麻风病防治知识知晓率达90%以上；乡村医生培训达100%；患病率控制在1/10万以下；高危人群、现症病人走访率100%；疫点调查100%；新发患者早期发现2年以内，畸残率控制在16%以内；治愈者复查、密切接触者检查率达到100%；4、0-6岁儿童建卡率100%，建证率≥98%；新生儿乙肝疫苗99.93%（其中首针及时接种率为97.99%），乙肝全程接种率为99.66%。其他国家免疫规划疫苗接种率均达到99%以上；5、全年青少年近视调查及学生常见病监测2332人，落实了青少年近视及学生常见病早发现，早诊断，早治疗，早干预。我区青少年近视率51.34%，肥胖率7.54%，与2021年相比青少年近视率下降5.48%，肥胖率增长0.67%，完成了项目要求的112%。</w:t>
            </w:r>
          </w:p>
        </w:tc>
      </w:tr>
      <w:tr>
        <w:tblPrEx>
          <w:tblCellMar>
            <w:top w:w="0" w:type="dxa"/>
            <w:left w:w="108" w:type="dxa"/>
            <w:bottom w:w="0" w:type="dxa"/>
            <w:right w:w="108" w:type="dxa"/>
          </w:tblCellMar>
        </w:tblPrEx>
        <w:trPr>
          <w:gridAfter w:val="1"/>
          <w:wAfter w:w="236" w:type="dxa"/>
          <w:trHeight w:val="90" w:hRule="atLeast"/>
        </w:trPr>
        <w:tc>
          <w:tcPr>
            <w:tcW w:w="1168" w:type="dxa"/>
            <w:vMerge w:val="restart"/>
            <w:tcBorders>
              <w:top w:val="single" w:color="000000" w:sz="4" w:space="0"/>
              <w:left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年度绩效指标完成情况</w:t>
            </w:r>
          </w:p>
        </w:tc>
        <w:tc>
          <w:tcPr>
            <w:tcW w:w="767" w:type="dxa"/>
            <w:tcBorders>
              <w:top w:val="single" w:color="000000" w:sz="4" w:space="0"/>
              <w:left w:val="nil"/>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一级</w:t>
            </w:r>
          </w:p>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二级</w:t>
            </w:r>
          </w:p>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三级</w:t>
            </w:r>
          </w:p>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预期指标值</w:t>
            </w:r>
          </w:p>
        </w:tc>
        <w:tc>
          <w:tcPr>
            <w:tcW w:w="21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实际完成指标值</w:t>
            </w:r>
          </w:p>
        </w:tc>
      </w:tr>
      <w:tr>
        <w:tblPrEx>
          <w:tblCellMar>
            <w:top w:w="0" w:type="dxa"/>
            <w:left w:w="108" w:type="dxa"/>
            <w:bottom w:w="0" w:type="dxa"/>
            <w:right w:w="108" w:type="dxa"/>
          </w:tblCellMar>
        </w:tblPrEx>
        <w:trPr>
          <w:gridAfter w:val="1"/>
          <w:wAfter w:w="236" w:type="dxa"/>
          <w:trHeight w:val="415" w:hRule="atLeast"/>
        </w:trPr>
        <w:tc>
          <w:tcPr>
            <w:tcW w:w="1168"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7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完成</w:t>
            </w:r>
          </w:p>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数量指标</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2022年筛查检查52476人，发现并确诊阳性2人</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40200</w:t>
            </w:r>
          </w:p>
        </w:tc>
        <w:tc>
          <w:tcPr>
            <w:tcW w:w="2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52476</w:t>
            </w:r>
          </w:p>
        </w:tc>
      </w:tr>
      <w:tr>
        <w:tblPrEx>
          <w:tblCellMar>
            <w:top w:w="0" w:type="dxa"/>
            <w:left w:w="108" w:type="dxa"/>
            <w:bottom w:w="0" w:type="dxa"/>
            <w:right w:w="108" w:type="dxa"/>
          </w:tblCellMar>
        </w:tblPrEx>
        <w:trPr>
          <w:gridAfter w:val="1"/>
          <w:wAfter w:w="236" w:type="dxa"/>
          <w:trHeight w:val="646" w:hRule="atLeast"/>
        </w:trPr>
        <w:tc>
          <w:tcPr>
            <w:tcW w:w="1168"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数量指标</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感染者/病人随访检测61例</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75</w:t>
            </w:r>
          </w:p>
        </w:tc>
        <w:tc>
          <w:tcPr>
            <w:tcW w:w="2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74</w:t>
            </w:r>
          </w:p>
        </w:tc>
      </w:tr>
      <w:tr>
        <w:tblPrEx>
          <w:tblCellMar>
            <w:top w:w="0" w:type="dxa"/>
            <w:left w:w="108" w:type="dxa"/>
            <w:bottom w:w="0" w:type="dxa"/>
            <w:right w:w="108" w:type="dxa"/>
          </w:tblCellMar>
        </w:tblPrEx>
        <w:trPr>
          <w:gridAfter w:val="1"/>
          <w:wAfter w:w="236" w:type="dxa"/>
          <w:trHeight w:val="415" w:hRule="atLeast"/>
        </w:trPr>
        <w:tc>
          <w:tcPr>
            <w:tcW w:w="1168"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数量指标</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配偶检测14例</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16</w:t>
            </w:r>
          </w:p>
        </w:tc>
        <w:tc>
          <w:tcPr>
            <w:tcW w:w="2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16</w:t>
            </w:r>
          </w:p>
        </w:tc>
      </w:tr>
      <w:tr>
        <w:tblPrEx>
          <w:tblCellMar>
            <w:top w:w="0" w:type="dxa"/>
            <w:left w:w="108" w:type="dxa"/>
            <w:bottom w:w="0" w:type="dxa"/>
            <w:right w:w="108" w:type="dxa"/>
          </w:tblCellMar>
        </w:tblPrEx>
        <w:trPr>
          <w:gridAfter w:val="1"/>
          <w:wAfter w:w="236" w:type="dxa"/>
          <w:trHeight w:val="415" w:hRule="atLeast"/>
        </w:trPr>
        <w:tc>
          <w:tcPr>
            <w:tcW w:w="1168"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数量指标</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抗病毒治疗75例</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75</w:t>
            </w:r>
          </w:p>
        </w:tc>
        <w:tc>
          <w:tcPr>
            <w:tcW w:w="2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75</w:t>
            </w:r>
          </w:p>
        </w:tc>
      </w:tr>
      <w:tr>
        <w:tblPrEx>
          <w:tblCellMar>
            <w:top w:w="0" w:type="dxa"/>
            <w:left w:w="108" w:type="dxa"/>
            <w:bottom w:w="0" w:type="dxa"/>
            <w:right w:w="108" w:type="dxa"/>
          </w:tblCellMar>
        </w:tblPrEx>
        <w:trPr>
          <w:gridAfter w:val="1"/>
          <w:wAfter w:w="236" w:type="dxa"/>
          <w:trHeight w:val="415" w:hRule="atLeast"/>
        </w:trPr>
        <w:tc>
          <w:tcPr>
            <w:tcW w:w="1168"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数量指标</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病毒载量检72例</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72</w:t>
            </w:r>
          </w:p>
        </w:tc>
        <w:tc>
          <w:tcPr>
            <w:tcW w:w="2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71</w:t>
            </w:r>
          </w:p>
        </w:tc>
      </w:tr>
      <w:tr>
        <w:tblPrEx>
          <w:tblCellMar>
            <w:top w:w="0" w:type="dxa"/>
            <w:left w:w="108" w:type="dxa"/>
            <w:bottom w:w="0" w:type="dxa"/>
            <w:right w:w="108" w:type="dxa"/>
          </w:tblCellMar>
        </w:tblPrEx>
        <w:trPr>
          <w:gridAfter w:val="1"/>
          <w:wAfter w:w="236" w:type="dxa"/>
          <w:trHeight w:val="415" w:hRule="atLeast"/>
        </w:trPr>
        <w:tc>
          <w:tcPr>
            <w:tcW w:w="1168"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数量指标</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治疗成功率71例</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71</w:t>
            </w:r>
          </w:p>
        </w:tc>
        <w:tc>
          <w:tcPr>
            <w:tcW w:w="2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69</w:t>
            </w:r>
          </w:p>
        </w:tc>
      </w:tr>
      <w:tr>
        <w:tblPrEx>
          <w:tblCellMar>
            <w:top w:w="0" w:type="dxa"/>
            <w:left w:w="108" w:type="dxa"/>
            <w:bottom w:w="0" w:type="dxa"/>
            <w:right w:w="108" w:type="dxa"/>
          </w:tblCellMar>
        </w:tblPrEx>
        <w:trPr>
          <w:gridAfter w:val="1"/>
          <w:wAfter w:w="236" w:type="dxa"/>
          <w:trHeight w:val="415" w:hRule="atLeast"/>
        </w:trPr>
        <w:tc>
          <w:tcPr>
            <w:tcW w:w="1168"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数量指标</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暗娼、MSM干预检查146人次</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146</w:t>
            </w:r>
          </w:p>
        </w:tc>
        <w:tc>
          <w:tcPr>
            <w:tcW w:w="2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149</w:t>
            </w:r>
          </w:p>
        </w:tc>
      </w:tr>
      <w:tr>
        <w:tblPrEx>
          <w:tblCellMar>
            <w:top w:w="0" w:type="dxa"/>
            <w:left w:w="108" w:type="dxa"/>
            <w:bottom w:w="0" w:type="dxa"/>
            <w:right w:w="108" w:type="dxa"/>
          </w:tblCellMar>
        </w:tblPrEx>
        <w:trPr>
          <w:gridAfter w:val="1"/>
          <w:wAfter w:w="236" w:type="dxa"/>
          <w:trHeight w:val="415" w:hRule="atLeast"/>
        </w:trPr>
        <w:tc>
          <w:tcPr>
            <w:tcW w:w="1168"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数量指标</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开展重点人群艾滋病防治健康宣传教育4次</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4</w:t>
            </w:r>
          </w:p>
        </w:tc>
        <w:tc>
          <w:tcPr>
            <w:tcW w:w="2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4</w:t>
            </w:r>
          </w:p>
        </w:tc>
      </w:tr>
      <w:tr>
        <w:tblPrEx>
          <w:tblCellMar>
            <w:top w:w="0" w:type="dxa"/>
            <w:left w:w="108" w:type="dxa"/>
            <w:bottom w:w="0" w:type="dxa"/>
            <w:right w:w="108" w:type="dxa"/>
          </w:tblCellMar>
        </w:tblPrEx>
        <w:trPr>
          <w:gridAfter w:val="1"/>
          <w:wAfter w:w="236" w:type="dxa"/>
          <w:trHeight w:val="415" w:hRule="atLeast"/>
        </w:trPr>
        <w:tc>
          <w:tcPr>
            <w:tcW w:w="1168"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数量指标</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开展医疗机构业务培训2次</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2</w:t>
            </w:r>
          </w:p>
        </w:tc>
        <w:tc>
          <w:tcPr>
            <w:tcW w:w="2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2</w:t>
            </w:r>
          </w:p>
        </w:tc>
      </w:tr>
      <w:tr>
        <w:tblPrEx>
          <w:tblCellMar>
            <w:top w:w="0" w:type="dxa"/>
            <w:left w:w="108" w:type="dxa"/>
            <w:bottom w:w="0" w:type="dxa"/>
            <w:right w:w="108" w:type="dxa"/>
          </w:tblCellMar>
        </w:tblPrEx>
        <w:trPr>
          <w:gridAfter w:val="1"/>
          <w:wAfter w:w="236" w:type="dxa"/>
          <w:trHeight w:val="415" w:hRule="atLeast"/>
        </w:trPr>
        <w:tc>
          <w:tcPr>
            <w:tcW w:w="1168"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数量指标</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开展医疗机构艾滋病防治工作督导2次</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2</w:t>
            </w:r>
          </w:p>
        </w:tc>
        <w:tc>
          <w:tcPr>
            <w:tcW w:w="2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2</w:t>
            </w:r>
          </w:p>
        </w:tc>
      </w:tr>
      <w:tr>
        <w:tblPrEx>
          <w:tblCellMar>
            <w:top w:w="0" w:type="dxa"/>
            <w:left w:w="108" w:type="dxa"/>
            <w:bottom w:w="0" w:type="dxa"/>
            <w:right w:w="108" w:type="dxa"/>
          </w:tblCellMar>
        </w:tblPrEx>
        <w:trPr>
          <w:gridAfter w:val="1"/>
          <w:wAfter w:w="236" w:type="dxa"/>
          <w:trHeight w:val="415" w:hRule="atLeast"/>
        </w:trPr>
        <w:tc>
          <w:tcPr>
            <w:tcW w:w="1168"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数量指标</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VCT完成199人</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199</w:t>
            </w:r>
          </w:p>
        </w:tc>
        <w:tc>
          <w:tcPr>
            <w:tcW w:w="2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258</w:t>
            </w:r>
          </w:p>
        </w:tc>
      </w:tr>
      <w:tr>
        <w:tblPrEx>
          <w:tblCellMar>
            <w:top w:w="0" w:type="dxa"/>
            <w:left w:w="108" w:type="dxa"/>
            <w:bottom w:w="0" w:type="dxa"/>
            <w:right w:w="108" w:type="dxa"/>
          </w:tblCellMar>
        </w:tblPrEx>
        <w:trPr>
          <w:gridAfter w:val="1"/>
          <w:wAfter w:w="236" w:type="dxa"/>
          <w:trHeight w:val="415" w:hRule="atLeast"/>
        </w:trPr>
        <w:tc>
          <w:tcPr>
            <w:tcW w:w="1168"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数量指标</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 w:val="28"/>
                <w:szCs w:val="28"/>
              </w:rPr>
            </w:pPr>
            <w:r>
              <w:rPr>
                <w:rFonts w:hint="eastAsia" w:ascii="宋体" w:hAnsi="宋体" w:eastAsia="宋体" w:cs="宋体"/>
                <w:i w:val="0"/>
                <w:iCs w:val="0"/>
                <w:color w:val="000000"/>
                <w:sz w:val="20"/>
                <w:szCs w:val="20"/>
                <w:u w:val="none"/>
              </w:rPr>
              <w:t>202</w:t>
            </w:r>
            <w:r>
              <w:rPr>
                <w:rFonts w:hint="eastAsia" w:ascii="宋体" w:hAnsi="宋体" w:cs="宋体"/>
                <w:i w:val="0"/>
                <w:iCs w:val="0"/>
                <w:color w:val="000000"/>
                <w:sz w:val="20"/>
                <w:szCs w:val="20"/>
                <w:u w:val="none"/>
                <w:lang w:val="en-US" w:eastAsia="zh-CN"/>
              </w:rPr>
              <w:t>2</w:t>
            </w:r>
            <w:r>
              <w:rPr>
                <w:rFonts w:hint="eastAsia" w:ascii="宋体" w:hAnsi="宋体" w:eastAsia="宋体" w:cs="宋体"/>
                <w:i w:val="0"/>
                <w:iCs w:val="0"/>
                <w:color w:val="000000"/>
                <w:sz w:val="20"/>
                <w:szCs w:val="20"/>
                <w:u w:val="none"/>
              </w:rPr>
              <w:t>年治疗管理肺结核患者人数</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 w:val="28"/>
                <w:szCs w:val="28"/>
              </w:rPr>
            </w:pPr>
            <w:r>
              <w:rPr>
                <w:rFonts w:hint="eastAsia" w:ascii="宋体" w:hAnsi="宋体" w:cs="宋体"/>
                <w:i w:val="0"/>
                <w:iCs w:val="0"/>
                <w:color w:val="000000"/>
                <w:sz w:val="20"/>
                <w:szCs w:val="20"/>
                <w:u w:val="none"/>
                <w:lang w:val="en-US" w:eastAsia="zh-CN"/>
              </w:rPr>
              <w:t>139例</w:t>
            </w:r>
          </w:p>
        </w:tc>
        <w:tc>
          <w:tcPr>
            <w:tcW w:w="21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 w:val="28"/>
                <w:szCs w:val="28"/>
              </w:rPr>
            </w:pPr>
            <w:r>
              <w:rPr>
                <w:rFonts w:hint="eastAsia" w:ascii="宋体" w:hAnsi="宋体" w:cs="宋体"/>
                <w:i w:val="0"/>
                <w:iCs w:val="0"/>
                <w:color w:val="000000"/>
                <w:sz w:val="20"/>
                <w:szCs w:val="20"/>
                <w:u w:val="none"/>
                <w:lang w:val="en-US" w:eastAsia="zh-CN"/>
              </w:rPr>
              <w:t>86例</w:t>
            </w:r>
          </w:p>
        </w:tc>
      </w:tr>
      <w:tr>
        <w:tblPrEx>
          <w:tblCellMar>
            <w:top w:w="0" w:type="dxa"/>
            <w:left w:w="108" w:type="dxa"/>
            <w:bottom w:w="0" w:type="dxa"/>
            <w:right w:w="108" w:type="dxa"/>
          </w:tblCellMar>
        </w:tblPrEx>
        <w:trPr>
          <w:gridAfter w:val="1"/>
          <w:wAfter w:w="236" w:type="dxa"/>
          <w:trHeight w:val="415" w:hRule="atLeast"/>
        </w:trPr>
        <w:tc>
          <w:tcPr>
            <w:tcW w:w="1168"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数量指标</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病原学阳性肺结核患者的密切接触者筛查率</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95%</w:t>
            </w:r>
          </w:p>
        </w:tc>
        <w:tc>
          <w:tcPr>
            <w:tcW w:w="2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100%</w:t>
            </w:r>
          </w:p>
        </w:tc>
      </w:tr>
      <w:tr>
        <w:tblPrEx>
          <w:tblCellMar>
            <w:top w:w="0" w:type="dxa"/>
            <w:left w:w="108" w:type="dxa"/>
            <w:bottom w:w="0" w:type="dxa"/>
            <w:right w:w="108" w:type="dxa"/>
          </w:tblCellMar>
        </w:tblPrEx>
        <w:trPr>
          <w:gridAfter w:val="1"/>
          <w:wAfter w:w="236" w:type="dxa"/>
          <w:trHeight w:val="415" w:hRule="atLeast"/>
        </w:trPr>
        <w:tc>
          <w:tcPr>
            <w:tcW w:w="1168"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数量指标</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 w:val="28"/>
                <w:szCs w:val="28"/>
              </w:rPr>
            </w:pPr>
            <w:r>
              <w:rPr>
                <w:rFonts w:hint="eastAsia" w:ascii="宋体" w:hAnsi="宋体" w:eastAsia="宋体" w:cs="宋体"/>
                <w:i w:val="0"/>
                <w:iCs w:val="0"/>
                <w:color w:val="000000"/>
                <w:sz w:val="20"/>
                <w:szCs w:val="20"/>
                <w:u w:val="none"/>
              </w:rPr>
              <w:t>病原学阳性肺结核患者耐药筛查率</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70%</w:t>
            </w:r>
          </w:p>
        </w:tc>
        <w:tc>
          <w:tcPr>
            <w:tcW w:w="2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6</w:t>
            </w:r>
            <w:r>
              <w:rPr>
                <w:rFonts w:hint="eastAsia" w:ascii="宋体" w:hAnsi="宋体" w:cs="宋体"/>
                <w:i w:val="0"/>
                <w:iCs w:val="0"/>
                <w:color w:val="000000"/>
                <w:kern w:val="0"/>
                <w:sz w:val="20"/>
                <w:szCs w:val="20"/>
                <w:u w:val="none"/>
                <w:lang w:val="en-US" w:eastAsia="zh-CN"/>
              </w:rPr>
              <w:t>3</w:t>
            </w:r>
            <w:r>
              <w:rPr>
                <w:rFonts w:hint="eastAsia" w:ascii="宋体" w:hAnsi="宋体" w:eastAsia="宋体" w:cs="宋体"/>
                <w:i w:val="0"/>
                <w:iCs w:val="0"/>
                <w:color w:val="000000"/>
                <w:kern w:val="0"/>
                <w:sz w:val="20"/>
                <w:szCs w:val="20"/>
                <w:u w:val="none"/>
                <w:lang w:val="en-US" w:eastAsia="zh-CN"/>
              </w:rPr>
              <w:t>例</w:t>
            </w:r>
          </w:p>
        </w:tc>
      </w:tr>
      <w:tr>
        <w:tblPrEx>
          <w:tblCellMar>
            <w:top w:w="0" w:type="dxa"/>
            <w:left w:w="108" w:type="dxa"/>
            <w:bottom w:w="0" w:type="dxa"/>
            <w:right w:w="108" w:type="dxa"/>
          </w:tblCellMar>
        </w:tblPrEx>
        <w:trPr>
          <w:gridAfter w:val="1"/>
          <w:wAfter w:w="236" w:type="dxa"/>
          <w:trHeight w:val="415" w:hRule="atLeast"/>
        </w:trPr>
        <w:tc>
          <w:tcPr>
            <w:tcW w:w="1168"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数量指标</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对麻风现症病人每月走访次数</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sz w:val="20"/>
                <w:szCs w:val="20"/>
                <w:u w:val="none"/>
              </w:rPr>
              <w:t>≥1次</w:t>
            </w:r>
          </w:p>
        </w:tc>
        <w:tc>
          <w:tcPr>
            <w:tcW w:w="21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sz w:val="20"/>
                <w:szCs w:val="20"/>
                <w:u w:val="none"/>
                <w:lang w:val="en-US" w:eastAsia="zh-CN"/>
              </w:rPr>
              <w:t>1次</w:t>
            </w:r>
          </w:p>
        </w:tc>
      </w:tr>
      <w:tr>
        <w:tblPrEx>
          <w:tblCellMar>
            <w:top w:w="0" w:type="dxa"/>
            <w:left w:w="108" w:type="dxa"/>
            <w:bottom w:w="0" w:type="dxa"/>
            <w:right w:w="108" w:type="dxa"/>
          </w:tblCellMar>
        </w:tblPrEx>
        <w:trPr>
          <w:gridAfter w:val="1"/>
          <w:wAfter w:w="236" w:type="dxa"/>
          <w:trHeight w:val="415" w:hRule="atLeast"/>
        </w:trPr>
        <w:tc>
          <w:tcPr>
            <w:tcW w:w="1168"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数量指标</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全区麻风病人随访到位人数</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sz w:val="20"/>
                <w:szCs w:val="20"/>
                <w:u w:val="none"/>
              </w:rPr>
              <w:t>≥44人</w:t>
            </w:r>
          </w:p>
        </w:tc>
        <w:tc>
          <w:tcPr>
            <w:tcW w:w="21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sz w:val="20"/>
                <w:szCs w:val="20"/>
                <w:u w:val="none"/>
                <w:lang w:val="en-US" w:eastAsia="zh-CN"/>
              </w:rPr>
              <w:t>44人</w:t>
            </w:r>
          </w:p>
        </w:tc>
      </w:tr>
      <w:tr>
        <w:tblPrEx>
          <w:tblCellMar>
            <w:top w:w="0" w:type="dxa"/>
            <w:left w:w="108" w:type="dxa"/>
            <w:bottom w:w="0" w:type="dxa"/>
            <w:right w:w="108" w:type="dxa"/>
          </w:tblCellMar>
        </w:tblPrEx>
        <w:trPr>
          <w:gridAfter w:val="1"/>
          <w:wAfter w:w="236" w:type="dxa"/>
          <w:trHeight w:val="415" w:hRule="atLeast"/>
        </w:trPr>
        <w:tc>
          <w:tcPr>
            <w:tcW w:w="1168"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数量指标</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青少年近视调查及学生重点常见病监测人数</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2080</w:t>
            </w:r>
          </w:p>
        </w:tc>
        <w:tc>
          <w:tcPr>
            <w:tcW w:w="21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2332</w:t>
            </w:r>
          </w:p>
        </w:tc>
      </w:tr>
      <w:tr>
        <w:tblPrEx>
          <w:tblCellMar>
            <w:top w:w="0" w:type="dxa"/>
            <w:left w:w="108" w:type="dxa"/>
            <w:bottom w:w="0" w:type="dxa"/>
            <w:right w:w="108" w:type="dxa"/>
          </w:tblCellMar>
        </w:tblPrEx>
        <w:trPr>
          <w:gridAfter w:val="1"/>
          <w:wAfter w:w="236" w:type="dxa"/>
          <w:trHeight w:val="415" w:hRule="atLeast"/>
        </w:trPr>
        <w:tc>
          <w:tcPr>
            <w:tcW w:w="1168"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质量指标</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筛查检查覆盖率≥25%</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25%</w:t>
            </w:r>
          </w:p>
        </w:tc>
        <w:tc>
          <w:tcPr>
            <w:tcW w:w="2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39.10%</w:t>
            </w:r>
          </w:p>
        </w:tc>
      </w:tr>
      <w:tr>
        <w:tblPrEx>
          <w:tblCellMar>
            <w:top w:w="0" w:type="dxa"/>
            <w:left w:w="108" w:type="dxa"/>
            <w:bottom w:w="0" w:type="dxa"/>
            <w:right w:w="108" w:type="dxa"/>
          </w:tblCellMar>
        </w:tblPrEx>
        <w:trPr>
          <w:gridAfter w:val="1"/>
          <w:wAfter w:w="236" w:type="dxa"/>
          <w:trHeight w:val="415" w:hRule="atLeast"/>
        </w:trPr>
        <w:tc>
          <w:tcPr>
            <w:tcW w:w="1168"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质量指标</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感染者/病人随访检测率≥90%</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w:t>
            </w:r>
          </w:p>
        </w:tc>
        <w:tc>
          <w:tcPr>
            <w:tcW w:w="2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98.67%</w:t>
            </w:r>
          </w:p>
        </w:tc>
      </w:tr>
      <w:tr>
        <w:tblPrEx>
          <w:tblCellMar>
            <w:top w:w="0" w:type="dxa"/>
            <w:left w:w="108" w:type="dxa"/>
            <w:bottom w:w="0" w:type="dxa"/>
            <w:right w:w="108" w:type="dxa"/>
          </w:tblCellMar>
        </w:tblPrEx>
        <w:trPr>
          <w:gridAfter w:val="1"/>
          <w:wAfter w:w="236" w:type="dxa"/>
          <w:trHeight w:val="415" w:hRule="atLeast"/>
        </w:trPr>
        <w:tc>
          <w:tcPr>
            <w:tcW w:w="1168"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质量指标</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配偶检测≥90%</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90%</w:t>
            </w:r>
          </w:p>
        </w:tc>
        <w:tc>
          <w:tcPr>
            <w:tcW w:w="2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100.00%</w:t>
            </w:r>
          </w:p>
        </w:tc>
      </w:tr>
      <w:tr>
        <w:tblPrEx>
          <w:tblCellMar>
            <w:top w:w="0" w:type="dxa"/>
            <w:left w:w="108" w:type="dxa"/>
            <w:bottom w:w="0" w:type="dxa"/>
            <w:right w:w="108" w:type="dxa"/>
          </w:tblCellMar>
        </w:tblPrEx>
        <w:trPr>
          <w:gridAfter w:val="1"/>
          <w:wAfter w:w="236" w:type="dxa"/>
          <w:trHeight w:val="415" w:hRule="atLeast"/>
        </w:trPr>
        <w:tc>
          <w:tcPr>
            <w:tcW w:w="1168"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质量指标</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抗病毒治疗比例完成率≥91%</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91%</w:t>
            </w:r>
          </w:p>
        </w:tc>
        <w:tc>
          <w:tcPr>
            <w:tcW w:w="2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100.00%</w:t>
            </w:r>
          </w:p>
        </w:tc>
      </w:tr>
      <w:tr>
        <w:tblPrEx>
          <w:tblCellMar>
            <w:top w:w="0" w:type="dxa"/>
            <w:left w:w="108" w:type="dxa"/>
            <w:bottom w:w="0" w:type="dxa"/>
            <w:right w:w="108" w:type="dxa"/>
          </w:tblCellMar>
        </w:tblPrEx>
        <w:trPr>
          <w:gridAfter w:val="1"/>
          <w:wAfter w:w="236" w:type="dxa"/>
          <w:trHeight w:val="415" w:hRule="atLeast"/>
        </w:trPr>
        <w:tc>
          <w:tcPr>
            <w:tcW w:w="1168"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质量指标</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病毒载量检测率≥91%</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91%</w:t>
            </w:r>
          </w:p>
        </w:tc>
        <w:tc>
          <w:tcPr>
            <w:tcW w:w="2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98.61%</w:t>
            </w:r>
          </w:p>
        </w:tc>
      </w:tr>
      <w:tr>
        <w:tblPrEx>
          <w:tblCellMar>
            <w:top w:w="0" w:type="dxa"/>
            <w:left w:w="108" w:type="dxa"/>
            <w:bottom w:w="0" w:type="dxa"/>
            <w:right w:w="108" w:type="dxa"/>
          </w:tblCellMar>
        </w:tblPrEx>
        <w:trPr>
          <w:gridAfter w:val="1"/>
          <w:wAfter w:w="236" w:type="dxa"/>
          <w:trHeight w:val="415" w:hRule="atLeast"/>
        </w:trPr>
        <w:tc>
          <w:tcPr>
            <w:tcW w:w="1168"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质量指标</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治疗成功率≥91%</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91%</w:t>
            </w:r>
          </w:p>
        </w:tc>
        <w:tc>
          <w:tcPr>
            <w:tcW w:w="2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97.18%</w:t>
            </w:r>
          </w:p>
        </w:tc>
      </w:tr>
      <w:tr>
        <w:tblPrEx>
          <w:tblCellMar>
            <w:top w:w="0" w:type="dxa"/>
            <w:left w:w="108" w:type="dxa"/>
            <w:bottom w:w="0" w:type="dxa"/>
            <w:right w:w="108" w:type="dxa"/>
          </w:tblCellMar>
        </w:tblPrEx>
        <w:trPr>
          <w:gridAfter w:val="1"/>
          <w:wAfter w:w="236" w:type="dxa"/>
          <w:trHeight w:val="415" w:hRule="atLeast"/>
        </w:trPr>
        <w:tc>
          <w:tcPr>
            <w:tcW w:w="1168"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质量指标</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VCT完成率100%</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100%</w:t>
            </w:r>
          </w:p>
        </w:tc>
        <w:tc>
          <w:tcPr>
            <w:tcW w:w="2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100%</w:t>
            </w:r>
          </w:p>
        </w:tc>
      </w:tr>
      <w:tr>
        <w:tblPrEx>
          <w:tblCellMar>
            <w:top w:w="0" w:type="dxa"/>
            <w:left w:w="108" w:type="dxa"/>
            <w:bottom w:w="0" w:type="dxa"/>
            <w:right w:w="108" w:type="dxa"/>
          </w:tblCellMar>
        </w:tblPrEx>
        <w:trPr>
          <w:gridAfter w:val="1"/>
          <w:wAfter w:w="236" w:type="dxa"/>
          <w:trHeight w:val="415" w:hRule="atLeast"/>
        </w:trPr>
        <w:tc>
          <w:tcPr>
            <w:tcW w:w="1168"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质量指标</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暗娼干预覆盖100%</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100%</w:t>
            </w:r>
          </w:p>
        </w:tc>
        <w:tc>
          <w:tcPr>
            <w:tcW w:w="2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100%</w:t>
            </w:r>
          </w:p>
        </w:tc>
      </w:tr>
      <w:tr>
        <w:tblPrEx>
          <w:tblCellMar>
            <w:top w:w="0" w:type="dxa"/>
            <w:left w:w="108" w:type="dxa"/>
            <w:bottom w:w="0" w:type="dxa"/>
            <w:right w:w="108" w:type="dxa"/>
          </w:tblCellMar>
        </w:tblPrEx>
        <w:trPr>
          <w:gridAfter w:val="1"/>
          <w:wAfter w:w="236" w:type="dxa"/>
          <w:trHeight w:val="415" w:hRule="atLeast"/>
        </w:trPr>
        <w:tc>
          <w:tcPr>
            <w:tcW w:w="1168"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质量指标</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艾滋病病毒感染者的结核病检查率≥90%</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90%</w:t>
            </w:r>
          </w:p>
        </w:tc>
        <w:tc>
          <w:tcPr>
            <w:tcW w:w="2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100.00%</w:t>
            </w:r>
          </w:p>
        </w:tc>
      </w:tr>
      <w:tr>
        <w:tblPrEx>
          <w:tblCellMar>
            <w:top w:w="0" w:type="dxa"/>
            <w:left w:w="108" w:type="dxa"/>
            <w:bottom w:w="0" w:type="dxa"/>
            <w:right w:w="108" w:type="dxa"/>
          </w:tblCellMar>
        </w:tblPrEx>
        <w:trPr>
          <w:gridAfter w:val="1"/>
          <w:wAfter w:w="236" w:type="dxa"/>
          <w:trHeight w:val="415" w:hRule="atLeast"/>
        </w:trPr>
        <w:tc>
          <w:tcPr>
            <w:tcW w:w="1168"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质量指标</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艾滋病补助发放100%</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100%</w:t>
            </w:r>
          </w:p>
        </w:tc>
        <w:tc>
          <w:tcPr>
            <w:tcW w:w="2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100%</w:t>
            </w:r>
          </w:p>
        </w:tc>
      </w:tr>
      <w:tr>
        <w:tblPrEx>
          <w:tblCellMar>
            <w:top w:w="0" w:type="dxa"/>
            <w:left w:w="108" w:type="dxa"/>
            <w:bottom w:w="0" w:type="dxa"/>
            <w:right w:w="108" w:type="dxa"/>
          </w:tblCellMar>
        </w:tblPrEx>
        <w:trPr>
          <w:gridAfter w:val="1"/>
          <w:wAfter w:w="236" w:type="dxa"/>
          <w:trHeight w:val="415" w:hRule="atLeast"/>
        </w:trPr>
        <w:tc>
          <w:tcPr>
            <w:tcW w:w="1168"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质量指标</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肺结核患者成功治疗率</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90%</w:t>
            </w:r>
          </w:p>
        </w:tc>
        <w:tc>
          <w:tcPr>
            <w:tcW w:w="2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97.8</w:t>
            </w:r>
            <w:r>
              <w:rPr>
                <w:rFonts w:hint="eastAsia" w:ascii="宋体" w:hAnsi="宋体" w:cs="宋体"/>
                <w:i w:val="0"/>
                <w:iCs w:val="0"/>
                <w:color w:val="000000"/>
                <w:kern w:val="0"/>
                <w:sz w:val="20"/>
                <w:szCs w:val="20"/>
                <w:u w:val="none"/>
                <w:lang w:val="en-US" w:eastAsia="zh-CN"/>
              </w:rPr>
              <w:t>7</w:t>
            </w:r>
            <w:r>
              <w:rPr>
                <w:rFonts w:hint="eastAsia" w:ascii="宋体" w:hAnsi="宋体" w:eastAsia="宋体" w:cs="宋体"/>
                <w:i w:val="0"/>
                <w:iCs w:val="0"/>
                <w:color w:val="000000"/>
                <w:kern w:val="0"/>
                <w:sz w:val="20"/>
                <w:szCs w:val="20"/>
                <w:u w:val="none"/>
                <w:lang w:val="en-US" w:eastAsia="zh-CN"/>
              </w:rPr>
              <w:t>%</w:t>
            </w:r>
          </w:p>
        </w:tc>
      </w:tr>
      <w:tr>
        <w:tblPrEx>
          <w:tblCellMar>
            <w:top w:w="0" w:type="dxa"/>
            <w:left w:w="108" w:type="dxa"/>
            <w:bottom w:w="0" w:type="dxa"/>
            <w:right w:w="108" w:type="dxa"/>
          </w:tblCellMar>
        </w:tblPrEx>
        <w:trPr>
          <w:gridAfter w:val="1"/>
          <w:wAfter w:w="236" w:type="dxa"/>
          <w:trHeight w:val="415" w:hRule="atLeast"/>
        </w:trPr>
        <w:tc>
          <w:tcPr>
            <w:tcW w:w="1168"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质量指标</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病原学阳性率</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50%</w:t>
            </w:r>
          </w:p>
        </w:tc>
        <w:tc>
          <w:tcPr>
            <w:tcW w:w="2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cs="宋体"/>
                <w:i w:val="0"/>
                <w:iCs w:val="0"/>
                <w:color w:val="000000"/>
                <w:kern w:val="0"/>
                <w:sz w:val="20"/>
                <w:szCs w:val="20"/>
                <w:u w:val="none"/>
                <w:lang w:val="en-US" w:eastAsia="zh-CN"/>
              </w:rPr>
              <w:t>73.25</w:t>
            </w:r>
            <w:r>
              <w:rPr>
                <w:rFonts w:hint="eastAsia" w:ascii="宋体" w:hAnsi="宋体" w:eastAsia="宋体" w:cs="宋体"/>
                <w:i w:val="0"/>
                <w:iCs w:val="0"/>
                <w:color w:val="000000"/>
                <w:kern w:val="0"/>
                <w:sz w:val="20"/>
                <w:szCs w:val="20"/>
                <w:u w:val="none"/>
                <w:lang w:val="en-US" w:eastAsia="zh-CN"/>
              </w:rPr>
              <w:t>%</w:t>
            </w:r>
          </w:p>
        </w:tc>
      </w:tr>
      <w:tr>
        <w:tblPrEx>
          <w:tblCellMar>
            <w:top w:w="0" w:type="dxa"/>
            <w:left w:w="108" w:type="dxa"/>
            <w:bottom w:w="0" w:type="dxa"/>
            <w:right w:w="108" w:type="dxa"/>
          </w:tblCellMar>
        </w:tblPrEx>
        <w:trPr>
          <w:gridAfter w:val="1"/>
          <w:wAfter w:w="236" w:type="dxa"/>
          <w:trHeight w:val="415" w:hRule="atLeast"/>
        </w:trPr>
        <w:tc>
          <w:tcPr>
            <w:tcW w:w="1168"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质量指标</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报告肺结核病患者和疑似肺结核患者的总体到位率</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95%</w:t>
            </w:r>
          </w:p>
        </w:tc>
        <w:tc>
          <w:tcPr>
            <w:tcW w:w="2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9</w:t>
            </w:r>
            <w:r>
              <w:rPr>
                <w:rFonts w:hint="eastAsia" w:ascii="宋体" w:hAnsi="宋体" w:cs="宋体"/>
                <w:i w:val="0"/>
                <w:iCs w:val="0"/>
                <w:color w:val="000000"/>
                <w:kern w:val="0"/>
                <w:sz w:val="20"/>
                <w:szCs w:val="20"/>
                <w:u w:val="none"/>
                <w:lang w:val="en-US" w:eastAsia="zh-CN"/>
              </w:rPr>
              <w:t>6.49</w:t>
            </w:r>
            <w:r>
              <w:rPr>
                <w:rFonts w:hint="eastAsia" w:ascii="宋体" w:hAnsi="宋体" w:eastAsia="宋体" w:cs="宋体"/>
                <w:i w:val="0"/>
                <w:iCs w:val="0"/>
                <w:color w:val="000000"/>
                <w:kern w:val="0"/>
                <w:sz w:val="20"/>
                <w:szCs w:val="20"/>
                <w:u w:val="none"/>
                <w:lang w:val="en-US" w:eastAsia="zh-CN"/>
              </w:rPr>
              <w:t>%</w:t>
            </w:r>
          </w:p>
        </w:tc>
      </w:tr>
      <w:tr>
        <w:tblPrEx>
          <w:tblCellMar>
            <w:top w:w="0" w:type="dxa"/>
            <w:left w:w="108" w:type="dxa"/>
            <w:bottom w:w="0" w:type="dxa"/>
            <w:right w:w="108" w:type="dxa"/>
          </w:tblCellMar>
        </w:tblPrEx>
        <w:trPr>
          <w:gridAfter w:val="1"/>
          <w:wAfter w:w="236" w:type="dxa"/>
          <w:trHeight w:val="415" w:hRule="atLeast"/>
        </w:trPr>
        <w:tc>
          <w:tcPr>
            <w:tcW w:w="1168"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质量指标</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 w:val="28"/>
                <w:szCs w:val="28"/>
              </w:rPr>
            </w:pPr>
            <w:r>
              <w:rPr>
                <w:rFonts w:hint="eastAsia" w:ascii="宋体" w:hAnsi="宋体" w:eastAsia="宋体" w:cs="宋体"/>
                <w:i w:val="0"/>
                <w:iCs w:val="0"/>
                <w:color w:val="000000"/>
                <w:sz w:val="20"/>
                <w:szCs w:val="20"/>
                <w:u w:val="none"/>
              </w:rPr>
              <w:t>麻风病人走访次数达标率</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 w:val="28"/>
                <w:szCs w:val="28"/>
              </w:rPr>
            </w:pPr>
            <w:r>
              <w:rPr>
                <w:rFonts w:hint="eastAsia" w:ascii="宋体" w:hAnsi="宋体" w:eastAsia="宋体" w:cs="宋体"/>
                <w:i w:val="0"/>
                <w:iCs w:val="0"/>
                <w:color w:val="000000"/>
                <w:sz w:val="20"/>
                <w:szCs w:val="20"/>
                <w:u w:val="none"/>
              </w:rPr>
              <w:t>≥90%</w:t>
            </w:r>
          </w:p>
        </w:tc>
        <w:tc>
          <w:tcPr>
            <w:tcW w:w="21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 w:val="28"/>
                <w:szCs w:val="28"/>
              </w:rPr>
            </w:pPr>
            <w:r>
              <w:rPr>
                <w:rFonts w:hint="eastAsia" w:ascii="宋体" w:hAnsi="宋体" w:eastAsia="宋体" w:cs="宋体"/>
                <w:i w:val="0"/>
                <w:iCs w:val="0"/>
                <w:color w:val="000000"/>
                <w:sz w:val="20"/>
                <w:szCs w:val="20"/>
                <w:u w:val="none"/>
                <w:lang w:val="en-US" w:eastAsia="zh-CN"/>
              </w:rPr>
              <w:t>100%</w:t>
            </w:r>
          </w:p>
        </w:tc>
      </w:tr>
      <w:tr>
        <w:tblPrEx>
          <w:tblCellMar>
            <w:top w:w="0" w:type="dxa"/>
            <w:left w:w="108" w:type="dxa"/>
            <w:bottom w:w="0" w:type="dxa"/>
            <w:right w:w="108" w:type="dxa"/>
          </w:tblCellMar>
        </w:tblPrEx>
        <w:trPr>
          <w:gridAfter w:val="1"/>
          <w:wAfter w:w="236" w:type="dxa"/>
          <w:trHeight w:val="415" w:hRule="atLeast"/>
        </w:trPr>
        <w:tc>
          <w:tcPr>
            <w:tcW w:w="1168"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质量指标</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 w:val="28"/>
                <w:szCs w:val="28"/>
              </w:rPr>
            </w:pPr>
            <w:r>
              <w:rPr>
                <w:rFonts w:hint="eastAsia"/>
              </w:rPr>
              <w:t>麻风病联合化疗覆盖率</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 w:val="28"/>
                <w:szCs w:val="28"/>
              </w:rPr>
            </w:pPr>
            <w:r>
              <w:rPr>
                <w:rFonts w:hint="eastAsia" w:ascii="宋体" w:hAnsi="宋体" w:eastAsia="宋体" w:cs="宋体"/>
                <w:i w:val="0"/>
                <w:iCs w:val="0"/>
                <w:color w:val="000000"/>
                <w:sz w:val="20"/>
                <w:szCs w:val="20"/>
                <w:u w:val="none"/>
              </w:rPr>
              <w:t>≥100%</w:t>
            </w:r>
          </w:p>
        </w:tc>
        <w:tc>
          <w:tcPr>
            <w:tcW w:w="21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 w:val="28"/>
                <w:szCs w:val="28"/>
              </w:rPr>
            </w:pPr>
            <w:r>
              <w:rPr>
                <w:rFonts w:hint="eastAsia" w:ascii="宋体" w:hAnsi="宋体" w:eastAsia="宋体" w:cs="宋体"/>
                <w:i w:val="0"/>
                <w:iCs w:val="0"/>
                <w:color w:val="000000"/>
                <w:sz w:val="20"/>
                <w:szCs w:val="20"/>
                <w:u w:val="none"/>
                <w:lang w:val="en-US" w:eastAsia="zh-CN"/>
              </w:rPr>
              <w:t>100%</w:t>
            </w:r>
          </w:p>
        </w:tc>
      </w:tr>
      <w:tr>
        <w:tblPrEx>
          <w:tblCellMar>
            <w:top w:w="0" w:type="dxa"/>
            <w:left w:w="108" w:type="dxa"/>
            <w:bottom w:w="0" w:type="dxa"/>
            <w:right w:w="108" w:type="dxa"/>
          </w:tblCellMar>
        </w:tblPrEx>
        <w:trPr>
          <w:gridAfter w:val="1"/>
          <w:wAfter w:w="236" w:type="dxa"/>
          <w:trHeight w:val="415" w:hRule="atLeast"/>
        </w:trPr>
        <w:tc>
          <w:tcPr>
            <w:tcW w:w="1168"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质量指标</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 w:val="28"/>
                <w:szCs w:val="28"/>
              </w:rPr>
            </w:pPr>
            <w:r>
              <w:rPr>
                <w:rFonts w:hint="eastAsia"/>
              </w:rPr>
              <w:t>密切接触者</w:t>
            </w:r>
            <w:r>
              <w:rPr>
                <w:rFonts w:hint="eastAsia"/>
                <w:lang w:eastAsia="zh-CN"/>
              </w:rPr>
              <w:t>检测</w:t>
            </w:r>
            <w:r>
              <w:rPr>
                <w:rFonts w:hint="eastAsia"/>
              </w:rPr>
              <w:t>率</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 w:val="28"/>
                <w:szCs w:val="28"/>
              </w:rPr>
            </w:pPr>
            <w:r>
              <w:rPr>
                <w:rFonts w:hint="eastAsia" w:ascii="宋体" w:hAnsi="宋体" w:eastAsia="宋体" w:cs="宋体"/>
                <w:i w:val="0"/>
                <w:iCs w:val="0"/>
                <w:color w:val="000000"/>
                <w:sz w:val="20"/>
                <w:szCs w:val="20"/>
                <w:u w:val="none"/>
              </w:rPr>
              <w:t>≥100%</w:t>
            </w:r>
          </w:p>
        </w:tc>
        <w:tc>
          <w:tcPr>
            <w:tcW w:w="21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 w:val="28"/>
                <w:szCs w:val="28"/>
              </w:rPr>
            </w:pPr>
            <w:r>
              <w:rPr>
                <w:rFonts w:hint="eastAsia" w:ascii="宋体" w:hAnsi="宋体" w:eastAsia="宋体" w:cs="宋体"/>
                <w:i w:val="0"/>
                <w:iCs w:val="0"/>
                <w:color w:val="000000"/>
                <w:sz w:val="20"/>
                <w:szCs w:val="20"/>
                <w:u w:val="none"/>
                <w:lang w:val="en-US" w:eastAsia="zh-CN"/>
              </w:rPr>
              <w:t>100%</w:t>
            </w:r>
          </w:p>
        </w:tc>
      </w:tr>
      <w:tr>
        <w:tblPrEx>
          <w:tblCellMar>
            <w:top w:w="0" w:type="dxa"/>
            <w:left w:w="108" w:type="dxa"/>
            <w:bottom w:w="0" w:type="dxa"/>
            <w:right w:w="108" w:type="dxa"/>
          </w:tblCellMar>
        </w:tblPrEx>
        <w:trPr>
          <w:gridAfter w:val="1"/>
          <w:wAfter w:w="236" w:type="dxa"/>
          <w:trHeight w:val="415" w:hRule="atLeast"/>
        </w:trPr>
        <w:tc>
          <w:tcPr>
            <w:tcW w:w="1168"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质量指标</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 w:val="28"/>
                <w:szCs w:val="28"/>
              </w:rPr>
            </w:pPr>
            <w:r>
              <w:rPr>
                <w:rFonts w:hint="eastAsia"/>
              </w:rPr>
              <w:t>麻风严重不良反应患者处置率</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 w:val="28"/>
                <w:szCs w:val="28"/>
              </w:rPr>
            </w:pPr>
            <w:r>
              <w:rPr>
                <w:rFonts w:hint="eastAsia" w:ascii="宋体" w:hAnsi="宋体" w:eastAsia="宋体" w:cs="宋体"/>
                <w:i w:val="0"/>
                <w:iCs w:val="0"/>
                <w:color w:val="000000"/>
                <w:sz w:val="20"/>
                <w:szCs w:val="20"/>
                <w:u w:val="none"/>
              </w:rPr>
              <w:t>≥100%</w:t>
            </w:r>
          </w:p>
        </w:tc>
        <w:tc>
          <w:tcPr>
            <w:tcW w:w="21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 w:val="28"/>
                <w:szCs w:val="28"/>
              </w:rPr>
            </w:pPr>
            <w:r>
              <w:rPr>
                <w:rFonts w:hint="eastAsia" w:ascii="宋体" w:hAnsi="宋体" w:eastAsia="宋体" w:cs="宋体"/>
                <w:i w:val="0"/>
                <w:iCs w:val="0"/>
                <w:color w:val="000000"/>
                <w:sz w:val="20"/>
                <w:szCs w:val="20"/>
                <w:u w:val="none"/>
                <w:lang w:val="en-US" w:eastAsia="zh-CN"/>
              </w:rPr>
              <w:t>100%</w:t>
            </w:r>
          </w:p>
        </w:tc>
      </w:tr>
      <w:tr>
        <w:tblPrEx>
          <w:tblCellMar>
            <w:top w:w="0" w:type="dxa"/>
            <w:left w:w="108" w:type="dxa"/>
            <w:bottom w:w="0" w:type="dxa"/>
            <w:right w:w="108" w:type="dxa"/>
          </w:tblCellMar>
        </w:tblPrEx>
        <w:trPr>
          <w:gridAfter w:val="1"/>
          <w:wAfter w:w="236" w:type="dxa"/>
          <w:trHeight w:val="415" w:hRule="atLeast"/>
        </w:trPr>
        <w:tc>
          <w:tcPr>
            <w:tcW w:w="1168"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质量指标</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 w:val="28"/>
                <w:szCs w:val="28"/>
              </w:rPr>
            </w:pPr>
            <w:r>
              <w:rPr>
                <w:rFonts w:hint="eastAsia" w:ascii="宋体" w:hAnsi="宋体" w:eastAsia="宋体" w:cs="宋体"/>
                <w:i w:val="0"/>
                <w:iCs w:val="0"/>
                <w:color w:val="000000"/>
                <w:sz w:val="20"/>
                <w:szCs w:val="20"/>
                <w:u w:val="none"/>
              </w:rPr>
              <w:t>以乡镇（街道）为单位适龄儿童国家免疫规划疫苗接种率</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 w:val="28"/>
                <w:szCs w:val="28"/>
              </w:rPr>
            </w:pPr>
            <w:r>
              <w:rPr>
                <w:rFonts w:hint="eastAsia" w:ascii="宋体" w:hAnsi="宋体" w:cs="宋体"/>
                <w:i w:val="0"/>
                <w:iCs w:val="0"/>
                <w:color w:val="000000"/>
                <w:sz w:val="20"/>
                <w:szCs w:val="20"/>
                <w:u w:val="none"/>
                <w:lang w:val="en-US" w:eastAsia="zh-CN"/>
              </w:rPr>
              <w:t>90%</w:t>
            </w:r>
          </w:p>
        </w:tc>
        <w:tc>
          <w:tcPr>
            <w:tcW w:w="21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sz w:val="28"/>
                <w:szCs w:val="28"/>
              </w:rPr>
            </w:pPr>
            <w:r>
              <w:rPr>
                <w:rFonts w:hint="eastAsia" w:ascii="宋体" w:hAnsi="宋体" w:eastAsia="宋体" w:cs="宋体"/>
                <w:i w:val="0"/>
                <w:iCs w:val="0"/>
                <w:color w:val="000000"/>
                <w:kern w:val="0"/>
                <w:sz w:val="20"/>
                <w:szCs w:val="20"/>
                <w:u w:val="none"/>
                <w:lang w:val="en-US" w:eastAsia="zh-CN"/>
              </w:rPr>
              <w:t>0-6岁儿童建卡率100%，建证率≥98%；新生儿乙肝疫苗</w:t>
            </w:r>
            <w:bookmarkStart w:id="142" w:name="_GoBack"/>
            <w:bookmarkEnd w:id="142"/>
            <w:r>
              <w:rPr>
                <w:rFonts w:hint="eastAsia" w:ascii="宋体" w:hAnsi="宋体" w:cs="宋体"/>
                <w:i w:val="0"/>
                <w:iCs w:val="0"/>
                <w:color w:val="000000"/>
                <w:kern w:val="0"/>
                <w:sz w:val="20"/>
                <w:szCs w:val="20"/>
                <w:u w:val="none"/>
                <w:lang w:val="en-US" w:eastAsia="zh-CN"/>
              </w:rPr>
              <w:t>接种率</w:t>
            </w:r>
            <w:r>
              <w:rPr>
                <w:rFonts w:hint="eastAsia" w:ascii="宋体" w:hAnsi="宋体" w:eastAsia="宋体" w:cs="宋体"/>
                <w:i w:val="0"/>
                <w:iCs w:val="0"/>
                <w:color w:val="000000"/>
                <w:kern w:val="0"/>
                <w:sz w:val="20"/>
                <w:szCs w:val="20"/>
                <w:u w:val="none"/>
                <w:lang w:val="en-US" w:eastAsia="zh-CN"/>
              </w:rPr>
              <w:t>99.9</w:t>
            </w:r>
            <w:r>
              <w:rPr>
                <w:rFonts w:hint="eastAsia" w:ascii="宋体" w:hAnsi="宋体" w:cs="宋体"/>
                <w:i w:val="0"/>
                <w:iCs w:val="0"/>
                <w:color w:val="000000"/>
                <w:kern w:val="0"/>
                <w:sz w:val="20"/>
                <w:szCs w:val="20"/>
                <w:u w:val="none"/>
                <w:lang w:val="en-US" w:eastAsia="zh-CN"/>
              </w:rPr>
              <w:t>3</w:t>
            </w:r>
            <w:r>
              <w:rPr>
                <w:rFonts w:hint="eastAsia" w:ascii="宋体" w:hAnsi="宋体" w:eastAsia="宋体" w:cs="宋体"/>
                <w:i w:val="0"/>
                <w:iCs w:val="0"/>
                <w:color w:val="000000"/>
                <w:kern w:val="0"/>
                <w:sz w:val="20"/>
                <w:szCs w:val="20"/>
                <w:u w:val="none"/>
                <w:lang w:val="en-US" w:eastAsia="zh-CN"/>
              </w:rPr>
              <w:t>%（其中首针及时接种率为9</w:t>
            </w:r>
            <w:r>
              <w:rPr>
                <w:rFonts w:hint="eastAsia" w:ascii="宋体" w:hAnsi="宋体" w:cs="宋体"/>
                <w:i w:val="0"/>
                <w:iCs w:val="0"/>
                <w:color w:val="000000"/>
                <w:kern w:val="0"/>
                <w:sz w:val="20"/>
                <w:szCs w:val="20"/>
                <w:u w:val="none"/>
                <w:lang w:val="en-US" w:eastAsia="zh-CN"/>
              </w:rPr>
              <w:t>7.99</w:t>
            </w:r>
            <w:r>
              <w:rPr>
                <w:rFonts w:hint="eastAsia" w:ascii="宋体" w:hAnsi="宋体" w:eastAsia="宋体" w:cs="宋体"/>
                <w:i w:val="0"/>
                <w:iCs w:val="0"/>
                <w:color w:val="000000"/>
                <w:kern w:val="0"/>
                <w:sz w:val="20"/>
                <w:szCs w:val="20"/>
                <w:u w:val="none"/>
                <w:lang w:val="en-US" w:eastAsia="zh-CN"/>
              </w:rPr>
              <w:t>%），乙肝全程接种率为99.</w:t>
            </w:r>
            <w:r>
              <w:rPr>
                <w:rFonts w:hint="eastAsia" w:ascii="宋体" w:hAnsi="宋体" w:cs="宋体"/>
                <w:i w:val="0"/>
                <w:iCs w:val="0"/>
                <w:color w:val="000000"/>
                <w:kern w:val="0"/>
                <w:sz w:val="20"/>
                <w:szCs w:val="20"/>
                <w:u w:val="none"/>
                <w:lang w:val="en-US" w:eastAsia="zh-CN"/>
              </w:rPr>
              <w:t>66</w:t>
            </w:r>
            <w:r>
              <w:rPr>
                <w:rFonts w:hint="eastAsia" w:ascii="宋体" w:hAnsi="宋体" w:eastAsia="宋体" w:cs="宋体"/>
                <w:i w:val="0"/>
                <w:iCs w:val="0"/>
                <w:color w:val="000000"/>
                <w:kern w:val="0"/>
                <w:sz w:val="20"/>
                <w:szCs w:val="20"/>
                <w:u w:val="none"/>
                <w:lang w:val="en-US" w:eastAsia="zh-CN"/>
              </w:rPr>
              <w:t>%。其他国家免疫规划疫苗接种率均达到99%以上。</w:t>
            </w:r>
          </w:p>
        </w:tc>
      </w:tr>
      <w:tr>
        <w:tblPrEx>
          <w:tblCellMar>
            <w:top w:w="0" w:type="dxa"/>
            <w:left w:w="108" w:type="dxa"/>
            <w:bottom w:w="0" w:type="dxa"/>
            <w:right w:w="108" w:type="dxa"/>
          </w:tblCellMar>
        </w:tblPrEx>
        <w:trPr>
          <w:gridAfter w:val="1"/>
          <w:wAfter w:w="236" w:type="dxa"/>
          <w:trHeight w:val="415" w:hRule="atLeast"/>
        </w:trPr>
        <w:tc>
          <w:tcPr>
            <w:tcW w:w="1168"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质量指标</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 w:val="28"/>
                <w:szCs w:val="28"/>
              </w:rPr>
            </w:pPr>
            <w:r>
              <w:rPr>
                <w:rFonts w:hint="eastAsia" w:ascii="宋体" w:hAnsi="宋体" w:cs="宋体"/>
                <w:i w:val="0"/>
                <w:iCs w:val="0"/>
                <w:color w:val="000000"/>
                <w:sz w:val="20"/>
                <w:szCs w:val="20"/>
                <w:u w:val="none"/>
                <w:lang w:val="en-US" w:eastAsia="zh-CN"/>
              </w:rPr>
              <w:t>完成青少年近视调查及学生重点常见病监测调查率</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 w:val="28"/>
                <w:szCs w:val="28"/>
              </w:rPr>
            </w:pPr>
            <w:r>
              <w:rPr>
                <w:rFonts w:hint="eastAsia" w:ascii="宋体" w:hAnsi="宋体" w:cs="宋体"/>
                <w:i w:val="0"/>
                <w:iCs w:val="0"/>
                <w:color w:val="000000"/>
                <w:sz w:val="20"/>
                <w:szCs w:val="20"/>
                <w:u w:val="none"/>
                <w:lang w:val="en-US" w:eastAsia="zh-CN"/>
              </w:rPr>
              <w:t>100%</w:t>
            </w:r>
          </w:p>
        </w:tc>
        <w:tc>
          <w:tcPr>
            <w:tcW w:w="21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sz w:val="28"/>
                <w:szCs w:val="28"/>
              </w:rPr>
            </w:pPr>
            <w:r>
              <w:rPr>
                <w:rFonts w:hint="eastAsia" w:ascii="宋体" w:hAnsi="宋体" w:cs="宋体"/>
                <w:i w:val="0"/>
                <w:iCs w:val="0"/>
                <w:color w:val="000000"/>
                <w:sz w:val="20"/>
                <w:szCs w:val="20"/>
                <w:u w:val="none"/>
                <w:lang w:val="en-US" w:eastAsia="zh-CN"/>
              </w:rPr>
              <w:t>100%</w:t>
            </w:r>
          </w:p>
        </w:tc>
      </w:tr>
      <w:tr>
        <w:tblPrEx>
          <w:tblCellMar>
            <w:top w:w="0" w:type="dxa"/>
            <w:left w:w="108" w:type="dxa"/>
            <w:bottom w:w="0" w:type="dxa"/>
            <w:right w:w="108" w:type="dxa"/>
          </w:tblCellMar>
        </w:tblPrEx>
        <w:trPr>
          <w:gridAfter w:val="1"/>
          <w:wAfter w:w="236" w:type="dxa"/>
          <w:trHeight w:val="415" w:hRule="atLeast"/>
        </w:trPr>
        <w:tc>
          <w:tcPr>
            <w:tcW w:w="1168"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时效指标</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 w:val="28"/>
                <w:szCs w:val="28"/>
              </w:rPr>
            </w:pPr>
            <w:r>
              <w:rPr>
                <w:rFonts w:hint="eastAsia" w:ascii="宋体" w:hAnsi="宋体" w:cs="宋体"/>
                <w:color w:val="000000"/>
                <w:kern w:val="0"/>
                <w:sz w:val="20"/>
                <w:szCs w:val="20"/>
              </w:rPr>
              <w:t>12月底前完成医疗机构培训，12月中旬前完成医疗机构督导。</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 w:val="28"/>
                <w:szCs w:val="28"/>
              </w:rPr>
            </w:pPr>
            <w:r>
              <w:rPr>
                <w:rFonts w:hint="eastAsia" w:ascii="宋体" w:hAnsi="宋体" w:cs="宋体"/>
                <w:color w:val="000000"/>
                <w:kern w:val="0"/>
                <w:sz w:val="20"/>
                <w:szCs w:val="20"/>
              </w:rPr>
              <w:t>完成</w:t>
            </w:r>
          </w:p>
        </w:tc>
        <w:tc>
          <w:tcPr>
            <w:tcW w:w="21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 w:val="28"/>
                <w:szCs w:val="28"/>
              </w:rPr>
            </w:pPr>
            <w:r>
              <w:rPr>
                <w:rFonts w:hint="eastAsia" w:ascii="宋体" w:hAnsi="宋体" w:cs="宋体"/>
                <w:color w:val="000000"/>
                <w:kern w:val="0"/>
                <w:sz w:val="20"/>
                <w:szCs w:val="20"/>
              </w:rPr>
              <w:t>完成</w:t>
            </w:r>
          </w:p>
        </w:tc>
      </w:tr>
      <w:tr>
        <w:tblPrEx>
          <w:tblCellMar>
            <w:top w:w="0" w:type="dxa"/>
            <w:left w:w="108" w:type="dxa"/>
            <w:bottom w:w="0" w:type="dxa"/>
            <w:right w:w="108" w:type="dxa"/>
          </w:tblCellMar>
        </w:tblPrEx>
        <w:trPr>
          <w:gridAfter w:val="1"/>
          <w:wAfter w:w="236" w:type="dxa"/>
          <w:trHeight w:val="480" w:hRule="atLeast"/>
        </w:trPr>
        <w:tc>
          <w:tcPr>
            <w:tcW w:w="1168"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社会效益  指标</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 w:val="28"/>
                <w:szCs w:val="28"/>
              </w:rPr>
            </w:pPr>
            <w:r>
              <w:rPr>
                <w:rFonts w:hint="eastAsia" w:ascii="宋体" w:hAnsi="宋体" w:cs="宋体"/>
                <w:color w:val="000000"/>
                <w:kern w:val="0"/>
                <w:sz w:val="20"/>
                <w:szCs w:val="20"/>
              </w:rPr>
              <w:t>居民健康水平提高</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 w:val="28"/>
                <w:szCs w:val="28"/>
              </w:rPr>
            </w:pPr>
            <w:r>
              <w:rPr>
                <w:rFonts w:hint="eastAsia" w:ascii="宋体" w:hAnsi="宋体" w:cs="宋体"/>
                <w:color w:val="000000"/>
                <w:kern w:val="0"/>
                <w:sz w:val="20"/>
                <w:szCs w:val="20"/>
              </w:rPr>
              <w:t>中长期</w:t>
            </w:r>
          </w:p>
        </w:tc>
        <w:tc>
          <w:tcPr>
            <w:tcW w:w="21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sz w:val="28"/>
                <w:szCs w:val="28"/>
              </w:rPr>
            </w:pPr>
          </w:p>
        </w:tc>
      </w:tr>
      <w:tr>
        <w:tblPrEx>
          <w:tblCellMar>
            <w:top w:w="0" w:type="dxa"/>
            <w:left w:w="108" w:type="dxa"/>
            <w:bottom w:w="0" w:type="dxa"/>
            <w:right w:w="108" w:type="dxa"/>
          </w:tblCellMar>
        </w:tblPrEx>
        <w:trPr>
          <w:gridAfter w:val="1"/>
          <w:wAfter w:w="236" w:type="dxa"/>
          <w:trHeight w:val="577" w:hRule="atLeast"/>
        </w:trPr>
        <w:tc>
          <w:tcPr>
            <w:tcW w:w="1168"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社会效益  指标</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 w:val="28"/>
                <w:szCs w:val="28"/>
              </w:rPr>
            </w:pPr>
            <w:r>
              <w:rPr>
                <w:rFonts w:hint="eastAsia" w:ascii="宋体" w:hAnsi="宋体" w:cs="宋体"/>
                <w:color w:val="000000"/>
                <w:kern w:val="0"/>
                <w:sz w:val="20"/>
                <w:szCs w:val="20"/>
              </w:rPr>
              <w:t>公共卫生均等化水平提高</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 w:val="28"/>
                <w:szCs w:val="28"/>
              </w:rPr>
            </w:pPr>
            <w:r>
              <w:rPr>
                <w:rFonts w:hint="eastAsia" w:ascii="宋体" w:hAnsi="宋体" w:cs="宋体"/>
                <w:color w:val="000000"/>
                <w:kern w:val="0"/>
                <w:sz w:val="20"/>
                <w:szCs w:val="20"/>
              </w:rPr>
              <w:t>中长期</w:t>
            </w:r>
          </w:p>
        </w:tc>
        <w:tc>
          <w:tcPr>
            <w:tcW w:w="21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sz w:val="28"/>
                <w:szCs w:val="28"/>
              </w:rPr>
            </w:pPr>
          </w:p>
        </w:tc>
      </w:tr>
      <w:tr>
        <w:tblPrEx>
          <w:tblCellMar>
            <w:top w:w="0" w:type="dxa"/>
            <w:left w:w="108" w:type="dxa"/>
            <w:bottom w:w="0" w:type="dxa"/>
            <w:right w:w="108" w:type="dxa"/>
          </w:tblCellMar>
        </w:tblPrEx>
        <w:trPr>
          <w:gridAfter w:val="1"/>
          <w:wAfter w:w="236" w:type="dxa"/>
          <w:trHeight w:val="530" w:hRule="atLeast"/>
        </w:trPr>
        <w:tc>
          <w:tcPr>
            <w:tcW w:w="1168" w:type="dxa"/>
            <w:vMerge w:val="continue"/>
            <w:tcBorders>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满意</w:t>
            </w:r>
          </w:p>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度指标</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满意度</w:t>
            </w:r>
          </w:p>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 w:val="28"/>
                <w:szCs w:val="28"/>
              </w:rPr>
            </w:pPr>
            <w:r>
              <w:rPr>
                <w:rFonts w:hint="eastAsia" w:ascii="宋体" w:hAnsi="宋体" w:cs="宋体"/>
                <w:color w:val="000000"/>
                <w:kern w:val="0"/>
                <w:sz w:val="20"/>
                <w:szCs w:val="20"/>
              </w:rPr>
              <w:t>患者满意度</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 w:val="28"/>
                <w:szCs w:val="28"/>
              </w:rPr>
            </w:pPr>
            <w:r>
              <w:rPr>
                <w:rFonts w:hint="eastAsia" w:ascii="宋体" w:hAnsi="宋体" w:cs="宋体"/>
                <w:color w:val="000000"/>
                <w:kern w:val="0"/>
                <w:sz w:val="20"/>
                <w:szCs w:val="20"/>
              </w:rPr>
              <w:t>90%</w:t>
            </w:r>
          </w:p>
        </w:tc>
        <w:tc>
          <w:tcPr>
            <w:tcW w:w="21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sz w:val="28"/>
                <w:szCs w:val="28"/>
              </w:rPr>
            </w:pPr>
            <w:r>
              <w:rPr>
                <w:rFonts w:hint="eastAsia" w:ascii="宋体" w:hAnsi="宋体" w:cs="宋体"/>
                <w:color w:val="000000"/>
                <w:kern w:val="0"/>
                <w:sz w:val="20"/>
                <w:szCs w:val="20"/>
              </w:rPr>
              <w:t>90%</w:t>
            </w:r>
          </w:p>
        </w:tc>
      </w:tr>
    </w:tbl>
    <w:p>
      <w:pPr>
        <w:rPr>
          <w:rStyle w:val="31"/>
          <w:rFonts w:hint="eastAsia" w:ascii="黑体" w:hAnsi="黑体" w:eastAsia="黑体"/>
          <w:b w:val="0"/>
          <w:color w:val="auto"/>
          <w:highlight w:val="none"/>
          <w:lang w:eastAsia="zh-CN"/>
        </w:rPr>
      </w:pPr>
      <w:r>
        <w:br w:type="page"/>
      </w:r>
    </w:p>
    <w:p>
      <w:pPr>
        <w:spacing w:line="600" w:lineRule="exact"/>
        <w:jc w:val="center"/>
        <w:outlineLvl w:val="0"/>
        <w:rPr>
          <w:rFonts w:hint="eastAsia" w:ascii="仿宋" w:hAnsi="仿宋" w:eastAsia="仿宋"/>
          <w:b w:val="0"/>
          <w:color w:val="auto"/>
          <w:highlight w:val="none"/>
        </w:rPr>
      </w:pPr>
      <w:bookmarkStart w:id="114" w:name="_Toc15396618"/>
      <w:bookmarkStart w:id="115" w:name="_Toc13274"/>
      <w:r>
        <w:rPr>
          <w:rFonts w:hint="eastAsia" w:ascii="黑体" w:hAnsi="黑体" w:eastAsia="黑体"/>
          <w:color w:val="auto"/>
          <w:sz w:val="44"/>
          <w:szCs w:val="44"/>
          <w:highlight w:val="none"/>
        </w:rPr>
        <w:t>第</w:t>
      </w:r>
      <w:r>
        <w:rPr>
          <w:rStyle w:val="31"/>
          <w:rFonts w:hint="eastAsia" w:ascii="黑体" w:hAnsi="黑体" w:eastAsia="黑体"/>
          <w:b w:val="0"/>
          <w:color w:val="auto"/>
          <w:highlight w:val="none"/>
        </w:rPr>
        <w:t>五部分 附表</w:t>
      </w:r>
      <w:bookmarkEnd w:id="112"/>
      <w:bookmarkEnd w:id="114"/>
      <w:bookmarkEnd w:id="115"/>
      <w:bookmarkStart w:id="116" w:name="_Toc15396619"/>
    </w:p>
    <w:p>
      <w:pPr>
        <w:pStyle w:val="3"/>
        <w:rPr>
          <w:rFonts w:ascii="仿宋" w:hAnsi="仿宋" w:eastAsia="仿宋"/>
          <w:color w:val="auto"/>
          <w:highlight w:val="none"/>
        </w:rPr>
      </w:pPr>
      <w:bookmarkStart w:id="117" w:name="_Toc11348"/>
      <w:r>
        <w:rPr>
          <w:rFonts w:hint="eastAsia" w:ascii="仿宋" w:hAnsi="仿宋" w:eastAsia="仿宋"/>
          <w:b w:val="0"/>
          <w:color w:val="auto"/>
          <w:highlight w:val="none"/>
        </w:rPr>
        <w:t>一、收</w:t>
      </w:r>
      <w:r>
        <w:rPr>
          <w:rStyle w:val="32"/>
          <w:rFonts w:hint="eastAsia" w:ascii="仿宋" w:hAnsi="仿宋" w:eastAsia="仿宋"/>
          <w:b w:val="0"/>
          <w:bCs w:val="0"/>
          <w:color w:val="auto"/>
          <w:highlight w:val="none"/>
        </w:rPr>
        <w:t>入支出决算总表</w:t>
      </w:r>
      <w:bookmarkEnd w:id="116"/>
      <w:bookmarkEnd w:id="117"/>
    </w:p>
    <w:p>
      <w:pPr>
        <w:pStyle w:val="3"/>
        <w:rPr>
          <w:rFonts w:ascii="仿宋" w:hAnsi="仿宋" w:eastAsia="仿宋"/>
          <w:color w:val="auto"/>
          <w:highlight w:val="none"/>
        </w:rPr>
      </w:pPr>
      <w:bookmarkStart w:id="118" w:name="_Toc15396620"/>
      <w:bookmarkStart w:id="119" w:name="_Toc24951"/>
      <w:r>
        <w:rPr>
          <w:rFonts w:hint="eastAsia" w:ascii="仿宋" w:hAnsi="仿宋" w:eastAsia="仿宋"/>
          <w:b w:val="0"/>
          <w:color w:val="auto"/>
          <w:highlight w:val="none"/>
        </w:rPr>
        <w:t>二、收</w:t>
      </w:r>
      <w:r>
        <w:rPr>
          <w:rStyle w:val="32"/>
          <w:rFonts w:hint="eastAsia" w:ascii="仿宋" w:hAnsi="仿宋" w:eastAsia="仿宋"/>
          <w:b w:val="0"/>
          <w:bCs w:val="0"/>
          <w:color w:val="auto"/>
          <w:highlight w:val="none"/>
        </w:rPr>
        <w:t>入决算表</w:t>
      </w:r>
      <w:bookmarkEnd w:id="118"/>
      <w:bookmarkEnd w:id="119"/>
    </w:p>
    <w:p>
      <w:pPr>
        <w:pStyle w:val="3"/>
        <w:rPr>
          <w:rFonts w:ascii="仿宋" w:hAnsi="仿宋" w:eastAsia="仿宋"/>
          <w:color w:val="auto"/>
          <w:highlight w:val="none"/>
        </w:rPr>
      </w:pPr>
      <w:bookmarkStart w:id="120" w:name="_Toc15396621"/>
      <w:bookmarkStart w:id="121" w:name="_Toc5191"/>
      <w:r>
        <w:rPr>
          <w:rStyle w:val="32"/>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32"/>
          <w:rFonts w:hint="eastAsia" w:ascii="仿宋" w:hAnsi="仿宋" w:eastAsia="仿宋"/>
          <w:b w:val="0"/>
          <w:bCs w:val="0"/>
          <w:color w:val="auto"/>
          <w:highlight w:val="none"/>
        </w:rPr>
        <w:t>出决算表</w:t>
      </w:r>
      <w:bookmarkEnd w:id="120"/>
      <w:bookmarkEnd w:id="121"/>
    </w:p>
    <w:p>
      <w:pPr>
        <w:pStyle w:val="3"/>
        <w:rPr>
          <w:rFonts w:ascii="仿宋" w:hAnsi="仿宋" w:eastAsia="仿宋"/>
          <w:b w:val="0"/>
          <w:color w:val="auto"/>
          <w:highlight w:val="none"/>
        </w:rPr>
      </w:pPr>
      <w:bookmarkStart w:id="122" w:name="_Toc15200"/>
      <w:bookmarkStart w:id="123" w:name="_Toc15396622"/>
      <w:r>
        <w:rPr>
          <w:rStyle w:val="32"/>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32"/>
          <w:rFonts w:hint="eastAsia" w:ascii="仿宋" w:hAnsi="仿宋" w:eastAsia="仿宋"/>
          <w:b w:val="0"/>
          <w:bCs w:val="0"/>
          <w:color w:val="auto"/>
          <w:highlight w:val="none"/>
        </w:rPr>
        <w:t>政拨款收入支出决算总表</w:t>
      </w:r>
      <w:bookmarkEnd w:id="122"/>
      <w:bookmarkEnd w:id="123"/>
    </w:p>
    <w:p>
      <w:pPr>
        <w:pStyle w:val="3"/>
        <w:rPr>
          <w:rStyle w:val="32"/>
          <w:rFonts w:ascii="仿宋" w:hAnsi="仿宋" w:eastAsia="仿宋"/>
          <w:b w:val="0"/>
          <w:bCs w:val="0"/>
          <w:color w:val="auto"/>
          <w:highlight w:val="none"/>
        </w:rPr>
      </w:pPr>
      <w:bookmarkStart w:id="124" w:name="_Toc15396623"/>
      <w:bookmarkStart w:id="125" w:name="_Toc9450"/>
      <w:r>
        <w:rPr>
          <w:rStyle w:val="32"/>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32"/>
          <w:rFonts w:hint="eastAsia" w:ascii="仿宋" w:hAnsi="仿宋" w:eastAsia="仿宋"/>
          <w:b w:val="0"/>
          <w:bCs w:val="0"/>
          <w:color w:val="auto"/>
          <w:highlight w:val="none"/>
        </w:rPr>
        <w:t>政拨款支出决算明细表</w:t>
      </w:r>
      <w:bookmarkEnd w:id="124"/>
      <w:bookmarkEnd w:id="125"/>
      <w:bookmarkStart w:id="126" w:name="_Toc15396624"/>
    </w:p>
    <w:p>
      <w:pPr>
        <w:pStyle w:val="3"/>
        <w:rPr>
          <w:rFonts w:ascii="仿宋" w:hAnsi="仿宋" w:eastAsia="仿宋"/>
          <w:color w:val="auto"/>
          <w:highlight w:val="none"/>
        </w:rPr>
      </w:pPr>
      <w:bookmarkStart w:id="127" w:name="_Toc13179"/>
      <w:r>
        <w:rPr>
          <w:rStyle w:val="32"/>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32"/>
          <w:rFonts w:hint="eastAsia" w:ascii="仿宋" w:hAnsi="仿宋" w:eastAsia="仿宋"/>
          <w:b w:val="0"/>
          <w:bCs w:val="0"/>
          <w:color w:val="auto"/>
          <w:highlight w:val="none"/>
        </w:rPr>
        <w:t>般公共预算财政拨款支出决算表</w:t>
      </w:r>
      <w:bookmarkEnd w:id="126"/>
      <w:bookmarkEnd w:id="127"/>
    </w:p>
    <w:p>
      <w:pPr>
        <w:pStyle w:val="3"/>
        <w:rPr>
          <w:rFonts w:ascii="仿宋" w:hAnsi="仿宋" w:eastAsia="仿宋"/>
          <w:color w:val="auto"/>
          <w:highlight w:val="none"/>
        </w:rPr>
      </w:pPr>
      <w:bookmarkStart w:id="128" w:name="_Toc12080"/>
      <w:bookmarkStart w:id="129" w:name="_Toc15396625"/>
      <w:r>
        <w:rPr>
          <w:rStyle w:val="32"/>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32"/>
          <w:rFonts w:hint="eastAsia" w:ascii="仿宋" w:hAnsi="仿宋" w:eastAsia="仿宋"/>
          <w:b w:val="0"/>
          <w:bCs w:val="0"/>
          <w:color w:val="auto"/>
          <w:highlight w:val="none"/>
        </w:rPr>
        <w:t>般公共预算财政拨款支出决算明细表</w:t>
      </w:r>
      <w:bookmarkEnd w:id="128"/>
      <w:bookmarkEnd w:id="129"/>
    </w:p>
    <w:p>
      <w:pPr>
        <w:pStyle w:val="3"/>
        <w:rPr>
          <w:rFonts w:ascii="仿宋" w:hAnsi="仿宋" w:eastAsia="仿宋"/>
          <w:color w:val="auto"/>
          <w:highlight w:val="none"/>
        </w:rPr>
      </w:pPr>
      <w:bookmarkStart w:id="130" w:name="_Toc15396626"/>
      <w:bookmarkStart w:id="131" w:name="_Toc27401"/>
      <w:r>
        <w:rPr>
          <w:rStyle w:val="32"/>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32"/>
          <w:rFonts w:hint="eastAsia" w:ascii="仿宋" w:hAnsi="仿宋" w:eastAsia="仿宋"/>
          <w:b w:val="0"/>
          <w:bCs w:val="0"/>
          <w:color w:val="auto"/>
          <w:highlight w:val="none"/>
        </w:rPr>
        <w:t>般公共预算财政拨款基本支出决算表</w:t>
      </w:r>
      <w:bookmarkEnd w:id="130"/>
      <w:bookmarkEnd w:id="131"/>
    </w:p>
    <w:p>
      <w:pPr>
        <w:pStyle w:val="3"/>
        <w:rPr>
          <w:rFonts w:ascii="仿宋" w:hAnsi="仿宋" w:eastAsia="仿宋"/>
          <w:color w:val="auto"/>
          <w:highlight w:val="none"/>
        </w:rPr>
      </w:pPr>
      <w:bookmarkStart w:id="132" w:name="_Toc31489"/>
      <w:bookmarkStart w:id="133" w:name="_Toc15396627"/>
      <w:r>
        <w:rPr>
          <w:rStyle w:val="32"/>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32"/>
          <w:rFonts w:hint="eastAsia" w:ascii="仿宋" w:hAnsi="仿宋" w:eastAsia="仿宋"/>
          <w:b w:val="0"/>
          <w:bCs w:val="0"/>
          <w:color w:val="auto"/>
          <w:highlight w:val="none"/>
        </w:rPr>
        <w:t>般公共预算财政拨款项目支出决算表</w:t>
      </w:r>
      <w:bookmarkEnd w:id="132"/>
      <w:bookmarkEnd w:id="133"/>
    </w:p>
    <w:p>
      <w:pPr>
        <w:pStyle w:val="3"/>
        <w:rPr>
          <w:rFonts w:ascii="仿宋" w:hAnsi="仿宋" w:eastAsia="仿宋"/>
          <w:color w:val="auto"/>
          <w:highlight w:val="none"/>
        </w:rPr>
      </w:pPr>
      <w:bookmarkStart w:id="134" w:name="_Toc15396628"/>
      <w:bookmarkStart w:id="135" w:name="_Toc20286"/>
      <w:r>
        <w:rPr>
          <w:rStyle w:val="32"/>
          <w:rFonts w:hint="eastAsia" w:ascii="仿宋" w:hAnsi="仿宋" w:eastAsia="仿宋"/>
          <w:b w:val="0"/>
          <w:bCs w:val="0"/>
          <w:color w:val="auto"/>
          <w:highlight w:val="none"/>
        </w:rPr>
        <w:t>十、</w:t>
      </w:r>
      <w:bookmarkEnd w:id="134"/>
      <w:r>
        <w:rPr>
          <w:rFonts w:hint="eastAsia" w:ascii="仿宋" w:hAnsi="仿宋" w:eastAsia="仿宋"/>
          <w:b w:val="0"/>
          <w:color w:val="auto"/>
          <w:highlight w:val="none"/>
        </w:rPr>
        <w:t>政</w:t>
      </w:r>
      <w:r>
        <w:rPr>
          <w:rStyle w:val="32"/>
          <w:rFonts w:hint="eastAsia" w:ascii="仿宋" w:hAnsi="仿宋" w:eastAsia="仿宋"/>
          <w:b w:val="0"/>
          <w:bCs w:val="0"/>
          <w:color w:val="auto"/>
          <w:highlight w:val="none"/>
        </w:rPr>
        <w:t>府性基金预算财政拨款收入支出决算表</w:t>
      </w:r>
      <w:bookmarkEnd w:id="135"/>
    </w:p>
    <w:p>
      <w:pPr>
        <w:pStyle w:val="3"/>
        <w:rPr>
          <w:rFonts w:ascii="仿宋" w:hAnsi="仿宋" w:eastAsia="仿宋"/>
          <w:color w:val="auto"/>
          <w:highlight w:val="none"/>
        </w:rPr>
      </w:pPr>
      <w:bookmarkStart w:id="136" w:name="_Toc15396629"/>
      <w:bookmarkStart w:id="137" w:name="_Toc6667"/>
      <w:r>
        <w:rPr>
          <w:rStyle w:val="32"/>
          <w:rFonts w:hint="eastAsia" w:ascii="仿宋" w:hAnsi="仿宋" w:eastAsia="仿宋"/>
          <w:b w:val="0"/>
          <w:bCs w:val="0"/>
          <w:color w:val="auto"/>
          <w:highlight w:val="none"/>
        </w:rPr>
        <w:t>十一、</w:t>
      </w:r>
      <w:bookmarkEnd w:id="136"/>
      <w:r>
        <w:rPr>
          <w:rFonts w:hint="eastAsia" w:ascii="仿宋" w:hAnsi="仿宋" w:eastAsia="仿宋"/>
          <w:b w:val="0"/>
          <w:color w:val="auto"/>
          <w:highlight w:val="none"/>
        </w:rPr>
        <w:t>国</w:t>
      </w:r>
      <w:r>
        <w:rPr>
          <w:rStyle w:val="32"/>
          <w:rFonts w:hint="eastAsia" w:ascii="仿宋" w:hAnsi="仿宋" w:eastAsia="仿宋"/>
          <w:b w:val="0"/>
          <w:bCs w:val="0"/>
          <w:color w:val="auto"/>
          <w:highlight w:val="none"/>
        </w:rPr>
        <w:t>有资本经营预算</w:t>
      </w:r>
      <w:r>
        <w:rPr>
          <w:rStyle w:val="32"/>
          <w:rFonts w:hint="eastAsia" w:ascii="仿宋" w:hAnsi="仿宋" w:eastAsia="仿宋"/>
          <w:b w:val="0"/>
          <w:bCs w:val="0"/>
          <w:color w:val="auto"/>
          <w:highlight w:val="none"/>
          <w:lang w:eastAsia="zh-CN"/>
        </w:rPr>
        <w:t>财政拨款收入</w:t>
      </w:r>
      <w:r>
        <w:rPr>
          <w:rStyle w:val="32"/>
          <w:rFonts w:hint="eastAsia" w:ascii="仿宋" w:hAnsi="仿宋" w:eastAsia="仿宋"/>
          <w:b w:val="0"/>
          <w:bCs w:val="0"/>
          <w:color w:val="auto"/>
          <w:highlight w:val="none"/>
        </w:rPr>
        <w:t>支出决算表</w:t>
      </w:r>
      <w:bookmarkEnd w:id="137"/>
    </w:p>
    <w:p>
      <w:pPr>
        <w:pStyle w:val="3"/>
        <w:rPr>
          <w:rFonts w:ascii="仿宋" w:hAnsi="仿宋" w:eastAsia="仿宋"/>
          <w:color w:val="auto"/>
          <w:highlight w:val="none"/>
        </w:rPr>
      </w:pPr>
      <w:bookmarkStart w:id="138" w:name="_Toc15396630"/>
      <w:bookmarkStart w:id="139" w:name="_Toc10057"/>
      <w:r>
        <w:rPr>
          <w:rStyle w:val="32"/>
          <w:rFonts w:hint="eastAsia" w:ascii="仿宋" w:hAnsi="仿宋" w:eastAsia="仿宋"/>
          <w:b w:val="0"/>
          <w:bCs w:val="0"/>
          <w:color w:val="auto"/>
          <w:highlight w:val="none"/>
        </w:rPr>
        <w:t>十二、</w:t>
      </w:r>
      <w:bookmarkEnd w:id="138"/>
      <w:r>
        <w:rPr>
          <w:rStyle w:val="32"/>
          <w:rFonts w:hint="eastAsia" w:ascii="仿宋" w:hAnsi="仿宋" w:eastAsia="仿宋"/>
          <w:b w:val="0"/>
          <w:bCs w:val="0"/>
          <w:color w:val="auto"/>
          <w:highlight w:val="none"/>
          <w:lang w:eastAsia="zh-CN"/>
        </w:rPr>
        <w:t>国有资本经营预算财政拨款支出决算表</w:t>
      </w:r>
      <w:bookmarkEnd w:id="139"/>
    </w:p>
    <w:p>
      <w:pPr>
        <w:pStyle w:val="3"/>
        <w:rPr>
          <w:rFonts w:hint="eastAsia" w:eastAsia="仿宋"/>
          <w:color w:val="auto"/>
          <w:highlight w:val="none"/>
          <w:lang w:eastAsia="zh-CN"/>
        </w:rPr>
      </w:pPr>
      <w:bookmarkStart w:id="140" w:name="_Toc15396631"/>
      <w:bookmarkStart w:id="141" w:name="_Toc10766"/>
      <w:r>
        <w:rPr>
          <w:rStyle w:val="32"/>
          <w:rFonts w:hint="eastAsia" w:ascii="仿宋" w:hAnsi="仿宋" w:eastAsia="仿宋"/>
          <w:b w:val="0"/>
          <w:bCs w:val="0"/>
          <w:color w:val="auto"/>
          <w:highlight w:val="none"/>
        </w:rPr>
        <w:t>十三、</w:t>
      </w:r>
      <w:bookmarkEnd w:id="140"/>
      <w:r>
        <w:rPr>
          <w:rStyle w:val="32"/>
          <w:rFonts w:hint="eastAsia" w:ascii="仿宋" w:hAnsi="仿宋" w:eastAsia="仿宋"/>
          <w:b w:val="0"/>
          <w:bCs w:val="0"/>
          <w:color w:val="auto"/>
          <w:highlight w:val="none"/>
          <w:lang w:eastAsia="zh-CN"/>
        </w:rPr>
        <w:t>财政拨款“三公”经费支出决算表</w:t>
      </w:r>
      <w:bookmarkEnd w:id="141"/>
    </w:p>
    <w:sectPr>
      <w:footerReference r:id="rId7"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Cambria">
    <w:panose1 w:val="02040503050406030204"/>
    <w:charset w:val="00"/>
    <w:family w:val="auto"/>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
    <w:altName w:val="Times New Roman"/>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auto"/>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hint="default"/>
        <w:lang w:val="en-US"/>
      </w:rPr>
      <w:id w:val="-1994781956"/>
    </w:sdtPr>
    <w:sdtEndPr>
      <w:rPr>
        <w:rFonts w:hint="default"/>
        <w:lang w:val="en-US"/>
      </w:rPr>
    </w:sdtEndPr>
    <w:sdtContent>
      <w:p>
        <w:pPr>
          <w:pStyle w:val="11"/>
          <w:jc w:val="center"/>
        </w:pPr>
        <w:r>
          <w:rPr>
            <w:rFonts w:hint="eastAsia"/>
            <w:lang w:val="en-US" w:eastAsia="zh-CN"/>
          </w:rPr>
          <w:t>2</w:t>
        </w:r>
      </w:p>
    </w:sdtContent>
  </w:sdt>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3"/>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style>
                      <a:lnRef idx="0">
                        <a:srgbClr val="FFFFFF"/>
                      </a:lnRef>
                      <a:fillRef idx="0">
                        <a:srgbClr val="FFFFFF"/>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rtlCol="0" anchor="t" upright="0">
                      <a:spAutoFit/>
                    </wps:bodyPr>
                  </wps:wsp>
                </a:graphicData>
              </a:graphic>
            </wp:anchor>
          </w:drawing>
        </mc:Choice>
        <mc:Fallback>
          <w:pict>
            <v:rect id="文本框 3"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Ll1uVLQAAAABQEAAA8AAAAAAAAAAQAgAAAAIgAAAGRycy9kb3ducmV2Lnht&#10;bFBLAQIUABQAAAAIAIdO4kBLTkLkAQIAAAoEAAAOAAAAAAAAAAEAIAAAAB8BAABkcnMvZTJvRG9j&#10;LnhtbFBLBQYAAAAABgAGAFkBAACSBQAAAAA=&#10;">
              <v:fill on="f" focussize="0,0"/>
              <v:stroke on="f"/>
              <v:imagedata o:title=""/>
              <o:lock v:ext="edit" aspectratio="f"/>
              <v:textbox inset="0mm,0mm,0mm,0mm" style="mso-fit-shape-to-text:t;">
                <w:txbxContent>
                  <w:p>
                    <w:pPr>
                      <w:pStyle w:val="11"/>
                    </w:pPr>
                    <w:r>
                      <w:fldChar w:fldCharType="begin"/>
                    </w:r>
                    <w:r>
                      <w:instrText xml:space="preserve"> PAGE  \* MERGEFORMAT </w:instrText>
                    </w:r>
                    <w:r>
                      <w:fldChar w:fldCharType="separate"/>
                    </w:r>
                    <w:r>
                      <w:t>2</w:t>
                    </w:r>
                    <w:r>
                      <w:fldChar w:fldCharType="end"/>
                    </w: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5"/>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style>
                      <a:lnRef idx="0">
                        <a:srgbClr val="FFFFFF"/>
                      </a:lnRef>
                      <a:fillRef idx="0">
                        <a:srgbClr val="FFFFFF"/>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rtlCol="0" anchor="t" upright="0">
                      <a:spAutoFit/>
                    </wps:bodyPr>
                  </wps:wsp>
                </a:graphicData>
              </a:graphic>
            </wp:anchor>
          </w:drawing>
        </mc:Choice>
        <mc:Fallback>
          <w:pict>
            <v:rect id="文本框 5"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Ll1uVLQAAAABQEAAA8AAAAAAAAAAQAgAAAAIgAAAGRycy9kb3ducmV2Lnht&#10;bFBLAQIUABQAAAAIAIdO4kBqbUGYAQIAAAoEAAAOAAAAAAAAAAEAIAAAAB8BAABkcnMvZTJvRG9j&#10;LnhtbFBLBQYAAAAABgAGAFkBAACSBQAAAAA=&#10;">
              <v:fill on="f" focussize="0,0"/>
              <v:stroke on="f"/>
              <v:imagedata o:title=""/>
              <o:lock v:ext="edit" aspectratio="f"/>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rect>
          </w:pict>
        </mc:Fallback>
      </mc:AlternateContent>
    </w:r>
    <w:r>
      <w:rPr>
        <w:rFonts w:hint="eastAsia"/>
        <w:lang w:eastAsia="zh-CN"/>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both"/>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9"/>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style>
                      <a:lnRef idx="0">
                        <a:srgbClr val="FFFFFF"/>
                      </a:lnRef>
                      <a:fillRef idx="0">
                        <a:srgbClr val="FFFFFF"/>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rtlCol="0" anchor="t" upright="0">
                      <a:spAutoFit/>
                    </wps:bodyPr>
                  </wps:wsp>
                </a:graphicData>
              </a:graphic>
            </wp:anchor>
          </w:drawing>
        </mc:Choice>
        <mc:Fallback>
          <w:pict>
            <v:rect id="文本框 9" o:spid="_x0000_s1026" o:spt="1"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Ll1uVLQAAAABQEAAA8AAAAAAAAAAQAgAAAAIgAAAGRycy9kb3ducmV2Lnht&#10;bFBLAQIUABQAAAAIAIdO4kDYddmDAQIAAAoEAAAOAAAAAAAAAAEAIAAAAB8BAABkcnMvZTJvRG9j&#10;LnhtbFBLBQYAAAAABgAGAFkBAACSBQAAAAA=&#10;">
              <v:fill on="f" focussize="0,0"/>
              <v:stroke on="f"/>
              <v:imagedata o:title=""/>
              <o:lock v:ext="edit" aspectratio="f"/>
              <v:textbox inset="0mm,0mm,0mm,0mm" style="mso-fit-shape-to-text:t;">
                <w:txbxContent>
                  <w:p>
                    <w:pPr>
                      <w:pStyle w:val="11"/>
                    </w:pPr>
                    <w:r>
                      <w:fldChar w:fldCharType="begin"/>
                    </w:r>
                    <w:r>
                      <w:instrText xml:space="preserve"> PAGE  \* MERGEFORMAT </w:instrText>
                    </w:r>
                    <w:r>
                      <w:fldChar w:fldCharType="separate"/>
                    </w:r>
                    <w:r>
                      <w:t>3</w:t>
                    </w:r>
                    <w:r>
                      <w:fldChar w:fldCharType="end"/>
                    </w:r>
                  </w:p>
                </w:txbxContent>
              </v:textbox>
            </v:rect>
          </w:pict>
        </mc:Fallback>
      </mc:AlternateContent>
    </w:r>
  </w:p>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9"/>
      <w:numFmt w:val="chineseCounting"/>
      <w:suff w:val="nothing"/>
      <w:lvlText w:val="%1、"/>
      <w:lvlJc w:val="left"/>
      <w:rPr>
        <w:rFonts w:hint="eastAsia"/>
      </w:rPr>
    </w:lvl>
  </w:abstractNum>
  <w:abstractNum w:abstractNumId="1">
    <w:nsid w:val="0053208E"/>
    <w:multiLevelType w:val="multilevel"/>
    <w:tmpl w:val="0053208E"/>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59ADCABA"/>
    <w:multiLevelType w:val="singleLevel"/>
    <w:tmpl w:val="59ADCABA"/>
    <w:lvl w:ilvl="0" w:tentative="0">
      <w:start w:val="3"/>
      <w:numFmt w:val="chineseCounting"/>
      <w:suff w:val="space"/>
      <w:lvlText w:val="第%1部分"/>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iNzA2ZjIyZTQwZmFmZGMwZjhhNjI3NTM3OGRmYjAifQ=="/>
  </w:docVars>
  <w:rsids>
    <w:rsidRoot w:val="00000000"/>
    <w:rsid w:val="40C34011"/>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1"/>
    <w:autoRedefine/>
    <w:qFormat/>
    <w:uiPriority w:val="9"/>
    <w:pPr>
      <w:keepNext/>
      <w:keepLines/>
      <w:spacing w:before="340" w:after="330" w:line="578" w:lineRule="auto"/>
      <w:jc w:val="center"/>
      <w:outlineLvl w:val="0"/>
    </w:pPr>
    <w:rPr>
      <w:rFonts w:ascii="Times New Roman" w:hAnsi="Times New Roman" w:eastAsia="宋体"/>
      <w:b/>
      <w:bCs/>
      <w:kern w:val="44"/>
      <w:sz w:val="44"/>
      <w:szCs w:val="44"/>
    </w:rPr>
  </w:style>
  <w:style w:type="paragraph" w:styleId="3">
    <w:name w:val="heading 2"/>
    <w:basedOn w:val="1"/>
    <w:next w:val="1"/>
    <w:link w:val="32"/>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5"/>
    <w:autoRedefine/>
    <w:unhideWhenUsed/>
    <w:qFormat/>
    <w:uiPriority w:val="9"/>
    <w:pPr>
      <w:keepNext/>
      <w:keepLines/>
      <w:spacing w:before="260" w:after="260" w:line="600" w:lineRule="exact"/>
      <w:ind w:firstLine="641"/>
      <w:outlineLvl w:val="2"/>
    </w:pPr>
    <w:rPr>
      <w:rFonts w:ascii="Times New Roman" w:hAnsi="Times New Roman" w:eastAsia="仿宋"/>
      <w:b/>
      <w:bCs/>
      <w:sz w:val="32"/>
      <w:szCs w:val="32"/>
    </w:rPr>
  </w:style>
  <w:style w:type="paragraph" w:styleId="5">
    <w:name w:val="heading 4"/>
    <w:basedOn w:val="1"/>
    <w:next w:val="1"/>
    <w:autoRedefine/>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9">
    <w:name w:val="Default Paragraph Font"/>
    <w:autoRedefine/>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Salutation"/>
    <w:basedOn w:val="1"/>
    <w:next w:val="1"/>
    <w:autoRedefine/>
    <w:qFormat/>
    <w:uiPriority w:val="0"/>
  </w:style>
  <w:style w:type="paragraph" w:styleId="7">
    <w:name w:val="Body Text"/>
    <w:basedOn w:val="1"/>
    <w:link w:val="28"/>
    <w:qFormat/>
    <w:uiPriority w:val="99"/>
    <w:pPr>
      <w:spacing w:beforeLines="30"/>
    </w:pPr>
    <w:rPr>
      <w:rFonts w:ascii="仿宋_GB2312" w:eastAsia="仿宋_GB2312"/>
      <w:kern w:val="0"/>
      <w:sz w:val="30"/>
    </w:rPr>
  </w:style>
  <w:style w:type="paragraph" w:styleId="8">
    <w:name w:val="Body Text Indent"/>
    <w:basedOn w:val="1"/>
    <w:qFormat/>
    <w:uiPriority w:val="0"/>
    <w:pPr>
      <w:spacing w:after="120"/>
      <w:ind w:leftChars="200"/>
    </w:pPr>
    <w:rPr>
      <w:rFonts w:ascii="仿宋_GB2312"/>
      <w:szCs w:val="32"/>
    </w:r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4"/>
    <w:semiHidden/>
    <w:unhideWhenUsed/>
    <w:qFormat/>
    <w:uiPriority w:val="99"/>
    <w:rPr>
      <w:sz w:val="18"/>
      <w:szCs w:val="18"/>
    </w:rPr>
  </w:style>
  <w:style w:type="paragraph" w:styleId="11">
    <w:name w:val="footer"/>
    <w:basedOn w:val="1"/>
    <w:link w:val="26"/>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4"/>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able of figures"/>
    <w:basedOn w:val="1"/>
    <w:next w:val="1"/>
    <w:qFormat/>
    <w:uiPriority w:val="0"/>
    <w:pPr>
      <w:spacing w:line="560" w:lineRule="exact"/>
      <w:ind w:left="200" w:leftChars="200" w:hanging="200" w:hangingChars="200"/>
    </w:pPr>
    <w:rPr>
      <w:rFonts w:ascii="Calibri" w:hAnsi="Calibri" w:eastAsia="宋体" w:cs="Times New Roman"/>
      <w:szCs w:val="24"/>
    </w:rPr>
  </w:style>
  <w:style w:type="paragraph" w:styleId="15">
    <w:name w:val="toc 2"/>
    <w:basedOn w:val="1"/>
    <w:next w:val="1"/>
    <w:unhideWhenUsed/>
    <w:qFormat/>
    <w:uiPriority w:val="39"/>
    <w:pPr>
      <w:tabs>
        <w:tab w:val="right" w:leader="dot" w:pos="8296"/>
      </w:tabs>
      <w:ind w:left="420" w:leftChars="200"/>
    </w:pPr>
  </w:style>
  <w:style w:type="paragraph" w:styleId="16">
    <w:name w:val="Body Text First Indent 2"/>
    <w:basedOn w:val="8"/>
    <w:unhideWhenUsed/>
    <w:qFormat/>
    <w:uiPriority w:val="99"/>
    <w:pPr>
      <w:ind w:firstLine="420" w:firstLineChars="200"/>
    </w:p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99"/>
    <w:rPr>
      <w:b/>
    </w:rPr>
  </w:style>
  <w:style w:type="character" w:styleId="21">
    <w:name w:val="Hyperlink"/>
    <w:basedOn w:val="19"/>
    <w:unhideWhenUsed/>
    <w:qFormat/>
    <w:uiPriority w:val="99"/>
    <w:rPr>
      <w:color w:val="0000FF" w:themeColor="hyperlink"/>
      <w:u w:val="single"/>
      <w14:textFill>
        <w14:solidFill>
          <w14:schemeClr w14:val="hlink"/>
        </w14:solidFill>
      </w14:textFill>
    </w:rPr>
  </w:style>
  <w:style w:type="paragraph" w:customStyle="1" w:styleId="22">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3">
    <w:name w:val="Header Char"/>
    <w:basedOn w:val="19"/>
    <w:semiHidden/>
    <w:qFormat/>
    <w:uiPriority w:val="99"/>
    <w:rPr>
      <w:rFonts w:ascii="Times New Roman" w:hAnsi="Times New Roman"/>
      <w:sz w:val="18"/>
      <w:szCs w:val="18"/>
    </w:rPr>
  </w:style>
  <w:style w:type="character" w:customStyle="1" w:styleId="24">
    <w:name w:val="页眉 Char"/>
    <w:link w:val="12"/>
    <w:semiHidden/>
    <w:qFormat/>
    <w:locked/>
    <w:uiPriority w:val="99"/>
    <w:rPr>
      <w:sz w:val="18"/>
    </w:rPr>
  </w:style>
  <w:style w:type="character" w:customStyle="1" w:styleId="25">
    <w:name w:val="Footer Char"/>
    <w:basedOn w:val="19"/>
    <w:semiHidden/>
    <w:qFormat/>
    <w:uiPriority w:val="99"/>
    <w:rPr>
      <w:rFonts w:ascii="Times New Roman" w:hAnsi="Times New Roman"/>
      <w:sz w:val="18"/>
      <w:szCs w:val="18"/>
    </w:rPr>
  </w:style>
  <w:style w:type="character" w:customStyle="1" w:styleId="26">
    <w:name w:val="页脚 Char"/>
    <w:link w:val="11"/>
    <w:qFormat/>
    <w:locked/>
    <w:uiPriority w:val="99"/>
    <w:rPr>
      <w:sz w:val="18"/>
    </w:rPr>
  </w:style>
  <w:style w:type="character" w:customStyle="1" w:styleId="27">
    <w:name w:val="Body Text Char"/>
    <w:basedOn w:val="19"/>
    <w:semiHidden/>
    <w:qFormat/>
    <w:uiPriority w:val="99"/>
    <w:rPr>
      <w:rFonts w:ascii="Times New Roman" w:hAnsi="Times New Roman"/>
      <w:szCs w:val="24"/>
    </w:rPr>
  </w:style>
  <w:style w:type="character" w:customStyle="1" w:styleId="28">
    <w:name w:val="正文文本 Char"/>
    <w:link w:val="7"/>
    <w:qFormat/>
    <w:locked/>
    <w:uiPriority w:val="99"/>
    <w:rPr>
      <w:rFonts w:ascii="仿宋_GB2312" w:hAnsi="Times New Roman" w:eastAsia="仿宋_GB2312"/>
      <w:sz w:val="24"/>
    </w:rPr>
  </w:style>
  <w:style w:type="paragraph" w:customStyle="1" w:styleId="29">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0">
    <w:name w:val="List Paragraph"/>
    <w:basedOn w:val="1"/>
    <w:qFormat/>
    <w:uiPriority w:val="34"/>
    <w:pPr>
      <w:ind w:firstLine="420" w:firstLineChars="200"/>
    </w:pPr>
  </w:style>
  <w:style w:type="character" w:customStyle="1" w:styleId="31">
    <w:name w:val="标题 1 Char"/>
    <w:basedOn w:val="19"/>
    <w:link w:val="2"/>
    <w:qFormat/>
    <w:uiPriority w:val="9"/>
    <w:rPr>
      <w:rFonts w:ascii="Times New Roman" w:hAnsi="Times New Roman" w:eastAsia="宋体"/>
      <w:b/>
      <w:bCs/>
      <w:kern w:val="44"/>
      <w:sz w:val="44"/>
      <w:szCs w:val="44"/>
    </w:rPr>
  </w:style>
  <w:style w:type="character" w:customStyle="1" w:styleId="32">
    <w:name w:val="标题 2 Char"/>
    <w:basedOn w:val="19"/>
    <w:link w:val="3"/>
    <w:qFormat/>
    <w:uiPriority w:val="9"/>
    <w:rPr>
      <w:rFonts w:asciiTheme="majorHAnsi" w:hAnsiTheme="majorHAnsi" w:eastAsiaTheme="majorEastAsia" w:cstheme="majorBidi"/>
      <w:b/>
      <w:bCs/>
      <w:kern w:val="2"/>
      <w:sz w:val="32"/>
      <w:szCs w:val="32"/>
    </w:rPr>
  </w:style>
  <w:style w:type="paragraph" w:customStyle="1" w:styleId="33">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4">
    <w:name w:val="批注框文本 Char"/>
    <w:basedOn w:val="19"/>
    <w:link w:val="10"/>
    <w:semiHidden/>
    <w:qFormat/>
    <w:uiPriority w:val="99"/>
    <w:rPr>
      <w:rFonts w:ascii="Times New Roman" w:hAnsi="Times New Roman"/>
      <w:kern w:val="2"/>
      <w:sz w:val="18"/>
      <w:szCs w:val="18"/>
    </w:rPr>
  </w:style>
  <w:style w:type="character" w:customStyle="1" w:styleId="35">
    <w:name w:val="标题 3 Char"/>
    <w:basedOn w:val="19"/>
    <w:link w:val="4"/>
    <w:qFormat/>
    <w:uiPriority w:val="9"/>
    <w:rPr>
      <w:rFonts w:ascii="Times New Roman" w:hAnsi="Times New Roman" w:eastAsia="仿宋"/>
      <w:b/>
      <w:bCs/>
      <w:kern w:val="2"/>
      <w:sz w:val="32"/>
      <w:szCs w:val="32"/>
    </w:rPr>
  </w:style>
  <w:style w:type="paragraph" w:customStyle="1" w:styleId="36">
    <w:name w:val="TOC Heading"/>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7">
    <w:name w:val="四号正文"/>
    <w:basedOn w:val="1"/>
    <w:qFormat/>
    <w:uiPriority w:val="0"/>
    <w:pPr>
      <w:spacing w:line="360" w:lineRule="auto"/>
    </w:pPr>
    <w:rPr>
      <w:rFonts w:ascii="??" w:hAnsi="??" w:eastAsia="宋体"/>
      <w:color w:val="000000"/>
      <w:kern w:val="0"/>
      <w:sz w:val="28"/>
      <w:szCs w:val="21"/>
      <w:lang w:val="zh-CN" w:eastAsia="zh-CN"/>
    </w:rPr>
  </w:style>
  <w:style w:type="paragraph" w:customStyle="1" w:styleId="38">
    <w:name w:val="Table Paragraph"/>
    <w:basedOn w:val="1"/>
    <w:qFormat/>
    <w:uiPriority w:val="1"/>
    <w:pPr>
      <w:jc w:val="center"/>
    </w:pPr>
    <w:rPr>
      <w:rFonts w:ascii="宋体" w:hAnsi="宋体" w:eastAsia="宋体" w:cs="宋体"/>
      <w:lang w:val="en-US" w:eastAsia="zh-CN" w:bidi="ar-SA"/>
    </w:rPr>
  </w:style>
  <w:style w:type="character" w:customStyle="1" w:styleId="39">
    <w:name w:val="font61"/>
    <w:basedOn w:val="19"/>
    <w:qFormat/>
    <w:uiPriority w:val="0"/>
    <w:rPr>
      <w:rFonts w:ascii="宋体" w:hAnsi="宋体" w:eastAsia="宋体" w:cs="宋体"/>
      <w:b/>
      <w:bCs/>
      <w:color w:val="000000"/>
      <w:sz w:val="18"/>
      <w:szCs w:val="18"/>
      <w:u w:val="none"/>
    </w:rPr>
  </w:style>
  <w:style w:type="character" w:customStyle="1" w:styleId="40">
    <w:name w:val="20"/>
    <w:basedOn w:val="19"/>
    <w:qFormat/>
    <w:uiPriority w:val="0"/>
    <w:rPr>
      <w:rFonts w:hint="default" w:ascii="Times New Roman" w:hAnsi="Times New Roman" w:eastAsia="楷体_GB2312" w:cs="楷体_GB2312"/>
      <w:sz w:val="32"/>
      <w:szCs w:val="32"/>
    </w:rPr>
  </w:style>
  <w:style w:type="character" w:customStyle="1" w:styleId="41">
    <w:name w:val="font11"/>
    <w:basedOn w:val="19"/>
    <w:qFormat/>
    <w:uiPriority w:val="0"/>
    <w:rPr>
      <w:rFonts w:hint="eastAsia" w:ascii="宋体" w:hAnsi="宋体" w:eastAsia="宋体" w:cs="宋体"/>
      <w:color w:val="000000"/>
      <w:sz w:val="20"/>
      <w:szCs w:val="20"/>
      <w:u w:val="none"/>
    </w:rPr>
  </w:style>
  <w:style w:type="paragraph" w:customStyle="1" w:styleId="42">
    <w:name w:val="WPSOffice手动目录 2"/>
    <w:qFormat/>
    <w:uiPriority w:val="0"/>
    <w:pPr>
      <w:ind w:left="200" w:left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4.xml"/><Relationship Id="rId2" Type="http://schemas.openxmlformats.org/officeDocument/2006/relationships/settings" Target="settings.xml"/><Relationship Id="rId19" Type="http://schemas.openxmlformats.org/officeDocument/2006/relationships/customXml" Target="../customXml/item3.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chart" Target="charts/chart7.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4603383149943"/>
          <c:y val="0.0833333333333333"/>
          <c:w val="0.860469699458039"/>
          <c:h val="0.765466666666667"/>
        </c:manualLayout>
      </c:layout>
      <c:barChart>
        <c:barDir val="col"/>
        <c:grouping val="clustered"/>
        <c:varyColors val="0"/>
        <c:ser>
          <c:idx val="0"/>
          <c:order val="0"/>
          <c:tx>
            <c:strRef>
              <c:f>Sheet1!$B$1</c:f>
              <c:strCache>
                <c:ptCount val="1"/>
                <c:pt idx="0">
                  <c:v>系列 1</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numRef>
              <c:extLst>
                <c:ext xmlns:c15="http://schemas.microsoft.com/office/drawing/2012/chart" uri="{02D57815-91ED-43cb-92C2-25804820EDAC}">
                  <c15:fullRef>
                    <c15:sqref>Sheet1!$A$2:$A$5</c15:sqref>
                  </c15:fullRef>
                </c:ext>
              </c:extLst>
              <c:f>Sheet1!$A$2:$A$3</c:f>
              <c:numCache>
                <c:formatCode>General</c:formatCode>
                <c:ptCount val="2"/>
                <c:pt idx="0">
                  <c:v>2021</c:v>
                </c:pt>
                <c:pt idx="1">
                  <c:v>2022</c:v>
                </c:pt>
              </c:numCache>
            </c:numRef>
          </c:cat>
          <c:val>
            <c:numRef>
              <c:extLst>
                <c:ext xmlns:c15="http://schemas.microsoft.com/office/drawing/2012/chart" uri="{02D57815-91ED-43cb-92C2-25804820EDAC}">
                  <c15:fullRef>
                    <c15:sqref>Sheet1!$B$2:$B$5</c15:sqref>
                  </c15:fullRef>
                </c:ext>
              </c:extLst>
              <c:f>Sheet1!$B$2:$B$3</c:f>
              <c:numCache>
                <c:formatCode>General</c:formatCode>
                <c:ptCount val="2"/>
                <c:pt idx="0">
                  <c:v>918.62</c:v>
                </c:pt>
                <c:pt idx="1">
                  <c:v>1081.2</c:v>
                </c:pt>
              </c:numCache>
            </c:numRef>
          </c:val>
        </c:ser>
        <c:dLbls>
          <c:showLegendKey val="0"/>
          <c:showVal val="0"/>
          <c:showCatName val="0"/>
          <c:showSerName val="0"/>
          <c:showPercent val="0"/>
          <c:showBubbleSize val="0"/>
        </c:dLbls>
        <c:gapWidth val="246"/>
        <c:overlap val="-28"/>
        <c:axId val="182159186"/>
        <c:axId val="695159260"/>
        <c:extLst>
          <c:ext xmlns:c15="http://schemas.microsoft.com/office/drawing/2012/chart" uri="{02D57815-91ED-43cb-92C2-25804820EDAC}">
            <c15:filteredBarSeries>
              <c15:ser>
                <c:idx val="1"/>
                <c:order val="1"/>
                <c:tx>
                  <c:strRef>
                    <c:extLst>
                      <c:ext uri="{02D57815-91ED-43cb-92C2-25804820EDAC}">
                        <c15:formulaRef>
                          <c15:sqref>Sheet1!$C$1</c15:sqref>
                        </c15:formulaRef>
                      </c:ext>
                    </c:extLst>
                    <c:strCache>
                      <c:ptCount val="1"/>
                      <c:pt idx="0">
                        <c:v>系列 2</c:v>
                      </c:pt>
                    </c:strCache>
                  </c:strRef>
                </c:tx>
                <c:spPr>
                  <a:solidFill>
                    <a:schemeClr val="accent2"/>
                  </a:solidFill>
                  <a:ln>
                    <a:noFill/>
                  </a:ln>
                  <a:effectLst/>
                </c:spPr>
                <c:invertIfNegative val="0"/>
                <c:dLbls>
                  <c:delete val="1"/>
                </c:dLbls>
                <c:cat>
                  <c:numRef>
                    <c:extLst>
                      <c:ext uri="{02D57815-91ED-43cb-92C2-25804820EDAC}">
                        <c15:fullRef>
                          <c15:sqref>Sheet1!$A$2:$A$5</c15:sqref>
                        </c15:fullRef>
                        <c15:formulaRef>
                          <c15:sqref>Sheet1!$A$2:$A$3</c15:sqref>
                        </c15:formulaRef>
                      </c:ext>
                    </c:extLst>
                    <c:numCache>
                      <c:formatCode>General</c:formatCode>
                      <c:ptCount val="2"/>
                      <c:pt idx="0">
                        <c:v>2021</c:v>
                      </c:pt>
                      <c:pt idx="1">
                        <c:v>2022</c:v>
                      </c:pt>
                    </c:numCache>
                  </c:numRef>
                </c:cat>
                <c:val>
                  <c:numRef>
                    <c:extLst>
                      <c:ext uri="{02D57815-91ED-43cb-92C2-25804820EDAC}">
                        <c15:fullRef>
                          <c15:sqref>Sheet1!$C$2:$C$5</c15:sqref>
                        </c15:fullRef>
                        <c15:formulaRef>
                          <c15:sqref>Sheet1!$C$2:$C$3</c15:sqref>
                        </c15:formulaRef>
                      </c:ext>
                    </c:extLst>
                    <c:numCache>
                      <c:formatCode>General</c:formatCode>
                      <c:ptCount val="2"/>
                      <c:pt idx="0">
                        <c:v>2.4</c:v>
                      </c:pt>
                      <c:pt idx="1">
                        <c:v>4.4</c:v>
                      </c:pt>
                    </c:numCache>
                  </c:numRef>
                </c:val>
              </c15:ser>
            </c15:filteredBarSeries>
            <c15:filteredBarSeries>
              <c15:ser>
                <c:idx val="2"/>
                <c:order val="2"/>
                <c:tx>
                  <c:strRef>
                    <c:extLst>
                      <c:ext uri="{02D57815-91ED-43cb-92C2-25804820EDAC}">
                        <c15:formulaRef>
                          <c15:sqref>Sheet1!$D$1</c15:sqref>
                        </c15:formulaRef>
                      </c:ext>
                    </c:extLst>
                    <c:strCache>
                      <c:ptCount val="1"/>
                      <c:pt idx="0">
                        <c:v>系列 3</c:v>
                      </c:pt>
                    </c:strCache>
                  </c:strRef>
                </c:tx>
                <c:spPr>
                  <a:solidFill>
                    <a:schemeClr val="accent3"/>
                  </a:solidFill>
                  <a:ln>
                    <a:noFill/>
                  </a:ln>
                  <a:effectLst/>
                </c:spPr>
                <c:invertIfNegative val="0"/>
                <c:dLbls>
                  <c:delete val="1"/>
                </c:dLbls>
                <c:cat>
                  <c:numRef>
                    <c:extLst>
                      <c:ext uri="{02D57815-91ED-43cb-92C2-25804820EDAC}">
                        <c15:fullRef>
                          <c15:sqref>Sheet1!$A$2:$A$5</c15:sqref>
                        </c15:fullRef>
                        <c15:formulaRef>
                          <c15:sqref>Sheet1!$A$2:$A$3</c15:sqref>
                        </c15:formulaRef>
                      </c:ext>
                    </c:extLst>
                    <c:numCache>
                      <c:formatCode>General</c:formatCode>
                      <c:ptCount val="2"/>
                      <c:pt idx="0">
                        <c:v>2021</c:v>
                      </c:pt>
                      <c:pt idx="1">
                        <c:v>2022</c:v>
                      </c:pt>
                    </c:numCache>
                  </c:numRef>
                </c:cat>
                <c:val>
                  <c:numRef>
                    <c:extLst>
                      <c:ext uri="{02D57815-91ED-43cb-92C2-25804820EDAC}">
                        <c15:fullRef>
                          <c15:sqref>Sheet1!$D$2:$D$5</c15:sqref>
                        </c15:fullRef>
                        <c15:formulaRef>
                          <c15:sqref>Sheet1!$D$2:$D$3</c15:sqref>
                        </c15:formulaRef>
                      </c:ext>
                    </c:extLst>
                    <c:numCache>
                      <c:formatCode>General</c:formatCode>
                      <c:ptCount val="2"/>
                      <c:pt idx="0">
                        <c:v>2</c:v>
                      </c:pt>
                      <c:pt idx="1">
                        <c:v>2</c:v>
                      </c:pt>
                    </c:numCache>
                  </c:numRef>
                </c:val>
              </c15:ser>
            </c15:filteredBarSeries>
          </c:ext>
        </c:extLst>
      </c:barChart>
      <c:catAx>
        <c:axId val="182159186"/>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95159260"/>
        <c:crosses val="autoZero"/>
        <c:auto val="1"/>
        <c:lblAlgn val="ctr"/>
        <c:lblOffset val="100"/>
        <c:noMultiLvlLbl val="0"/>
      </c:catAx>
      <c:valAx>
        <c:axId val="695159260"/>
        <c:scaling>
          <c:orientation val="minMax"/>
          <c:max val="1600"/>
          <c:min val="0"/>
        </c:scaling>
        <c:delete val="0"/>
        <c:axPos val="l"/>
        <c:majorGridlines>
          <c:spPr>
            <a:ln w="9525" cap="flat" cmpd="sng" algn="ctr">
              <a:solidFill>
                <a:schemeClr val="bg1">
                  <a:lumMod val="902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8215918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销售额</c:v>
                </c:pt>
              </c:strCache>
            </c:strRef>
          </c:tx>
          <c:explosion val="0"/>
          <c:dPt>
            <c:idx val="0"/>
            <c:bubble3D val="0"/>
            <c:spPr>
              <a:gradFill>
                <a:gsLst>
                  <a:gs pos="100000">
                    <a:schemeClr val="accent1">
                      <a:lumMod val="60000"/>
                      <a:lumOff val="40000"/>
                    </a:schemeClr>
                  </a:gs>
                  <a:gs pos="0">
                    <a:schemeClr val="accent1"/>
                  </a:gs>
                </a:gsLst>
                <a:lin ang="5400000" scaled="0"/>
              </a:gra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dk1">
                        <a:lumMod val="75000"/>
                        <a:lumOff val="25000"/>
                      </a:schemeClr>
                    </a:solidFill>
                    <a:latin typeface="+mn-lt"/>
                    <a:ea typeface="+mn-ea"/>
                    <a:cs typeface="+mn-cs"/>
                  </a:defRPr>
                </a:pPr>
              </a:p>
            </c:txPr>
            <c:dLblPos val="ct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prstDash val="solid"/>
                      <a:round/>
                    </a:ln>
                    <a:effectLst/>
                  </c:spPr>
                </c15:leaderLines>
              </c:ext>
            </c:extLst>
          </c:dLbls>
          <c:cat>
            <c:strRef>
              <c:extLst>
                <c:ext xmlns:c15="http://schemas.microsoft.com/office/drawing/2012/chart" uri="{02D57815-91ED-43cb-92C2-25804820EDAC}">
                  <c15:fullRef>
                    <c15:sqref>Sheet1!$A$2:$A$5</c15:sqref>
                  </c15:fullRef>
                </c:ext>
              </c:extLst>
              <c:f>Sheet1!$A$5</c:f>
              <c:strCache>
                <c:ptCount val="1"/>
                <c:pt idx="0">
                  <c:v>一般公共预算财政拨款收入</c:v>
                </c:pt>
              </c:strCache>
            </c:strRef>
          </c:cat>
          <c:val>
            <c:numRef>
              <c:extLst>
                <c:ext xmlns:c15="http://schemas.microsoft.com/office/drawing/2012/chart" uri="{02D57815-91ED-43cb-92C2-25804820EDAC}">
                  <c15:fullRef>
                    <c15:sqref>Sheet1!$B$2:$B$5</c15:sqref>
                  </c15:fullRef>
                </c:ext>
              </c:extLst>
              <c:f>Sheet1!$B$5</c:f>
              <c:numCache>
                <c:formatCode>0%</c:formatCode>
                <c:ptCount val="1"/>
                <c:pt idx="0">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solidFill>
          <a:schemeClr val="lt1">
            <a:alpha val="50000"/>
          </a:schemeClr>
        </a:solidFill>
        <a:ln>
          <a:noFill/>
        </a:ln>
        <a:effectLst/>
      </c:spPr>
      <c:txPr>
        <a:bodyPr rot="0" spcFirstLastPara="0" vertOverflow="ellipsis" vert="horz" wrap="square" anchor="ctr" anchorCtr="1" forceAA="0"/>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pattFill prst="dkDnDiag">
      <a:fgClr>
        <a:schemeClr val="lt1"/>
      </a:fgClr>
      <a:bgClr>
        <a:schemeClr val="dk1">
          <a:lumMod val="10000"/>
          <a:lumOff val="90000"/>
        </a:schemeClr>
      </a:bgClr>
    </a:pattFill>
    <a:ln w="9525" cap="flat" cmpd="sng" algn="ctr">
      <a:solidFill>
        <a:schemeClr val="dk1">
          <a:lumMod val="15000"/>
          <a:lumOff val="8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18410244020295"/>
          <c:y val="0.202294942626434"/>
          <c:w val="0.449867117661271"/>
          <c:h val="0.791330216744581"/>
        </c:manualLayout>
      </c:layout>
      <c:pieChart>
        <c:varyColors val="1"/>
        <c:ser>
          <c:idx val="0"/>
          <c:order val="0"/>
          <c:tx>
            <c:strRef>
              <c:f>Sheet1!$B$1</c:f>
              <c:strCache>
                <c:ptCount val="1"/>
                <c:pt idx="0">
                  <c:v>销售额</c:v>
                </c:pt>
              </c:strCache>
            </c:strRef>
          </c:tx>
          <c:explosion val="0"/>
          <c:dPt>
            <c:idx val="0"/>
            <c:bubble3D val="0"/>
            <c:spPr>
              <a:gradFill>
                <a:gsLst>
                  <a:gs pos="100000">
                    <a:schemeClr val="accent1">
                      <a:lumMod val="60000"/>
                      <a:lumOff val="40000"/>
                    </a:schemeClr>
                  </a:gs>
                  <a:gs pos="0">
                    <a:schemeClr val="accent1"/>
                  </a:gs>
                </a:gsLst>
                <a:lin ang="5400000" scaled="0"/>
              </a:gradFill>
              <a:ln w="19050">
                <a:solidFill>
                  <a:schemeClr val="lt1"/>
                </a:solidFill>
              </a:ln>
              <a:effectLst/>
            </c:spPr>
          </c:dPt>
          <c:dPt>
            <c:idx val="1"/>
            <c:bubble3D val="0"/>
            <c:spPr>
              <a:gradFill>
                <a:gsLst>
                  <a:gs pos="100000">
                    <a:schemeClr val="accent2">
                      <a:lumMod val="60000"/>
                      <a:lumOff val="40000"/>
                    </a:schemeClr>
                  </a:gs>
                  <a:gs pos="0">
                    <a:schemeClr val="accent2"/>
                  </a:gs>
                </a:gsLst>
                <a:lin ang="5400000" scaled="0"/>
              </a:gra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dk1">
                        <a:lumMod val="75000"/>
                        <a:lumOff val="25000"/>
                      </a:schemeClr>
                    </a:solidFill>
                    <a:latin typeface="+mn-lt"/>
                    <a:ea typeface="+mn-ea"/>
                    <a:cs typeface="+mn-cs"/>
                  </a:defRPr>
                </a:pPr>
              </a:p>
            </c:txPr>
            <c:dLblPos val="ct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prstDash val="solid"/>
                      <a:round/>
                    </a:ln>
                    <a:effectLst/>
                  </c:spPr>
                </c15:leaderLines>
              </c:ext>
            </c:extLst>
          </c:dLbls>
          <c:cat>
            <c:strRef>
              <c:extLst>
                <c:ext xmlns:c15="http://schemas.microsoft.com/office/drawing/2012/chart" uri="{02D57815-91ED-43cb-92C2-25804820EDAC}">
                  <c15:fullRef>
                    <c15:sqref>Sheet1!$A$2:$A$5</c15:sqref>
                  </c15:fullRef>
                </c:ext>
              </c:extLst>
              <c:f>(Sheet1!$A$2,Sheet1!$A$5)</c:f>
              <c:strCache>
                <c:ptCount val="2"/>
                <c:pt idx="0">
                  <c:v>基本支出</c:v>
                </c:pt>
                <c:pt idx="1">
                  <c:v>项目支出</c:v>
                </c:pt>
              </c:strCache>
            </c:strRef>
          </c:cat>
          <c:val>
            <c:numRef>
              <c:extLst>
                <c:ext xmlns:c15="http://schemas.microsoft.com/office/drawing/2012/chart" uri="{02D57815-91ED-43cb-92C2-25804820EDAC}">
                  <c15:fullRef>
                    <c15:sqref>Sheet1!$B$2:$B$5</c15:sqref>
                  </c15:fullRef>
                </c:ext>
              </c:extLst>
              <c:f>(Sheet1!$B$2,Sheet1!$B$5)</c:f>
              <c:numCache>
                <c:formatCode>0.00%</c:formatCode>
                <c:ptCount val="2"/>
                <c:pt idx="0">
                  <c:v>0.426</c:v>
                </c:pt>
                <c:pt idx="1">
                  <c:v>0.5784</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solidFill>
          <a:schemeClr val="lt1">
            <a:alpha val="50000"/>
          </a:schemeClr>
        </a:solidFill>
        <a:ln>
          <a:noFill/>
        </a:ln>
        <a:effectLst/>
      </c:spPr>
      <c:txPr>
        <a:bodyPr rot="0" spcFirstLastPara="0" vertOverflow="ellipsis" vert="horz" wrap="square" anchor="ctr" anchorCtr="1" forceAA="0"/>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pattFill prst="dkDnDiag">
      <a:fgClr>
        <a:schemeClr val="lt1"/>
      </a:fgClr>
      <a:bgClr>
        <a:schemeClr val="dk1">
          <a:lumMod val="10000"/>
          <a:lumOff val="90000"/>
        </a:schemeClr>
      </a:bgClr>
    </a:pattFill>
    <a:ln w="9525" cap="flat" cmpd="sng" algn="ctr">
      <a:solidFill>
        <a:schemeClr val="dk1">
          <a:lumMod val="15000"/>
          <a:lumOff val="8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系列 1</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numRef>
              <c:extLst>
                <c:ext xmlns:c15="http://schemas.microsoft.com/office/drawing/2012/chart" uri="{02D57815-91ED-43cb-92C2-25804820EDAC}">
                  <c15:fullRef>
                    <c15:sqref>Sheet1!$A$2:$A$5</c15:sqref>
                  </c15:fullRef>
                </c:ext>
              </c:extLst>
              <c:f>Sheet1!$A$2:$A$3</c:f>
              <c:numCache>
                <c:formatCode>General</c:formatCode>
                <c:ptCount val="2"/>
                <c:pt idx="0">
                  <c:v>2021</c:v>
                </c:pt>
                <c:pt idx="1">
                  <c:v>2022</c:v>
                </c:pt>
              </c:numCache>
            </c:numRef>
          </c:cat>
          <c:val>
            <c:numRef>
              <c:extLst>
                <c:ext xmlns:c15="http://schemas.microsoft.com/office/drawing/2012/chart" uri="{02D57815-91ED-43cb-92C2-25804820EDAC}">
                  <c15:fullRef>
                    <c15:sqref>Sheet1!$B$2:$B$5</c15:sqref>
                  </c15:fullRef>
                </c:ext>
              </c:extLst>
              <c:f>Sheet1!$B$2:$B$3</c:f>
              <c:numCache>
                <c:formatCode>General</c:formatCode>
                <c:ptCount val="2"/>
                <c:pt idx="0">
                  <c:v>918.62</c:v>
                </c:pt>
                <c:pt idx="1">
                  <c:v>1081.2</c:v>
                </c:pt>
              </c:numCache>
            </c:numRef>
          </c:val>
        </c:ser>
        <c:dLbls>
          <c:showLegendKey val="0"/>
          <c:showVal val="1"/>
          <c:showCatName val="0"/>
          <c:showSerName val="0"/>
          <c:showPercent val="0"/>
          <c:showBubbleSize val="0"/>
        </c:dLbls>
        <c:gapWidth val="246"/>
        <c:overlap val="-28"/>
        <c:axId val="344730497"/>
        <c:axId val="76423120"/>
        <c:extLst>
          <c:ext xmlns:c15="http://schemas.microsoft.com/office/drawing/2012/chart" uri="{02D57815-91ED-43cb-92C2-25804820EDAC}">
            <c15:filteredBarSeries>
              <c15:ser>
                <c:idx val="1"/>
                <c:order val="1"/>
                <c:tx>
                  <c:strRef>
                    <c:extLst>
                      <c:ext uri="{02D57815-91ED-43cb-92C2-25804820EDAC}">
                        <c15:formulaRef>
                          <c15:sqref>Sheet1!$C$1</c15:sqref>
                        </c15:formulaRef>
                      </c:ext>
                    </c:extLst>
                    <c:strCache>
                      <c:ptCount val="1"/>
                      <c:pt idx="0">
                        <c:v>系列 2</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numRef>
                    <c:extLst>
                      <c:ext uri="{02D57815-91ED-43cb-92C2-25804820EDAC}">
                        <c15:fullRef>
                          <c15:sqref>Sheet1!$A$2:$A$5</c15:sqref>
                        </c15:fullRef>
                        <c15:formulaRef>
                          <c15:sqref>Sheet1!$A$2:$A$3</c15:sqref>
                        </c15:formulaRef>
                      </c:ext>
                    </c:extLst>
                    <c:numCache>
                      <c:formatCode>General</c:formatCode>
                      <c:ptCount val="2"/>
                      <c:pt idx="0">
                        <c:v>2021</c:v>
                      </c:pt>
                      <c:pt idx="1">
                        <c:v>2022</c:v>
                      </c:pt>
                    </c:numCache>
                  </c:numRef>
                </c:cat>
                <c:val>
                  <c:numRef>
                    <c:extLst>
                      <c:ext uri="{02D57815-91ED-43cb-92C2-25804820EDAC}">
                        <c15:fullRef>
                          <c15:sqref>Sheet1!$C$2:$C$5</c15:sqref>
                        </c15:fullRef>
                        <c15:formulaRef>
                          <c15:sqref>Sheet1!$C$2:$C$3</c15:sqref>
                        </c15:formulaRef>
                      </c:ext>
                    </c:extLst>
                    <c:numCache>
                      <c:formatCode>General</c:formatCode>
                      <c:ptCount val="2"/>
                      <c:pt idx="0">
                        <c:v>2.4</c:v>
                      </c:pt>
                      <c:pt idx="1">
                        <c:v>4.4</c:v>
                      </c:pt>
                    </c:numCache>
                  </c:numRef>
                </c:val>
              </c15:ser>
            </c15:filteredBarSeries>
            <c15:filteredBarSeries>
              <c15:ser>
                <c:idx val="2"/>
                <c:order val="2"/>
                <c:tx>
                  <c:strRef>
                    <c:extLst>
                      <c:ext uri="{02D57815-91ED-43cb-92C2-25804820EDAC}">
                        <c15:formulaRef>
                          <c15:sqref>Sheet1!$D$1</c15:sqref>
                        </c15:formulaRef>
                      </c:ext>
                    </c:extLst>
                    <c:strCache>
                      <c:ptCount val="1"/>
                      <c:pt idx="0">
                        <c:v>系列 3</c:v>
                      </c:pt>
                    </c:strCache>
                  </c:strRef>
                </c:tx>
                <c:spPr>
                  <a:solidFill>
                    <a:schemeClr val="accent3"/>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numRef>
                    <c:extLst>
                      <c:ext uri="{02D57815-91ED-43cb-92C2-25804820EDAC}">
                        <c15:fullRef>
                          <c15:sqref>Sheet1!$A$2:$A$5</c15:sqref>
                        </c15:fullRef>
                        <c15:formulaRef>
                          <c15:sqref>Sheet1!$A$2:$A$3</c15:sqref>
                        </c15:formulaRef>
                      </c:ext>
                    </c:extLst>
                    <c:numCache>
                      <c:formatCode>General</c:formatCode>
                      <c:ptCount val="2"/>
                      <c:pt idx="0">
                        <c:v>2021</c:v>
                      </c:pt>
                      <c:pt idx="1">
                        <c:v>2022</c:v>
                      </c:pt>
                    </c:numCache>
                  </c:numRef>
                </c:cat>
                <c:val>
                  <c:numRef>
                    <c:extLst>
                      <c:ext uri="{02D57815-91ED-43cb-92C2-25804820EDAC}">
                        <c15:fullRef>
                          <c15:sqref>Sheet1!$D$2:$D$5</c15:sqref>
                        </c15:fullRef>
                        <c15:formulaRef>
                          <c15:sqref>Sheet1!$D$2:$D$3</c15:sqref>
                        </c15:formulaRef>
                      </c:ext>
                    </c:extLst>
                    <c:numCache>
                      <c:formatCode>General</c:formatCode>
                      <c:ptCount val="2"/>
                      <c:pt idx="0">
                        <c:v>2</c:v>
                      </c:pt>
                      <c:pt idx="1">
                        <c:v>2</c:v>
                      </c:pt>
                    </c:numCache>
                  </c:numRef>
                </c:val>
              </c15:ser>
            </c15:filteredBarSeries>
          </c:ext>
        </c:extLst>
      </c:barChart>
      <c:catAx>
        <c:axId val="344730497"/>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6423120"/>
        <c:crosses val="autoZero"/>
        <c:auto val="1"/>
        <c:lblAlgn val="ctr"/>
        <c:lblOffset val="100"/>
        <c:noMultiLvlLbl val="0"/>
      </c:catAx>
      <c:valAx>
        <c:axId val="76423120"/>
        <c:scaling>
          <c:orientation val="minMax"/>
          <c:max val="1600"/>
          <c:min val="0"/>
        </c:scaling>
        <c:delete val="0"/>
        <c:axPos val="l"/>
        <c:majorGridlines>
          <c:spPr>
            <a:ln w="9525" cap="flat" cmpd="sng" algn="ctr">
              <a:solidFill>
                <a:schemeClr val="bg1">
                  <a:lumMod val="902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4730497"/>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系列 1</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numRef>
              <c:extLst>
                <c:ext xmlns:c15="http://schemas.microsoft.com/office/drawing/2012/chart" uri="{02D57815-91ED-43cb-92C2-25804820EDAC}">
                  <c15:fullRef>
                    <c15:sqref>Sheet1!$A$2:$A$5</c15:sqref>
                  </c15:fullRef>
                </c:ext>
              </c:extLst>
              <c:f>Sheet1!$A$2:$A$3</c:f>
              <c:numCache>
                <c:formatCode>General</c:formatCode>
                <c:ptCount val="2"/>
                <c:pt idx="0">
                  <c:v>2021</c:v>
                </c:pt>
                <c:pt idx="1">
                  <c:v>2022</c:v>
                </c:pt>
              </c:numCache>
            </c:numRef>
          </c:cat>
          <c:val>
            <c:numRef>
              <c:extLst>
                <c:ext xmlns:c15="http://schemas.microsoft.com/office/drawing/2012/chart" uri="{02D57815-91ED-43cb-92C2-25804820EDAC}">
                  <c15:fullRef>
                    <c15:sqref>Sheet1!$B$2:$B$5</c15:sqref>
                  </c15:fullRef>
                </c:ext>
              </c:extLst>
              <c:f>Sheet1!$B$2:$B$3</c:f>
              <c:numCache>
                <c:formatCode>General</c:formatCode>
                <c:ptCount val="2"/>
                <c:pt idx="0">
                  <c:v>759.03</c:v>
                </c:pt>
                <c:pt idx="1">
                  <c:v>1081.2</c:v>
                </c:pt>
              </c:numCache>
            </c:numRef>
          </c:val>
        </c:ser>
        <c:dLbls>
          <c:showLegendKey val="0"/>
          <c:showVal val="1"/>
          <c:showCatName val="0"/>
          <c:showSerName val="0"/>
          <c:showPercent val="0"/>
          <c:showBubbleSize val="0"/>
        </c:dLbls>
        <c:gapWidth val="246"/>
        <c:overlap val="-28"/>
        <c:axId val="976859156"/>
        <c:axId val="796342295"/>
        <c:extLst>
          <c:ext xmlns:c15="http://schemas.microsoft.com/office/drawing/2012/chart" uri="{02D57815-91ED-43cb-92C2-25804820EDAC}">
            <c15:filteredBarSeries>
              <c15:ser>
                <c:idx val="1"/>
                <c:order val="1"/>
                <c:tx>
                  <c:strRef>
                    <c:extLst>
                      <c:ext uri="{02D57815-91ED-43cb-92C2-25804820EDAC}">
                        <c15:formulaRef>
                          <c15:sqref>Sheet1!$C$1</c15:sqref>
                        </c15:formulaRef>
                      </c:ext>
                    </c:extLst>
                    <c:strCache>
                      <c:ptCount val="1"/>
                      <c:pt idx="0">
                        <c:v>系列 2</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numRef>
                    <c:extLst>
                      <c:ext uri="{02D57815-91ED-43cb-92C2-25804820EDAC}">
                        <c15:fullRef>
                          <c15:sqref>Sheet1!$A$2:$A$5</c15:sqref>
                        </c15:fullRef>
                        <c15:formulaRef>
                          <c15:sqref>Sheet1!$A$2:$A$3</c15:sqref>
                        </c15:formulaRef>
                      </c:ext>
                    </c:extLst>
                    <c:numCache>
                      <c:formatCode>General</c:formatCode>
                      <c:ptCount val="2"/>
                      <c:pt idx="0">
                        <c:v>2021</c:v>
                      </c:pt>
                      <c:pt idx="1">
                        <c:v>2022</c:v>
                      </c:pt>
                    </c:numCache>
                  </c:numRef>
                </c:cat>
                <c:val>
                  <c:numRef>
                    <c:extLst>
                      <c:ext uri="{02D57815-91ED-43cb-92C2-25804820EDAC}">
                        <c15:fullRef>
                          <c15:sqref>Sheet1!$C$2:$C$5</c15:sqref>
                        </c15:fullRef>
                        <c15:formulaRef>
                          <c15:sqref>Sheet1!$C$2:$C$3</c15:sqref>
                        </c15:formulaRef>
                      </c:ext>
                    </c:extLst>
                    <c:numCache>
                      <c:formatCode>General</c:formatCode>
                      <c:ptCount val="2"/>
                      <c:pt idx="0">
                        <c:v>2.4</c:v>
                      </c:pt>
                      <c:pt idx="1">
                        <c:v>4.4</c:v>
                      </c:pt>
                    </c:numCache>
                  </c:numRef>
                </c:val>
              </c15:ser>
            </c15:filteredBarSeries>
            <c15:filteredBarSeries>
              <c15:ser>
                <c:idx val="2"/>
                <c:order val="2"/>
                <c:tx>
                  <c:strRef>
                    <c:extLst>
                      <c:ext uri="{02D57815-91ED-43cb-92C2-25804820EDAC}">
                        <c15:formulaRef>
                          <c15:sqref>Sheet1!$D$1</c15:sqref>
                        </c15:formulaRef>
                      </c:ext>
                    </c:extLst>
                    <c:strCache>
                      <c:ptCount val="1"/>
                      <c:pt idx="0">
                        <c:v>系列 3</c:v>
                      </c:pt>
                    </c:strCache>
                  </c:strRef>
                </c:tx>
                <c:spPr>
                  <a:solidFill>
                    <a:schemeClr val="accent3"/>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numRef>
                    <c:extLst>
                      <c:ext uri="{02D57815-91ED-43cb-92C2-25804820EDAC}">
                        <c15:fullRef>
                          <c15:sqref>Sheet1!$A$2:$A$5</c15:sqref>
                        </c15:fullRef>
                        <c15:formulaRef>
                          <c15:sqref>Sheet1!$A$2:$A$3</c15:sqref>
                        </c15:formulaRef>
                      </c:ext>
                    </c:extLst>
                    <c:numCache>
                      <c:formatCode>General</c:formatCode>
                      <c:ptCount val="2"/>
                      <c:pt idx="0">
                        <c:v>2021</c:v>
                      </c:pt>
                      <c:pt idx="1">
                        <c:v>2022</c:v>
                      </c:pt>
                    </c:numCache>
                  </c:numRef>
                </c:cat>
                <c:val>
                  <c:numRef>
                    <c:extLst>
                      <c:ext uri="{02D57815-91ED-43cb-92C2-25804820EDAC}">
                        <c15:fullRef>
                          <c15:sqref>Sheet1!$D$2:$D$5</c15:sqref>
                        </c15:fullRef>
                        <c15:formulaRef>
                          <c15:sqref>Sheet1!$D$2:$D$3</c15:sqref>
                        </c15:formulaRef>
                      </c:ext>
                    </c:extLst>
                    <c:numCache>
                      <c:formatCode>General</c:formatCode>
                      <c:ptCount val="2"/>
                      <c:pt idx="0">
                        <c:v>2</c:v>
                      </c:pt>
                      <c:pt idx="1">
                        <c:v>2</c:v>
                      </c:pt>
                    </c:numCache>
                  </c:numRef>
                </c:val>
              </c15:ser>
            </c15:filteredBarSeries>
          </c:ext>
        </c:extLst>
      </c:barChart>
      <c:catAx>
        <c:axId val="976859156"/>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96342295"/>
        <c:crosses val="autoZero"/>
        <c:auto val="1"/>
        <c:lblAlgn val="ctr"/>
        <c:lblOffset val="100"/>
        <c:noMultiLvlLbl val="0"/>
      </c:catAx>
      <c:valAx>
        <c:axId val="796342295"/>
        <c:scaling>
          <c:orientation val="minMax"/>
          <c:max val="1600"/>
        </c:scaling>
        <c:delete val="0"/>
        <c:axPos val="l"/>
        <c:majorGridlines>
          <c:spPr>
            <a:ln w="9525" cap="flat" cmpd="sng" algn="ctr">
              <a:solidFill>
                <a:schemeClr val="bg1">
                  <a:lumMod val="902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768591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销售额</c:v>
                </c:pt>
              </c:strCache>
            </c:strRef>
          </c:tx>
          <c:explosion val="0"/>
          <c:dPt>
            <c:idx val="0"/>
            <c:bubble3D val="0"/>
            <c:spPr>
              <a:gradFill>
                <a:gsLst>
                  <a:gs pos="100000">
                    <a:schemeClr val="accent1">
                      <a:lumMod val="60000"/>
                      <a:lumOff val="40000"/>
                    </a:schemeClr>
                  </a:gs>
                  <a:gs pos="0">
                    <a:schemeClr val="accent1"/>
                  </a:gs>
                </a:gsLst>
                <a:lin ang="5400000" scaled="0"/>
              </a:gradFill>
              <a:ln w="19050">
                <a:solidFill>
                  <a:schemeClr val="lt1"/>
                </a:solidFill>
              </a:ln>
              <a:effectLst/>
            </c:spPr>
          </c:dPt>
          <c:dPt>
            <c:idx val="1"/>
            <c:bubble3D val="0"/>
            <c:spPr>
              <a:gradFill>
                <a:gsLst>
                  <a:gs pos="100000">
                    <a:schemeClr val="accent2">
                      <a:lumMod val="60000"/>
                      <a:lumOff val="40000"/>
                    </a:schemeClr>
                  </a:gs>
                  <a:gs pos="0">
                    <a:schemeClr val="accent2"/>
                  </a:gs>
                </a:gsLst>
                <a:lin ang="5400000" scaled="0"/>
              </a:gradFill>
              <a:ln w="19050">
                <a:solidFill>
                  <a:schemeClr val="lt1"/>
                </a:solidFill>
              </a:ln>
              <a:effectLst/>
            </c:spPr>
          </c:dPt>
          <c:dPt>
            <c:idx val="2"/>
            <c:bubble3D val="0"/>
            <c:spPr>
              <a:gradFill>
                <a:gsLst>
                  <a:gs pos="100000">
                    <a:schemeClr val="accent3">
                      <a:lumMod val="60000"/>
                      <a:lumOff val="40000"/>
                    </a:schemeClr>
                  </a:gs>
                  <a:gs pos="0">
                    <a:schemeClr val="accent3"/>
                  </a:gs>
                </a:gsLst>
                <a:lin ang="5400000" scaled="0"/>
              </a:gradFill>
              <a:ln w="19050">
                <a:solidFill>
                  <a:schemeClr val="lt1"/>
                </a:solidFill>
              </a:ln>
              <a:effectLst/>
            </c:spPr>
          </c:dPt>
          <c:dPt>
            <c:idx val="3"/>
            <c:bubble3D val="0"/>
            <c:spPr>
              <a:gradFill>
                <a:gsLst>
                  <a:gs pos="100000">
                    <a:schemeClr val="accent4">
                      <a:lumMod val="60000"/>
                      <a:lumOff val="40000"/>
                    </a:schemeClr>
                  </a:gs>
                  <a:gs pos="0">
                    <a:schemeClr val="accent4"/>
                  </a:gs>
                </a:gsLst>
                <a:lin ang="5400000" scaled="0"/>
              </a:gradFill>
              <a:ln w="19050">
                <a:solidFill>
                  <a:schemeClr val="lt1"/>
                </a:solidFill>
              </a:ln>
              <a:effectLst/>
            </c:spPr>
          </c:dPt>
          <c:dLbls>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dk1">
                        <a:lumMod val="75000"/>
                        <a:lumOff val="25000"/>
                      </a:schemeClr>
                    </a:solidFill>
                    <a:latin typeface="+mn-lt"/>
                    <a:ea typeface="+mn-ea"/>
                    <a:cs typeface="+mn-cs"/>
                  </a:defRPr>
                </a:pPr>
              </a:p>
            </c:txPr>
            <c:dLblPos val="ct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prstDash val="solid"/>
                      <a:round/>
                    </a:ln>
                    <a:effectLst/>
                  </c:spPr>
                </c15:leaderLines>
              </c:ext>
            </c:extLst>
          </c:dLbls>
          <c:cat>
            <c:strRef>
              <c:f>Sheet1!$A$2:$A$5</c:f>
              <c:strCache>
                <c:ptCount val="4"/>
                <c:pt idx="0">
                  <c:v>教育支出</c:v>
                </c:pt>
                <c:pt idx="1">
                  <c:v>社会保障和就业支出</c:v>
                </c:pt>
                <c:pt idx="2">
                  <c:v>卫生健康支出</c:v>
                </c:pt>
                <c:pt idx="3">
                  <c:v>住房保障支出</c:v>
                </c:pt>
              </c:strCache>
            </c:strRef>
          </c:cat>
          <c:val>
            <c:numRef>
              <c:f>Sheet1!$B$2:$B$5</c:f>
              <c:numCache>
                <c:formatCode>0.00%</c:formatCode>
                <c:ptCount val="4"/>
                <c:pt idx="0">
                  <c:v>0.185</c:v>
                </c:pt>
                <c:pt idx="1">
                  <c:v>0.0457</c:v>
                </c:pt>
                <c:pt idx="2">
                  <c:v>0.7389</c:v>
                </c:pt>
                <c:pt idx="3">
                  <c:v>0.0304</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solidFill>
          <a:schemeClr val="lt1">
            <a:alpha val="50000"/>
          </a:schemeClr>
        </a:solidFill>
        <a:ln>
          <a:noFill/>
        </a:ln>
        <a:effectLst/>
      </c:spPr>
      <c:txPr>
        <a:bodyPr rot="0" spcFirstLastPara="0" vertOverflow="ellipsis" vert="horz" wrap="square" anchor="ctr" anchorCtr="1" forceAA="0"/>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pattFill prst="dkDnDiag">
      <a:fgClr>
        <a:schemeClr val="lt1"/>
      </a:fgClr>
      <a:bgClr>
        <a:schemeClr val="dk1">
          <a:lumMod val="10000"/>
          <a:lumOff val="90000"/>
        </a:schemeClr>
      </a:bgClr>
    </a:pattFill>
    <a:ln w="9525" cap="flat" cmpd="sng" algn="ctr">
      <a:solidFill>
        <a:schemeClr val="dk1">
          <a:lumMod val="15000"/>
          <a:lumOff val="85000"/>
        </a:schemeClr>
      </a:solidFill>
      <a:prstDash val="solid"/>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销售额</c:v>
                </c:pt>
              </c:strCache>
            </c:strRef>
          </c:tx>
          <c:explosion val="0"/>
          <c:dPt>
            <c:idx val="0"/>
            <c:bubble3D val="0"/>
            <c:spPr>
              <a:gradFill>
                <a:gsLst>
                  <a:gs pos="100000">
                    <a:schemeClr val="accent1">
                      <a:lumMod val="60000"/>
                      <a:lumOff val="40000"/>
                    </a:schemeClr>
                  </a:gs>
                  <a:gs pos="0">
                    <a:schemeClr val="accent1"/>
                  </a:gs>
                </a:gsLst>
                <a:lin ang="5400000" scaled="0"/>
              </a:gradFill>
              <a:ln w="19050">
                <a:solidFill>
                  <a:schemeClr val="lt1"/>
                </a:solidFill>
              </a:ln>
              <a:effectLst/>
            </c:spPr>
          </c:dPt>
          <c:dLbls>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dk1">
                        <a:lumMod val="75000"/>
                        <a:lumOff val="25000"/>
                      </a:schemeClr>
                    </a:solidFill>
                    <a:latin typeface="+mn-lt"/>
                    <a:ea typeface="+mn-ea"/>
                    <a:cs typeface="+mn-cs"/>
                  </a:defRPr>
                </a:pPr>
              </a:p>
            </c:txPr>
            <c:dLblPos val="ct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prstDash val="solid"/>
                      <a:round/>
                    </a:ln>
                    <a:effectLst/>
                  </c:spPr>
                </c15:leaderLines>
              </c:ext>
            </c:extLst>
          </c:dLbls>
          <c:cat>
            <c:strRef>
              <c:extLst>
                <c:ext xmlns:c15="http://schemas.microsoft.com/office/drawing/2012/chart" uri="{02D57815-91ED-43cb-92C2-25804820EDAC}">
                  <c15:fullRef>
                    <c15:sqref>Sheet1!$A$2:$A$5</c15:sqref>
                  </c15:fullRef>
                </c:ext>
              </c:extLst>
              <c:f>Sheet1!$A$5</c:f>
              <c:strCache>
                <c:ptCount val="1"/>
                <c:pt idx="0">
                  <c:v>公务接待费支出</c:v>
                </c:pt>
              </c:strCache>
            </c:strRef>
          </c:cat>
          <c:val>
            <c:numRef>
              <c:extLst>
                <c:ext xmlns:c15="http://schemas.microsoft.com/office/drawing/2012/chart" uri="{02D57815-91ED-43cb-92C2-25804820EDAC}">
                  <c15:fullRef>
                    <c15:sqref>Sheet1!$B$2:$B$5</c15:sqref>
                  </c15:fullRef>
                </c:ext>
              </c:extLst>
              <c:f>Sheet1!$B$5</c:f>
              <c:numCache>
                <c:formatCode>0%</c:formatCode>
                <c:ptCount val="1"/>
                <c:pt idx="0">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solidFill>
          <a:schemeClr val="lt1">
            <a:alpha val="50000"/>
          </a:schemeClr>
        </a:solidFill>
        <a:ln>
          <a:noFill/>
        </a:ln>
        <a:effectLst/>
      </c:spPr>
      <c:txPr>
        <a:bodyPr rot="0" spcFirstLastPara="0" vertOverflow="ellipsis" vert="horz" wrap="square" anchor="ctr" anchorCtr="1" forceAA="0"/>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pattFill prst="dkDnDiag">
      <a:fgClr>
        <a:schemeClr val="lt1"/>
      </a:fgClr>
      <a:bgClr>
        <a:schemeClr val="dk1">
          <a:lumMod val="10000"/>
          <a:lumOff val="90000"/>
        </a:schemeClr>
      </a:bgClr>
    </a:pattFill>
    <a:ln w="9525" cap="flat" cmpd="sng" algn="ctr">
      <a:solidFill>
        <a:schemeClr val="dk1">
          <a:lumMod val="15000"/>
          <a:lumOff val="85000"/>
        </a:scheme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E7819EE9EC5E4CE7B175CB3E3B7B2D90_13</vt:lpwstr>
  </property>
</Properties>
</file>

<file path=customXml/item3.xml><?xml version="1.0" encoding="utf-8"?>
<Properties xmlns="http://schemas.openxmlformats.org/officeDocument/2006/extended-properties" xmlns:vt="http://schemas.openxmlformats.org/officeDocument/2006/docPropsVTypes">
  <Template>Normal.dotm</Template>
  <Company>四川省财政厅</Company>
  <Pages>24</Pages>
  <Words>1299</Words>
  <Characters>7410</Characters>
  <Lines>61</Lines>
  <Paragraphs>17</Paragraphs>
  <TotalTime>6</TotalTime>
  <ScaleCrop>false</ScaleCrop>
  <LinksUpToDate>false</LinksUpToDate>
  <CharactersWithSpaces>8692</CharactersWithSpaces>
  <Application>WPS Office_12.1.0.16412_F1E327BC-269C-435d-A152-05C5408002CA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WPS_1651227375</cp:lastModifiedBy>
  <cp:lastPrinted>2023-07-31T02:35:00Z</cp:lastPrinted>
  <dcterms:modified xsi:type="dcterms:W3CDTF">2024-07-29T08:08:13Z</dcterms:modified>
  <dc:title>四川省***</dc:title>
  <cp:revision>32</cp:revision>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0bcedf-7991-4bd7-89e0-0855bda9dae9}">
  <ds:schemaRefs/>
</ds:datastoreItem>
</file>

<file path=customXml/itemProps3.xml><?xml version="1.0" encoding="utf-8"?>
<ds:datastoreItem xmlns:ds="http://schemas.openxmlformats.org/officeDocument/2006/customXml" ds:itemID="{ffd28473-6759-4318-88eb-2c00e37af3b3}">
  <ds:schemaRefs/>
</ds:datastoreItem>
</file>

<file path=customXml/itemProps4.xml><?xml version="1.0" encoding="utf-8"?>
<ds:datastoreItem xmlns:ds="http://schemas.openxmlformats.org/officeDocument/2006/customXml" ds:itemID="{605b27d1-227e-413e-92ab-54abd43a8cf9}">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24</Pages>
  <Words>1299</Words>
  <Characters>7410</Characters>
  <Lines>61</Lines>
  <Paragraphs>17</Paragraphs>
  <TotalTime>3</TotalTime>
  <ScaleCrop>false</ScaleCrop>
  <LinksUpToDate>false</LinksUpToDate>
  <CharactersWithSpaces>8692</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WPS_1651227375</cp:lastModifiedBy>
  <cp:lastPrinted>2023-07-31T02:35:00Z</cp:lastPrinted>
  <dcterms:modified xsi:type="dcterms:W3CDTF">2024-08-12T04:19:06Z</dcterms:modified>
  <dc:title>四川省_x002A__x002A__x002A_</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E7819EE9EC5E4CE7B175CB3E3B7B2D90_13</vt:lpwstr>
  </property>
</Properties>
</file>