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b w:val="0"/>
          <w:bCs w:val="0"/>
          <w:color w:val="000000" w:themeColor="text1"/>
          <w:spacing w:val="0"/>
          <w:sz w:val="72"/>
          <w:szCs w:val="72"/>
          <w:highlight w:val="none"/>
          <w:lang w:val="en-US" w:eastAsia="zh-CN"/>
          <w14:textFill>
            <w14:solidFill>
              <w14:schemeClr w14:val="tx1"/>
            </w14:solidFill>
          </w14:textFill>
        </w:rPr>
      </w:pPr>
      <w:bookmarkStart w:id="0" w:name="_Toc15306267"/>
      <w:bookmarkStart w:id="1" w:name="_Toc15396597"/>
      <w:bookmarkStart w:id="2" w:name="_Toc15377425"/>
      <w:bookmarkStart w:id="3" w:name="_Toc15378441"/>
      <w:bookmarkStart w:id="4" w:name="_Toc15377193"/>
      <w:bookmarkStart w:id="5" w:name="_Toc15396475"/>
      <w:r>
        <w:rPr>
          <w:rFonts w:hint="eastAsia" w:ascii="方正小标宋简体" w:hAnsi="宋体" w:eastAsia="方正小标宋简体"/>
          <w:b w:val="0"/>
          <w:bCs w:val="0"/>
          <w:color w:val="000000" w:themeColor="text1"/>
          <w:spacing w:val="0"/>
          <w:sz w:val="72"/>
          <w:szCs w:val="72"/>
          <w:highlight w:val="none"/>
          <w:lang w:val="en-US" w:eastAsia="zh-CN"/>
          <w14:textFill>
            <w14:solidFill>
              <w14:schemeClr w14:val="tx1"/>
            </w14:solidFill>
          </w14:textFill>
        </w:rPr>
        <w:t xml:space="preserve">                                                                                                                    </w:t>
      </w:r>
    </w:p>
    <w:p>
      <w:pPr>
        <w:spacing w:line="600" w:lineRule="exact"/>
        <w:jc w:val="center"/>
        <w:outlineLvl w:val="0"/>
        <w:rPr>
          <w:rFonts w:ascii="方正小标宋简体" w:hAnsi="宋体" w:eastAsia="方正小标宋简体"/>
          <w:b w:val="0"/>
          <w:bCs w:val="0"/>
          <w:color w:val="000000" w:themeColor="text1"/>
          <w:spacing w:val="0"/>
          <w:sz w:val="72"/>
          <w:szCs w:val="72"/>
          <w:highlight w:val="none"/>
          <w14:textFill>
            <w14:solidFill>
              <w14:schemeClr w14:val="tx1"/>
            </w14:solidFill>
          </w14:textFill>
        </w:rPr>
      </w:pPr>
    </w:p>
    <w:p>
      <w:pPr>
        <w:spacing w:line="600" w:lineRule="exact"/>
        <w:jc w:val="center"/>
        <w:outlineLvl w:val="0"/>
        <w:rPr>
          <w:rFonts w:ascii="方正小标宋简体" w:hAnsi="宋体" w:eastAsia="方正小标宋简体"/>
          <w:b w:val="0"/>
          <w:bCs w:val="0"/>
          <w:color w:val="000000" w:themeColor="text1"/>
          <w:spacing w:val="0"/>
          <w:sz w:val="72"/>
          <w:szCs w:val="72"/>
          <w:highlight w:val="none"/>
          <w14:textFill>
            <w14:solidFill>
              <w14:schemeClr w14:val="tx1"/>
            </w14:solidFill>
          </w14:textFill>
        </w:rPr>
      </w:pPr>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000000" w:themeColor="text1"/>
          <w:spacing w:val="0"/>
          <w:sz w:val="72"/>
          <w:szCs w:val="72"/>
          <w:highlight w:val="none"/>
          <w14:textFill>
            <w14:solidFill>
              <w14:schemeClr w14:val="tx1"/>
            </w14:solidFill>
          </w14:textFill>
        </w:rPr>
      </w:pPr>
      <w:bookmarkStart w:id="6" w:name="_Toc16865"/>
      <w:bookmarkStart w:id="7" w:name="_Toc2575"/>
      <w:r>
        <w:rPr>
          <w:rFonts w:hint="eastAsia" w:ascii="Times New Roman" w:hAnsi="Times New Roman" w:eastAsia="方正小标宋简体" w:cs="方正小标宋简体"/>
          <w:b w:val="0"/>
          <w:bCs w:val="0"/>
          <w:color w:val="000000" w:themeColor="text1"/>
          <w:spacing w:val="0"/>
          <w:sz w:val="72"/>
          <w:szCs w:val="72"/>
          <w:highlight w:val="none"/>
          <w14:textFill>
            <w14:solidFill>
              <w14:schemeClr w14:val="tx1"/>
            </w14:solidFill>
          </w14:textFill>
        </w:rPr>
        <w:t>20</w:t>
      </w:r>
      <w:r>
        <w:rPr>
          <w:rFonts w:hint="eastAsia" w:ascii="Times New Roman" w:hAnsi="Times New Roman" w:eastAsia="方正小标宋简体" w:cs="方正小标宋简体"/>
          <w:b w:val="0"/>
          <w:bCs w:val="0"/>
          <w:color w:val="000000" w:themeColor="text1"/>
          <w:spacing w:val="0"/>
          <w:sz w:val="72"/>
          <w:szCs w:val="72"/>
          <w:highlight w:val="none"/>
          <w:lang w:val="en-US" w:eastAsia="zh-CN"/>
          <w14:textFill>
            <w14:solidFill>
              <w14:schemeClr w14:val="tx1"/>
            </w14:solidFill>
          </w14:textFill>
        </w:rPr>
        <w:t>22</w:t>
      </w:r>
      <w:r>
        <w:rPr>
          <w:rFonts w:hint="eastAsia" w:ascii="方正小标宋简体" w:hAnsi="方正小标宋简体" w:eastAsia="方正小标宋简体" w:cs="方正小标宋简体"/>
          <w:b w:val="0"/>
          <w:bCs w:val="0"/>
          <w:color w:val="000000" w:themeColor="text1"/>
          <w:spacing w:val="0"/>
          <w:sz w:val="72"/>
          <w:szCs w:val="72"/>
          <w:highlight w:val="none"/>
          <w14:textFill>
            <w14:solidFill>
              <w14:schemeClr w14:val="tx1"/>
            </w14:solidFill>
          </w14:textFill>
        </w:rPr>
        <w:t>年度</w:t>
      </w:r>
      <w:bookmarkEnd w:id="0"/>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000000" w:themeColor="text1"/>
          <w:spacing w:val="0"/>
          <w:sz w:val="72"/>
          <w:szCs w:val="72"/>
          <w:highlight w:val="none"/>
          <w:lang w:val="en-US" w:eastAsia="zh-CN"/>
          <w14:textFill>
            <w14:solidFill>
              <w14:schemeClr w14:val="tx1"/>
            </w14:solidFill>
          </w14:textFill>
        </w:rPr>
      </w:pPr>
      <w:bookmarkStart w:id="8" w:name="_Toc29062"/>
      <w:bookmarkStart w:id="9" w:name="_Toc4100"/>
      <w:bookmarkStart w:id="10" w:name="_Toc28556"/>
      <w:bookmarkStart w:id="11" w:name="_Toc15378442"/>
      <w:bookmarkStart w:id="12" w:name="_Toc15396476"/>
      <w:bookmarkStart w:id="13" w:name="_Toc15377194"/>
      <w:bookmarkStart w:id="14" w:name="_Toc7735"/>
      <w:bookmarkStart w:id="15" w:name="_Toc15396598"/>
      <w:bookmarkStart w:id="16" w:name="_Toc15377426"/>
      <w:r>
        <w:rPr>
          <w:rFonts w:hint="eastAsia" w:ascii="方正小标宋简体" w:hAnsi="方正小标宋简体" w:eastAsia="方正小标宋简体" w:cs="方正小标宋简体"/>
          <w:b w:val="0"/>
          <w:bCs w:val="0"/>
          <w:color w:val="000000" w:themeColor="text1"/>
          <w:spacing w:val="0"/>
          <w:sz w:val="72"/>
          <w:szCs w:val="72"/>
          <w:highlight w:val="none"/>
          <w14:textFill>
            <w14:solidFill>
              <w14:schemeClr w14:val="tx1"/>
            </w14:solidFill>
          </w14:textFill>
        </w:rPr>
        <w:t>四川省</w:t>
      </w:r>
      <w:bookmarkStart w:id="17" w:name="_Toc15306268"/>
      <w:r>
        <w:rPr>
          <w:rFonts w:hint="eastAsia" w:ascii="方正小标宋简体" w:hAnsi="方正小标宋简体" w:eastAsia="方正小标宋简体" w:cs="方正小标宋简体"/>
          <w:b w:val="0"/>
          <w:bCs w:val="0"/>
          <w:color w:val="000000" w:themeColor="text1"/>
          <w:spacing w:val="0"/>
          <w:sz w:val="72"/>
          <w:szCs w:val="72"/>
          <w:highlight w:val="none"/>
          <w:lang w:val="en-US" w:eastAsia="zh-CN"/>
          <w14:textFill>
            <w14:solidFill>
              <w14:schemeClr w14:val="tx1"/>
            </w14:solidFill>
          </w14:textFill>
        </w:rPr>
        <w:t>广元市昭化区市场</w:t>
      </w:r>
      <w:bookmarkEnd w:id="8"/>
      <w:bookmarkEnd w:id="9"/>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000000" w:themeColor="text1"/>
          <w:spacing w:val="0"/>
          <w:sz w:val="72"/>
          <w:szCs w:val="72"/>
          <w:highlight w:val="none"/>
          <w14:textFill>
            <w14:solidFill>
              <w14:schemeClr w14:val="tx1"/>
            </w14:solidFill>
          </w14:textFill>
        </w:rPr>
      </w:pPr>
      <w:bookmarkStart w:id="18" w:name="_Toc2176"/>
      <w:bookmarkStart w:id="19" w:name="_Toc5898"/>
      <w:r>
        <w:rPr>
          <w:rFonts w:hint="eastAsia" w:ascii="方正小标宋简体" w:hAnsi="方正小标宋简体" w:eastAsia="方正小标宋简体" w:cs="方正小标宋简体"/>
          <w:b w:val="0"/>
          <w:bCs w:val="0"/>
          <w:color w:val="000000" w:themeColor="text1"/>
          <w:spacing w:val="0"/>
          <w:sz w:val="72"/>
          <w:szCs w:val="72"/>
          <w:highlight w:val="none"/>
          <w:lang w:val="en-US" w:eastAsia="zh-CN"/>
          <w14:textFill>
            <w14:solidFill>
              <w14:schemeClr w14:val="tx1"/>
            </w14:solidFill>
          </w14:textFill>
        </w:rPr>
        <w:t>监督管理局部门</w:t>
      </w:r>
      <w:r>
        <w:rPr>
          <w:rFonts w:hint="eastAsia" w:ascii="方正小标宋简体" w:hAnsi="方正小标宋简体" w:eastAsia="方正小标宋简体" w:cs="方正小标宋简体"/>
          <w:b w:val="0"/>
          <w:bCs w:val="0"/>
          <w:color w:val="000000" w:themeColor="text1"/>
          <w:spacing w:val="0"/>
          <w:sz w:val="72"/>
          <w:szCs w:val="72"/>
          <w:highlight w:val="none"/>
          <w14:textFill>
            <w14:solidFill>
              <w14:schemeClr w14:val="tx1"/>
            </w14:solidFill>
          </w14:textFill>
        </w:rPr>
        <w:t>决算</w:t>
      </w:r>
      <w:bookmarkEnd w:id="10"/>
      <w:bookmarkEnd w:id="11"/>
      <w:bookmarkEnd w:id="12"/>
      <w:bookmarkEnd w:id="13"/>
      <w:bookmarkEnd w:id="14"/>
      <w:bookmarkEnd w:id="15"/>
      <w:bookmarkEnd w:id="16"/>
      <w:bookmarkEnd w:id="17"/>
      <w:bookmarkEnd w:id="18"/>
      <w:bookmarkEnd w:id="19"/>
    </w:p>
    <w:p>
      <w:pPr>
        <w:adjustRightInd w:val="0"/>
        <w:snapToGrid w:val="0"/>
        <w:spacing w:line="360" w:lineRule="auto"/>
        <w:jc w:val="center"/>
        <w:outlineLvl w:val="0"/>
        <w:rPr>
          <w:rFonts w:ascii="方正小标宋简体" w:hAnsi="宋体" w:eastAsia="方正小标宋简体"/>
          <w:b w:val="0"/>
          <w:bCs w:val="0"/>
          <w:color w:val="000000" w:themeColor="text1"/>
          <w:spacing w:val="0"/>
          <w:sz w:val="52"/>
          <w:szCs w:val="52"/>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b w:val="0"/>
          <w:bCs w:val="0"/>
          <w:color w:val="000000" w:themeColor="text1"/>
          <w:spacing w:val="0"/>
          <w:sz w:val="48"/>
          <w:szCs w:val="48"/>
          <w:highlight w:val="none"/>
          <w14:textFill>
            <w14:solidFill>
              <w14:schemeClr w14:val="tx1"/>
            </w14:solidFill>
          </w14:textFill>
        </w:rPr>
      </w:pPr>
      <w:r>
        <w:br w:type="page"/>
      </w:r>
      <w:r>
        <w:rPr>
          <w:rFonts w:hint="eastAsia" w:ascii="方正小标宋简体" w:hAnsi="方正小标宋简体" w:eastAsia="方正小标宋简体" w:cs="方正小标宋简体"/>
          <w:b w:val="0"/>
          <w:bCs w:val="0"/>
          <w:color w:val="000000" w:themeColor="text1"/>
          <w:spacing w:val="0"/>
          <w:sz w:val="44"/>
          <w:szCs w:val="44"/>
          <w:highlight w:val="none"/>
          <w14:textFill>
            <w14:solidFill>
              <w14:schemeClr w14:val="tx1"/>
            </w14:solidFill>
          </w14:textFill>
        </w:rPr>
        <w:t>目</w:t>
      </w:r>
      <w:r>
        <w:rPr>
          <w:rFonts w:hint="eastAsia" w:ascii="方正小标宋简体" w:hAnsi="方正小标宋简体" w:eastAsia="方正小标宋简体" w:cs="方正小标宋简体"/>
          <w:b w:val="0"/>
          <w:bCs w:val="0"/>
          <w:color w:val="000000" w:themeColor="text1"/>
          <w:spacing w:val="0"/>
          <w:sz w:val="44"/>
          <w:szCs w:val="44"/>
          <w:highlight w:val="none"/>
          <w:lang w:eastAsia="zh-CN"/>
          <w14:textFill>
            <w14:solidFill>
              <w14:schemeClr w14:val="tx1"/>
            </w14:solidFill>
          </w14:textFill>
        </w:rPr>
        <w:t>　　</w:t>
      </w:r>
      <w:r>
        <w:rPr>
          <w:rFonts w:hint="eastAsia" w:ascii="方正小标宋简体" w:hAnsi="方正小标宋简体" w:eastAsia="方正小标宋简体" w:cs="方正小标宋简体"/>
          <w:b w:val="0"/>
          <w:bCs w:val="0"/>
          <w:color w:val="000000" w:themeColor="text1"/>
          <w:spacing w:val="0"/>
          <w:sz w:val="44"/>
          <w:szCs w:val="44"/>
          <w:highlight w:val="none"/>
          <w14:textFill>
            <w14:solidFill>
              <w14:schemeClr w14:val="tx1"/>
            </w14:solidFill>
          </w14:textFill>
        </w:rPr>
        <w:t>录</w:t>
      </w:r>
    </w:p>
    <w:p>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stheme="minorBidi"/>
          <w:b w:val="0"/>
          <w:bCs w:val="0"/>
          <w:color w:val="000000" w:themeColor="text1"/>
          <w:spacing w:val="0"/>
          <w:sz w:val="28"/>
          <w:szCs w:val="28"/>
          <w:highlight w:val="none"/>
          <w14:textFill>
            <w14:solidFill>
              <w14:schemeClr w14:val="tx1"/>
            </w14:solidFill>
          </w14:textFill>
        </w:rPr>
      </w:pPr>
    </w:p>
    <w:p>
      <w:pPr>
        <w:pStyle w:val="14"/>
        <w:keepNext w:val="0"/>
        <w:keepLines w:val="0"/>
        <w:pageBreakBefore w:val="0"/>
        <w:kinsoku/>
        <w:wordWrap/>
        <w:overflowPunct/>
        <w:topLinePunct w:val="0"/>
        <w:autoSpaceDE/>
        <w:autoSpaceDN/>
        <w:bidi w:val="0"/>
        <w:spacing w:before="0" w:line="576" w:lineRule="exact"/>
        <w:textAlignment w:val="auto"/>
        <w:rPr>
          <w:rFonts w:eastAsia="仿宋_GB2312"/>
          <w:b w:val="0"/>
          <w:bCs w:val="0"/>
          <w:color w:val="000000" w:themeColor="text1"/>
          <w:spacing w:val="0"/>
          <w:highlight w:val="none"/>
          <w14:textFill>
            <w14:solidFill>
              <w14:schemeClr w14:val="tx1"/>
            </w14:solidFill>
          </w14:textFill>
        </w:rPr>
      </w:pPr>
      <w:r>
        <w:rPr>
          <w:rFonts w:hint="eastAsia" w:eastAsia="仿宋_GB2312"/>
          <w:b w:val="0"/>
          <w:bCs w:val="0"/>
          <w:color w:val="000000" w:themeColor="text1"/>
          <w:spacing w:val="0"/>
          <w:highlight w:val="none"/>
          <w14:textFill>
            <w14:solidFill>
              <w14:schemeClr w14:val="tx1"/>
            </w14:solidFill>
          </w14:textFill>
        </w:rPr>
        <w:t>公开时间：</w:t>
      </w:r>
      <w:r>
        <w:rPr>
          <w:rFonts w:hint="eastAsia" w:ascii="Times New Roman" w:hAnsi="Times New Roman" w:eastAsia="仿宋_GB2312"/>
          <w:b w:val="0"/>
          <w:bCs w:val="0"/>
          <w:color w:val="000000" w:themeColor="text1"/>
          <w:spacing w:val="0"/>
          <w:highlight w:val="none"/>
          <w14:textFill>
            <w14:solidFill>
              <w14:schemeClr w14:val="tx1"/>
            </w14:solidFill>
          </w14:textFill>
        </w:rPr>
        <w:t>20</w:t>
      </w:r>
      <w:r>
        <w:rPr>
          <w:rFonts w:hint="eastAsia" w:ascii="Times New Roman" w:hAnsi="Times New Roman" w:eastAsia="仿宋_GB2312"/>
          <w:b w:val="0"/>
          <w:bCs w:val="0"/>
          <w:color w:val="000000" w:themeColor="text1"/>
          <w:spacing w:val="0"/>
          <w:highlight w:val="none"/>
          <w:lang w:val="en-US" w:eastAsia="zh-CN"/>
          <w14:textFill>
            <w14:solidFill>
              <w14:schemeClr w14:val="tx1"/>
            </w14:solidFill>
          </w14:textFill>
        </w:rPr>
        <w:t>23</w:t>
      </w:r>
      <w:r>
        <w:rPr>
          <w:rFonts w:hint="eastAsia" w:eastAsia="仿宋_GB2312"/>
          <w:b w:val="0"/>
          <w:bCs w:val="0"/>
          <w:color w:val="000000" w:themeColor="text1"/>
          <w:spacing w:val="0"/>
          <w:highlight w:val="none"/>
          <w14:textFill>
            <w14:solidFill>
              <w14:schemeClr w14:val="tx1"/>
            </w14:solidFill>
          </w14:textFill>
        </w:rPr>
        <w:t>年</w:t>
      </w:r>
      <w:r>
        <w:rPr>
          <w:rFonts w:hint="eastAsia" w:ascii="Times New Roman" w:hAnsi="Times New Roman" w:eastAsia="仿宋_GB2312"/>
          <w:b w:val="0"/>
          <w:bCs w:val="0"/>
          <w:color w:val="000000" w:themeColor="text1"/>
          <w:spacing w:val="0"/>
          <w:highlight w:val="none"/>
          <w:lang w:val="en-US" w:eastAsia="zh-CN"/>
          <w14:textFill>
            <w14:solidFill>
              <w14:schemeClr w14:val="tx1"/>
            </w14:solidFill>
          </w14:textFill>
        </w:rPr>
        <w:t>9</w:t>
      </w:r>
      <w:r>
        <w:rPr>
          <w:rFonts w:hint="eastAsia" w:eastAsia="仿宋_GB2312"/>
          <w:b w:val="0"/>
          <w:bCs w:val="0"/>
          <w:color w:val="000000" w:themeColor="text1"/>
          <w:spacing w:val="0"/>
          <w:highlight w:val="none"/>
          <w14:textFill>
            <w14:solidFill>
              <w14:schemeClr w14:val="tx1"/>
            </w14:solidFill>
          </w14:textFill>
        </w:rPr>
        <w:t>月</w:t>
      </w:r>
      <w:r>
        <w:rPr>
          <w:rFonts w:hint="eastAsia" w:ascii="Times New Roman" w:hAnsi="Times New Roman" w:eastAsia="仿宋_GB2312"/>
          <w:b w:val="0"/>
          <w:bCs w:val="0"/>
          <w:color w:val="000000" w:themeColor="text1"/>
          <w:spacing w:val="0"/>
          <w:highlight w:val="none"/>
          <w:lang w:val="en-US" w:eastAsia="zh-CN"/>
          <w14:textFill>
            <w14:solidFill>
              <w14:schemeClr w14:val="tx1"/>
            </w14:solidFill>
          </w14:textFill>
        </w:rPr>
        <w:t>28</w:t>
      </w:r>
      <w:r>
        <w:rPr>
          <w:rFonts w:hint="eastAsia" w:eastAsia="仿宋_GB2312"/>
          <w:b w:val="0"/>
          <w:bCs w:val="0"/>
          <w:color w:val="000000" w:themeColor="text1"/>
          <w:spacing w:val="0"/>
          <w:highlight w:val="none"/>
          <w14:textFill>
            <w14:solidFill>
              <w14:schemeClr w14:val="tx1"/>
            </w14:solidFill>
          </w14:textFill>
        </w:rPr>
        <w:t>日</w:t>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TOC \o "1-2" \h \u</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fldChar w:fldCharType="begin"/>
      </w:r>
      <w:r>
        <w:instrText xml:space="preserve"> HYPERLINK \l "_Toc11781"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第一部分 部门概况</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_Toc11781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"_Toc10634"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一、 部门职责</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_Toc10634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"_Toc12399"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二、 机构设置</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_Toc12399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"_Toc13906"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第二部分 2022年度部门决算情况说明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_Toc13906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"_Toc36"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一、收入支出决算总体情况说明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_Toc36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"_Toc20136"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二、收入决算情况说明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_Toc20136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"_Toc25569"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三、支出决算情况说明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_Toc25569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4</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"_Toc21466"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四、财政拨款收入支出决算总体情况说明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_Toc21466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5</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"_Toc7984"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五、一般公共预算财政拨款支出决算情况说明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_Toc7984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5</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"_Toc11482"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六、一般公共预算财政拨款基本支出决算情况说明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_Toc11482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8</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"_Toc12427"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七、财政拨款“三公”经费支出决算情况说明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_Toc12427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9</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"_Toc27742"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八、政府性基金预算支出决算情况说明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_Toc27742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"_Toc15719"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九、 国有资本经营预算支出决算情况说明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_Toc15719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"_Toc28981"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十、 其他重要事项的情况说明</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_Toc28981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"_Toc960"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第三部分 名词解释</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_Toc960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13</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"_Toc6703"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第四部分 附件</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_Toc6703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15</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"_Toc11377"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第五部分 附表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_Toc11377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"_Toc6708"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一、收入支出决算总表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_Toc6708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"_Toc1096"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二、收入决算表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_Toc1096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"_Toc3172"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三、支出决算表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_Toc3172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"_Toc16312"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四、财政拨款收入支出决算总表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_Toc16312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"_Toc9906"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五、财政拨款支出决算明细表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_Toc9906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"_Toc782"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六、一般公共预算财政拨款支出决算表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_Toc782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"_Toc15757"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七、一般公共预算财政拨款支出决算明细表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_Toc15757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"_Toc21771"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八、一般公共预算财政拨款基本支出决算表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_Toc21771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"_Toc22673"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九、一般公共预算财政拨款项目支出决算表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_Toc22673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"_Toc21296"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十、政府性基金预算财政拨款收入支出决算表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_Toc21296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"_Toc27178"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十一、国有资本经营预算财政拨款收入支出决算表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_Toc27178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"_Toc3430"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十二、国有资本经营预算财政拨款支出决算表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_Toc3430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42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fldChar w:fldCharType="begin"/>
      </w:r>
      <w:r>
        <w:instrText xml:space="preserve"> HYPERLINK \l "_Toc13607" </w:instrText>
      </w:r>
      <w: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十三、财政拨款“三公”经费支出决算表</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ab/>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begin"/>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instrText xml:space="preserve"> PAGEREF _Toc13607 \h </w:instrTex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fldChar w:fldCharType="end"/>
      </w:r>
    </w:p>
    <w:p>
      <w:pPr>
        <w:pStyle w:val="3"/>
        <w:bidi w:val="0"/>
        <w:jc w:val="center"/>
        <w:rPr>
          <w:rFonts w:hint="eastAsia" w:ascii="方正小标宋简体" w:hAnsi="方正小标宋简体" w:eastAsia="方正小标宋简体" w:cs="方正小标宋简体"/>
          <w:b w:val="0"/>
          <w:bCs w:val="0"/>
          <w:color w:val="000000" w:themeColor="text1"/>
          <w:spacing w:val="0"/>
          <w:highlight w:val="none"/>
          <w14:textFill>
            <w14:solidFill>
              <w14:schemeClr w14:val="tx1"/>
            </w14:solidFill>
          </w14:textFill>
        </w:rPr>
        <w:sectPr>
          <w:footerReference r:id="rId5" w:type="first"/>
          <w:headerReference r:id="rId3" w:type="default"/>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20" w:name="_Toc15377196"/>
      <w:bookmarkStart w:id="21" w:name="_Toc15396599"/>
      <w:bookmarkStart w:id="22" w:name="_Toc11781"/>
    </w:p>
    <w:p>
      <w:pPr>
        <w:pStyle w:val="3"/>
        <w:bidi w:val="0"/>
        <w:jc w:val="center"/>
        <w:rPr>
          <w:rStyle w:val="33"/>
          <w:rFonts w:hint="eastAsia" w:ascii="方正小标宋简体" w:hAnsi="方正小标宋简体" w:eastAsia="方正小标宋简体" w:cs="方正小标宋简体"/>
          <w:b w:val="0"/>
          <w:bCs w:val="0"/>
          <w:color w:val="000000" w:themeColor="text1"/>
          <w:spacing w:val="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highlight w:val="none"/>
          <w14:textFill>
            <w14:solidFill>
              <w14:schemeClr w14:val="tx1"/>
            </w14:solidFill>
          </w14:textFill>
        </w:rPr>
        <w:t xml:space="preserve">第一部分 </w:t>
      </w:r>
      <w:r>
        <w:rPr>
          <w:rStyle w:val="33"/>
          <w:rFonts w:hint="eastAsia" w:ascii="方正小标宋简体" w:hAnsi="方正小标宋简体" w:eastAsia="方正小标宋简体" w:cs="方正小标宋简体"/>
          <w:b w:val="0"/>
          <w:bCs w:val="0"/>
          <w:color w:val="000000" w:themeColor="text1"/>
          <w:spacing w:val="0"/>
          <w:highlight w:val="none"/>
          <w14:textFill>
            <w14:solidFill>
              <w14:schemeClr w14:val="tx1"/>
            </w14:solidFill>
          </w14:textFill>
        </w:rPr>
        <w:t>部门概况</w:t>
      </w:r>
      <w:bookmarkEnd w:id="20"/>
      <w:bookmarkEnd w:id="21"/>
      <w:bookmarkEnd w:id="22"/>
    </w:p>
    <w:p>
      <w:pPr>
        <w:keepNext w:val="0"/>
        <w:keepLines w:val="0"/>
        <w:pageBreakBefore w:val="0"/>
        <w:widowControl w:val="0"/>
        <w:kinsoku/>
        <w:wordWrap/>
        <w:overflowPunct w:val="0"/>
        <w:topLinePunct w:val="0"/>
        <w:autoSpaceDE/>
        <w:autoSpaceDN/>
        <w:bidi w:val="0"/>
        <w:adjustRightInd/>
        <w:spacing w:line="576" w:lineRule="exact"/>
        <w:jc w:val="left"/>
        <w:textAlignment w:val="auto"/>
        <w:rPr>
          <w:rFonts w:ascii="黑体" w:eastAsia="黑体"/>
          <w:b w:val="0"/>
          <w:bCs w:val="0"/>
          <w:color w:val="000000" w:themeColor="text1"/>
          <w:spacing w:val="0"/>
          <w:sz w:val="32"/>
          <w:szCs w:val="32"/>
          <w:highlight w:val="none"/>
          <w14:textFill>
            <w14:solidFill>
              <w14:schemeClr w14:val="tx1"/>
            </w14:solidFill>
          </w14:textFill>
        </w:rPr>
      </w:pPr>
    </w:p>
    <w:p>
      <w:pPr>
        <w:pStyle w:val="4"/>
        <w:keepNext w:val="0"/>
        <w:keepLines w:val="0"/>
        <w:pageBreakBefore w:val="0"/>
        <w:widowControl w:val="0"/>
        <w:numPr>
          <w:ilvl w:val="0"/>
          <w:numId w:val="1"/>
        </w:numPr>
        <w:kinsoku/>
        <w:wordWrap/>
        <w:overflowPunct w:val="0"/>
        <w:topLinePunct w:val="0"/>
        <w:autoSpaceDE/>
        <w:autoSpaceDN/>
        <w:bidi w:val="0"/>
        <w:adjustRightInd/>
        <w:spacing w:before="0" w:after="0" w:line="576" w:lineRule="exact"/>
        <w:textAlignment w:val="auto"/>
        <w:rPr>
          <w:rFonts w:hint="eastAsia" w:ascii="黑体" w:hAnsi="黑体" w:eastAsia="黑体"/>
          <w:b w:val="0"/>
          <w:bCs w:val="0"/>
          <w:color w:val="000000" w:themeColor="text1"/>
          <w:spacing w:val="0"/>
          <w:highlight w:val="none"/>
          <w:lang w:eastAsia="zh-CN"/>
          <w14:textFill>
            <w14:solidFill>
              <w14:schemeClr w14:val="tx1"/>
            </w14:solidFill>
          </w14:textFill>
        </w:rPr>
      </w:pPr>
      <w:bookmarkStart w:id="23" w:name="_Toc10634"/>
      <w:r>
        <w:rPr>
          <w:rFonts w:hint="eastAsia" w:ascii="黑体" w:hAnsi="黑体" w:eastAsia="黑体"/>
          <w:b w:val="0"/>
          <w:bCs w:val="0"/>
          <w:color w:val="000000" w:themeColor="text1"/>
          <w:spacing w:val="0"/>
          <w:highlight w:val="none"/>
          <w:lang w:eastAsia="zh-CN"/>
          <w14:textFill>
            <w14:solidFill>
              <w14:schemeClr w14:val="tx1"/>
            </w14:solidFill>
          </w14:textFill>
        </w:rPr>
        <w:t>部门职责</w:t>
      </w:r>
      <w:bookmarkEnd w:id="23"/>
    </w:p>
    <w:p>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区市场监管局贯彻落实党中央关于市场监督管理工作的方针政策和省委、市委、区委的决策部署，在履行职责过程中加强对市场监督管理工作的集中统一领导</w:t>
      </w:r>
      <w:r>
        <w:rPr>
          <w:rFonts w:hint="default" w:ascii="Times New Roman" w:hAnsi="Times New Roman" w:eastAsia="仿宋_GB2312" w:cs="Times New Roman"/>
          <w:b w:val="0"/>
          <w:bC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其主要职能有：</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负责全区市场综合监督管理工作</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负责全区市场主体统一登记注册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负责组织和指导全区市场监管综合执法工作</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；4.</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负责全区反垄断统一执法</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；5.</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负责监督管理全区市场秩序</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；6.</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负责全区宏观质量管理</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；7.</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w:t>
      </w:r>
      <w:r>
        <w:rPr>
          <w:rFonts w:hint="eastAsia" w:eastAsia="仿宋_GB2312" w:cs="Times New Roman"/>
          <w:b w:val="0"/>
          <w:bCs w:val="0"/>
          <w:color w:val="000000" w:themeColor="text1"/>
          <w:spacing w:val="0"/>
          <w:sz w:val="32"/>
          <w:szCs w:val="32"/>
          <w:lang w:eastAsia="zh-CN"/>
          <w14:textFill>
            <w14:solidFill>
              <w14:schemeClr w14:val="tx1"/>
            </w14:solidFill>
          </w14:textFill>
        </w:rPr>
        <w:t>产品</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质量安全监督管理</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负责全区特种设备安全监督管理</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；9.</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负责全区食品安全监督管理综合协调；</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负责全区食品安全监督管理；</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负责统一管理全区计量工作；12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负责统一管理全区标准化工作；13</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负责统一管理全区检验检测工作；14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负责统一管理全区认证认可工作；15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负责市场监督管理科技和信息化建设；16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负责全区药品、医疗器械和化妆品安全监督管理；17</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负责全区知识产权战略和规划的制定，负责知识产权的保护，负责组织指导商标、专利执法工作；18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贯彻落实中央、省委、市委和区委关于加强民营经济党组织建设有关要求</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负责职责范围内的安全生产和职业健康、生态环境保护、审批服务便民等工作；20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完成区委区政府交办的其他任务。</w:t>
      </w:r>
    </w:p>
    <w:p>
      <w:pPr>
        <w:pStyle w:val="4"/>
        <w:keepNext w:val="0"/>
        <w:keepLines w:val="0"/>
        <w:pageBreakBefore w:val="0"/>
        <w:widowControl w:val="0"/>
        <w:numPr>
          <w:ilvl w:val="0"/>
          <w:numId w:val="1"/>
        </w:numPr>
        <w:kinsoku/>
        <w:wordWrap/>
        <w:overflowPunct w:val="0"/>
        <w:topLinePunct w:val="0"/>
        <w:autoSpaceDE/>
        <w:autoSpaceDN/>
        <w:bidi w:val="0"/>
        <w:adjustRightInd/>
        <w:spacing w:before="0" w:after="0" w:line="576" w:lineRule="exact"/>
        <w:textAlignment w:val="auto"/>
        <w:rPr>
          <w:rFonts w:hint="eastAsia" w:ascii="黑体" w:hAnsi="黑体" w:eastAsia="黑体"/>
          <w:b w:val="0"/>
          <w:bCs w:val="0"/>
          <w:color w:val="000000" w:themeColor="text1"/>
          <w:spacing w:val="0"/>
          <w:highlight w:val="none"/>
          <w:lang w:eastAsia="zh-CN"/>
          <w14:textFill>
            <w14:solidFill>
              <w14:schemeClr w14:val="tx1"/>
            </w14:solidFill>
          </w14:textFill>
        </w:rPr>
      </w:pPr>
      <w:bookmarkStart w:id="24" w:name="_Toc15396601"/>
      <w:bookmarkStart w:id="25" w:name="_Toc12399"/>
      <w:bookmarkStart w:id="26" w:name="_Toc15377200"/>
      <w:r>
        <w:rPr>
          <w:rFonts w:hint="eastAsia" w:ascii="黑体" w:hAnsi="黑体" w:eastAsia="黑体"/>
          <w:b w:val="0"/>
          <w:bCs w:val="0"/>
          <w:color w:val="000000" w:themeColor="text1"/>
          <w:spacing w:val="0"/>
          <w:highlight w:val="none"/>
          <w:lang w:eastAsia="zh-CN"/>
          <w14:textFill>
            <w14:solidFill>
              <w14:schemeClr w14:val="tx1"/>
            </w14:solidFill>
          </w14:textFill>
        </w:rPr>
        <w:t>机构设置</w:t>
      </w:r>
      <w:bookmarkEnd w:id="24"/>
      <w:bookmarkEnd w:id="25"/>
      <w:bookmarkEnd w:id="26"/>
    </w:p>
    <w:p>
      <w:pPr>
        <w:pStyle w:val="30"/>
        <w:keepNext w:val="0"/>
        <w:keepLines w:val="0"/>
        <w:pageBreakBefore w:val="0"/>
        <w:widowControl w:val="0"/>
        <w:kinsoku/>
        <w:wordWrap/>
        <w:overflowPunct w:val="0"/>
        <w:topLinePunct w:val="0"/>
        <w:bidi w:val="0"/>
        <w:spacing w:line="576" w:lineRule="exact"/>
        <w:ind w:firstLine="640" w:firstLineChars="200"/>
        <w:jc w:val="both"/>
        <w:textAlignment w:val="auto"/>
        <w:outlineLvl w:val="9"/>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市场监督管理局</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下属二级单位</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5</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个，其中行政单位1个，参照公务员法管理的事业单位1个，公益一类事业单位3个。</w:t>
      </w:r>
    </w:p>
    <w:p>
      <w:pPr>
        <w:pStyle w:val="30"/>
        <w:keepNext w:val="0"/>
        <w:keepLines w:val="0"/>
        <w:pageBreakBefore w:val="0"/>
        <w:widowControl w:val="0"/>
        <w:kinsoku/>
        <w:wordWrap/>
        <w:overflowPunct w:val="0"/>
        <w:topLinePunct w:val="0"/>
        <w:bidi w:val="0"/>
        <w:spacing w:line="576" w:lineRule="exact"/>
        <w:ind w:firstLine="640" w:firstLineChars="200"/>
        <w:jc w:val="both"/>
        <w:textAlignment w:val="auto"/>
        <w:outlineLvl w:val="9"/>
        <w:rPr>
          <w:rFonts w:hint="default" w:ascii="Times New Roman" w:hAnsi="Times New Roman" w:eastAsia="黑体" w:cs="Times New Roman"/>
          <w:b w:val="0"/>
          <w:bCs w:val="0"/>
          <w:color w:val="000000" w:themeColor="text1"/>
          <w:spacing w:val="0"/>
          <w:highlight w:val="none"/>
          <w14:textFill>
            <w14:solidFill>
              <w14:schemeClr w14:val="tx1"/>
            </w14:solidFill>
          </w14:textFill>
        </w:rPr>
      </w:pP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纳入</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区市场监督管理局</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202</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2</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年度部门决算编制范围的二级预算单位包括：</w:t>
      </w:r>
    </w:p>
    <w:p>
      <w:pPr>
        <w:pStyle w:val="2"/>
        <w:keepNext w:val="0"/>
        <w:keepLines w:val="0"/>
        <w:pageBreakBefore w:val="0"/>
        <w:widowControl w:val="0"/>
        <w:numPr>
          <w:ilvl w:val="0"/>
          <w:numId w:val="2"/>
        </w:numPr>
        <w:kinsoku/>
        <w:wordWrap/>
        <w:overflowPunct w:val="0"/>
        <w:topLinePunct w:val="0"/>
        <w:bidi w:val="0"/>
        <w:adjustRightInd w:val="0"/>
        <w:snapToGrid w:val="0"/>
        <w:spacing w:beforeLines="0" w:line="576" w:lineRule="exact"/>
        <w:textAlignment w:val="auto"/>
        <w:outlineLvl w:val="2"/>
        <w:rPr>
          <w:rFonts w:ascii="仿宋" w:hAnsi="仿宋" w:eastAsia="仿宋_GB2312"/>
          <w:b w:val="0"/>
          <w:bCs w:val="0"/>
          <w:color w:val="000000" w:themeColor="text1"/>
          <w:spacing w:val="0"/>
          <w:sz w:val="32"/>
          <w:szCs w:val="32"/>
          <w:highlight w:val="none"/>
          <w14:textFill>
            <w14:solidFill>
              <w14:schemeClr w14:val="tx1"/>
            </w14:solidFill>
          </w14:textFill>
        </w:rPr>
      </w:pPr>
      <w:bookmarkStart w:id="27" w:name="_Toc15306276"/>
      <w:bookmarkStart w:id="28" w:name="_Toc15377433"/>
      <w:bookmarkStart w:id="29" w:name="_Toc15377202"/>
      <w:bookmarkStart w:id="30" w:name="_Toc15378449"/>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昭化区</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市场监督管理局</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机关</w:t>
      </w:r>
      <w:bookmarkEnd w:id="27"/>
      <w:bookmarkEnd w:id="28"/>
      <w:bookmarkEnd w:id="29"/>
      <w:bookmarkEnd w:id="30"/>
      <w:bookmarkStart w:id="31" w:name="_Toc15377203"/>
      <w:bookmarkEnd w:id="31"/>
      <w:bookmarkStart w:id="32" w:name="_Toc15306277"/>
      <w:bookmarkEnd w:id="32"/>
      <w:bookmarkStart w:id="33" w:name="_Toc15378450"/>
      <w:bookmarkEnd w:id="33"/>
      <w:bookmarkStart w:id="34" w:name="_Toc15377434"/>
      <w:bookmarkEnd w:id="34"/>
    </w:p>
    <w:p>
      <w:pPr>
        <w:pStyle w:val="2"/>
        <w:keepNext w:val="0"/>
        <w:keepLines w:val="0"/>
        <w:pageBreakBefore w:val="0"/>
        <w:widowControl w:val="0"/>
        <w:numPr>
          <w:ilvl w:val="0"/>
          <w:numId w:val="3"/>
        </w:numPr>
        <w:kinsoku/>
        <w:wordWrap/>
        <w:overflowPunct w:val="0"/>
        <w:topLinePunct w:val="0"/>
        <w:bidi w:val="0"/>
        <w:adjustRightInd w:val="0"/>
        <w:snapToGrid w:val="0"/>
        <w:spacing w:beforeLines="0" w:line="576" w:lineRule="exact"/>
        <w:ind w:firstLine="640" w:firstLineChars="200"/>
        <w:textAlignment w:val="auto"/>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昭化区</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市场监督管理局综合行政执法大队</w:t>
      </w:r>
    </w:p>
    <w:p>
      <w:pPr>
        <w:pStyle w:val="2"/>
        <w:keepNext w:val="0"/>
        <w:keepLines w:val="0"/>
        <w:pageBreakBefore w:val="0"/>
        <w:widowControl w:val="0"/>
        <w:numPr>
          <w:ilvl w:val="0"/>
          <w:numId w:val="3"/>
        </w:numPr>
        <w:kinsoku/>
        <w:wordWrap/>
        <w:overflowPunct w:val="0"/>
        <w:topLinePunct w:val="0"/>
        <w:bidi w:val="0"/>
        <w:adjustRightInd w:val="0"/>
        <w:snapToGrid w:val="0"/>
        <w:spacing w:beforeLines="0" w:line="576" w:lineRule="exact"/>
        <w:ind w:firstLine="640" w:firstLineChars="200"/>
        <w:textAlignment w:val="auto"/>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广元市昭化区市场监督事务中心</w:t>
      </w:r>
    </w:p>
    <w:p>
      <w:pPr>
        <w:pStyle w:val="2"/>
        <w:keepNext w:val="0"/>
        <w:keepLines w:val="0"/>
        <w:pageBreakBefore w:val="0"/>
        <w:widowControl w:val="0"/>
        <w:numPr>
          <w:ilvl w:val="0"/>
          <w:numId w:val="3"/>
        </w:numPr>
        <w:kinsoku/>
        <w:wordWrap/>
        <w:overflowPunct w:val="0"/>
        <w:topLinePunct w:val="0"/>
        <w:bidi w:val="0"/>
        <w:adjustRightInd w:val="0"/>
        <w:snapToGrid w:val="0"/>
        <w:spacing w:beforeLines="0" w:line="576" w:lineRule="exact"/>
        <w:ind w:firstLine="640" w:firstLineChars="200"/>
        <w:textAlignment w:val="auto"/>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广元市昭化区消费者权益服务中心</w:t>
      </w:r>
    </w:p>
    <w:p>
      <w:pPr>
        <w:pStyle w:val="2"/>
        <w:keepNext w:val="0"/>
        <w:keepLines w:val="0"/>
        <w:pageBreakBefore w:val="0"/>
        <w:widowControl w:val="0"/>
        <w:numPr>
          <w:ilvl w:val="0"/>
          <w:numId w:val="3"/>
        </w:numPr>
        <w:kinsoku/>
        <w:wordWrap/>
        <w:overflowPunct w:val="0"/>
        <w:topLinePunct w:val="0"/>
        <w:bidi w:val="0"/>
        <w:adjustRightInd w:val="0"/>
        <w:snapToGrid w:val="0"/>
        <w:spacing w:beforeLines="0" w:line="576" w:lineRule="exact"/>
        <w:ind w:firstLine="640" w:firstLineChars="200"/>
        <w:textAlignment w:val="auto"/>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广元市昭化区市场监督信息中心</w:t>
      </w:r>
    </w:p>
    <w:p>
      <w:pPr>
        <w:widowControl/>
        <w:jc w:val="left"/>
        <w:rPr>
          <w:rFonts w:ascii="仿宋" w:hAnsi="仿宋" w:eastAsia="仿宋_GB2312"/>
          <w:b w:val="0"/>
          <w:bCs w:val="0"/>
          <w:color w:val="000000" w:themeColor="text1"/>
          <w:spacing w:val="0"/>
          <w:kern w:val="0"/>
          <w:sz w:val="32"/>
          <w:szCs w:val="32"/>
          <w:highlight w:val="none"/>
          <w14:textFill>
            <w14:solidFill>
              <w14:schemeClr w14:val="tx1"/>
            </w14:solidFill>
          </w14:textFill>
        </w:rPr>
      </w:pPr>
      <w:r>
        <w:br w:type="page"/>
      </w:r>
    </w:p>
    <w:p>
      <w:pPr>
        <w:pStyle w:val="3"/>
        <w:bidi w:val="0"/>
        <w:jc w:val="center"/>
        <w:rPr>
          <w:rStyle w:val="33"/>
          <w:rFonts w:hint="eastAsia" w:ascii="方正小标宋简体" w:hAnsi="方正小标宋简体" w:eastAsia="方正小标宋简体" w:cs="方正小标宋简体"/>
          <w:b w:val="0"/>
          <w:bCs w:val="0"/>
          <w:color w:val="000000" w:themeColor="text1"/>
          <w:spacing w:val="0"/>
          <w:highlight w:val="none"/>
          <w14:textFill>
            <w14:solidFill>
              <w14:schemeClr w14:val="tx1"/>
            </w14:solidFill>
          </w14:textFill>
        </w:rPr>
      </w:pPr>
      <w:bookmarkStart w:id="35" w:name="_Toc13906"/>
      <w:bookmarkStart w:id="36" w:name="_Toc15396602"/>
      <w:bookmarkStart w:id="37" w:name="_Toc15377204"/>
      <w:r>
        <w:rPr>
          <w:rFonts w:hint="eastAsia" w:ascii="方正小标宋简体" w:hAnsi="方正小标宋简体" w:eastAsia="方正小标宋简体" w:cs="方正小标宋简体"/>
          <w:b w:val="0"/>
          <w:bCs w:val="0"/>
          <w:color w:val="000000" w:themeColor="text1"/>
          <w:spacing w:val="0"/>
          <w:highlight w:val="none"/>
          <w14:textFill>
            <w14:solidFill>
              <w14:schemeClr w14:val="tx1"/>
            </w14:solidFill>
          </w14:textFill>
        </w:rPr>
        <w:t xml:space="preserve">第二部分 </w:t>
      </w:r>
      <w:r>
        <w:rPr>
          <w:rFonts w:hint="eastAsia" w:ascii="Times New Roman" w:hAnsi="Times New Roman" w:eastAsia="方正小标宋简体" w:cs="方正小标宋简体"/>
          <w:b w:val="0"/>
          <w:bCs w:val="0"/>
          <w:color w:val="000000" w:themeColor="text1"/>
          <w:spacing w:val="0"/>
          <w:highlight w:val="none"/>
          <w:lang w:val="en-US" w:eastAsia="zh-CN"/>
          <w14:textFill>
            <w14:solidFill>
              <w14:schemeClr w14:val="tx1"/>
            </w14:solidFill>
          </w14:textFill>
        </w:rPr>
        <w:t>2022</w:t>
      </w:r>
      <w:r>
        <w:rPr>
          <w:rFonts w:hint="eastAsia" w:ascii="方正小标宋简体" w:hAnsi="方正小标宋简体" w:eastAsia="方正小标宋简体" w:cs="方正小标宋简体"/>
          <w:b w:val="0"/>
          <w:bCs w:val="0"/>
          <w:color w:val="000000" w:themeColor="text1"/>
          <w:spacing w:val="0"/>
          <w:highlight w:val="none"/>
          <w:lang w:val="en-US" w:eastAsia="zh-CN"/>
          <w14:textFill>
            <w14:solidFill>
              <w14:schemeClr w14:val="tx1"/>
            </w14:solidFill>
          </w14:textFill>
        </w:rPr>
        <w:t>年度</w:t>
      </w:r>
      <w:r>
        <w:rPr>
          <w:rStyle w:val="33"/>
          <w:rFonts w:hint="eastAsia" w:ascii="方正小标宋简体" w:hAnsi="方正小标宋简体" w:eastAsia="方正小标宋简体" w:cs="方正小标宋简体"/>
          <w:b w:val="0"/>
          <w:bCs w:val="0"/>
          <w:color w:val="000000" w:themeColor="text1"/>
          <w:spacing w:val="0"/>
          <w:highlight w:val="none"/>
          <w14:textFill>
            <w14:solidFill>
              <w14:schemeClr w14:val="tx1"/>
            </w14:solidFill>
          </w14:textFill>
        </w:rPr>
        <w:t>部门决算情况说明</w:t>
      </w:r>
      <w:bookmarkEnd w:id="35"/>
      <w:bookmarkEnd w:id="36"/>
      <w:bookmarkEnd w:id="37"/>
    </w:p>
    <w:p>
      <w:pPr>
        <w:keepNext w:val="0"/>
        <w:keepLines w:val="0"/>
        <w:pageBreakBefore w:val="0"/>
        <w:widowControl w:val="0"/>
        <w:kinsoku/>
        <w:wordWrap/>
        <w:overflowPunct w:val="0"/>
        <w:topLinePunct w:val="0"/>
        <w:autoSpaceDE/>
        <w:autoSpaceDN/>
        <w:bidi w:val="0"/>
        <w:adjustRightInd/>
        <w:snapToGrid/>
        <w:spacing w:line="576" w:lineRule="exact"/>
        <w:textAlignment w:val="auto"/>
        <w:rPr>
          <w:b w:val="0"/>
          <w:bCs w:val="0"/>
          <w:color w:val="000000" w:themeColor="text1"/>
          <w:spacing w:val="0"/>
          <w:highlight w:val="none"/>
          <w14:textFill>
            <w14:solidFill>
              <w14:schemeClr w14:val="tx1"/>
            </w14:solidFill>
          </w14:textFill>
        </w:rPr>
      </w:pPr>
    </w:p>
    <w:p>
      <w:pPr>
        <w:pStyle w:val="3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0" w:firstLine="640" w:firstLineChars="200"/>
        <w:textAlignment w:val="auto"/>
        <w:outlineLvl w:val="1"/>
        <w:rPr>
          <w:rStyle w:val="34"/>
          <w:rFonts w:ascii="黑体" w:hAnsi="黑体" w:eastAsia="黑体"/>
          <w:b w:val="0"/>
          <w:bCs w:val="0"/>
          <w:color w:val="000000" w:themeColor="text1"/>
          <w:spacing w:val="0"/>
          <w:highlight w:val="none"/>
          <w14:textFill>
            <w14:solidFill>
              <w14:schemeClr w14:val="tx1"/>
            </w14:solidFill>
          </w14:textFill>
        </w:rPr>
      </w:pPr>
      <w:bookmarkStart w:id="38" w:name="_Toc15377205"/>
      <w:bookmarkStart w:id="39" w:name="_Toc15396603"/>
      <w:bookmarkStart w:id="40" w:name="_Toc36"/>
      <w:r>
        <w:rPr>
          <w:rFonts w:hint="eastAsia" w:ascii="黑体" w:hAnsi="黑体" w:eastAsia="黑体"/>
          <w:b w:val="0"/>
          <w:bCs w:val="0"/>
          <w:color w:val="000000" w:themeColor="text1"/>
          <w:spacing w:val="0"/>
          <w:sz w:val="32"/>
          <w:szCs w:val="32"/>
          <w:highlight w:val="none"/>
          <w:lang w:eastAsia="zh-CN"/>
          <w14:textFill>
            <w14:solidFill>
              <w14:schemeClr w14:val="tx1"/>
            </w14:solidFill>
          </w14:textFill>
        </w:rPr>
        <w:t>一、</w:t>
      </w:r>
      <w:r>
        <w:rPr>
          <w:rFonts w:hint="eastAsia" w:ascii="黑体" w:hAnsi="黑体" w:eastAsia="黑体"/>
          <w:b w:val="0"/>
          <w:bCs w:val="0"/>
          <w:color w:val="000000" w:themeColor="text1"/>
          <w:spacing w:val="0"/>
          <w:sz w:val="32"/>
          <w:szCs w:val="32"/>
          <w:highlight w:val="none"/>
          <w14:textFill>
            <w14:solidFill>
              <w14:schemeClr w14:val="tx1"/>
            </w14:solidFill>
          </w14:textFill>
        </w:rPr>
        <w:t>收</w:t>
      </w:r>
      <w:r>
        <w:rPr>
          <w:rStyle w:val="34"/>
          <w:rFonts w:hint="eastAsia" w:ascii="黑体" w:hAnsi="黑体" w:eastAsia="黑体"/>
          <w:b w:val="0"/>
          <w:bCs w:val="0"/>
          <w:color w:val="000000" w:themeColor="text1"/>
          <w:spacing w:val="0"/>
          <w:highlight w:val="none"/>
          <w14:textFill>
            <w14:solidFill>
              <w14:schemeClr w14:val="tx1"/>
            </w14:solidFill>
          </w14:textFill>
        </w:rPr>
        <w:t>入支出决算总体情况说明</w:t>
      </w:r>
      <w:bookmarkEnd w:id="38"/>
      <w:bookmarkEnd w:id="39"/>
      <w:bookmarkEnd w:id="40"/>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textAlignment w:val="auto"/>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年度收</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万元。与</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1165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45</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相比，收</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年度</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支出</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万元。与20</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1165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45</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相比，收</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%。主要变动原因是</w:t>
      </w:r>
      <w:r>
        <w:rPr>
          <w:rFonts w:hint="eastAsia"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年</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预算增加质量技术监管专项经费、食品食用农产品工业产品检验检测经费、临聘人员工资及保险等费用。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b w:val="0"/>
          <w:bCs w:val="0"/>
          <w:color w:val="000000" w:themeColor="text1"/>
          <w:spacing w:val="0"/>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（图</w:t>
      </w:r>
      <w:r>
        <w:rPr>
          <w:rFonts w:ascii="Times New Roman" w:hAnsi="Times New Roman" w:eastAsia="仿宋_GB2312"/>
          <w:b w:val="0"/>
          <w:bCs w:val="0"/>
          <w:color w:val="000000" w:themeColor="text1"/>
          <w:spacing w:val="0"/>
          <w:sz w:val="32"/>
          <w:szCs w:val="32"/>
          <w:highlight w:val="none"/>
          <w14:textFill>
            <w14:solidFill>
              <w14:schemeClr w14:val="tx1"/>
            </w14:solidFill>
          </w14:textFill>
        </w:rPr>
        <w:t>1</w:t>
      </w:r>
      <w:r>
        <w:rPr>
          <w:rFonts w:hint="eastAsia" w:ascii="仿宋" w:hAnsi="仿宋" w:eastAsia="仿宋_GB2312"/>
          <w:b w:val="0"/>
          <w:bCs w:val="0"/>
          <w:color w:val="000000" w:themeColor="text1"/>
          <w:spacing w:val="0"/>
          <w:sz w:val="32"/>
          <w:szCs w:val="32"/>
          <w:highlight w:val="none"/>
          <w14:textFill>
            <w14:solidFill>
              <w14:schemeClr w14:val="tx1"/>
            </w14:solidFill>
          </w14:textFill>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pPr>
      <w:r>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drawing>
          <wp:inline distT="0" distB="0" distL="114300" distR="114300">
            <wp:extent cx="5256530" cy="2988310"/>
            <wp:effectExtent l="5080" t="4445" r="15240" b="17145"/>
            <wp:docPr id="108"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640" w:leftChars="0"/>
        <w:textAlignment w:val="auto"/>
        <w:outlineLvl w:val="1"/>
        <w:rPr>
          <w:rStyle w:val="34"/>
          <w:rFonts w:ascii="黑体" w:hAnsi="黑体" w:eastAsia="黑体"/>
          <w:b w:val="0"/>
          <w:bCs w:val="0"/>
          <w:color w:val="000000" w:themeColor="text1"/>
          <w:spacing w:val="0"/>
          <w:highlight w:val="none"/>
          <w14:textFill>
            <w14:solidFill>
              <w14:schemeClr w14:val="tx1"/>
            </w14:solidFill>
          </w14:textFill>
        </w:rPr>
      </w:pPr>
      <w:bookmarkStart w:id="41" w:name="_Toc15377206"/>
      <w:bookmarkStart w:id="42" w:name="_Toc20136"/>
      <w:bookmarkStart w:id="43" w:name="_Toc15396604"/>
      <w:r>
        <w:rPr>
          <w:rFonts w:hint="eastAsia" w:ascii="黑体" w:hAnsi="黑体" w:eastAsia="黑体"/>
          <w:b w:val="0"/>
          <w:bCs w:val="0"/>
          <w:color w:val="000000" w:themeColor="text1"/>
          <w:spacing w:val="0"/>
          <w:sz w:val="32"/>
          <w:szCs w:val="32"/>
          <w:highlight w:val="none"/>
          <w:lang w:eastAsia="zh-CN"/>
          <w14:textFill>
            <w14:solidFill>
              <w14:schemeClr w14:val="tx1"/>
            </w14:solidFill>
          </w14:textFill>
        </w:rPr>
        <w:t>二、</w:t>
      </w:r>
      <w:r>
        <w:rPr>
          <w:rFonts w:hint="eastAsia" w:ascii="黑体" w:hAnsi="黑体" w:eastAsia="黑体"/>
          <w:b w:val="0"/>
          <w:bCs w:val="0"/>
          <w:color w:val="000000" w:themeColor="text1"/>
          <w:spacing w:val="0"/>
          <w:sz w:val="32"/>
          <w:szCs w:val="32"/>
          <w:highlight w:val="none"/>
          <w14:textFill>
            <w14:solidFill>
              <w14:schemeClr w14:val="tx1"/>
            </w14:solidFill>
          </w14:textFill>
        </w:rPr>
        <w:t>收</w:t>
      </w:r>
      <w:r>
        <w:rPr>
          <w:rStyle w:val="34"/>
          <w:rFonts w:hint="eastAsia" w:ascii="黑体" w:hAnsi="黑体" w:eastAsia="黑体"/>
          <w:b w:val="0"/>
          <w:bCs w:val="0"/>
          <w:color w:val="000000" w:themeColor="text1"/>
          <w:spacing w:val="0"/>
          <w:highlight w:val="none"/>
          <w14:textFill>
            <w14:solidFill>
              <w14:schemeClr w14:val="tx1"/>
            </w14:solidFill>
          </w14:textFill>
        </w:rPr>
        <w:t>入决算情况说明</w:t>
      </w:r>
      <w:bookmarkEnd w:id="41"/>
      <w:bookmarkEnd w:id="42"/>
      <w:bookmarkEnd w:id="43"/>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年本年收入合计</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万元，其中：一般公共预算财政拨款收入</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万元，占</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（图</w:t>
      </w:r>
      <w:r>
        <w:rPr>
          <w:rFonts w:hint="eastAsia" w:ascii="Times New Roman" w:hAnsi="Times New Roman" w:eastAsia="仿宋_GB2312"/>
          <w:b w:val="0"/>
          <w:bCs w:val="0"/>
          <w:color w:val="000000" w:themeColor="text1"/>
          <w:spacing w:val="0"/>
          <w:sz w:val="32"/>
          <w:szCs w:val="32"/>
          <w:highlight w:val="none"/>
          <w14:textFill>
            <w14:solidFill>
              <w14:schemeClr w14:val="tx1"/>
            </w14:solidFill>
          </w14:textFill>
        </w:rPr>
        <w:t>2</w:t>
      </w:r>
      <w:r>
        <w:rPr>
          <w:rFonts w:hint="eastAsia" w:ascii="仿宋" w:hAnsi="仿宋" w:eastAsia="仿宋_GB2312"/>
          <w:b w:val="0"/>
          <w:bCs w:val="0"/>
          <w:color w:val="000000" w:themeColor="text1"/>
          <w:spacing w:val="0"/>
          <w:sz w:val="32"/>
          <w:szCs w:val="32"/>
          <w:highlight w:val="none"/>
          <w14:textFill>
            <w14:solidFill>
              <w14:schemeClr w14:val="tx1"/>
            </w14:solidFill>
          </w14:textFill>
        </w:rPr>
        <w:t>：收入决算结构图）（饼状图）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pPr>
      <w:r>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drawing>
          <wp:inline distT="0" distB="0" distL="114300" distR="114300">
            <wp:extent cx="5256530" cy="2988310"/>
            <wp:effectExtent l="5080" t="4445" r="15240" b="17145"/>
            <wp:docPr id="109"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bidi w:val="0"/>
        <w:rPr>
          <w:rStyle w:val="34"/>
          <w:rFonts w:hint="eastAsia" w:ascii="黑体" w:hAnsi="黑体" w:eastAsia="黑体"/>
          <w:b w:val="0"/>
          <w:bCs w:val="0"/>
          <w:color w:val="000000" w:themeColor="text1"/>
          <w:spacing w:val="0"/>
          <w:highlight w:val="none"/>
          <w14:textFill>
            <w14:solidFill>
              <w14:schemeClr w14:val="tx1"/>
            </w14:solidFill>
          </w14:textFill>
        </w:rPr>
      </w:pPr>
      <w:bookmarkStart w:id="44" w:name="_Toc15377207"/>
      <w:bookmarkStart w:id="45" w:name="_Toc25569"/>
      <w:bookmarkStart w:id="46" w:name="_Toc15396605"/>
      <w:r>
        <w:rPr>
          <w:rStyle w:val="34"/>
          <w:rFonts w:hint="eastAsia" w:ascii="黑体" w:hAnsi="黑体" w:eastAsia="黑体"/>
          <w:b w:val="0"/>
          <w:bCs w:val="0"/>
          <w:color w:val="000000" w:themeColor="text1"/>
          <w:spacing w:val="0"/>
          <w:highlight w:val="none"/>
          <w:lang w:eastAsia="zh-CN"/>
          <w14:textFill>
            <w14:solidFill>
              <w14:schemeClr w14:val="tx1"/>
            </w14:solidFill>
          </w14:textFill>
        </w:rPr>
        <w:t>三、</w:t>
      </w:r>
      <w:r>
        <w:rPr>
          <w:rStyle w:val="34"/>
          <w:rFonts w:hint="eastAsia" w:ascii="黑体" w:hAnsi="黑体" w:eastAsia="黑体"/>
          <w:b w:val="0"/>
          <w:bCs w:val="0"/>
          <w:color w:val="000000" w:themeColor="text1"/>
          <w:spacing w:val="0"/>
          <w:highlight w:val="none"/>
          <w14:textFill>
            <w14:solidFill>
              <w14:schemeClr w14:val="tx1"/>
            </w14:solidFill>
          </w14:textFill>
        </w:rPr>
        <w:t>支出决算情况说明</w:t>
      </w:r>
      <w:bookmarkEnd w:id="44"/>
      <w:bookmarkEnd w:id="45"/>
      <w:bookmarkEnd w:id="46"/>
    </w:p>
    <w:p>
      <w:pPr>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bookmarkStart w:id="47" w:name="_Toc1719"/>
      <w:bookmarkStart w:id="48" w:name="_Toc28157"/>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年本年支出合计</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万元，其中：基本支出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1221</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万元，占</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87</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%；项目支出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178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万元，占</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72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bookmarkEnd w:id="47"/>
      <w:bookmarkEnd w:id="48"/>
    </w:p>
    <w:p>
      <w:pPr>
        <w:keepNext w:val="0"/>
        <w:keepLines w:val="0"/>
        <w:pageBreakBefore w:val="0"/>
        <w:widowControl w:val="0"/>
        <w:kinsoku/>
        <w:wordWrap/>
        <w:overflowPunct w:val="0"/>
        <w:topLinePunct w:val="0"/>
        <w:bidi w:val="0"/>
        <w:spacing w:line="576" w:lineRule="exact"/>
        <w:jc w:val="center"/>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（图</w:t>
      </w:r>
      <w:r>
        <w:rPr>
          <w:rFonts w:hint="eastAsia" w:ascii="Times New Roman" w:hAnsi="Times New Roman" w:eastAsia="仿宋_GB2312"/>
          <w:b w:val="0"/>
          <w:bCs w:val="0"/>
          <w:color w:val="000000" w:themeColor="text1"/>
          <w:spacing w:val="0"/>
          <w:sz w:val="32"/>
          <w:szCs w:val="32"/>
          <w:highlight w:val="none"/>
          <w14:textFill>
            <w14:solidFill>
              <w14:schemeClr w14:val="tx1"/>
            </w14:solidFill>
          </w14:textFill>
        </w:rPr>
        <w:t>3</w:t>
      </w:r>
      <w:r>
        <w:rPr>
          <w:rFonts w:hint="eastAsia" w:ascii="仿宋" w:hAnsi="仿宋" w:eastAsia="仿宋_GB2312"/>
          <w:b w:val="0"/>
          <w:bCs w:val="0"/>
          <w:color w:val="000000" w:themeColor="text1"/>
          <w:spacing w:val="0"/>
          <w:sz w:val="32"/>
          <w:szCs w:val="32"/>
          <w:highlight w:val="none"/>
          <w14:textFill>
            <w14:solidFill>
              <w14:schemeClr w14:val="tx1"/>
            </w14:solidFill>
          </w14:textFill>
        </w:rPr>
        <w:t>：支出决算结构图）（饼状图）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both"/>
        <w:textAlignment w:val="auto"/>
        <w:outlineLvl w:val="9"/>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pPr>
      <w:r>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drawing>
          <wp:inline distT="0" distB="0" distL="114300" distR="114300">
            <wp:extent cx="5256530" cy="2988310"/>
            <wp:effectExtent l="5080" t="4445" r="15240" b="17145"/>
            <wp:docPr id="110"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4"/>
        <w:bidi w:val="0"/>
        <w:rPr>
          <w:rStyle w:val="34"/>
          <w:rFonts w:hint="eastAsia" w:ascii="黑体" w:hAnsi="黑体" w:eastAsia="黑体"/>
          <w:b w:val="0"/>
          <w:bCs w:val="0"/>
          <w:color w:val="000000" w:themeColor="text1"/>
          <w:spacing w:val="0"/>
          <w:highlight w:val="none"/>
          <w:lang w:eastAsia="zh-CN"/>
          <w14:textFill>
            <w14:solidFill>
              <w14:schemeClr w14:val="tx1"/>
            </w14:solidFill>
          </w14:textFill>
        </w:rPr>
      </w:pPr>
      <w:bookmarkStart w:id="49" w:name="_Toc15377208"/>
      <w:bookmarkStart w:id="50" w:name="_Toc21466"/>
      <w:bookmarkStart w:id="51" w:name="_Toc15396606"/>
      <w:r>
        <w:rPr>
          <w:rStyle w:val="34"/>
          <w:rFonts w:hint="eastAsia" w:ascii="黑体" w:hAnsi="黑体" w:eastAsia="黑体"/>
          <w:b w:val="0"/>
          <w:bCs w:val="0"/>
          <w:color w:val="000000" w:themeColor="text1"/>
          <w:spacing w:val="0"/>
          <w:highlight w:val="none"/>
          <w:lang w:eastAsia="zh-CN"/>
          <w14:textFill>
            <w14:solidFill>
              <w14:schemeClr w14:val="tx1"/>
            </w14:solidFill>
          </w14:textFill>
        </w:rPr>
        <w:t>四、财政拨款收入支出决算总体情况说明</w:t>
      </w:r>
      <w:bookmarkEnd w:id="49"/>
      <w:bookmarkEnd w:id="50"/>
      <w:bookmarkEnd w:id="51"/>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年度收</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万元。与</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1165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45</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相比，收</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年度</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支出</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万元。与20</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1165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45</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相比，收</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总计</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%。主要变动原因是</w:t>
      </w:r>
      <w:r>
        <w:rPr>
          <w:rFonts w:hint="eastAsia"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年</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预算增加质量技术监管专项经费、食品食用农产品工业产品检验检测经费、临聘人员工资及保险等费用。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（图</w:t>
      </w:r>
      <w:r>
        <w:rPr>
          <w:rFonts w:hint="eastAsia" w:ascii="Times New Roman" w:hAnsi="Times New Roman" w:eastAsia="仿宋_GB2312"/>
          <w:b w:val="0"/>
          <w:bCs w:val="0"/>
          <w:color w:val="000000" w:themeColor="text1"/>
          <w:spacing w:val="0"/>
          <w:sz w:val="32"/>
          <w:szCs w:val="32"/>
          <w:highlight w:val="none"/>
          <w14:textFill>
            <w14:solidFill>
              <w14:schemeClr w14:val="tx1"/>
            </w14:solidFill>
          </w14:textFill>
        </w:rPr>
        <w:t>4</w:t>
      </w:r>
      <w:r>
        <w:rPr>
          <w:rFonts w:hint="eastAsia" w:ascii="仿宋" w:hAnsi="仿宋" w:eastAsia="仿宋_GB2312"/>
          <w:b w:val="0"/>
          <w:bCs w:val="0"/>
          <w:color w:val="000000" w:themeColor="text1"/>
          <w:spacing w:val="0"/>
          <w:sz w:val="32"/>
          <w:szCs w:val="32"/>
          <w:highlight w:val="none"/>
          <w14:textFill>
            <w14:solidFill>
              <w14:schemeClr w14:val="tx1"/>
            </w14:solidFill>
          </w14:textFill>
        </w:rPr>
        <w:t>：财政拨款收、支决算总计变动情况）（柱状图）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pPr>
      <w:r>
        <w:rPr>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drawing>
          <wp:inline distT="0" distB="0" distL="114300" distR="114300">
            <wp:extent cx="5415280" cy="3261995"/>
            <wp:effectExtent l="4445" t="4445" r="9525" b="10160"/>
            <wp:docPr id="111"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bidi w:val="0"/>
        <w:rPr>
          <w:rStyle w:val="34"/>
          <w:rFonts w:ascii="黑体" w:hAnsi="黑体" w:eastAsia="黑体"/>
          <w:b w:val="0"/>
          <w:bCs w:val="0"/>
          <w:color w:val="000000" w:themeColor="text1"/>
          <w:spacing w:val="0"/>
          <w:highlight w:val="none"/>
          <w14:textFill>
            <w14:solidFill>
              <w14:schemeClr w14:val="tx1"/>
            </w14:solidFill>
          </w14:textFill>
        </w:rPr>
      </w:pPr>
      <w:bookmarkStart w:id="52" w:name="_Toc7984"/>
      <w:bookmarkStart w:id="53" w:name="_Toc15396607"/>
      <w:bookmarkStart w:id="54" w:name="_Toc15377209"/>
      <w:r>
        <w:rPr>
          <w:rFonts w:hint="eastAsia" w:ascii="黑体" w:hAnsi="黑体" w:eastAsia="黑体"/>
          <w:b w:val="0"/>
          <w:bCs w:val="0"/>
          <w:color w:val="000000" w:themeColor="text1"/>
          <w:spacing w:val="0"/>
          <w:sz w:val="32"/>
          <w:szCs w:val="32"/>
          <w:highlight w:val="none"/>
          <w14:textFill>
            <w14:solidFill>
              <w14:schemeClr w14:val="tx1"/>
            </w14:solidFill>
          </w14:textFill>
        </w:rPr>
        <w:t>五、一</w:t>
      </w:r>
      <w:r>
        <w:rPr>
          <w:rStyle w:val="34"/>
          <w:rFonts w:hint="eastAsia" w:ascii="黑体" w:hAnsi="黑体" w:eastAsia="黑体"/>
          <w:b w:val="0"/>
          <w:bCs w:val="0"/>
          <w:color w:val="000000" w:themeColor="text1"/>
          <w:spacing w:val="0"/>
          <w:highlight w:val="none"/>
          <w14:textFill>
            <w14:solidFill>
              <w14:schemeClr w14:val="tx1"/>
            </w14:solidFill>
          </w14:textFill>
        </w:rPr>
        <w:t>般公共预算财政拨款支出决算情况说明</w:t>
      </w:r>
      <w:bookmarkEnd w:id="52"/>
      <w:bookmarkEnd w:id="53"/>
      <w:bookmarkEnd w:id="54"/>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bookmarkStart w:id="55" w:name="_Toc15377210"/>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（一）一般公共预算财政拨款支出决算总体情况</w:t>
      </w:r>
      <w:bookmarkEnd w:id="55"/>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年一般公共预算财政拨款支出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万元，占本年支出合计的</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%。与20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1165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45</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相比，一般公共预算财政拨款</w:t>
      </w:r>
      <w:r>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t>支出</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%。主要变动原因是</w:t>
      </w:r>
      <w:r>
        <w:rPr>
          <w:rFonts w:hint="eastAsia"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年</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预算增加质量技术监管专项经费、食品食用农产品工业产品检验检测经费、临聘人员工资及保险等费用。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16" w:firstLineChars="200"/>
        <w:jc w:val="both"/>
        <w:textAlignment w:val="auto"/>
        <w:outlineLvl w:val="9"/>
        <w:rPr>
          <w:rFonts w:hint="eastAsia" w:ascii="仿宋" w:hAnsi="仿宋" w:eastAsia="仿宋_GB2312"/>
          <w:b w:val="0"/>
          <w:bCs w:val="0"/>
          <w:color w:val="000000" w:themeColor="text1"/>
          <w:spacing w:val="-6"/>
          <w:sz w:val="32"/>
          <w:szCs w:val="32"/>
          <w:highlight w:val="none"/>
          <w14:textFill>
            <w14:solidFill>
              <w14:schemeClr w14:val="tx1"/>
            </w14:solidFill>
          </w14:textFill>
        </w:rPr>
      </w:pPr>
      <w:r>
        <w:rPr>
          <w:rFonts w:hint="eastAsia" w:ascii="仿宋" w:hAnsi="仿宋" w:eastAsia="仿宋_GB2312"/>
          <w:b w:val="0"/>
          <w:bCs w:val="0"/>
          <w:color w:val="000000" w:themeColor="text1"/>
          <w:spacing w:val="-6"/>
          <w:sz w:val="32"/>
          <w:szCs w:val="32"/>
          <w:highlight w:val="none"/>
          <w14:textFill>
            <w14:solidFill>
              <w14:schemeClr w14:val="tx1"/>
            </w14:solidFill>
          </w14:textFill>
        </w:rPr>
        <w:t>（图</w:t>
      </w:r>
      <w:r>
        <w:rPr>
          <w:rFonts w:hint="eastAsia" w:ascii="Times New Roman" w:hAnsi="Times New Roman" w:eastAsia="仿宋_GB2312"/>
          <w:b w:val="0"/>
          <w:bCs w:val="0"/>
          <w:color w:val="000000" w:themeColor="text1"/>
          <w:spacing w:val="-6"/>
          <w:sz w:val="32"/>
          <w:szCs w:val="32"/>
          <w:highlight w:val="none"/>
          <w14:textFill>
            <w14:solidFill>
              <w14:schemeClr w14:val="tx1"/>
            </w14:solidFill>
          </w14:textFill>
        </w:rPr>
        <w:t>5</w:t>
      </w:r>
      <w:r>
        <w:rPr>
          <w:rFonts w:hint="eastAsia" w:ascii="仿宋" w:hAnsi="仿宋" w:eastAsia="仿宋_GB2312"/>
          <w:b w:val="0"/>
          <w:bCs w:val="0"/>
          <w:color w:val="000000" w:themeColor="text1"/>
          <w:spacing w:val="-6"/>
          <w:sz w:val="32"/>
          <w:szCs w:val="32"/>
          <w:highlight w:val="none"/>
          <w14:textFill>
            <w14:solidFill>
              <w14:schemeClr w14:val="tx1"/>
            </w14:solidFill>
          </w14:textFill>
        </w:rPr>
        <w:t>：一般公共预算财政拨款支出决算变动情况）（柱状图）</w:t>
      </w:r>
    </w:p>
    <w:p>
      <w:pPr>
        <w:pStyle w:val="9"/>
      </w:pP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pPr>
      <w:bookmarkStart w:id="56" w:name="_Toc15377211"/>
      <w:r>
        <w:rPr>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drawing>
          <wp:inline distT="0" distB="0" distL="114300" distR="114300">
            <wp:extent cx="5689600" cy="3622675"/>
            <wp:effectExtent l="4445" t="4445" r="20955" b="11430"/>
            <wp:docPr id="112"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640" w:firstLineChars="200"/>
        <w:jc w:val="both"/>
        <w:textAlignment w:val="auto"/>
        <w:outlineLvl w:val="9"/>
        <w:rPr>
          <w:rFonts w:hint="eastAsia" w:ascii="仿宋" w:hAnsi="仿宋" w:eastAsia="仿宋_GB2312"/>
          <w:b w:val="0"/>
          <w:bCs w:val="0"/>
          <w:color w:val="000000" w:themeColor="text1"/>
          <w:spacing w:val="0"/>
          <w:sz w:val="32"/>
          <w:szCs w:val="32"/>
          <w:highlight w:val="none"/>
          <w14:textFill>
            <w14:solidFill>
              <w14:schemeClr w14:val="tx1"/>
            </w14:solidFill>
          </w14:textFill>
        </w:rPr>
      </w:pP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（二）一般公共预算财政拨款支出决算结构情况</w:t>
      </w:r>
      <w:bookmarkEnd w:id="56"/>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年一般公共预算财政拨款支出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主要用于以下方面</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一般公共服务（类）支出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1141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34</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54</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%；社会保障和就业（类）支出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123</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07</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79</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%；卫生健康（类）支出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%；住房保障（类）支出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98</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36</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（图</w:t>
      </w:r>
      <w:r>
        <w:rPr>
          <w:rFonts w:hint="eastAsia" w:ascii="Times New Roman" w:hAnsi="Times New Roman" w:eastAsia="仿宋_GB2312"/>
          <w:b w:val="0"/>
          <w:bCs w:val="0"/>
          <w:color w:val="000000" w:themeColor="text1"/>
          <w:spacing w:val="0"/>
          <w:sz w:val="32"/>
          <w:szCs w:val="32"/>
          <w:highlight w:val="none"/>
          <w14:textFill>
            <w14:solidFill>
              <w14:schemeClr w14:val="tx1"/>
            </w14:solidFill>
          </w14:textFill>
        </w:rPr>
        <w:t>6</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：一般公共预算财政拨款支出决算结构）（饼状图）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pPr>
      <w:r>
        <w:rPr>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drawing>
          <wp:inline distT="0" distB="0" distL="114300" distR="114300">
            <wp:extent cx="5256530" cy="2988310"/>
            <wp:effectExtent l="5080" t="4445" r="15240" b="17145"/>
            <wp:docPr id="113"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bookmarkStart w:id="57" w:name="_Toc15377212"/>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（三）一般公共预算财政拨款支出决算具体情况</w:t>
      </w:r>
      <w:bookmarkEnd w:id="57"/>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bookmarkStart w:id="58" w:name="_Toc15377213"/>
      <w:bookmarkStart w:id="59" w:name="_Toc15377444"/>
      <w:bookmarkStart w:id="60" w:name="_Toc15378460"/>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w:t>
      </w:r>
      <w:r>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t>一</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般公共预算支出决算数为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62万元</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完成预算</w:t>
      </w:r>
      <w:r>
        <w:rPr>
          <w:rStyle w:val="21"/>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100</w:t>
      </w:r>
      <w:r>
        <w:rPr>
          <w:rStyle w:val="21"/>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%。其中：</w:t>
      </w:r>
      <w:bookmarkEnd w:id="58"/>
      <w:bookmarkEnd w:id="59"/>
      <w:bookmarkEnd w:id="60"/>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1.一般公共服务支出（类）</w:t>
      </w:r>
      <w:r>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市场监督管理事务</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（款）行政运行</w:t>
      </w:r>
      <w:r>
        <w:rPr>
          <w:rStyle w:val="21"/>
          <w:rFonts w:hint="eastAsia" w:eastAsia="仿宋_GB2312" w:cs="Times New Roman"/>
          <w:b w:val="0"/>
          <w:bCs w:val="0"/>
          <w:color w:val="000000" w:themeColor="text1"/>
          <w:spacing w:val="0"/>
          <w:sz w:val="32"/>
          <w:szCs w:val="32"/>
          <w:lang w:eastAsia="zh-CN"/>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963</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34</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963</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34</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完成预算100%；</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.一般公共服务支出（类）</w:t>
      </w:r>
      <w:r>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市场监督管理事务</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（款）</w:t>
      </w:r>
      <w:r>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市场主体管理</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96</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96</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一般公共服务支出（类）</w:t>
      </w:r>
      <w:r>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市场监督管理事务</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（款）</w:t>
      </w:r>
      <w:r>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药品事务：</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51</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51</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4.其他市场监督管理事务201（类）38（款）99（项）药品事务</w:t>
      </w:r>
      <w:r>
        <w:rPr>
          <w:rStyle w:val="21"/>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21</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21</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5</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auto"/>
          <w:sz w:val="32"/>
          <w:szCs w:val="32"/>
        </w:rPr>
        <w:t>社会保障和就业（类）行政</w:t>
      </w:r>
      <w:r>
        <w:rPr>
          <w:rFonts w:hint="eastAsia" w:eastAsia="仿宋_GB2312" w:cs="Times New Roman"/>
          <w:color w:val="auto"/>
          <w:sz w:val="32"/>
          <w:szCs w:val="32"/>
          <w:lang w:val="en-US" w:eastAsia="zh-CN"/>
        </w:rPr>
        <w:t>事业</w:t>
      </w:r>
      <w:r>
        <w:rPr>
          <w:rFonts w:hint="default" w:ascii="Times New Roman" w:hAnsi="Times New Roman" w:eastAsia="仿宋_GB2312" w:cs="Times New Roman"/>
          <w:color w:val="auto"/>
          <w:sz w:val="32"/>
          <w:szCs w:val="32"/>
        </w:rPr>
        <w:t>单位养老保险支出（款）机关</w:t>
      </w:r>
      <w:r>
        <w:rPr>
          <w:rFonts w:hint="eastAsia" w:eastAsia="仿宋_GB2312" w:cs="Times New Roman"/>
          <w:color w:val="auto"/>
          <w:sz w:val="32"/>
          <w:szCs w:val="32"/>
          <w:lang w:val="en-US" w:eastAsia="zh-CN"/>
        </w:rPr>
        <w:t>事业</w:t>
      </w:r>
      <w:r>
        <w:rPr>
          <w:rFonts w:hint="default" w:ascii="Times New Roman" w:hAnsi="Times New Roman" w:eastAsia="仿宋_GB2312" w:cs="Times New Roman"/>
          <w:color w:val="auto"/>
          <w:sz w:val="32"/>
          <w:szCs w:val="32"/>
        </w:rPr>
        <w:t>单位基本</w:t>
      </w:r>
      <w:r>
        <w:rPr>
          <w:rFonts w:hint="eastAsia" w:ascii="Times New Roman" w:hAnsi="Times New Roman" w:eastAsia="仿宋_GB2312" w:cs="Times New Roman"/>
          <w:color w:val="auto"/>
          <w:sz w:val="32"/>
          <w:szCs w:val="32"/>
          <w:lang w:eastAsia="zh-CN"/>
        </w:rPr>
        <w:t>养老</w:t>
      </w:r>
      <w:r>
        <w:rPr>
          <w:rFonts w:hint="default" w:ascii="Times New Roman" w:hAnsi="Times New Roman" w:eastAsia="仿宋_GB2312" w:cs="Times New Roman"/>
          <w:color w:val="auto"/>
          <w:sz w:val="32"/>
          <w:szCs w:val="32"/>
        </w:rPr>
        <w:t>保险缴费支出（项）</w:t>
      </w:r>
      <w:r>
        <w:rPr>
          <w:rStyle w:val="21"/>
          <w:rFonts w:hint="default" w:ascii="Times New Roman" w:hAnsi="Times New Roman" w:eastAsia="仿宋_GB2312" w:cs="Times New Roman"/>
          <w:color w:val="auto"/>
          <w:sz w:val="32"/>
          <w:szCs w:val="32"/>
        </w:rPr>
        <w:t>:</w:t>
      </w:r>
      <w:r>
        <w:rPr>
          <w:rStyle w:val="21"/>
          <w:rFonts w:hint="default" w:ascii="Times New Roman" w:hAnsi="Times New Roman" w:eastAsia="仿宋_GB2312" w:cs="Times New Roman"/>
          <w:b w:val="0"/>
          <w:color w:val="auto"/>
          <w:sz w:val="32"/>
          <w:szCs w:val="32"/>
        </w:rPr>
        <w:t xml:space="preserve"> </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123</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07</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123</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07</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完成预算100%。</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卫生健康（类）行政事业单位医疗（款）行政单位医疗（项）</w:t>
      </w:r>
      <w:r>
        <w:rPr>
          <w:rStyle w:val="21"/>
          <w:rFonts w:hint="eastAsia" w:eastAsia="仿宋_GB2312" w:cs="Times New Roman"/>
          <w:b w:val="0"/>
          <w:bCs w:val="0"/>
          <w:color w:val="000000" w:themeColor="text1"/>
          <w:spacing w:val="0"/>
          <w:sz w:val="32"/>
          <w:szCs w:val="32"/>
          <w:lang w:eastAsia="zh-CN"/>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46</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46</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完成预算100%。</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住房保障支出（类）住房改革支出（款）住房公积金</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（项）</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88</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98</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88</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97</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完成预算100%</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8</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一般公共服务支出（类）</w:t>
      </w:r>
      <w:r>
        <w:rPr>
          <w:rStyle w:val="21"/>
          <w:rFonts w:hint="eastAsia" w:eastAsia="仿宋_GB2312" w:cs="Times New Roman"/>
          <w:b w:val="0"/>
          <w:bCs w:val="0"/>
          <w:color w:val="000000" w:themeColor="text1"/>
          <w:spacing w:val="0"/>
          <w:sz w:val="32"/>
          <w:szCs w:val="32"/>
          <w:lang w:val="en-US" w:eastAsia="zh-CN"/>
          <w14:textFill>
            <w14:solidFill>
              <w14:schemeClr w14:val="tx1"/>
            </w14:solidFill>
          </w14:textFill>
        </w:rPr>
        <w:t>知识产权事务（款）其他知识产权事务支出（项）：</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支出决算为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预算数为</w:t>
      </w:r>
      <w:r>
        <w:rPr>
          <w:rStyle w:val="21"/>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w:t>
      </w:r>
      <w:r>
        <w:rPr>
          <w:rStyle w:val="21"/>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完成预算100%</w:t>
      </w:r>
    </w:p>
    <w:p>
      <w:pPr>
        <w:pStyle w:val="4"/>
        <w:bidi w:val="0"/>
        <w:rPr>
          <w:rStyle w:val="34"/>
          <w:b w:val="0"/>
          <w:bCs w:val="0"/>
          <w:color w:val="000000" w:themeColor="text1"/>
          <w:spacing w:val="0"/>
          <w:highlight w:val="none"/>
          <w14:textFill>
            <w14:solidFill>
              <w14:schemeClr w14:val="tx1"/>
            </w14:solidFill>
          </w14:textFill>
        </w:rPr>
      </w:pPr>
      <w:bookmarkStart w:id="61" w:name="_Toc15396608"/>
      <w:bookmarkStart w:id="62" w:name="_Toc15377214"/>
      <w:bookmarkStart w:id="63" w:name="_Toc11482"/>
      <w:r>
        <w:rPr>
          <w:rFonts w:hint="eastAsia" w:ascii="黑体" w:eastAsia="黑体"/>
          <w:b w:val="0"/>
          <w:bCs w:val="0"/>
          <w:color w:val="000000" w:themeColor="text1"/>
          <w:spacing w:val="0"/>
          <w:sz w:val="32"/>
          <w:szCs w:val="32"/>
          <w:highlight w:val="none"/>
          <w14:textFill>
            <w14:solidFill>
              <w14:schemeClr w14:val="tx1"/>
            </w14:solidFill>
          </w14:textFill>
        </w:rPr>
        <w:t>六、</w:t>
      </w:r>
      <w:r>
        <w:rPr>
          <w:rFonts w:hint="eastAsia" w:ascii="黑体" w:hAnsi="黑体" w:eastAsia="黑体"/>
          <w:b w:val="0"/>
          <w:bCs w:val="0"/>
          <w:color w:val="000000" w:themeColor="text1"/>
          <w:spacing w:val="0"/>
          <w:sz w:val="32"/>
          <w:szCs w:val="32"/>
          <w:highlight w:val="none"/>
          <w14:textFill>
            <w14:solidFill>
              <w14:schemeClr w14:val="tx1"/>
            </w14:solidFill>
          </w14:textFill>
        </w:rPr>
        <w:t>一</w:t>
      </w:r>
      <w:r>
        <w:rPr>
          <w:rStyle w:val="34"/>
          <w:rFonts w:hint="eastAsia" w:ascii="黑体" w:hAnsi="黑体" w:eastAsia="黑体"/>
          <w:b w:val="0"/>
          <w:bCs w:val="0"/>
          <w:color w:val="000000" w:themeColor="text1"/>
          <w:spacing w:val="0"/>
          <w:highlight w:val="none"/>
          <w14:textFill>
            <w14:solidFill>
              <w14:schemeClr w14:val="tx1"/>
            </w14:solidFill>
          </w14:textFill>
        </w:rPr>
        <w:t>般公共预算财政拨款基本支出决算情况说明</w:t>
      </w:r>
      <w:bookmarkEnd w:id="61"/>
      <w:bookmarkEnd w:id="62"/>
      <w:bookmarkEnd w:id="63"/>
      <w:r>
        <w:rPr>
          <w:rStyle w:val="34"/>
          <w:rFonts w:ascii="黑体" w:hAnsi="黑体" w:eastAsia="黑体"/>
          <w:b w:val="0"/>
          <w:bCs w:val="0"/>
          <w:color w:val="000000" w:themeColor="text1"/>
          <w:spacing w:val="0"/>
          <w:highlight w:val="none"/>
          <w14:textFill>
            <w14:solidFill>
              <w14:schemeClr w14:val="tx1"/>
            </w14:solidFill>
          </w14:textFill>
        </w:rPr>
        <w:tab/>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 w:hAnsi="仿宋" w:eastAsia="仿宋_GB2312"/>
          <w:b w:val="0"/>
          <w:bCs w:val="0"/>
          <w:color w:val="000000" w:themeColor="text1"/>
          <w:spacing w:val="0"/>
          <w:sz w:val="32"/>
          <w:szCs w:val="32"/>
          <w:highlight w:val="none"/>
          <w14:textFill>
            <w14:solidFill>
              <w14:schemeClr w14:val="tx1"/>
            </w14:solidFill>
          </w14:textFill>
        </w:rPr>
        <w:t>年一般公共预算财政拨款基本支出</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1221</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62</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万元，其中：</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仿宋" w:hAnsi="仿宋" w:eastAsia="仿宋_GB2312"/>
          <w:b w:val="0"/>
          <w:bCs w:val="0"/>
          <w:color w:val="000000" w:themeColor="text1"/>
          <w:spacing w:val="0"/>
          <w:sz w:val="32"/>
          <w:szCs w:val="32"/>
          <w:highlight w:val="none"/>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人员经费</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1058</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82</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万元，主要包括：基本工资、津贴补贴、奖金、绩效工资、机关事业单位基本养老保险缴费、职业年金缴费、其他社会保障缴费、其他工资福利支出、抚恤金、生活补助、医疗费补助、奖励金、住房公积金、其他对个人和家庭的补助支出等。</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hint="eastAsia" w:ascii="仿宋" w:hAnsi="仿宋" w:eastAsia="仿宋_GB2312"/>
          <w:b w:val="0"/>
          <w:bCs w:val="0"/>
          <w:color w:val="000000" w:themeColor="text1"/>
          <w:spacing w:val="0"/>
          <w:sz w:val="32"/>
          <w:szCs w:val="32"/>
          <w:highlight w:val="none"/>
          <w14:textFill>
            <w14:solidFill>
              <w14:schemeClr w14:val="tx1"/>
            </w14:solidFill>
          </w14:textFill>
        </w:rPr>
        <w:t>公用经费</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162</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8</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万元，主要包括：办公费、印刷费、咨询费、手续费、水费、电费、邮电费、物业管理费、差旅费、因公出国（境）费用、维修（护）费、租赁费、会议费、培训费、公务接待费、劳务费、委托业务费、工会经费、公务用车运行维护费、其他交通费、其他商品和服务支出、信息网络等。</w:t>
      </w:r>
    </w:p>
    <w:p>
      <w:pPr>
        <w:pStyle w:val="4"/>
        <w:bidi w:val="0"/>
        <w:rPr>
          <w:rStyle w:val="34"/>
          <w:rFonts w:ascii="黑体" w:hAnsi="黑体" w:eastAsia="黑体"/>
          <w:b w:val="0"/>
          <w:bCs w:val="0"/>
          <w:color w:val="000000" w:themeColor="text1"/>
          <w:spacing w:val="0"/>
          <w:highlight w:val="none"/>
          <w14:textFill>
            <w14:solidFill>
              <w14:schemeClr w14:val="tx1"/>
            </w14:solidFill>
          </w14:textFill>
        </w:rPr>
      </w:pPr>
      <w:bookmarkStart w:id="64" w:name="_Toc15396609"/>
      <w:bookmarkStart w:id="65" w:name="_Toc12427"/>
      <w:bookmarkStart w:id="66" w:name="_Toc15377215"/>
      <w:r>
        <w:rPr>
          <w:rFonts w:hint="eastAsia" w:ascii="黑体" w:eastAsia="黑体"/>
          <w:b w:val="0"/>
          <w:bCs w:val="0"/>
          <w:color w:val="000000" w:themeColor="text1"/>
          <w:spacing w:val="0"/>
          <w:sz w:val="32"/>
          <w:szCs w:val="32"/>
          <w:highlight w:val="none"/>
          <w14:textFill>
            <w14:solidFill>
              <w14:schemeClr w14:val="tx1"/>
            </w14:solidFill>
          </w14:textFill>
        </w:rPr>
        <w:t>七、</w:t>
      </w:r>
      <w:r>
        <w:rPr>
          <w:rStyle w:val="34"/>
          <w:rFonts w:hint="eastAsia" w:ascii="黑体" w:hAnsi="黑体" w:eastAsia="黑体"/>
          <w:b w:val="0"/>
          <w:bCs w:val="0"/>
          <w:color w:val="000000" w:themeColor="text1"/>
          <w:spacing w:val="0"/>
          <w:highlight w:val="none"/>
          <w14:textFill>
            <w14:solidFill>
              <w14:schemeClr w14:val="tx1"/>
            </w14:solidFill>
          </w14:textFill>
        </w:rPr>
        <w:t>财政拨款“三公”经费支出决算情况说明</w:t>
      </w:r>
      <w:bookmarkEnd w:id="64"/>
      <w:bookmarkEnd w:id="65"/>
      <w:bookmarkEnd w:id="66"/>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bookmarkStart w:id="67" w:name="_Toc15377216"/>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（一）“三公”经费财政拨款支出决算总体情况说明</w:t>
      </w:r>
      <w:bookmarkEnd w:id="67"/>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lang w:val="en-US"/>
          <w14:textFill>
            <w14:solidFill>
              <w14:schemeClr w14:val="tx1"/>
            </w14:solidFill>
          </w14:textFill>
        </w:rPr>
      </w:pP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 w:hAnsi="仿宋" w:eastAsia="仿宋_GB2312"/>
          <w:b w:val="0"/>
          <w:bCs w:val="0"/>
          <w:color w:val="000000" w:themeColor="text1"/>
          <w:spacing w:val="0"/>
          <w:sz w:val="32"/>
          <w:szCs w:val="32"/>
          <w:highlight w:val="none"/>
          <w14:textFill>
            <w14:solidFill>
              <w14:schemeClr w14:val="tx1"/>
            </w14:solidFill>
          </w14:textFill>
        </w:rPr>
        <w:t>年“三公”经费财政拨款支出决算为</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15</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6</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万元，完成预算</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93</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98</w:t>
      </w:r>
      <w:r>
        <w:rPr>
          <w:rFonts w:ascii="仿宋" w:hAnsi="仿宋" w:eastAsia="仿宋_GB2312"/>
          <w:b w:val="0"/>
          <w:bCs w:val="0"/>
          <w:color w:val="000000" w:themeColor="text1"/>
          <w:spacing w:val="0"/>
          <w:sz w:val="32"/>
          <w:szCs w:val="32"/>
          <w:highlight w:val="none"/>
          <w14:textFill>
            <w14:solidFill>
              <w14:schemeClr w14:val="tx1"/>
            </w14:solidFill>
          </w14:textFill>
        </w:rPr>
        <w:t>%</w:t>
      </w:r>
      <w:r>
        <w:rPr>
          <w:rFonts w:hint="eastAsia" w:ascii="仿宋" w:hAnsi="仿宋" w:eastAsia="仿宋_GB2312"/>
          <w:b w:val="0"/>
          <w:bCs w:val="0"/>
          <w:color w:val="000000" w:themeColor="text1"/>
          <w:spacing w:val="0"/>
          <w:sz w:val="32"/>
          <w:szCs w:val="32"/>
          <w:highlight w:val="none"/>
          <w14:textFill>
            <w14:solidFill>
              <w14:schemeClr w14:val="tx1"/>
            </w14:solidFill>
          </w14:textFill>
        </w:rPr>
        <w:t>，</w:t>
      </w:r>
      <w:r>
        <w:rPr>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t>较上年增加</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3</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71</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万元，增长</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31</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决算数小于预算数的主要原因是</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按照党中央、国务院关于过“紧日子”和坚持厉行节约反对浪费的要求，进一步减少“</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三公</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经费</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支出。</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bookmarkStart w:id="68" w:name="_Toc15377217"/>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（二）“三公”经费财政拨款支出决算具体情况说明</w:t>
      </w:r>
      <w:bookmarkEnd w:id="68"/>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ascii="仿宋" w:hAnsi="仿宋" w:eastAsia="仿宋_GB2312"/>
          <w:b w:val="0"/>
          <w:bCs w:val="0"/>
          <w:color w:val="000000" w:themeColor="text1"/>
          <w:spacing w:val="0"/>
          <w:sz w:val="32"/>
          <w:szCs w:val="32"/>
          <w:highlight w:val="none"/>
          <w14:textFill>
            <w14:solidFill>
              <w14:schemeClr w14:val="tx1"/>
            </w14:solidFill>
          </w14:textFill>
        </w:rPr>
      </w:pP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 w:hAnsi="仿宋" w:eastAsia="仿宋_GB2312"/>
          <w:b w:val="0"/>
          <w:bCs w:val="0"/>
          <w:color w:val="000000" w:themeColor="text1"/>
          <w:spacing w:val="0"/>
          <w:sz w:val="32"/>
          <w:szCs w:val="32"/>
          <w:highlight w:val="none"/>
          <w14:textFill>
            <w14:solidFill>
              <w14:schemeClr w14:val="tx1"/>
            </w14:solidFill>
          </w14:textFill>
        </w:rPr>
        <w:t>年“三公”经费财政拨款支出决算中，因公出国（境）费支出决算</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0</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万元；公务用车购置及运行维护费支出决算</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12</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8</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万元，占</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82</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05</w:t>
      </w:r>
      <w:r>
        <w:rPr>
          <w:rFonts w:ascii="仿宋" w:hAnsi="仿宋" w:eastAsia="仿宋_GB2312"/>
          <w:b w:val="0"/>
          <w:bCs w:val="0"/>
          <w:color w:val="000000" w:themeColor="text1"/>
          <w:spacing w:val="0"/>
          <w:sz w:val="32"/>
          <w:szCs w:val="32"/>
          <w:highlight w:val="none"/>
          <w14:textFill>
            <w14:solidFill>
              <w14:schemeClr w14:val="tx1"/>
            </w14:solidFill>
          </w14:textFill>
        </w:rPr>
        <w:t>%</w:t>
      </w:r>
      <w:r>
        <w:rPr>
          <w:rFonts w:hint="eastAsia" w:ascii="仿宋" w:hAnsi="仿宋" w:eastAsia="仿宋_GB2312"/>
          <w:b w:val="0"/>
          <w:bCs w:val="0"/>
          <w:color w:val="000000" w:themeColor="text1"/>
          <w:spacing w:val="0"/>
          <w:sz w:val="32"/>
          <w:szCs w:val="32"/>
          <w:highlight w:val="none"/>
          <w14:textFill>
            <w14:solidFill>
              <w14:schemeClr w14:val="tx1"/>
            </w14:solidFill>
          </w14:textFill>
        </w:rPr>
        <w:t>；公务接待费支出决算</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8</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万元，占</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17</w:t>
      </w:r>
      <w:r>
        <w:rPr>
          <w:rFonts w:hint="eastAsia" w:ascii="仿宋" w:hAnsi="仿宋"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95</w:t>
      </w:r>
      <w:r>
        <w:rPr>
          <w:rFonts w:ascii="仿宋" w:hAnsi="仿宋" w:eastAsia="仿宋_GB2312"/>
          <w:b w:val="0"/>
          <w:bCs w:val="0"/>
          <w:color w:val="000000" w:themeColor="text1"/>
          <w:spacing w:val="0"/>
          <w:sz w:val="32"/>
          <w:szCs w:val="32"/>
          <w:highlight w:val="none"/>
          <w14:textFill>
            <w14:solidFill>
              <w14:schemeClr w14:val="tx1"/>
            </w14:solidFill>
          </w14:textFill>
        </w:rPr>
        <w:t>%</w:t>
      </w:r>
      <w:r>
        <w:rPr>
          <w:rFonts w:hint="eastAsia" w:ascii="仿宋" w:hAnsi="仿宋" w:eastAsia="仿宋_GB2312"/>
          <w:b w:val="0"/>
          <w:bCs w:val="0"/>
          <w:color w:val="000000" w:themeColor="text1"/>
          <w:spacing w:val="0"/>
          <w:sz w:val="32"/>
          <w:szCs w:val="32"/>
          <w:highlight w:val="none"/>
          <w14:textFill>
            <w14:solidFill>
              <w14:schemeClr w14:val="tx1"/>
            </w14:solidFill>
          </w14:textFill>
        </w:rPr>
        <w:t>。具体情况如下：</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（图7：“三公”经费财政拨款支出结构）（饼状图）</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0" w:firstLineChars="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drawing>
          <wp:inline distT="0" distB="0" distL="114300" distR="114300">
            <wp:extent cx="5256530" cy="2988310"/>
            <wp:effectExtent l="5080" t="4445" r="15240" b="17145"/>
            <wp:docPr id="114"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numPr>
          <w:ilvl w:val="0"/>
          <w:numId w:val="0"/>
        </w:numPr>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1.因公出国</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（境）</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经费支出0万元。年初未安排预算，因公出国</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（境）</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支出决算较202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年无变化</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2.公务用车购置及运行维护费支出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t>。</w:t>
      </w:r>
      <w:r>
        <w:rPr>
          <w:rStyle w:val="21"/>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完成预算</w:t>
      </w:r>
      <w:r>
        <w:rPr>
          <w:rStyle w:val="21"/>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100</w:t>
      </w:r>
      <w:r>
        <w:rPr>
          <w:rStyle w:val="21"/>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公务用车购置及运行维护费支出决算比20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7</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99</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增加</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4</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81</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万元，增长</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60</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%。主要原因是</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年</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增加食品安全快检车运行经费及</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食品药品医疗器械及化妆品、特种设备等工作专项检查多。</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其中：公务用车购置支出</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万元。全年按规定更新购置公务用车</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辆，</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在公务用车制度改革后，不允许单位购买公务用车。因公出差向机关事务局申请公务用车，公务用车有保障。</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截至20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年12月底，单位共有公务用车</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辆，其中：轿车</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辆、越野车</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辆、</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食品安全监测车1辆</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公务用车运行维护费支出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主要用于</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食品安全保障、药品安全保障、特种设备保障疫情防控、冷链</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等所需的公务用车燃料费、维修费、过路过桥费、保险费等支出</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3.公务接待费支出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Style w:val="21"/>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完成预算</w:t>
      </w:r>
      <w:r>
        <w:rPr>
          <w:rStyle w:val="21"/>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73</w:t>
      </w:r>
      <w:r>
        <w:rPr>
          <w:rStyle w:val="21"/>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Style w:val="21"/>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68</w:t>
      </w:r>
      <w:r>
        <w:rPr>
          <w:rStyle w:val="21"/>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公务接待费支出决算比20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年</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减少</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19</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减少</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29</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%。主要</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按照党中央、国务院关于过“紧日子”和坚持厉行节约反对浪费的要求，进一步减少“</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三公</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经费</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支出</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。其中：</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国内公务接待支出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主要用于</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疫情防控、</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食品药品医疗器械及化妆品、特种设备等安全检查等</w:t>
      </w:r>
      <w:r>
        <w:rPr>
          <w:rFonts w:hint="eastAsia"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执行公务、开展业务活动开支的交通费、住宿费、用餐费等</w:t>
      </w:r>
      <w:r>
        <w:rPr>
          <w:rFonts w:hint="eastAsia"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。国内公务接待</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批次，</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446</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人次，共计支</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外事接待支出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万元，外事接待</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批次，</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人，共计支出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w:t>
      </w:r>
    </w:p>
    <w:p>
      <w:pPr>
        <w:pStyle w:val="4"/>
        <w:bidi w:val="0"/>
        <w:rPr>
          <w:rStyle w:val="34"/>
          <w:rFonts w:ascii="黑体" w:hAnsi="黑体" w:eastAsia="黑体"/>
          <w:b w:val="0"/>
          <w:bCs w:val="0"/>
          <w:color w:val="000000" w:themeColor="text1"/>
          <w:spacing w:val="0"/>
          <w:highlight w:val="none"/>
          <w14:textFill>
            <w14:solidFill>
              <w14:schemeClr w14:val="tx1"/>
            </w14:solidFill>
          </w14:textFill>
        </w:rPr>
      </w:pPr>
      <w:bookmarkStart w:id="69" w:name="_Toc27742"/>
      <w:bookmarkStart w:id="70" w:name="_Toc15377218"/>
      <w:bookmarkStart w:id="71" w:name="_Toc15396610"/>
      <w:r>
        <w:rPr>
          <w:rFonts w:hint="eastAsia" w:ascii="黑体" w:eastAsia="黑体"/>
          <w:b w:val="0"/>
          <w:bCs w:val="0"/>
          <w:color w:val="000000" w:themeColor="text1"/>
          <w:spacing w:val="0"/>
          <w:sz w:val="32"/>
          <w:szCs w:val="32"/>
          <w:highlight w:val="none"/>
          <w14:textFill>
            <w14:solidFill>
              <w14:schemeClr w14:val="tx1"/>
            </w14:solidFill>
          </w14:textFill>
        </w:rPr>
        <w:t>八、</w:t>
      </w:r>
      <w:r>
        <w:rPr>
          <w:rStyle w:val="34"/>
          <w:rFonts w:hint="eastAsia" w:ascii="黑体" w:hAnsi="黑体" w:eastAsia="黑体"/>
          <w:b w:val="0"/>
          <w:bCs w:val="0"/>
          <w:color w:val="000000" w:themeColor="text1"/>
          <w:spacing w:val="0"/>
          <w:highlight w:val="none"/>
          <w14:textFill>
            <w14:solidFill>
              <w14:schemeClr w14:val="tx1"/>
            </w14:solidFill>
          </w14:textFill>
        </w:rPr>
        <w:t>政府性基金预算支出决算情况说明</w:t>
      </w:r>
      <w:bookmarkEnd w:id="69"/>
      <w:bookmarkEnd w:id="70"/>
      <w:bookmarkEnd w:id="71"/>
    </w:p>
    <w:p>
      <w:pPr>
        <w:pageBreakBefore w:val="0"/>
        <w:widowControl w:val="0"/>
        <w:kinsoku/>
        <w:wordWrap/>
        <w:overflowPunct/>
        <w:topLinePunct w:val="0"/>
        <w:bidi w:val="0"/>
        <w:spacing w:line="550" w:lineRule="exact"/>
        <w:ind w:left="0" w:leftChars="0" w:right="0" w:firstLine="640" w:firstLineChars="200"/>
        <w:textAlignment w:val="auto"/>
        <w:rPr>
          <w:rFonts w:ascii="仿宋_GB2312" w:eastAsia="仿宋_GB2312"/>
          <w:b w:val="0"/>
          <w:bCs w:val="0"/>
          <w:color w:val="000000" w:themeColor="text1"/>
          <w:spacing w:val="0"/>
          <w:sz w:val="32"/>
          <w:szCs w:val="32"/>
          <w:highlight w:val="none"/>
          <w14:textFill>
            <w14:solidFill>
              <w14:schemeClr w14:val="tx1"/>
            </w14:solidFill>
          </w14:textFill>
        </w:rPr>
      </w:pP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_GB2312" w:eastAsia="仿宋_GB2312"/>
          <w:b w:val="0"/>
          <w:bCs w:val="0"/>
          <w:color w:val="000000" w:themeColor="text1"/>
          <w:spacing w:val="0"/>
          <w:sz w:val="32"/>
          <w:szCs w:val="32"/>
          <w:highlight w:val="none"/>
          <w14:textFill>
            <w14:solidFill>
              <w14:schemeClr w14:val="tx1"/>
            </w14:solidFill>
          </w14:textFill>
        </w:rPr>
        <w:t>年</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政府性基金预算</w:t>
      </w:r>
      <w:r>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t>财政</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拨款支出</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eastAsia" w:eastAsia="仿宋_GB2312" w:cs="Times New Roman"/>
          <w:b w:val="0"/>
          <w:bC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eastAsia="zh-CN"/>
        </w:rPr>
        <w:t>与上年数无变化。</w:t>
      </w:r>
    </w:p>
    <w:p>
      <w:pPr>
        <w:pStyle w:val="4"/>
        <w:numPr>
          <w:ilvl w:val="0"/>
          <w:numId w:val="4"/>
        </w:numPr>
        <w:bidi w:val="0"/>
        <w:rPr>
          <w:rStyle w:val="34"/>
          <w:rFonts w:ascii="黑体" w:hAnsi="黑体" w:eastAsia="黑体"/>
          <w:b w:val="0"/>
          <w:bCs w:val="0"/>
          <w:color w:val="000000" w:themeColor="text1"/>
          <w:spacing w:val="0"/>
          <w:highlight w:val="none"/>
          <w14:textFill>
            <w14:solidFill>
              <w14:schemeClr w14:val="tx1"/>
            </w14:solidFill>
          </w14:textFill>
        </w:rPr>
      </w:pPr>
      <w:bookmarkStart w:id="72" w:name="_Toc15396611"/>
      <w:bookmarkStart w:id="73" w:name="_Toc15377219"/>
      <w:bookmarkStart w:id="74" w:name="_Toc15719"/>
      <w:r>
        <w:rPr>
          <w:rStyle w:val="34"/>
          <w:rFonts w:hint="eastAsia" w:ascii="黑体" w:hAnsi="黑体" w:eastAsia="黑体"/>
          <w:b w:val="0"/>
          <w:bCs w:val="0"/>
          <w:color w:val="000000" w:themeColor="text1"/>
          <w:spacing w:val="0"/>
          <w:highlight w:val="none"/>
          <w14:textFill>
            <w14:solidFill>
              <w14:schemeClr w14:val="tx1"/>
            </w14:solidFill>
          </w14:textFill>
        </w:rPr>
        <w:t>国有资本经营预算支出决算情况说明</w:t>
      </w:r>
      <w:bookmarkEnd w:id="72"/>
      <w:bookmarkEnd w:id="73"/>
      <w:bookmarkEnd w:id="74"/>
    </w:p>
    <w:p>
      <w:pPr>
        <w:pageBreakBefore w:val="0"/>
        <w:widowControl w:val="0"/>
        <w:kinsoku/>
        <w:wordWrap/>
        <w:overflowPunct/>
        <w:topLinePunct w:val="0"/>
        <w:bidi w:val="0"/>
        <w:spacing w:line="550" w:lineRule="exact"/>
        <w:ind w:left="0" w:leftChars="0" w:right="0" w:firstLine="640" w:firstLineChars="200"/>
        <w:textAlignment w:val="auto"/>
        <w:rPr>
          <w:rFonts w:hint="eastAsia" w:ascii="Times New Roman" w:hAnsi="Times New Roman" w:eastAsia="仿宋_GB2312" w:cs="Times New Roman"/>
          <w:b w:val="0"/>
          <w:bCs w:val="0"/>
          <w:color w:val="000000" w:themeColor="text1"/>
          <w:spacing w:val="0"/>
          <w:sz w:val="44"/>
          <w:szCs w:val="44"/>
          <w:highlight w:val="none"/>
          <w:lang w:eastAsia="zh-CN"/>
          <w14:textFill>
            <w14:solidFill>
              <w14:schemeClr w14:val="tx1"/>
            </w14:solidFill>
          </w14:textFill>
        </w:rPr>
      </w:pP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_GB2312" w:eastAsia="仿宋_GB2312"/>
          <w:b w:val="0"/>
          <w:bCs w:val="0"/>
          <w:color w:val="000000" w:themeColor="text1"/>
          <w:spacing w:val="0"/>
          <w:sz w:val="32"/>
          <w:szCs w:val="32"/>
          <w:highlight w:val="none"/>
          <w14:textFill>
            <w14:solidFill>
              <w14:schemeClr w14:val="tx1"/>
            </w14:solidFill>
          </w14:textFill>
        </w:rPr>
        <w:t>年</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国有资本经营预算</w:t>
      </w:r>
      <w:r>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t>财政</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拨款支出</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eastAsia" w:eastAsia="仿宋_GB2312" w:cs="Times New Roman"/>
          <w:b w:val="0"/>
          <w:bC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eastAsia="zh-CN"/>
        </w:rPr>
        <w:t>与上年数无变化。</w:t>
      </w:r>
    </w:p>
    <w:p>
      <w:pPr>
        <w:pStyle w:val="4"/>
        <w:numPr>
          <w:ilvl w:val="0"/>
          <w:numId w:val="4"/>
        </w:numPr>
        <w:bidi w:val="0"/>
        <w:rPr>
          <w:rStyle w:val="34"/>
          <w:rFonts w:hint="eastAsia" w:ascii="黑体" w:hAnsi="黑体" w:eastAsia="黑体"/>
          <w:b w:val="0"/>
          <w:bCs w:val="0"/>
          <w:color w:val="000000" w:themeColor="text1"/>
          <w:spacing w:val="0"/>
          <w:highlight w:val="none"/>
          <w14:textFill>
            <w14:solidFill>
              <w14:schemeClr w14:val="tx1"/>
            </w14:solidFill>
          </w14:textFill>
        </w:rPr>
      </w:pPr>
      <w:bookmarkStart w:id="75" w:name="_Toc15377221"/>
      <w:bookmarkStart w:id="76" w:name="_Toc15396612"/>
      <w:bookmarkStart w:id="77" w:name="_Toc28981"/>
      <w:r>
        <w:rPr>
          <w:rStyle w:val="34"/>
          <w:rFonts w:hint="eastAsia" w:ascii="黑体" w:hAnsi="黑体" w:eastAsia="黑体"/>
          <w:b w:val="0"/>
          <w:bCs w:val="0"/>
          <w:color w:val="000000" w:themeColor="text1"/>
          <w:spacing w:val="0"/>
          <w:highlight w:val="none"/>
          <w14:textFill>
            <w14:solidFill>
              <w14:schemeClr w14:val="tx1"/>
            </w14:solidFill>
          </w14:textFill>
        </w:rPr>
        <w:t>其他重要事项的情况说明</w:t>
      </w:r>
      <w:bookmarkEnd w:id="75"/>
      <w:bookmarkEnd w:id="76"/>
      <w:bookmarkEnd w:id="77"/>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bookmarkStart w:id="78" w:name="_Toc15377222"/>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（一）机关运行经费支出情况</w:t>
      </w:r>
      <w:bookmarkEnd w:id="78"/>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pP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_GB2312" w:eastAsia="仿宋_GB2312"/>
          <w:b w:val="0"/>
          <w:bCs w:val="0"/>
          <w:color w:val="000000" w:themeColor="text1"/>
          <w:spacing w:val="0"/>
          <w:sz w:val="32"/>
          <w:szCs w:val="32"/>
          <w:highlight w:val="none"/>
          <w14:textFill>
            <w14:solidFill>
              <w14:schemeClr w14:val="tx1"/>
            </w14:solidFill>
          </w14:textFill>
        </w:rPr>
        <w:t>年，</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市场监督管理局</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机关运行经费支出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ascii="仿宋_GB2312" w:eastAsia="仿宋_GB2312"/>
          <w:b w:val="0"/>
          <w:bCs w:val="0"/>
          <w:color w:val="000000" w:themeColor="text1"/>
          <w:spacing w:val="0"/>
          <w:sz w:val="32"/>
          <w:szCs w:val="32"/>
          <w:highlight w:val="none"/>
          <w14:textFill>
            <w14:solidFill>
              <w14:schemeClr w14:val="tx1"/>
            </w14:solidFill>
          </w14:textFill>
        </w:rPr>
        <w:t>万元，比</w:t>
      </w: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21</w:t>
      </w:r>
      <w:r>
        <w:rPr>
          <w:rFonts w:hint="eastAsia" w:ascii="仿宋_GB2312" w:eastAsia="仿宋_GB2312"/>
          <w:b w:val="0"/>
          <w:bCs w:val="0"/>
          <w:color w:val="000000" w:themeColor="text1"/>
          <w:spacing w:val="0"/>
          <w:sz w:val="32"/>
          <w:szCs w:val="32"/>
          <w:highlight w:val="none"/>
          <w14:textFill>
            <w14:solidFill>
              <w14:schemeClr w14:val="tx1"/>
            </w14:solidFill>
          </w14:textFill>
        </w:rPr>
        <w:t>年增加</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27</w:t>
      </w:r>
      <w:r>
        <w:rPr>
          <w:rFonts w:hint="eastAsia" w:ascii="仿宋_GB2312"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77</w:t>
      </w:r>
      <w:r>
        <w:rPr>
          <w:rFonts w:hint="eastAsia" w:ascii="仿宋_GB2312" w:eastAsia="仿宋_GB2312"/>
          <w:b w:val="0"/>
          <w:bCs w:val="0"/>
          <w:color w:val="000000" w:themeColor="text1"/>
          <w:spacing w:val="0"/>
          <w:sz w:val="32"/>
          <w:szCs w:val="32"/>
          <w:highlight w:val="none"/>
          <w14:textFill>
            <w14:solidFill>
              <w14:schemeClr w14:val="tx1"/>
            </w14:solidFill>
          </w14:textFill>
        </w:rPr>
        <w:t>万元，增长</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17</w:t>
      </w:r>
      <w:r>
        <w:rPr>
          <w:rFonts w:hint="eastAsia" w:ascii="仿宋_GB2312" w:eastAsia="仿宋_GB2312"/>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05</w:t>
      </w:r>
      <w:r>
        <w:rPr>
          <w:rFonts w:ascii="仿宋_GB2312" w:eastAsia="仿宋_GB2312"/>
          <w:b w:val="0"/>
          <w:bCs w:val="0"/>
          <w:color w:val="000000" w:themeColor="text1"/>
          <w:spacing w:val="0"/>
          <w:sz w:val="32"/>
          <w:szCs w:val="32"/>
          <w:highlight w:val="none"/>
          <w14:textFill>
            <w14:solidFill>
              <w14:schemeClr w14:val="tx1"/>
            </w14:solidFill>
          </w14:textFill>
        </w:rPr>
        <w:t>%</w:t>
      </w:r>
      <w:r>
        <w:rPr>
          <w:rFonts w:hint="eastAsia" w:ascii="仿宋_GB2312" w:eastAsia="仿宋_GB2312"/>
          <w:b w:val="0"/>
          <w:bCs w:val="0"/>
          <w:color w:val="000000" w:themeColor="text1"/>
          <w:spacing w:val="0"/>
          <w:sz w:val="32"/>
          <w:szCs w:val="32"/>
          <w:highlight w:val="none"/>
          <w14:textFill>
            <w14:solidFill>
              <w14:schemeClr w14:val="tx1"/>
            </w14:solidFill>
          </w14:textFill>
        </w:rPr>
        <w:t>。主要原因是</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2022</w:t>
      </w:r>
      <w:r>
        <w:rPr>
          <w:rFonts w:hint="eastAsia" w:ascii="仿宋_GB2312" w:eastAsia="仿宋_GB2312"/>
          <w:b w:val="0"/>
          <w:bCs w:val="0"/>
          <w:color w:val="000000" w:themeColor="text1"/>
          <w:spacing w:val="0"/>
          <w:sz w:val="32"/>
          <w:szCs w:val="32"/>
          <w:highlight w:val="none"/>
          <w:lang w:val="en-US" w:eastAsia="zh-CN"/>
          <w14:textFill>
            <w14:solidFill>
              <w14:schemeClr w14:val="tx1"/>
            </w14:solidFill>
          </w14:textFill>
        </w:rPr>
        <w:t>年原因是公务员交通费包括在机关运行经费中，导致机关运行经费增加</w:t>
      </w:r>
      <w:r>
        <w:rPr>
          <w:rFonts w:hint="eastAsia" w:ascii="仿宋_GB2312" w:eastAsia="仿宋_GB2312"/>
          <w:b w:val="0"/>
          <w:bCs w:val="0"/>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bookmarkStart w:id="79" w:name="_Toc15377223"/>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（二）政府采购支出情况</w:t>
      </w:r>
      <w:bookmarkEnd w:id="79"/>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pP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_GB2312" w:eastAsia="仿宋_GB2312"/>
          <w:b w:val="0"/>
          <w:bCs w:val="0"/>
          <w:color w:val="000000" w:themeColor="text1"/>
          <w:spacing w:val="0"/>
          <w:sz w:val="32"/>
          <w:szCs w:val="32"/>
          <w:highlight w:val="none"/>
          <w14:textFill>
            <w14:solidFill>
              <w14:schemeClr w14:val="tx1"/>
            </w14:solidFill>
          </w14:textFill>
        </w:rPr>
        <w:t>年</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区市场监督管理局</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政府采购支出总额</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万元，其中：政府采购货物支出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万元、政府采购工程支出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万元、政府采购服务支出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万元。授予中小企业合同金额</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万元，占政府采购支出总额的</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%，其中：授予小微企业合同金额</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万元，占政府采购支出总额的</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bookmarkStart w:id="80" w:name="_Toc15377224"/>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（三）国有资产占有使用情况</w:t>
      </w:r>
      <w:bookmarkEnd w:id="80"/>
    </w:p>
    <w:p>
      <w:pPr>
        <w:keepNext w:val="0"/>
        <w:keepLines w:val="0"/>
        <w:pageBreakBefore w:val="0"/>
        <w:widowControl w:val="0"/>
        <w:kinsoku/>
        <w:wordWrap/>
        <w:overflowPunct w:val="0"/>
        <w:topLinePunct w:val="0"/>
        <w:autoSpaceDE w:val="0"/>
        <w:autoSpaceDN w:val="0"/>
        <w:bidi w:val="0"/>
        <w:adjustRightInd w:val="0"/>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eastAsia" w:ascii="仿宋_GB2312" w:eastAsia="仿宋_GB2312"/>
          <w:b w:val="0"/>
          <w:bCs w:val="0"/>
          <w:color w:val="000000" w:themeColor="text1"/>
          <w:spacing w:val="0"/>
          <w:sz w:val="32"/>
          <w:szCs w:val="32"/>
          <w:highlight w:val="none"/>
          <w14:textFill>
            <w14:solidFill>
              <w14:schemeClr w14:val="tx1"/>
            </w14:solidFill>
          </w14:textFill>
        </w:rPr>
        <w:t>截至</w:t>
      </w:r>
      <w:r>
        <w:rPr>
          <w:rFonts w:ascii="Times New Roman" w:hAnsi="Times New Roman" w:eastAsia="仿宋_GB2312"/>
          <w:b w:val="0"/>
          <w:bCs w:val="0"/>
          <w:color w:val="000000" w:themeColor="text1"/>
          <w:spacing w:val="0"/>
          <w:sz w:val="32"/>
          <w:szCs w:val="32"/>
          <w:highlight w:val="none"/>
          <w14:textFill>
            <w14:solidFill>
              <w14:schemeClr w14:val="tx1"/>
            </w14:solidFill>
          </w14:textFill>
        </w:rPr>
        <w:t>20</w:t>
      </w:r>
      <w:r>
        <w:rPr>
          <w:rFonts w:hint="eastAsia" w:ascii="Times New Roman" w:hAnsi="Times New Roman" w:eastAsia="仿宋_GB2312"/>
          <w:b w:val="0"/>
          <w:bCs w:val="0"/>
          <w:color w:val="000000" w:themeColor="text1"/>
          <w:spacing w:val="0"/>
          <w:sz w:val="32"/>
          <w:szCs w:val="32"/>
          <w:highlight w:val="none"/>
          <w:lang w:val="en-US" w:eastAsia="zh-CN"/>
          <w14:textFill>
            <w14:solidFill>
              <w14:schemeClr w14:val="tx1"/>
            </w14:solidFill>
          </w14:textFill>
        </w:rPr>
        <w:t>22</w:t>
      </w:r>
      <w:r>
        <w:rPr>
          <w:rFonts w:hint="eastAsia" w:ascii="仿宋_GB2312" w:eastAsia="仿宋_GB2312"/>
          <w:b w:val="0"/>
          <w:bCs w:val="0"/>
          <w:color w:val="000000" w:themeColor="text1"/>
          <w:spacing w:val="0"/>
          <w:sz w:val="32"/>
          <w:szCs w:val="32"/>
          <w:highlight w:val="none"/>
          <w14:textFill>
            <w14:solidFill>
              <w14:schemeClr w14:val="tx1"/>
            </w14:solidFill>
          </w14:textFill>
        </w:rPr>
        <w:t>年</w:t>
      </w:r>
      <w:r>
        <w:rPr>
          <w:rFonts w:ascii="Times New Roman" w:hAnsi="Times New Roman" w:eastAsia="仿宋_GB2312"/>
          <w:b w:val="0"/>
          <w:bCs w:val="0"/>
          <w:color w:val="000000" w:themeColor="text1"/>
          <w:spacing w:val="0"/>
          <w:sz w:val="32"/>
          <w:szCs w:val="32"/>
          <w:highlight w:val="none"/>
          <w14:textFill>
            <w14:solidFill>
              <w14:schemeClr w14:val="tx1"/>
            </w14:solidFill>
          </w14:textFill>
        </w:rPr>
        <w:t>12</w:t>
      </w:r>
      <w:r>
        <w:rPr>
          <w:rFonts w:hint="eastAsia" w:ascii="仿宋_GB2312" w:eastAsia="仿宋_GB2312"/>
          <w:b w:val="0"/>
          <w:bCs w:val="0"/>
          <w:color w:val="000000" w:themeColor="text1"/>
          <w:spacing w:val="0"/>
          <w:sz w:val="32"/>
          <w:szCs w:val="32"/>
          <w:highlight w:val="none"/>
          <w14:textFill>
            <w14:solidFill>
              <w14:schemeClr w14:val="tx1"/>
            </w14:solidFill>
          </w14:textFill>
        </w:rPr>
        <w:t>月</w:t>
      </w:r>
      <w:r>
        <w:rPr>
          <w:rFonts w:ascii="Times New Roman" w:hAnsi="Times New Roman" w:eastAsia="仿宋_GB2312"/>
          <w:b w:val="0"/>
          <w:bCs w:val="0"/>
          <w:color w:val="000000" w:themeColor="text1"/>
          <w:spacing w:val="0"/>
          <w:sz w:val="32"/>
          <w:szCs w:val="32"/>
          <w:highlight w:val="none"/>
          <w14:textFill>
            <w14:solidFill>
              <w14:schemeClr w14:val="tx1"/>
            </w14:solidFill>
          </w14:textFill>
        </w:rPr>
        <w:t>31</w:t>
      </w:r>
      <w:r>
        <w:rPr>
          <w:rFonts w:hint="eastAsia" w:ascii="仿宋_GB2312" w:eastAsia="仿宋_GB2312"/>
          <w:b w:val="0"/>
          <w:bCs w:val="0"/>
          <w:color w:val="000000" w:themeColor="text1"/>
          <w:spacing w:val="0"/>
          <w:sz w:val="32"/>
          <w:szCs w:val="32"/>
          <w:highlight w:val="none"/>
          <w14:textFill>
            <w14:solidFill>
              <w14:schemeClr w14:val="tx1"/>
            </w14:solidFill>
          </w14:textFill>
        </w:rPr>
        <w:t>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市场监督管理局共有车辆5辆，其中：主要领导干部用车0辆、机要通信用车0辆、应急保障用车0辆、其他用车0辆、执法执勤车辆5辆。车辆主要是用于食品</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药品</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医疗器械及化妆品、特</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种</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设备</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监管和市场秩序整治</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行政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执法等</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工作</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。单价50万元以上通用设备</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台</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（套），单价100万元以上专用设备0台（套）。</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highlight w:val="none"/>
          <w14:textFill>
            <w14:solidFill>
              <w14:schemeClr w14:val="tx1"/>
            </w14:solidFill>
          </w14:textFill>
        </w:rPr>
        <w:t>（四）预算绩效管理情况</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根据预算绩效管理要求，本部门在</w:t>
      </w:r>
      <w:r>
        <w:rPr>
          <w:rFonts w:hint="eastAsia" w:ascii="Times New Roman" w:hAnsi="Times New Roman" w:eastAsia="仿宋_GB2312" w:cs="仿宋_GB2312"/>
          <w:b w:val="0"/>
          <w:bCs w:val="0"/>
          <w:color w:val="000000" w:themeColor="text1"/>
          <w:spacing w:val="0"/>
          <w:sz w:val="32"/>
          <w:szCs w:val="32"/>
          <w:highlight w:val="none"/>
          <w14:textFill>
            <w14:solidFill>
              <w14:schemeClr w14:val="tx1"/>
            </w14:solidFill>
          </w14:textFill>
        </w:rPr>
        <w:t>202</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年度预算编制阶段，组织对</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市场综合监管业务</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（项目名称）等</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个项目开展了预算事前绩效评估，对</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个项目编制了绩效目标，预算执行过程中，选取</w:t>
      </w:r>
      <w:r>
        <w:rPr>
          <w:rFonts w:hint="eastAsia" w:ascii="Times New Roman" w:hAnsi="Times New Roman" w:eastAsia="仿宋_GB2312" w:cs="仿宋_GB2312"/>
          <w:b w:val="0"/>
          <w:bCs w:val="0"/>
          <w:color w:val="000000" w:themeColor="text1"/>
          <w:spacing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个项目开展绩效监控。</w:t>
      </w:r>
    </w:p>
    <w:p>
      <w:pPr>
        <w:keepNext w:val="0"/>
        <w:keepLines w:val="0"/>
        <w:pageBreakBefore w:val="0"/>
        <w:widowControl w:val="0"/>
        <w:kinsoku/>
        <w:wordWrap/>
        <w:overflowPunct w:val="0"/>
        <w:topLinePunct w:val="0"/>
        <w:bidi w:val="0"/>
        <w:snapToGrid/>
        <w:spacing w:line="576" w:lineRule="exact"/>
        <w:ind w:left="0" w:leftChars="0" w:firstLine="640" w:firstLineChars="200"/>
        <w:jc w:val="both"/>
        <w:textAlignment w:val="auto"/>
        <w:outlineLvl w:val="9"/>
        <w:rPr>
          <w:rFonts w:ascii="仿宋_GB2312" w:eastAsia="仿宋_GB2312"/>
          <w:b w:val="0"/>
          <w:bC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组织对</w:t>
      </w:r>
      <w:r>
        <w:rPr>
          <w:rFonts w:hint="eastAsia" w:ascii="Times New Roman" w:hAnsi="Times New Roman" w:eastAsia="仿宋_GB2312" w:cs="仿宋_GB2312"/>
          <w:b w:val="0"/>
          <w:bCs w:val="0"/>
          <w:color w:val="000000" w:themeColor="text1"/>
          <w:spacing w:val="0"/>
          <w:sz w:val="32"/>
          <w:szCs w:val="32"/>
          <w:highlight w:val="none"/>
          <w14:textFill>
            <w14:solidFill>
              <w14:schemeClr w14:val="tx1"/>
            </w14:solidFill>
          </w14:textFill>
        </w:rPr>
        <w:t>2022</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年度一般公共预算资金等全面开展绩效自评，形成</w:t>
      </w:r>
      <w:r>
        <w:rPr>
          <w:rFonts w:hint="eastAsia" w:ascii="仿宋_GB2312" w:hAnsi="仿宋_GB2312" w:eastAsia="仿宋_GB2312" w:cs="仿宋_GB2312"/>
          <w:b w:val="0"/>
          <w:bCs w:val="0"/>
          <w:color w:val="000000" w:themeColor="text1"/>
          <w:spacing w:val="0"/>
          <w:sz w:val="32"/>
          <w:szCs w:val="32"/>
          <w:highlight w:val="none"/>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市场监督管理局</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部门整体（含部门预算项目）绩效自评报告</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绩效自评报告详见附件。</w:t>
      </w:r>
    </w:p>
    <w:p>
      <w:pPr>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ascii="仿宋_GB2312" w:eastAsia="仿宋_GB2312"/>
          <w:b w:val="0"/>
          <w:bCs w:val="0"/>
          <w:color w:val="000000" w:themeColor="text1"/>
          <w:spacing w:val="0"/>
          <w:sz w:val="32"/>
          <w:szCs w:val="32"/>
          <w:highlight w:val="none"/>
          <w14:textFill>
            <w14:solidFill>
              <w14:schemeClr w14:val="tx1"/>
            </w14:solidFill>
          </w14:textFill>
        </w:rPr>
      </w:pPr>
      <w:r>
        <w:rPr>
          <w:rFonts w:hint="eastAsia" w:ascii="仿宋_GB2312" w:eastAsia="仿宋_GB2312"/>
          <w:b w:val="0"/>
          <w:bCs w:val="0"/>
          <w:color w:val="000000" w:themeColor="text1"/>
          <w:spacing w:val="0"/>
          <w:sz w:val="32"/>
          <w:szCs w:val="32"/>
          <w:highlight w:val="none"/>
          <w:lang w:val="en-US" w:eastAsia="zh-CN"/>
          <w14:textFill>
            <w14:solidFill>
              <w14:schemeClr w14:val="tx1"/>
            </w14:solidFill>
          </w14:textFill>
        </w:rPr>
        <w:t xml:space="preserve">                      </w:t>
      </w:r>
      <w:r>
        <w:br w:type="page"/>
      </w:r>
    </w:p>
    <w:p>
      <w:pPr>
        <w:pStyle w:val="3"/>
        <w:numPr>
          <w:ilvl w:val="0"/>
          <w:numId w:val="5"/>
        </w:numPr>
        <w:bidi w:val="0"/>
        <w:jc w:val="center"/>
        <w:rPr>
          <w:rFonts w:ascii="宋体"/>
          <w:b w:val="0"/>
          <w:bCs w:val="0"/>
          <w:color w:val="000000" w:themeColor="text1"/>
          <w:spacing w:val="0"/>
          <w:sz w:val="44"/>
          <w:szCs w:val="44"/>
          <w:highlight w:val="none"/>
          <w14:textFill>
            <w14:solidFill>
              <w14:schemeClr w14:val="tx1"/>
            </w14:solidFill>
          </w14:textFill>
        </w:rPr>
      </w:pPr>
      <w:bookmarkStart w:id="81" w:name="_Toc15377225"/>
      <w:bookmarkStart w:id="82" w:name="_Toc960"/>
      <w:bookmarkStart w:id="83" w:name="_Toc15396613"/>
      <w:r>
        <w:rPr>
          <w:rFonts w:hint="eastAsia" w:ascii="黑体" w:hAnsi="黑体" w:eastAsia="黑体"/>
          <w:b w:val="0"/>
          <w:bCs w:val="0"/>
          <w:color w:val="000000" w:themeColor="text1"/>
          <w:spacing w:val="0"/>
          <w:sz w:val="44"/>
          <w:szCs w:val="44"/>
          <w:highlight w:val="none"/>
          <w14:textFill>
            <w14:solidFill>
              <w14:schemeClr w14:val="tx1"/>
            </w14:solidFill>
          </w14:textFill>
        </w:rPr>
        <w:t>名</w:t>
      </w:r>
      <w:r>
        <w:rPr>
          <w:rStyle w:val="33"/>
          <w:rFonts w:hint="eastAsia" w:ascii="黑体" w:hAnsi="黑体" w:eastAsia="黑体"/>
          <w:b w:val="0"/>
          <w:bCs w:val="0"/>
          <w:color w:val="000000" w:themeColor="text1"/>
          <w:spacing w:val="0"/>
          <w:highlight w:val="none"/>
          <w14:textFill>
            <w14:solidFill>
              <w14:schemeClr w14:val="tx1"/>
            </w14:solidFill>
          </w14:textFill>
        </w:rPr>
        <w:t>词解释</w:t>
      </w:r>
      <w:bookmarkEnd w:id="81"/>
      <w:bookmarkEnd w:id="82"/>
      <w:bookmarkEnd w:id="83"/>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1.一般公共预算拨款收入：指本级财政当年拨付的资金。　</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2.一般公共服务（类）市场监督管理（款）行政运行（项）：指市场监</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督</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管理机关单位用于保障机构正常运行、开展日常工作的基本支出。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3.一般公共服务（类）市场监督管理（</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款）药品事务（项）：指药品（含中药、民族药）监督管理方面的支出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4.一般公共服务（类）市场监督管理（款）食品安全监管（项）：指食品安全监管等专项工作支出。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5.一般公共服务（类）市场监督管理（款）事业运行（项）：广元市昭化区市场监督</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服</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务中心、广元市昭化区消费者权益服务中心、广元市昭化区市场监督信息中心用于保障机构正常运行、开展日常工作的基本支出。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6.一般公共服务（类）市场监督管理（款）其他市场监督管理（项）：指市场监督管理除上述项目外，开展其他市场监督方面专门性工作任务的项目支出，如争取资金、招商引资等的相关支出。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7.社会保障和就业（类）行政事业单位养老支出（款）机关事业单位基本养老保险缴费支出（项）：指部门实施养老保险制度由单位缴纳的养老保险费的支出。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8.卫生健康（类）行政事业单位医疗（款）行政单位医疗（项）：指市场监督管理机关事业单位用于单位应缴纳基本医疗保险支出。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9.卫生健康（类）行政事业单位医疗（款）事业单位医疗（项）：指事业单位用于单位应缴纳基本医疗保险支出。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10.住房保障（类）住房改革支出（款）住房公积金（项）：指按照《住房公积金管理条例》的规定，由单位及其在职职工缴存的长期住房储金。</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11.基本支出：指为保证机构正常运转，完成日常工作任务而发生的人员支出和公用支出。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12.项目支出：指在基本支出之外为完成特定行政任务和事业发展目标所发生的支出。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13.“三公”经费：纳入昭化区市场监督管理局预算管理的“三公”经费，是指部门用财政拨款安排的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pPr>
        <w:pStyle w:val="16"/>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14.机关运行经费：为保障行政事业单位运行用于购买货物和服务的各项资金，包括办公及印刷费、邮电费、差旅费、会议费、培训费、日常维修费、专用材料及一般设备购置费、办公用房水电费、办公用房物业管理费、公务用车运行维护费以及其他费用。</w:t>
      </w:r>
    </w:p>
    <w:p>
      <w:pPr>
        <w:pStyle w:val="3"/>
        <w:bidi w:val="0"/>
        <w:jc w:val="center"/>
        <w:rPr>
          <w:rStyle w:val="33"/>
          <w:rFonts w:hint="eastAsia" w:ascii="黑体" w:hAnsi="黑体" w:eastAsia="黑体"/>
          <w:b w:val="0"/>
          <w:bCs w:val="0"/>
          <w:color w:val="000000" w:themeColor="text1"/>
          <w:spacing w:val="0"/>
          <w:highlight w:val="none"/>
          <w:lang w:eastAsia="zh-CN"/>
          <w14:textFill>
            <w14:solidFill>
              <w14:schemeClr w14:val="tx1"/>
            </w14:solidFill>
          </w14:textFill>
        </w:rPr>
      </w:pPr>
      <w:bookmarkStart w:id="84" w:name="_Toc15377226"/>
      <w:r>
        <w:br w:type="page"/>
      </w:r>
      <w:bookmarkStart w:id="85" w:name="_Toc15396614"/>
      <w:r>
        <w:rPr>
          <w:rFonts w:hint="eastAsia" w:ascii="宋体"/>
          <w:b w:val="0"/>
          <w:bCs w:val="0"/>
          <w:color w:val="000000" w:themeColor="text1"/>
          <w:spacing w:val="0"/>
          <w:sz w:val="44"/>
          <w:szCs w:val="44"/>
          <w:highlight w:val="none"/>
          <w:lang w:val="en-US" w:eastAsia="zh-CN"/>
          <w14:textFill>
            <w14:solidFill>
              <w14:schemeClr w14:val="tx1"/>
            </w14:solidFill>
          </w14:textFill>
        </w:rPr>
        <w:t xml:space="preserve">  </w:t>
      </w:r>
      <w:bookmarkStart w:id="86" w:name="_Toc6703"/>
      <w:r>
        <w:rPr>
          <w:rFonts w:hint="eastAsia" w:ascii="方正小标宋简体" w:hAnsi="方正小标宋简体" w:eastAsia="方正小标宋简体" w:cs="方正小标宋简体"/>
          <w:b w:val="0"/>
          <w:bCs w:val="0"/>
          <w:kern w:val="2"/>
          <w:sz w:val="44"/>
          <w:szCs w:val="44"/>
          <w:lang w:val="en-US" w:eastAsia="zh-CN" w:bidi="ar-SA"/>
        </w:rPr>
        <w:t>第四部分 附件</w:t>
      </w:r>
      <w:bookmarkEnd w:id="85"/>
      <w:bookmarkEnd w:id="86"/>
    </w:p>
    <w:p>
      <w:pPr>
        <w:pStyle w:val="4"/>
        <w:bidi w:val="0"/>
        <w:jc w:val="left"/>
        <w:rPr>
          <w:rFonts w:hint="eastAsia"/>
          <w:lang w:val="en-US" w:eastAsia="zh-CN"/>
        </w:rPr>
      </w:pPr>
      <w:bookmarkStart w:id="87" w:name="_Toc9439"/>
      <w:r>
        <w:rPr>
          <w:rFonts w:hint="eastAsia"/>
          <w:lang w:val="en-US" w:eastAsia="zh-CN"/>
        </w:rPr>
        <w:t>附件1</w:t>
      </w:r>
    </w:p>
    <w:p>
      <w:pPr>
        <w:pStyle w:val="4"/>
        <w:bidi w:val="0"/>
        <w:jc w:val="center"/>
        <w:rPr>
          <w:rFonts w:hint="eastAsia"/>
          <w:lang w:val="en-US" w:eastAsia="zh-CN"/>
        </w:rPr>
      </w:pPr>
      <w:r>
        <w:rPr>
          <w:rFonts w:hint="eastAsia"/>
          <w:lang w:val="en-US" w:eastAsia="zh-CN"/>
        </w:rPr>
        <w:t>2023年市场监督管理局部门整体绩效评价报告</w:t>
      </w:r>
      <w:bookmarkEnd w:id="87"/>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880" w:firstLineChars="200"/>
        <w:contextualSpacing/>
        <w:jc w:val="both"/>
        <w:textAlignment w:val="auto"/>
        <w:outlineLvl w:val="9"/>
        <w:rPr>
          <w:rFonts w:hint="eastAsia" w:ascii="方正小标宋简体" w:hAnsi="方正小标宋简体" w:eastAsia="方正小标宋简体" w:cs="方正小标宋简体"/>
          <w:b w:val="0"/>
          <w:bCs w:val="0"/>
          <w:color w:val="000000" w:themeColor="text1"/>
          <w:spacing w:val="0"/>
          <w:kern w:val="0"/>
          <w:sz w:val="44"/>
          <w:szCs w:val="44"/>
          <w:highlight w:val="none"/>
          <w:shd w:val="clear" w:color="auto" w:fill="FFFFFF"/>
          <w14:textFill>
            <w14:solidFill>
              <w14:schemeClr w14:val="tx1"/>
            </w14:solidFill>
          </w14:textFill>
        </w:rPr>
      </w:pP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黑体" w:hAnsi="宋体" w:eastAsia="黑体" w:cs="宋体"/>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黑体" w:hAnsi="宋体" w:eastAsia="黑体" w:cs="宋体"/>
          <w:b w:val="0"/>
          <w:bCs w:val="0"/>
          <w:color w:val="000000" w:themeColor="text1"/>
          <w:spacing w:val="0"/>
          <w:kern w:val="0"/>
          <w:sz w:val="32"/>
          <w:szCs w:val="32"/>
          <w:highlight w:val="none"/>
          <w:shd w:val="clear" w:color="auto" w:fill="FFFFFF"/>
          <w:lang w:val="zh-CN"/>
          <w14:textFill>
            <w14:solidFill>
              <w14:schemeClr w14:val="tx1"/>
            </w14:solidFill>
          </w14:textFill>
        </w:rPr>
        <w:t>部门（单位）基本情况</w:t>
      </w:r>
    </w:p>
    <w:p>
      <w:pPr>
        <w:pStyle w:val="30"/>
        <w:keepNext w:val="0"/>
        <w:keepLines w:val="0"/>
        <w:pageBreakBefore w:val="0"/>
        <w:widowControl w:val="0"/>
        <w:numPr>
          <w:ilvl w:val="0"/>
          <w:numId w:val="7"/>
        </w:numPr>
        <w:kinsoku/>
        <w:wordWrap/>
        <w:overflowPunct w:val="0"/>
        <w:topLinePunct w:val="0"/>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机构组成。</w:t>
      </w:r>
    </w:p>
    <w:p>
      <w:pPr>
        <w:pStyle w:val="30"/>
        <w:keepNext w:val="0"/>
        <w:keepLines w:val="0"/>
        <w:pageBreakBefore w:val="0"/>
        <w:widowControl w:val="0"/>
        <w:numPr>
          <w:ilvl w:val="0"/>
          <w:numId w:val="0"/>
        </w:numPr>
        <w:kinsoku/>
        <w:wordWrap/>
        <w:overflowPunct w:val="0"/>
        <w:topLinePunct w:val="0"/>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市场监督管理局</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下属二级单位</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5</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个，其中行政单位1个，参照公务员法管理的事业单位1个，公益一类事业单位3个</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。包括1、广元市</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昭化区</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市场监督管理局</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机关</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，2、广元市</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昭化区</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市场监督管理局综合行政执法大队，3、</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广元市昭化区市场监督事务中心</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，4、</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广元市昭化区消费者权益服务中心</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，5、</w:t>
      </w:r>
      <w:r>
        <w:rPr>
          <w:rStyle w:val="40"/>
          <w:rFonts w:hint="default"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广元市昭化区市场监督信息中心</w:t>
      </w:r>
      <w:r>
        <w:rPr>
          <w:rStyle w:val="40"/>
          <w:rFonts w:hint="eastAsia" w:ascii="Times New Roman" w:hAnsi="Times New Roman" w:eastAsia="仿宋_GB2312" w:cs="Times New Roman"/>
          <w:b w:val="0"/>
          <w:bCs w:val="0"/>
          <w:i w:val="0"/>
          <w:caps w:val="0"/>
          <w:color w:val="000000" w:themeColor="text1"/>
          <w:spacing w:val="0"/>
          <w:w w:val="100"/>
          <w:kern w:val="2"/>
          <w:sz w:val="32"/>
          <w:szCs w:val="32"/>
          <w:lang w:val="en-US" w:eastAsia="zh-CN" w:bidi="ar-SA"/>
          <w14:textFill>
            <w14:solidFill>
              <w14:schemeClr w14:val="tx1"/>
            </w14:solidFill>
          </w14:textFill>
        </w:rPr>
        <w:t>。</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机构职能和人员概况。</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机构职能</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区市场监管局贯彻落实党中央关于市场监督管理工作的方针政策和省委、市委、区委的决策部署，在履行职责过程中加强对市场监督管理工作的集中统一领导</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主要职能职责如下</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）负责全区市场综合监督管理工作；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2</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）负责全区市场主体统一登记注册；</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3</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）负责组织和指导全区市场监管综合执法工作；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4</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）负责全区反垄断统一执法，；</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5</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）负责监督管理全区市场秩序；</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6</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）负责全区宏观质量管理；</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7</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）负责全区食品质量安全监督管理；</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8</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）负责全区特种设备安全监督管理；</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9</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）负责全区食品安全监督管理综合协调；</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10</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）负责全区食品安全监督管理；</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（11）负责统一管理全区计量工作；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（12）负责统一管理全区标准化工作；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（13）负责统一管理全区检验检测工作；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（14）负责统一管理全区认证认可工作；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（15）负责市场监督管理科技和信息化建设；</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（16）负责全区药品、医疗器械和化妆品安全监督管理；</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（17）负责全区知识产权战略和规划的制定，负责知识产权的保护，负责组织指导商标、专利执法工作；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（18）贯彻落实中央、省委、市委和区委关于加强民营经济党组织建设有关要求；</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（19）负责职责范围内的安全生产和职业健康、生态环境保护、审批服务便民等工作；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（20） 完成区委区政府交办的其他任务。</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2</w:t>
      </w:r>
      <w:r>
        <w:rPr>
          <w:rFonts w:hint="eastAsia"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人员概况</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区市场监督管理局核定总编制56名，其中行政编制20 名，工勤编2名，其他事业编制16 名。参公编制18个，在职人员总数69人，其中行政人员38人，政法人员0人，参照公务员法管理的事业人员5人，其他事业人员26人；离休人员0人，退休人员29人。</w:t>
      </w:r>
    </w:p>
    <w:p>
      <w:pPr>
        <w:keepNext w:val="0"/>
        <w:keepLines w:val="0"/>
        <w:pageBreakBefore w:val="0"/>
        <w:widowControl w:val="0"/>
        <w:numPr>
          <w:ilvl w:val="0"/>
          <w:numId w:val="7"/>
        </w:numPr>
        <w:kinsoku/>
        <w:wordWrap/>
        <w:overflowPunct w:val="0"/>
        <w:topLinePunct w:val="0"/>
        <w:autoSpaceDE/>
        <w:autoSpaceDN/>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2022</w:t>
      </w: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年度主要工作任务。</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1.优化准入环境。贯彻落实《</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中华人民共和国</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市场主体登记管理条例》，全面推进“一网通办”前提下的“最多跑一次”改革，加大“证照分离”改革力度，深化“住所（经营场所）改革试点”成果，落实“跨省通办”和“川渝通办”事项清单，持续提升企业开办服务能力，确保“企业开办4个工作小时办结”。</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2.放宽准营通道。实行营业执照与食品经营许可证、药品经营许可证的“一件事一次办”，积极探索公共场所卫生许可、交通运输许可、文化经营许可等跨部门的一件事一次办。</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3.健全市场主体退出机制。畅通市场主体退出渠道，全面实施简易注销改革，探索市场监管系统内注销营业执照与食品经营许可证、药品经营许可证“套餐式”同步注销。</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4.创新事前事中事后监管方式。构建以“双随机、一公开”监管为主要手段，重点监管为补充，信用监管为基础的新型监管方式，探索实行“触发式监管”和“牵头监管”模式，执法办案领域“认罚认轻”制度和重点区域和领域“沙盒监管”。</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5.加强知识产权保护。依法查处假冒专利违法行为，大力开展代理行为定向抽查。打击非正常专利申请和商标囤积、恶意注册等行为，严厉查处涉外、涉农、酒类等各类商标侵权案件。加大地理标志证明商标保护力度，强力推进“地标助力乡村振兴”，围绕“王家贡米”等重点品牌建立知识产权保护协调机制。</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6.营造公平竞争环境。要加强反垄断与反不正当竞争工作，持续推动公平竞争审查工作，建立“双随机”实施公平竞争审查抽查制度，通过督查、抽查、会审、第三方评估等方式，强化制度刚性约束。强化行政垄断风险研判识别。探索建立预警提醒制度，完善公平竞争审查建议、行政指导、约谈等梯次工具。</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7.维护市场价格秩序。加强重点民生商品价格监管，围绕公用企业供水、供电、供气，商业银行、通</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信</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中介机构、行业协会等行业和粮食、燃气等重点领域，开展保价保供专项治理，严厉打击哄</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抬</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价格、串通涨价等行为。</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8.加强广告监管。坚持广告导向监管，围绕医疗、食品、药品、房地产、教育培训、金融投资理财等重点领域开展专项整治，严厉打击虚假违法广告，实现传统媒体广告监测违法率1%以内、互联网广告违法线索处置率达100%。</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9.切实打造放心舒心消费环境。强化网络监管，推进网络市场监管基础数据库建设，开展2023“网剑行动”，探索协同监管方式，优化线上市场秩序。抓好合同规范管理，优化“守合同重信用”公示。组织修订《市场监管投诉举报办理流程》，建立完善企业在线纠纷调解机制和快速维权救助机制，针对消费投诉热点发布消费警示，深化放心舒心消费环境建设。</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10.加强非公经济组织党建工作。深入开展非公党建带群建工作，协调区委组织部（两新工委）及区团委、妇联、工会等群团组织，积极争取市局非公党建工作支持，联合开展昭化区非公党建带群建工作，共同打造昭化区非公党建带群建示范点和活动阵地，重点打造1-2个示范点位。</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11.推进质量共治。创新</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高</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质量发展、质量宣传机制，支持各镇开展质量强镇示范创建。持续推动重点行业、重点领域开展质量提升行动。严格质量工作考核，提升质量工作实效。落实企业主体责任，推广先进科学的质量管理方法，督促企业加强质量管理，落实产品质量安全强制报告、缺陷产品召回等制度，鼓励辖区企业申报市长质量奖和四川省天府质量奖。</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12.优化质量供给。大力推动计量、标准、认证认可、检验检测等要素共建共享、协同服务、综合运用。全面提升强制检定保障能力，依法做好安全防护、环境监测、医疗卫生、贸易结算等领域强制检定。加强对加油机、民用“三表”等民生计量专项监督抽查和商品定量包装、过度包装产品检查。推进标准引领，在特色餐饮、绿色物流、生态产品、基本公共服务等方面开展标准体系建设和应用，鼓励企业按照产品先进指标体系组织生产，积极参与国家和省级标准制（修）订。推进昭化茯苓省级农业标准化示范区创建工作。完成王家贡米生产技术规范申报评审。推进有机昭化建设，进一步扩大认证数量和规模，开展认证有效性抽查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13.强化认证认可和检验检测监管。以建筑材料、车辆、农产品、环境检测机构和有机认证为重点，持续深化认证、检验行业乱象治理。加强3C认证产品监管，推进电动自行车和低速电动车专项整治。高质量完成食品药品、工业产品、特种设备检验检测等工作。</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14.守住食品安全底线。按照“四个最严”要求，压紧压实食品安全责任。深化“三提醒”机制，加大巡察督</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察</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力度，推动食品安全党政同责落实到位。持续推进各镇食品安全工作规范化、标准化建设，进一步提升基层食品安全治理能力和水平。牵头组织修订完善食品安全突发事件应急预案，组织对局内相关股室、各镇和部门开展应急能力提升培训。提高食品抽检的科学性和靶向性。扎实开展食品安全“守底线、查隐患、保安全”专项行动和“周三查餐厅、周四查市场”行动，加强对重点区域、重点环节、重点主体的食品安全治理，确保人民群众“舌尖上的安全”。聚焦粮食质量安全，加大对粮食收储、生产、经营、餐饮等环节监管力度，督促市场主体认真落实索证索票、进货查验、台账记录、质量检测等制度。</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15.守住药品安全底线。健全完善区级、企业二级培训体系，提升应急处置能力。扎实开展中药饮片、二类精神药品和血液制品等专项整治，重点加强生物制品监管，强化对新上市</w:t>
      </w:r>
      <w:r>
        <w:rPr>
          <w:sz w:val="32"/>
          <w:szCs w:val="32"/>
        </w:rPr>
        <w:t>新冠</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疫苗和流感疫苗的监督检查，保障公众用药安全。开展好线上监管工作，加强定向监测，加大对利用互联网非法制售药品等违法行为的打击力度。全面完成市局下达的药械化抽检及不良反应（事件）工作任务。全力推进昭化茯苓全产业链管理规范及质量标准提升示范工程，助推广元医药产业的高质量发展。</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16.守住特种设备安全底线。全力打好特种设备安全专项整治三年行动收官战，深入排查治理安全隐患，建立风险清单、措施清单和责任清单，实行重点隐患整改销号机制。全面启用广元市特种设备综合管理平台，提高安全风险分析预警能力和产品追溯效率。推动电梯维护保养从固定周期、固定项目维保向按需维保转变，引导从业单位提升优质高效的维保服务。</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17.守好重要工业产品质量安全底线。聚焦民生热点，加强监督抽查，建立“红黑榜”制度，切实消除质量隐患。配合市局做好建材、成品油、烟花爆竹、危险化学品、儿童学生用品和重点消费品等质量监督抽查和风险监测，开展产品质量专项整治。</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18.坚决惩治市场监管领域违法行为。深化法治文化建设采取“法律进企业”“法律进网络”等方式，加强市场主体守法经营教育，引导市场主体“惟用法律自</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律</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己”。擦亮“春雷”“铁拳”品牌。依托“春雷行动202</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2</w:t>
      </w: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”等一系列执法行动，聚焦疫情防控、扫黑除恶、侵权假冒、扫黄打非、长江禁捕等重点领域，依法查处一批民怨深，危害广、风险高、压力大的“铁案”，让市场监管长出牙齿。</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（四）部门整体支出绩效目标。</w:t>
      </w:r>
    </w:p>
    <w:p>
      <w:pPr>
        <w:ind w:firstLine="640" w:firstLineChars="200"/>
        <w:rPr>
          <w:rFonts w:hint="eastAsia"/>
          <w:b w:val="0"/>
          <w:bCs w:val="0"/>
          <w:color w:val="000000" w:themeColor="text1"/>
          <w:spacing w:val="0"/>
          <w:lang w:val="zh-CN"/>
          <w14:textFill>
            <w14:solidFill>
              <w14:schemeClr w14:val="tx1"/>
            </w14:solidFill>
          </w14:textFill>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完成区委区政府下达的各类年度目标任务。 拟订全区市场监管局中长期规划和年度计划，组织、协调和指导全区</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市场综合监管</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工作；拟订全区</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市场综合监管</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资金使用管理和项目管理办法，负责有关项目、资金、基金、物资的分配、管理、使用、稽查审计、绩效考评、统计监测等监督工作；负责</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市场监督管理政策研究</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及信息工作等。争取</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招商引资</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项目</w:t>
      </w:r>
      <w:r>
        <w:rPr>
          <w:rFonts w:hint="eastAsia" w:ascii="Times New Roman" w:hAnsi="Times New Roman"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个。基本支出控制在</w:t>
      </w:r>
      <w:r>
        <w:rPr>
          <w:rFonts w:hint="eastAsia" w:ascii="Times New Roman" w:hAnsi="Times New Roman"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1221</w:t>
      </w:r>
      <w:r>
        <w:rPr>
          <w:rFonts w:hint="eastAsia" w:ascii="仿宋" w:hAnsi="仿宋"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62</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万元，项目支出控制在</w:t>
      </w:r>
      <w:r>
        <w:rPr>
          <w:rFonts w:hint="eastAsia" w:ascii="Times New Roman" w:hAnsi="Times New Roman"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178</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万元预算范围内项目实施。使受惠群众满意度达到</w:t>
      </w:r>
      <w:r>
        <w:rPr>
          <w:rFonts w:hint="eastAsia" w:ascii="Times New Roman" w:hAnsi="Times New Roman"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9</w:t>
      </w:r>
      <w:r>
        <w:rPr>
          <w:rFonts w:hint="eastAsia" w:eastAsia="仿宋_GB2312" w:cs="仿宋"/>
          <w:b w:val="0"/>
          <w:bCs w:val="0"/>
          <w:color w:val="000000" w:themeColor="text1"/>
          <w:spacing w:val="0"/>
          <w:kern w:val="0"/>
          <w:sz w:val="32"/>
          <w:szCs w:val="32"/>
          <w:highlight w:val="none"/>
          <w:shd w:val="clear" w:color="auto" w:fill="FFFFFF"/>
          <w:lang w:val="en-US" w:eastAsia="zh-CN"/>
          <w14:textFill>
            <w14:solidFill>
              <w14:schemeClr w14:val="tx1"/>
            </w14:solidFill>
          </w14:textFill>
        </w:rPr>
        <w:t>5</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ascii="黑体" w:hAnsi="宋体" w:eastAsia="黑体" w:cs="宋体"/>
          <w:b w:val="0"/>
          <w:bCs w:val="0"/>
          <w:color w:val="000000" w:themeColor="text1"/>
          <w:spacing w:val="0"/>
          <w:kern w:val="0"/>
          <w:sz w:val="32"/>
          <w:szCs w:val="32"/>
          <w:highlight w:val="none"/>
          <w:shd w:val="clear" w:color="auto" w:fill="FFFFFF"/>
          <w14:textFill>
            <w14:solidFill>
              <w14:schemeClr w14:val="tx1"/>
            </w14:solidFill>
          </w14:textFill>
        </w:rPr>
      </w:pPr>
      <w:r>
        <w:rPr>
          <w:rFonts w:hint="eastAsia" w:ascii="黑体" w:hAnsi="宋体" w:eastAsia="黑体" w:cs="宋体"/>
          <w:b w:val="0"/>
          <w:bCs w:val="0"/>
          <w:color w:val="000000" w:themeColor="text1"/>
          <w:spacing w:val="0"/>
          <w:kern w:val="0"/>
          <w:sz w:val="32"/>
          <w:szCs w:val="32"/>
          <w:highlight w:val="none"/>
          <w:shd w:val="clear" w:color="auto" w:fill="FFFFFF"/>
          <w14:textFill>
            <w14:solidFill>
              <w14:schemeClr w14:val="tx1"/>
            </w14:solidFill>
          </w14:textFill>
        </w:rPr>
        <w:t>二、</w:t>
      </w:r>
      <w:r>
        <w:rPr>
          <w:rFonts w:hint="eastAsia" w:ascii="黑体" w:hAnsi="宋体" w:eastAsia="黑体" w:cs="宋体"/>
          <w:b w:val="0"/>
          <w:bCs w:val="0"/>
          <w:color w:val="000000" w:themeColor="text1"/>
          <w:spacing w:val="0"/>
          <w:kern w:val="0"/>
          <w:sz w:val="32"/>
          <w:szCs w:val="32"/>
          <w:highlight w:val="none"/>
          <w:shd w:val="clear" w:color="auto" w:fill="FFFFFF"/>
          <w:lang w:eastAsia="zh-CN"/>
          <w14:textFill>
            <w14:solidFill>
              <w14:schemeClr w14:val="tx1"/>
            </w14:solidFill>
          </w14:textFill>
        </w:rPr>
        <w:t>部门</w:t>
      </w:r>
      <w:r>
        <w:rPr>
          <w:rFonts w:hint="eastAsia" w:ascii="黑体" w:hAnsi="宋体" w:eastAsia="黑体" w:cs="宋体"/>
          <w:b w:val="0"/>
          <w:bCs w:val="0"/>
          <w:color w:val="000000" w:themeColor="text1"/>
          <w:spacing w:val="0"/>
          <w:kern w:val="0"/>
          <w:sz w:val="32"/>
          <w:szCs w:val="32"/>
          <w:highlight w:val="none"/>
          <w:shd w:val="clear" w:color="auto" w:fill="FFFFFF"/>
          <w14:textFill>
            <w14:solidFill>
              <w14:schemeClr w14:val="tx1"/>
            </w14:solidFill>
          </w14:textFill>
        </w:rPr>
        <w:t>资金收支情况</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（一）部门总体收支情况。</w:t>
      </w:r>
    </w:p>
    <w:p>
      <w:pPr>
        <w:keepNext w:val="0"/>
        <w:keepLines w:val="0"/>
        <w:pageBreakBefore w:val="0"/>
        <w:widowControl w:val="0"/>
        <w:kinsoku/>
        <w:wordWrap/>
        <w:overflowPunct w:val="0"/>
        <w:topLinePunct w:val="0"/>
        <w:bidi w:val="0"/>
        <w:spacing w:line="576" w:lineRule="exact"/>
        <w:ind w:left="0" w:leftChars="0" w:firstLine="640" w:firstLineChars="200"/>
        <w:jc w:val="both"/>
        <w:textAlignment w:val="auto"/>
        <w:outlineLvl w:val="9"/>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.部门总体收入情况：</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年一般公共预算收入</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万元。预算人员经费</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1058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万元，占预算收入的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%，预算日常公用经费</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万元，占预算收入的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63</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%，项目资金</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万元，占预算收入的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年一般公共预算决算收入</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w:t>
      </w:r>
    </w:p>
    <w:p>
      <w:pPr>
        <w:keepNext w:val="0"/>
        <w:keepLines w:val="0"/>
        <w:pageBreakBefore w:val="0"/>
        <w:widowControl w:val="0"/>
        <w:numPr>
          <w:ilvl w:val="0"/>
          <w:numId w:val="0"/>
        </w:numPr>
        <w:kinsoku/>
        <w:wordWrap/>
        <w:overflowPunct w:val="0"/>
        <w:topLinePunct w:val="0"/>
        <w:bidi w:val="0"/>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、部门总体支出情况：</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年一般公共预算财政拨款支出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万元。其中：工资和福利支出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47</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%；商品和服务支出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339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%（其中三公经费支出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万元，占商品和服务支出的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%）；对个人和家庭的补助支出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57</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年度预算调整追加项目经费资金</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万元，追加正常工资晋升</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万元，合计决算财政拨款支出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9620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w:t>
      </w:r>
    </w:p>
    <w:p>
      <w:pPr>
        <w:keepNext w:val="0"/>
        <w:keepLines w:val="0"/>
        <w:pageBreakBefore w:val="0"/>
        <w:widowControl w:val="0"/>
        <w:numPr>
          <w:ilvl w:val="0"/>
          <w:numId w:val="0"/>
        </w:numPr>
        <w:kinsoku/>
        <w:wordWrap/>
        <w:overflowPunct w:val="0"/>
        <w:topLinePunct w:val="0"/>
        <w:bidi w:val="0"/>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000000" w:themeColor="text1"/>
          <w:spacing w:val="0"/>
          <w:kern w:val="0"/>
          <w:sz w:val="32"/>
          <w:szCs w:val="32"/>
          <w:lang w:eastAsia="en-US" w:bidi="en-US"/>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（二）部门财政拨款收支情况。</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.部门财政拨款收入情况：</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一般公共预算收入</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万元。预算人员经费</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1058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万元，占预算收入的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%，预算日常公用经费</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万元，占预算收入的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63</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%，项目资金</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万元，占预算收入的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年一般公共预算决算收入</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w:t>
      </w:r>
    </w:p>
    <w:p>
      <w:pPr>
        <w:keepNext w:val="0"/>
        <w:keepLines w:val="0"/>
        <w:pageBreakBefore w:val="0"/>
        <w:widowControl w:val="0"/>
        <w:numPr>
          <w:ilvl w:val="0"/>
          <w:numId w:val="0"/>
        </w:numPr>
        <w:kinsoku/>
        <w:wordWrap/>
        <w:overflowPunct w:val="0"/>
        <w:topLinePunct w:val="0"/>
        <w:bidi w:val="0"/>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、部门财政拨款支出情况</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年一般公共预算财政拨款支出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万元。其中：工资和福利支出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47</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%；商品和服务支出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339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%（其中三公经费支出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万元，占商品和服务支出的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%）；对个人和家庭的补助支出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57</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万元，占支出的</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年度预算调整追加项目经费资金</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45</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万元，追加正常工资晋升</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万元，合计决算财政拨款支出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1399</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黑体" w:hAnsi="宋体" w:eastAsia="黑体" w:cs="宋体"/>
          <w:b w:val="0"/>
          <w:bCs w:val="0"/>
          <w:color w:val="000000" w:themeColor="text1"/>
          <w:spacing w:val="0"/>
          <w:kern w:val="0"/>
          <w:sz w:val="32"/>
          <w:szCs w:val="32"/>
          <w:highlight w:val="none"/>
          <w:u w:val="none"/>
          <w:shd w:val="clear" w:color="auto" w:fill="FFFFFF"/>
          <w:lang w:eastAsia="zh-CN"/>
          <w14:textFill>
            <w14:solidFill>
              <w14:schemeClr w14:val="tx1"/>
            </w14:solidFill>
          </w14:textFill>
        </w:rPr>
      </w:pPr>
      <w:r>
        <w:rPr>
          <w:rFonts w:hint="eastAsia" w:ascii="黑体" w:hAnsi="宋体" w:eastAsia="黑体" w:cs="宋体"/>
          <w:b w:val="0"/>
          <w:bCs w:val="0"/>
          <w:color w:val="000000" w:themeColor="text1"/>
          <w:spacing w:val="0"/>
          <w:kern w:val="0"/>
          <w:sz w:val="32"/>
          <w:szCs w:val="32"/>
          <w:highlight w:val="none"/>
          <w:shd w:val="clear" w:color="auto" w:fill="FFFFFF"/>
          <w14:textFill>
            <w14:solidFill>
              <w14:schemeClr w14:val="tx1"/>
            </w14:solidFill>
          </w14:textFill>
        </w:rPr>
        <w:t>三、</w:t>
      </w:r>
      <w:r>
        <w:rPr>
          <w:rFonts w:hint="eastAsia" w:ascii="黑体" w:hAnsi="宋体" w:eastAsia="黑体" w:cs="宋体"/>
          <w:b w:val="0"/>
          <w:bCs w:val="0"/>
          <w:color w:val="000000" w:themeColor="text1"/>
          <w:spacing w:val="0"/>
          <w:kern w:val="0"/>
          <w:sz w:val="32"/>
          <w:szCs w:val="32"/>
          <w:highlight w:val="none"/>
          <w:u w:val="none"/>
          <w:shd w:val="clear" w:color="auto" w:fill="FFFFFF"/>
          <w14:textFill>
            <w14:solidFill>
              <w14:schemeClr w14:val="tx1"/>
            </w14:solidFill>
          </w14:textFill>
        </w:rPr>
        <w:t>部门整体绩效</w:t>
      </w:r>
      <w:r>
        <w:rPr>
          <w:rFonts w:hint="eastAsia" w:ascii="黑体" w:hAnsi="宋体" w:eastAsia="黑体" w:cs="宋体"/>
          <w:b w:val="0"/>
          <w:bCs w:val="0"/>
          <w:color w:val="000000" w:themeColor="text1"/>
          <w:spacing w:val="0"/>
          <w:kern w:val="0"/>
          <w:sz w:val="32"/>
          <w:szCs w:val="32"/>
          <w:highlight w:val="none"/>
          <w:u w:val="none"/>
          <w:shd w:val="clear" w:color="auto" w:fill="FFFFFF"/>
          <w:lang w:eastAsia="zh-CN"/>
          <w14:textFill>
            <w14:solidFill>
              <w14:schemeClr w14:val="tx1"/>
            </w14:solidFill>
          </w14:textFill>
        </w:rPr>
        <w:t>分析</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（一）部门预算项目绩效分析。</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.人员类项目绩效分析</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单位</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人员经费</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1058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万元，主要用于人力资源和社会保障就业支出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123</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07</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万元，卫生健康支出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46</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23</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万元，住房保障支出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工资福利支出</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800</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54</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万元，完成预算支出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在支出控制方面</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，严格执行政策兑现工资、津补贴，无乱发津补贴等现象</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zh-CN"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.运转类项目绩效分析</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公用经费</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162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 ，主要日常公用经费办公费、差旅费、电话费等开支，完成预算支出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在支出控制方面，部门日常公用经费中“办公费、印刷费、水费、电费、物业管理费”等科目年初预算数与决算数无偏差</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。无违纪违规现象。</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default"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.特定目标类项目绩效分析</w:t>
      </w:r>
    </w:p>
    <w:p>
      <w:pPr>
        <w:keepNext w:val="0"/>
        <w:keepLines w:val="0"/>
        <w:pageBreakBefore w:val="0"/>
        <w:widowControl w:val="0"/>
        <w:kinsoku/>
        <w:wordWrap/>
        <w:overflowPunct w:val="0"/>
        <w:topLinePunct w:val="0"/>
        <w:bidi w:val="0"/>
        <w:adjustRightInd/>
        <w:snapToGrid/>
        <w:spacing w:line="576" w:lineRule="exact"/>
        <w:ind w:left="0" w:leftChars="0" w:firstLine="640" w:firstLineChars="200"/>
        <w:jc w:val="both"/>
        <w:textAlignment w:val="auto"/>
        <w:outlineLvl w:val="9"/>
        <w:rPr>
          <w:rFonts w:hint="default" w:ascii="仿宋_GB2312" w:hAnsi="仿宋_GB2312" w:eastAsia="仿宋_GB2312" w:cs="仿宋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项目支出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178</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万元，主要用于食品、药品医疗器械及化妆品，特种设备监管，知识产权、质量技术监管经费等，完成预算支出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%。各类资金</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收支执行进度良好、部门整体绩效目标完成较好，无偏差。本部门预算项目年终预算执行情况部门预算项目</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月预算执行进度达到</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%。部门预算项目资金无结余。依据评价年度审计监督、财政检</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察</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结果，本单位预算管理方面无违纪违规问题</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（二）部门整体履职绩效分析。</w:t>
      </w:r>
    </w:p>
    <w:p>
      <w:pPr>
        <w:keepNext w:val="0"/>
        <w:keepLines w:val="0"/>
        <w:pageBreakBefore w:val="0"/>
        <w:widowControl w:val="0"/>
        <w:kinsoku/>
        <w:wordWrap/>
        <w:overflowPunct w:val="0"/>
        <w:topLinePunct w:val="0"/>
        <w:bidi w:val="0"/>
        <w:adjustRightInd/>
        <w:snapToGrid/>
        <w:spacing w:line="576" w:lineRule="exact"/>
        <w:ind w:left="0" w:leftChars="0" w:firstLine="640" w:firstLineChars="200"/>
        <w:jc w:val="both"/>
        <w:textAlignment w:val="auto"/>
        <w:outlineLvl w:val="9"/>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本单位绩效目标编制要素完整，绩效指标细化量化准确，绩效目标纳入本单位</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局长</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办公会研究决策。年初预算和年末决算编制内容真实有效，编制数据完整，准确。年初预算（含追加项目资金）绩效目标编制完整、合理。报表报送及时准确</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在支出控制方面，部门日常公用经费、项目支出中“办公费、印刷费、水费、电费、物业管理费”等科目年初预算数与决算数无偏差。本部门在开展绩效运行监控后，将绩效监控结果应用到预算调整中。本部门预算项目年终预算执行情况部门预算项目</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月预算执行进度达到</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%。部门预算项目资金无结余。依据评价年度审计监督、财政</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监</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察结果，本单位预算管理方面无违纪违规问题</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zh-CN"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（三）结果应用情况。</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000000" w:themeColor="text1"/>
          <w:spacing w:val="0"/>
          <w:kern w:val="0"/>
          <w:sz w:val="32"/>
          <w:szCs w:val="32"/>
          <w:highlight w:val="none"/>
          <w:shd w:val="clear" w:color="auto" w:fill="FFFFFF"/>
          <w:lang w:val="zh-CN"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本单位严格执行预决算公开制度，年初预算和年终决算均按照法定要求，在昭化区门户网站上进行了公开，以接受广大人民群众的监督。在内部应用方面，将单位绩效自评纳入考核体系，建立单位预算与绩效挂钩机制。按要求将相关绩效信息随同决算公开。本部门针对绩效管理过程中（包括绩效目标核查、绩效监控核查、重点自评抽查和重点绩效评价）提出的问题进行整改问题、完善政策、改进管理。在应用反馈方面，本部门在规定时间内向财政部门反馈应用绩效结果报告</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numPr>
          <w:ilvl w:val="0"/>
          <w:numId w:val="8"/>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自评质量。</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本单位严格按照区财政局的要求，对</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年部门整体支出绩效中的目标制定、目标实现、支出控制、执行进度、预算完成等方面开展了自评，自评范围全面、客观、准确，整体支出绩效准确率达</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100</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ascii="黑体" w:hAnsi="宋体" w:eastAsia="黑体" w:cs="宋体"/>
          <w:b w:val="0"/>
          <w:bCs w:val="0"/>
          <w:color w:val="000000" w:themeColor="text1"/>
          <w:spacing w:val="0"/>
          <w:kern w:val="0"/>
          <w:sz w:val="32"/>
          <w:szCs w:val="32"/>
          <w:highlight w:val="none"/>
          <w:shd w:val="clear" w:color="auto" w:fill="FFFFFF"/>
          <w14:textFill>
            <w14:solidFill>
              <w14:schemeClr w14:val="tx1"/>
            </w14:solidFill>
          </w14:textFill>
        </w:rPr>
      </w:pPr>
      <w:r>
        <w:rPr>
          <w:rFonts w:hint="eastAsia" w:ascii="黑体" w:hAnsi="宋体" w:eastAsia="黑体" w:cs="宋体"/>
          <w:b w:val="0"/>
          <w:bCs w:val="0"/>
          <w:color w:val="000000" w:themeColor="text1"/>
          <w:spacing w:val="0"/>
          <w:kern w:val="0"/>
          <w:sz w:val="32"/>
          <w:szCs w:val="32"/>
          <w:highlight w:val="none"/>
          <w:shd w:val="clear" w:color="auto" w:fill="FFFFFF"/>
          <w14:textFill>
            <w14:solidFill>
              <w14:schemeClr w14:val="tx1"/>
            </w14:solidFill>
          </w14:textFill>
        </w:rPr>
        <w:t>四、评价结论及建议</w:t>
      </w:r>
    </w:p>
    <w:p>
      <w:pPr>
        <w:keepNext w:val="0"/>
        <w:keepLines w:val="0"/>
        <w:pageBreakBefore w:val="0"/>
        <w:widowControl w:val="0"/>
        <w:numPr>
          <w:ilvl w:val="0"/>
          <w:numId w:val="0"/>
        </w:numPr>
        <w:kinsoku/>
        <w:wordWrap/>
        <w:overflowPunct w:val="0"/>
        <w:topLinePunct w:val="0"/>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（一）评价结论</w:t>
      </w: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按照预算绩效管理要求，本部门对</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年整体支出的人员类、运转类、特定目标类项目开展绩效自评，</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自评结果</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97</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分。</w:t>
      </w:r>
    </w:p>
    <w:p>
      <w:pPr>
        <w:keepNext w:val="0"/>
        <w:keepLines w:val="0"/>
        <w:pageBreakBefore w:val="0"/>
        <w:widowControl w:val="0"/>
        <w:numPr>
          <w:ilvl w:val="0"/>
          <w:numId w:val="0"/>
        </w:numPr>
        <w:kinsoku/>
        <w:wordWrap/>
        <w:overflowPunct w:val="0"/>
        <w:topLinePunct w:val="0"/>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（二）存在问题</w:t>
      </w: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一是预算经费不足。二是项目进度跟踪，开展项目绩效及项目绩效目标完成有待加强。三是预算绩效编制在不科学性和不合理性，绩效目标设置存在不够明确、细化、量化。</w:t>
      </w:r>
    </w:p>
    <w:p>
      <w:pPr>
        <w:pStyle w:val="4"/>
        <w:bidi w:val="0"/>
        <w:jc w:val="center"/>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zh-CN"/>
          <w14:textFill>
            <w14:solidFill>
              <w14:schemeClr w14:val="tx1"/>
            </w14:solidFill>
          </w14:textFill>
        </w:rPr>
        <w:t>（三）改进建议</w:t>
      </w:r>
      <w:r>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t>：</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进一步完善单位财务部门和业务部门共同参与，协调配合绩效评价工作机制，建立一套专门的资金管理制度，同时完善项目监督方面的工作，制定一套有效的项目监督机制，减免项目实施中的各种风险，加大项目效益产出。二是开展多种形式的讲座和培训，强化预算绩效管理意识，提高单位绩效评价工作的水平。三是进一步健全和完善财务制度及内部控制制度，创新管理手段，用新思路、新方法，改进完善财务管理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000000" w:themeColor="text1"/>
          <w:spacing w:val="0"/>
          <w:kern w:val="0"/>
          <w:sz w:val="32"/>
          <w:szCs w:val="32"/>
          <w:highlight w:val="none"/>
          <w:shd w:val="clear" w:color="auto" w:fill="FFFFFF"/>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pacing w:val="0"/>
          <w:sz w:val="32"/>
          <w:szCs w:val="32"/>
          <w:highlight w:val="none"/>
          <w:lang w:val="zh-CN" w:eastAsia="zh-CN"/>
          <w14:textFill>
            <w14:solidFill>
              <w14:schemeClr w14:val="tx1"/>
            </w14:solidFill>
          </w14:textFill>
        </w:rPr>
      </w:pPr>
      <w:r>
        <w:br w:type="page"/>
      </w:r>
    </w:p>
    <w:p>
      <w:pPr>
        <w:pStyle w:val="4"/>
        <w:bidi w:val="0"/>
        <w:rPr>
          <w:rFonts w:hint="default"/>
          <w:lang w:val="en-US" w:eastAsia="zh-CN"/>
        </w:rPr>
      </w:pPr>
      <w:bookmarkStart w:id="88" w:name="_Toc12867"/>
      <w:r>
        <w:rPr>
          <w:rFonts w:hint="eastAsia" w:ascii="黑体" w:hAnsi="黑体" w:eastAsia="黑体" w:cs="黑体"/>
          <w:b w:val="0"/>
          <w:bCs w:val="0"/>
          <w:color w:val="000000" w:themeColor="text1"/>
          <w:spacing w:val="0"/>
          <w:szCs w:val="32"/>
          <w:highlight w:val="none"/>
          <w:lang w:val="en-US" w:eastAsia="zh-CN"/>
          <w14:textFill>
            <w14:solidFill>
              <w14:schemeClr w14:val="tx1"/>
            </w14:solidFill>
          </w14:textFill>
        </w:rPr>
        <w:t>附</w:t>
      </w:r>
      <w:r>
        <w:rPr>
          <w:rFonts w:hint="eastAsia"/>
          <w:lang w:val="en-US" w:eastAsia="zh-CN"/>
        </w:rPr>
        <w:t>件2</w:t>
      </w:r>
      <w:bookmarkEnd w:id="88"/>
    </w:p>
    <w:p>
      <w:pPr>
        <w:pStyle w:val="4"/>
        <w:bidi w:val="0"/>
        <w:rPr>
          <w:rFonts w:hint="eastAsia"/>
          <w:lang w:val="zh-CN" w:eastAsia="zh-CN"/>
        </w:rPr>
      </w:pPr>
    </w:p>
    <w:p>
      <w:pPr>
        <w:pStyle w:val="4"/>
        <w:bidi w:val="0"/>
        <w:jc w:val="center"/>
        <w:rPr>
          <w:rFonts w:hint="default"/>
          <w:lang w:val="en-US" w:eastAsia="zh-CN"/>
        </w:rPr>
      </w:pPr>
      <w:bookmarkStart w:id="89" w:name="_Toc31599"/>
      <w:r>
        <w:rPr>
          <w:rFonts w:hint="default"/>
          <w:lang w:val="en-US" w:eastAsia="zh-CN"/>
        </w:rPr>
        <w:t>广元市昭化区市场监督管理局部门整体</w:t>
      </w:r>
      <w:bookmarkEnd w:id="89"/>
    </w:p>
    <w:p>
      <w:pPr>
        <w:pStyle w:val="4"/>
        <w:bidi w:val="0"/>
        <w:jc w:val="center"/>
        <w:rPr>
          <w:rFonts w:hint="default"/>
          <w:lang w:val="en-US" w:eastAsia="zh-CN"/>
        </w:rPr>
      </w:pPr>
      <w:bookmarkStart w:id="90" w:name="_Toc7892"/>
      <w:r>
        <w:rPr>
          <w:rFonts w:hint="default"/>
          <w:lang w:val="en-US" w:eastAsia="zh-CN"/>
        </w:rPr>
        <w:t>支出绩效目标自评表</w:t>
      </w:r>
      <w:bookmarkEnd w:id="90"/>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76" w:lineRule="exact"/>
        <w:jc w:val="center"/>
        <w:textAlignment w:val="auto"/>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zh-CN"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40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92"/>
        <w:gridCol w:w="583"/>
        <w:gridCol w:w="954"/>
        <w:gridCol w:w="1296"/>
        <w:gridCol w:w="1044"/>
        <w:gridCol w:w="1392"/>
        <w:gridCol w:w="1440"/>
        <w:gridCol w:w="675"/>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12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3294"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广元市昭化区市场监督管理局</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0" w:type="auto"/>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4"/>
                <w:szCs w:val="24"/>
                <w:u w:val="none"/>
                <w14:textFill>
                  <w14:solidFill>
                    <w14:schemeClr w14:val="tx1"/>
                  </w14:solidFill>
                </w14:textFill>
              </w:rPr>
            </w:pPr>
            <w:bookmarkStart w:id="124" w:name="_GoBack"/>
            <w:r>
              <w:rPr>
                <w:rFonts w:hint="eastAsia" w:ascii="宋体" w:hAnsi="宋体" w:eastAsia="宋体" w:cs="宋体"/>
                <w:b w:val="0"/>
                <w:bCs w:val="0"/>
                <w:i w:val="0"/>
                <w:iCs w:val="0"/>
                <w:color w:val="000000" w:themeColor="text1"/>
                <w:spacing w:val="0"/>
                <w:kern w:val="0"/>
                <w:sz w:val="24"/>
                <w:szCs w:val="24"/>
                <w:u w:val="none"/>
                <w:lang w:val="en-US" w:eastAsia="zh-CN"/>
                <w14:textFill>
                  <w14:solidFill>
                    <w14:schemeClr w14:val="tx1"/>
                  </w14:solidFill>
                </w14:textFill>
              </w:rPr>
              <w:t>广元市昭化区市场</w:t>
            </w:r>
            <w:r>
              <w:rPr>
                <w:rFonts w:hint="eastAsia" w:ascii="宋体" w:hAnsi="宋体" w:cs="宋体"/>
                <w:b w:val="0"/>
                <w:bCs w:val="0"/>
                <w:i w:val="0"/>
                <w:iCs w:val="0"/>
                <w:color w:val="000000" w:themeColor="text1"/>
                <w:spacing w:val="0"/>
                <w:kern w:val="0"/>
                <w:sz w:val="24"/>
                <w:szCs w:val="24"/>
                <w:u w:val="none"/>
                <w:lang w:val="en-US" w:eastAsia="zh-CN"/>
                <w14:textFill>
                  <w14:solidFill>
                    <w14:schemeClr w14:val="tx1"/>
                  </w14:solidFill>
                </w14:textFill>
              </w:rPr>
              <w:t>监督管理</w:t>
            </w:r>
            <w:r>
              <w:rPr>
                <w:rFonts w:hint="eastAsia" w:ascii="宋体" w:hAnsi="宋体" w:eastAsia="宋体" w:cs="宋体"/>
                <w:b w:val="0"/>
                <w:bCs w:val="0"/>
                <w:i w:val="0"/>
                <w:iCs w:val="0"/>
                <w:color w:val="000000" w:themeColor="text1"/>
                <w:spacing w:val="0"/>
                <w:kern w:val="0"/>
                <w:sz w:val="24"/>
                <w:szCs w:val="24"/>
                <w:u w:val="none"/>
                <w:lang w:val="en-US" w:eastAsia="zh-CN"/>
                <w14:textFill>
                  <w14:solidFill>
                    <w14:schemeClr w14:val="tx1"/>
                  </w14:solidFill>
                </w14:textFill>
              </w:rPr>
              <w:t>局</w:t>
            </w:r>
            <w:bookmarkEnd w:id="1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75"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项目（政策）资金（万元）</w:t>
            </w:r>
          </w:p>
        </w:tc>
        <w:tc>
          <w:tcPr>
            <w:tcW w:w="2250"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00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75" w:type="dxa"/>
            <w:gridSpan w:val="2"/>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50" w:type="dxa"/>
            <w:gridSpan w:val="2"/>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44"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200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75" w:type="dxa"/>
            <w:gridSpan w:val="2"/>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200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75" w:type="dxa"/>
            <w:gridSpan w:val="2"/>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62</w:t>
            </w:r>
          </w:p>
        </w:tc>
        <w:tc>
          <w:tcPr>
            <w:tcW w:w="200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75" w:type="dxa"/>
            <w:gridSpan w:val="2"/>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44" w:type="dxa"/>
            <w:tcBorders>
              <w:tl2br w:val="nil"/>
              <w:tr2bl w:val="nil"/>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392"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40"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75" w:type="dxa"/>
            <w:gridSpan w:val="2"/>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44" w:type="dxa"/>
            <w:tcBorders>
              <w:tl2br w:val="nil"/>
              <w:tr2bl w:val="nil"/>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392"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40"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1275" w:type="dxa"/>
            <w:gridSpan w:val="2"/>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44" w:type="dxa"/>
            <w:tcBorders>
              <w:tl2br w:val="nil"/>
              <w:tr2bl w:val="nil"/>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392"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40"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275" w:type="dxa"/>
            <w:gridSpan w:val="2"/>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44" w:type="dxa"/>
            <w:tcBorders>
              <w:tl2br w:val="nil"/>
              <w:tr2bl w:val="nil"/>
            </w:tcBorders>
            <w:shd w:val="clear" w:color="auto" w:fill="auto"/>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392"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40"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9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整体</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目标</w:t>
            </w:r>
          </w:p>
        </w:tc>
        <w:tc>
          <w:tcPr>
            <w:tcW w:w="5269"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年度目标</w:t>
            </w:r>
          </w:p>
        </w:tc>
        <w:tc>
          <w:tcPr>
            <w:tcW w:w="3444"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269"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切实履行食品药品、工商行政管理、质量监督管理职能、职责，全年开展各类食品药品、医疗器械、特种设备等专项整治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次，开展食品药品安全宣传</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场次，发放宣传资料</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份，开展食品药品食用农产品抽检</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385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批次，特种设备操作人员继续教育培训</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人次，开展食品药品检查</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户次，为新增企业提供零费用注册、零费用刻制印章。维护全区市场秩序安全有序运转，为全区人民提供安全放心的消费环境，保护人民生命财产安全，打造良好的营商环境，促进地方经济不断发展。</w:t>
            </w:r>
          </w:p>
        </w:tc>
        <w:tc>
          <w:tcPr>
            <w:tcW w:w="344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切实履行食品药品、工商行政管理、质量监督管理职能、职责，全年开展各类食品药品、医疗器械、特种设备等专项整治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次，开展食品药品安全宣传</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场次，发放宣传资料</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份，开展食品药品食用农产品抽检</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385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批次，特种设备操作人员继续教育培训</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人次，开展食品药品检查</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户次，为新增企业提供零费用注册、零费用刻制印章。维护全区市场秩序安全有序运转，为全区人民提供安全放心的消费环境，保护人民生命财产安全，打造良好的营商环境，促进地方经济不断发展。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9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部门整体绩效指标</w:t>
            </w:r>
          </w:p>
        </w:tc>
        <w:tc>
          <w:tcPr>
            <w:tcW w:w="5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9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00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本年在职职工人数</w:t>
            </w: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78</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人</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工资按时发放；各项工作全面完成。</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9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发放食品安全宣传资料</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3000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份</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3000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份</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各类专项整治</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次</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次</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免费刻制印章</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500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个（套）</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500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个（套）</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农村厨师培训次数</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场次</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场次</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全区食品及食用农产品抽检批次</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385</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批次</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385</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批次</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全区食品药品检查数</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人次</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人次</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食品成员单位考核次数</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次</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次</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市场年报核查数</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户</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户</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特种设备操作人员继续教育培训次数</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人/次</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200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人/次</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企业、专业合作社、个体工商户年报数量</w:t>
            </w: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7155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w:t>
            </w:r>
          </w:p>
        </w:tc>
        <w:tc>
          <w:tcPr>
            <w:tcW w:w="144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7155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0" w:type="auto"/>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春雷执法立案</w:t>
            </w:r>
          </w:p>
        </w:tc>
        <w:tc>
          <w:tcPr>
            <w:tcW w:w="1044"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131</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药品监管医疗器械企业数</w:t>
            </w: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74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w:t>
            </w:r>
          </w:p>
        </w:tc>
        <w:tc>
          <w:tcPr>
            <w:tcW w:w="144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74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w:t>
            </w:r>
          </w:p>
        </w:tc>
        <w:tc>
          <w:tcPr>
            <w:tcW w:w="675"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329"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人员工资发放率、</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各项工作推动有力。</w:t>
            </w: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工资按时发放；各项工作全面完成。</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工资按时发放；各项工作全面完成。</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完成年度目标任务时间</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78</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人工资、社会保障缴费、住房公积金等经费控制在预算内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1107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1107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机关办公耗材、水电、等一般公务费控制在预算内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0</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0</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检验检测成本控制在预算内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快检车运行经费控制在预算内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临聘人员工资控制在预算内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食品安全监管成本控制在预算内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食品投诉举报奖励基金控制在预算内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食品药品医疗器械及化妆品监管成本</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特种设备监管成本控制在预算内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提升营商环境经费控制在预算内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完成工商管理工作经费控制在预算内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完成网络维护资金成本</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年招商引资工作经费控制在预算内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完成争取资金成本控制在预算内</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年综合监管补助资金</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2"/>
                <w:szCs w:val="22"/>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27</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0" w:type="auto"/>
            <w:gridSpan w:val="2"/>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年中央药品监管补助资金</w:t>
            </w:r>
          </w:p>
        </w:tc>
        <w:tc>
          <w:tcPr>
            <w:tcW w:w="13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2"/>
                <w:szCs w:val="22"/>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18</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万元</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restart"/>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强化全区市场监管安全，提高群众的认知率，确保区域内无重大市场安全事故发</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生</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，优化营商环境</w:t>
            </w: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不断提高</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不断提高</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可持续影响指标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市场监管工作常态化</w:t>
            </w: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优良</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92" w:type="dxa"/>
            <w:vMerge w:val="continue"/>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9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3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w:t>
            </w:r>
          </w:p>
        </w:tc>
        <w:tc>
          <w:tcPr>
            <w:tcW w:w="1392"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4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004" w:type="dxa"/>
            <w:gridSpan w:val="2"/>
            <w:tcBorders>
              <w:tl2br w:val="nil"/>
              <w:tr2bl w:val="nil"/>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rPr>
          <w:b w:val="0"/>
          <w:bCs w:val="0"/>
          <w:color w:val="000000" w:themeColor="text1"/>
          <w:spacing w:val="0"/>
          <w14:textFill>
            <w14:solidFill>
              <w14:schemeClr w14:val="tx1"/>
            </w14:solidFill>
          </w14:textFill>
        </w:rPr>
      </w:pPr>
    </w:p>
    <w:p>
      <w:pPr>
        <w:pStyle w:val="9"/>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b w:val="0"/>
          <w:bCs w:val="0"/>
          <w:color w:val="000000" w:themeColor="text1"/>
          <w:spacing w:val="0"/>
          <w:sz w:val="32"/>
          <w:szCs w:val="32"/>
          <w:highlight w:val="none"/>
          <w:lang w:val="zh-CN" w:eastAsia="zh-CN"/>
          <w14:textFill>
            <w14:solidFill>
              <w14:schemeClr w14:val="tx1"/>
            </w14:solidFill>
          </w14:textFill>
        </w:rPr>
      </w:pPr>
    </w:p>
    <w:p>
      <w:pPr>
        <w:rPr>
          <w:rFonts w:hint="eastAsia" w:hAnsi="宋体" w:cs="宋体"/>
          <w:b w:val="0"/>
          <w:bCs w:val="0"/>
          <w:color w:val="000000" w:themeColor="text1"/>
          <w:spacing w:val="0"/>
          <w:kern w:val="0"/>
          <w:sz w:val="32"/>
          <w:szCs w:val="32"/>
          <w:highlight w:val="none"/>
          <w:shd w:val="clear" w:color="auto" w:fill="FFFFFF"/>
          <w:lang w:val="zh-CN"/>
          <w14:textFill>
            <w14:solidFill>
              <w14:schemeClr w14:val="tx1"/>
            </w14:solidFill>
          </w14:textFill>
        </w:rPr>
      </w:pPr>
      <w:r>
        <w:br w:type="page"/>
      </w:r>
    </w:p>
    <w:p>
      <w:pPr>
        <w:pStyle w:val="4"/>
        <w:bidi w:val="0"/>
        <w:rPr>
          <w:rFonts w:hint="default"/>
          <w:lang w:val="en-US" w:eastAsia="zh-CN"/>
        </w:rPr>
      </w:pPr>
      <w:bookmarkStart w:id="91" w:name="_Toc32540"/>
      <w:r>
        <w:rPr>
          <w:rFonts w:hint="eastAsia"/>
          <w:lang w:val="zh-CN" w:eastAsia="zh-CN"/>
        </w:rPr>
        <w:t>附件</w:t>
      </w:r>
      <w:r>
        <w:rPr>
          <w:rFonts w:hint="eastAsia"/>
          <w:lang w:val="en-US" w:eastAsia="zh-CN"/>
        </w:rPr>
        <w:t>3</w:t>
      </w:r>
      <w:bookmarkEnd w:id="91"/>
    </w:p>
    <w:p>
      <w:pPr>
        <w:pStyle w:val="4"/>
        <w:bidi w:val="0"/>
        <w:rPr>
          <w:rFonts w:hint="eastAsia"/>
          <w:lang w:val="en-US" w:eastAsia="zh-CN"/>
        </w:rPr>
      </w:pPr>
    </w:p>
    <w:p>
      <w:pPr>
        <w:pStyle w:val="4"/>
        <w:bidi w:val="0"/>
        <w:jc w:val="center"/>
        <w:rPr>
          <w:rFonts w:hint="eastAsia" w:ascii="方正小标宋简体" w:hAnsi="方正小标宋简体" w:eastAsia="方正小标宋简体" w:cs="方正小标宋简体"/>
          <w:b w:val="0"/>
          <w:bCs w:val="0"/>
          <w:color w:val="000000" w:themeColor="text1"/>
          <w:spacing w:val="0"/>
          <w:szCs w:val="44"/>
          <w:lang w:val="en-US" w:eastAsia="zh-CN"/>
          <w14:textFill>
            <w14:solidFill>
              <w14:schemeClr w14:val="tx1"/>
            </w14:solidFill>
          </w14:textFill>
        </w:rPr>
      </w:pPr>
      <w:bookmarkStart w:id="92" w:name="_Toc26955"/>
      <w:r>
        <w:rPr>
          <w:rFonts w:hint="eastAsia"/>
          <w:lang w:val="en-US" w:eastAsia="zh-CN"/>
        </w:rPr>
        <w:t>2023年市场综合监管预算项目绩效自评报告</w:t>
      </w:r>
      <w:bookmarkEnd w:id="92"/>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numPr>
          <w:ilvl w:val="0"/>
          <w:numId w:val="9"/>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黑体" w:hAnsi="黑体" w:eastAsia="黑体" w:cs="黑体"/>
          <w:b w:val="0"/>
          <w:bCs w:val="0"/>
          <w:color w:val="000000" w:themeColor="text1"/>
          <w:spacing w:val="0"/>
          <w:sz w:val="32"/>
          <w:szCs w:val="32"/>
          <w:lang w:val="zh-CN"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zh-CN" w:eastAsia="zh-CN"/>
          <w14:textFill>
            <w14:solidFill>
              <w14:schemeClr w14:val="tx1"/>
            </w14:solidFill>
          </w14:textFill>
        </w:rPr>
        <w:t>项目概况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200" w:firstLine="320" w:firstLineChars="100"/>
        <w:textAlignment w:val="auto"/>
        <w:rPr>
          <w:rFonts w:hint="eastAsia" w:ascii="黑体" w:hAnsi="黑体" w:eastAsia="黑体" w:cs="黑体"/>
          <w:b w:val="0"/>
          <w:bCs w:val="0"/>
          <w:color w:val="000000" w:themeColor="text1"/>
          <w:spacing w:val="0"/>
          <w:sz w:val="32"/>
          <w:szCs w:val="32"/>
          <w:lang w:val="zh-CN"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（一）项目基本情况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zh-CN"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昭化区</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市场监管局</w:t>
      </w:r>
      <w:r>
        <w:rPr>
          <w:rFonts w:hint="default" w:eastAsia="仿宋_GB2312" w:cs="Times New Roman"/>
          <w:b w:val="0"/>
          <w:bCs w:val="0"/>
          <w:color w:val="000000" w:themeColor="text1"/>
          <w:spacing w:val="0"/>
          <w:sz w:val="32"/>
          <w:szCs w:val="32"/>
          <w:lang w:val="zh-CN" w:eastAsia="zh-CN"/>
          <w14:textFill>
            <w14:solidFill>
              <w14:schemeClr w14:val="tx1"/>
            </w14:solidFill>
          </w14:textFill>
        </w:rPr>
        <w:t>202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年省级市场监管专项项目资金总额</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27</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万元，批复</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27</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万元，执行数</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27</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万元，用于支出我区市场综合监管工作，收到了良好的社会效益，守住了全区人民群众生命健康底线。</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（二）项目绩效目标。</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根据全年专项工作安排，按照专项资金管理办法和专款专用的原则，春雷执法工作、公平</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竞争</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审查、知识产权保护、价格监管、</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年报公示、“双随机、一公开”抽查检查，“万人进万企”</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疫情防控，</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持续加强业务能力提升和监管队伍建设，统筹推进疫情防控中市场监管和经济社会发展，不断维护辖区市场秩序稳定，切实保障和改善民生，积极营造法治化、市场化、国际化营商环境，各项工作创新开展，均取得显著成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zh-CN" w:eastAsia="zh-CN"/>
          <w14:textFill>
            <w14:solidFill>
              <w14:schemeClr w14:val="tx1"/>
            </w14:solidFill>
          </w14:textFill>
        </w:rPr>
      </w:pPr>
      <w:r>
        <w:rPr>
          <w:rFonts w:hint="eastAsia" w:eastAsia="仿宋_GB2312" w:cs="Times New Roman"/>
          <w:b w:val="0"/>
          <w:bCs w:val="0"/>
          <w:color w:val="000000" w:themeColor="text1"/>
          <w:spacing w:val="0"/>
          <w:sz w:val="32"/>
          <w:szCs w:val="32"/>
          <w:lang w:val="zh-CN" w:eastAsia="zh-CN"/>
          <w14:textFill>
            <w14:solidFill>
              <w14:schemeClr w14:val="tx1"/>
            </w14:solidFill>
          </w14:textFill>
        </w:rPr>
        <w:t>（</w:t>
      </w: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三）项目自评步骤及方法。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outlineLvl w:val="9"/>
        <w:rPr>
          <w:rFonts w:hint="default" w:ascii="Times New Roman" w:hAnsi="Times New Roman" w:eastAsia="仿宋_GB2312" w:cs="Times New Roman"/>
          <w:b w:val="0"/>
          <w:bCs w:val="0"/>
          <w:i w:val="0"/>
          <w:iCs w:val="0"/>
          <w:caps w:val="0"/>
          <w:color w:val="000000"/>
          <w:spacing w:val="0"/>
          <w:sz w:val="32"/>
          <w:szCs w:val="32"/>
          <w:highlight w:val="none"/>
          <w:shd w:val="clear" w:color="auto" w:fill="auto"/>
          <w:lang w:val="zh-CN" w:eastAsia="zh-CN"/>
        </w:rPr>
      </w:pPr>
      <w:r>
        <w:rPr>
          <w:rFonts w:hint="default" w:ascii="Times New Roman" w:hAnsi="Times New Roman" w:eastAsia="仿宋_GB2312" w:cs="Times New Roman"/>
          <w:b w:val="0"/>
          <w:bCs w:val="0"/>
          <w:i w:val="0"/>
          <w:iCs w:val="0"/>
          <w:caps w:val="0"/>
          <w:color w:val="000000"/>
          <w:spacing w:val="0"/>
          <w:sz w:val="32"/>
          <w:szCs w:val="32"/>
          <w:highlight w:val="none"/>
          <w:shd w:val="clear" w:color="auto" w:fill="auto"/>
          <w:lang w:val="zh-CN" w:eastAsia="zh-CN"/>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作出自我评价，认真听取</w:t>
      </w:r>
      <w:r>
        <w:rPr>
          <w:rFonts w:hint="eastAsia" w:eastAsia="仿宋_GB2312" w:cs="Times New Roman"/>
          <w:b w:val="0"/>
          <w:bCs w:val="0"/>
          <w:i w:val="0"/>
          <w:iCs w:val="0"/>
          <w:caps w:val="0"/>
          <w:color w:val="000000"/>
          <w:spacing w:val="0"/>
          <w:sz w:val="32"/>
          <w:szCs w:val="32"/>
          <w:highlight w:val="none"/>
          <w:shd w:val="clear" w:color="auto" w:fill="auto"/>
          <w:lang w:val="en-US" w:eastAsia="zh-CN"/>
        </w:rPr>
        <w:t>广大人民群众</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auto"/>
          <w:lang w:val="zh-CN" w:eastAsia="zh-CN"/>
        </w:rPr>
        <w:t>建议意见，做好自评工作。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二、项目资金申报及使用情况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（一）项目资金申报及批复情况。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根据广财</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行</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2022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32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号文件下达我局20</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年</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市场监管综合业务7万元；春雷行动17万元；</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广财</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建</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2022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87</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号文件下达我局</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2022年省级知识产权专项资金3万元。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（二）资金计划、到位及使用情况。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1.项目资金到位情况分析。2022年度区财政局在有效时限内将市场综合监管专项资金27万元指标下达我局，我局根据资金用途制定了详细的项目实施方案及资金使用计划，确保了专项资金的专款专用。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2.项目资金执行情况分析。我局项目资金的实际支出完全符合资金开支范围、标准及支付要求，支付依据合规合法，资金支付与预算相符。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3.项目资金管理情况分析。为强化专项资金管理，发挥资金的最大使用绩效，我局按照“统筹兼顾、突出重点、促进发展、专款专用、注重绩效”的原则，制定了专项资金使用实施方案、项目资金管理办法及内控管理制度等，规范了项目资金的核算及账务处理相关内容，进一步强化监督管理，严格按照各项管理办法、制度执行，充分发挥了资金使用效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（三）项目财务管理情况。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zh-CN"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经费严格按照</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项目财务管理制度</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执行</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、机构设置</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健全，</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会计核算及账务处理</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到位</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。严格执行财务管理制度、财务处理及时、会计核算规范。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三、项目实施及管理情况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（一）项目组织架构及实施流程。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我</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局</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高度重视，成立了以</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局长罗武林</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任组长，相关</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业务</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人</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员</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为成员的领导小组，将责任落实到人头，制定了切实可行的工作实施方案，为专项资金的使用提供了坚强的组织保障。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（二）项目管理情况。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为达到项目资金</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的最大使用效</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果</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，我</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局</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按照“统筹兼顾、突出重点、促进发展、专款专用、注重绩效”的原则，制定了专项资金使用实施方案、项目资金管理办法及内控管理制度等，规范了项目资金的核算及账务处理相关内容，进一步强化监督管理，严格按照各项管理办法、制度执行，充分发挥了资金使用效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（三）项目监管情况。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项目资金的使用严格按照程序化、制度化、公开化、透明化实施。</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使市场综合监管项目全部完成绩效目标，达到了项目预期的各项指标和效果。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黑体" w:hAnsi="黑体" w:eastAsia="黑体" w:cs="黑体"/>
          <w:b w:val="0"/>
          <w:bCs w:val="0"/>
          <w:color w:val="000000" w:themeColor="text1"/>
          <w:spacing w:val="0"/>
          <w:sz w:val="32"/>
          <w:szCs w:val="32"/>
          <w:lang w:val="zh-CN"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四、项目绩效情况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zh-CN" w:eastAsia="zh-CN"/>
          <w14:textFill>
            <w14:solidFill>
              <w14:schemeClr w14:val="tx1"/>
            </w14:solidFill>
          </w14:textFill>
        </w:rPr>
        <w:t>（一）项目完成情况。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2022年度财政下达我局市场综合监管专项经费，我局做到了资金与项目方案相符，严格按照方案要求进行实施。市场综合监管专项资金到位27万元，支出经费主要用于市场综合日常监管；2022春雷行动、知识产权保护等工作方面的人员及车辆、宣传费、执法监管等。</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我局开办企业再“提速”。聚焦“打造川内最优营商环境”主战场，秉持“服务发展无处不在，监管执法无私不扰”理念，发放“助企纾困明白卡” 8000余张，制定优化营商环境16条措施，实行企业开办“三减一零”，开办时间缩短至4小时内，全面实现“零”费用。开展“政银合作”，在邮储银行设立市场开办便民服务点1个，免费为市场主体提供服务。深度参与“村能办”，将“三小备案”和市场主体开办申请下放至镇和村；开展营业执照与食品经营、药品经营许可的“一件事一次办”试点，做到让数据多跑路，让企业少跑路。全年核准新登记各类企业市场主体420户，变更登记392户，注销186户，其中通过“全程电子化”核准各类登记263户；个体工商户设立668户，变更207户，注销373户。为企业免费刻制印章1406枚，为企业节省费用137085元。办理食品经营许可339户，食品小作坊、小经营店备案411户，特种设备登记证129个，二类医疗器械备案7个。二是公平竞争审查再“加力”。出台了“四项制度”，重点对市场准入、产业发展、招商引资、招标投标、政府采购等市场主体经济活动的规范性文件做到严格把关，按照“谁制定、谁审查”的原则，清理审查文件54份，切实维护企业利益和营造公平竞争的营商环境。三是知识产权保护再“摸高”。政府常务会再次学习《中华人民共和国专利法》《中华人民共和国商标法》。开展“4.26”知识产权活动周及“知识产权服务万里行”活动，增强知识产权保护意识。出台《广元市昭化区知识产权保护管理二十二条措施》和商业秘密保护措施，加强与法院、公安、经信、司法等部门协作联动，开展知识产权执法保护专项行动，严厉打击商标侵权、假冒专利等违法行为，查处知识产权侵权违法行为8件，其中专利标识标注不规范商品案6件，假冒侵权商标案2件。全区累计有效专利52件，新增有效注册商标60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default" w:eastAsia="仿宋_GB2312" w:cs="Times New Roman"/>
          <w:b w:val="0"/>
          <w:bCs w:val="0"/>
          <w:color w:val="000000" w:themeColor="text1"/>
          <w:spacing w:val="0"/>
          <w:sz w:val="32"/>
          <w:szCs w:val="32"/>
          <w:lang w:val="en-US" w:eastAsia="zh-CN"/>
          <w14:textFill>
            <w14:solidFill>
              <w14:schemeClr w14:val="tx1"/>
            </w14:solidFill>
          </w14:textFill>
        </w:rPr>
        <w:t>“春雷行动2021”</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全年查办各类案件156件，向公安机关移送6件，罚没款近50万元，超过70%案件予以从轻或减轻处罚，不予处罚2件，免予罚款10多万元，“铁拳行动”、打击整治养老诈骗等专项执法行动取得战果。二是“春雷行动2022”有成效。在专项行动期间，指导规范市场主体800余家，帮助企业复工复产200家；受理消费者投诉举报78件，累计开展行政指导、行政约谈等23次，累计立案查处 131件（其中万元以上大要案件22件，省局通报典型案件2件，市局挂牌案件2件，市局通报典型案件5件，向公安机关移送并立案3件），罚没款 32万元，挽回经济损失20万元。三是“长江禁渔”得好评。与区公安、农业农村等部门开展联合检查5次，检查各类涉渔主体100多户次，查办各类“长江禁捕”案件4件，查获非法渔获物91.78公斤。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（1）数量指标。</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“春雷行动202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”全区累计立案</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156</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件</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罚没款</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50</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余万元</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全年累计核准设立登记各类市场主体</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931</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户</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（2）质量指标。登记各类市场主体完成目标任务，红盾春雷执法立案比去年同期增长175%.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（3）时效指标。截至2021年12月31日，我局严格按照上级要求，按时按质完成各项专项任务。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（4）成本指标。市场综合监管专项工作经费27万元，资金使用率达100%。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zh-CN" w:eastAsia="zh-CN"/>
          <w14:textFill>
            <w14:solidFill>
              <w14:schemeClr w14:val="tx1"/>
            </w14:solidFill>
          </w14:textFill>
        </w:rPr>
      </w:pPr>
      <w:r>
        <w:rPr>
          <w:rFonts w:hint="eastAsia" w:eastAsia="仿宋_GB2312" w:cs="Times New Roman"/>
          <w:b w:val="0"/>
          <w:bCs w:val="0"/>
          <w:color w:val="000000" w:themeColor="text1"/>
          <w:spacing w:val="0"/>
          <w:sz w:val="32"/>
          <w:szCs w:val="32"/>
          <w:lang w:val="zh-CN" w:eastAsia="zh-CN"/>
          <w14:textFill>
            <w14:solidFill>
              <w14:schemeClr w14:val="tx1"/>
            </w14:solidFill>
          </w14:textFill>
        </w:rPr>
        <w:t>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（1）</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在“春雷行动202</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”中，</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全年查办各类案件156件，向公安机关移送6件，罚没款近50万元，超过70%案件予以从轻或减轻处罚，不予处罚2件，免予罚款10多万元，“铁拳行动”、打击整治养老诈骗等专项执法行动取得战果。二是“春雷行动2022”有成效。在专项行动期间，指导规范市场主体800余家，帮助企业复工复产200家；受理消费者投诉举报78件，累计开展行政指导、行政约谈等23次，累计立案查处 131件（其中万元以上大要案件22件，省局通报典型案件2件，市局挂牌案件2件，市局通报典型案件5件，向公安机关移送并立案3件），罚没款 32万元，挽回经济损失20万元。三是“长江禁渔”得好评。与区公安、农业农村等部门开展联合检查5次，检查各类涉渔主体100多户次，查办各类“长江禁捕”案件4件，查获非法渔获物91.78公斤。广元市昭化区某饭店收购加工销售长江流域重点水域非法捕捞渔获物案等案先后被省市场监管局第34期、41期简报采用。广元昭化区某农场销售非法捕捞渔获物和未持有合法来源证明出售非国家重点保护野生动物案在2022年6月27日四川省长江流域重点水域禁捕退捕工作情况新闻发布会上得到肯定。某农场收购、销售长江流域重点水域非法捕捞渔获物和出售未持有合法来源证明的非国家重点保护野生动物案被评为广元市“春雷行动2022”执法行动十大典型案件。四是价格工作步入正轨。重点关注社会热点，积极开展价格监测预警工作，制发《关于规范疫情期间价格行为的提醒告诫函》，出台“广元市昭化区餐饮业明码标价管理规定”“广元市昭化区酒店客房明码标价管理规定”，有效维护消费者和经营者的合法权益。对全区粮食收购企业、个体工商户收购粮食价格进行实时监管，开展教育、医疗等重点行业价格收费行为监管，对物业管理、工业集中区、公用企业、防疫物资价格开展治理。（2）</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营商环境持续优化。</w:t>
      </w:r>
      <w:r>
        <w:rPr>
          <w:rFonts w:hint="eastAsia" w:eastAsia="仿宋_GB2312" w:cs="Times New Roman"/>
          <w:b w:val="0"/>
          <w:bCs w:val="0"/>
          <w:color w:val="000000" w:themeColor="text1"/>
          <w:spacing w:val="0"/>
          <w:sz w:val="32"/>
          <w:szCs w:val="32"/>
          <w:lang w:val="en-US" w:eastAsia="zh-CN"/>
          <w14:textFill>
            <w14:solidFill>
              <w14:schemeClr w14:val="tx1"/>
            </w14:solidFill>
          </w14:textFill>
        </w:rPr>
        <w:t>开办企业再“提速”。聚焦“打造川内最优营商环境”主战场，秉持“服务发展无处不在，监管执法无私不扰”理念，发放“助企纾困明白卡”8000余张，制定优化营商环境16条措施，实行企业开办“三减一零”，开办时间缩短至4小时内，全面实现“零”费用。开展“政银合作”，在邮储银行设立市场开办便民服务点1个，免费为市场主体提供服务。深度参与“村能办”，将“三小备案”和市场主体开办申请下放至镇和村；开展营业执照与食品经营、药品经营许可的“一件事一次办”试点，做到让数据多跑路，让企业少跑路。全年核准新登记各类企业市场主体420户，变更登记392户，注销186户，其中通过“全程电子化”核准各类登记263户；个体工商户设立668户，变更207户，注销373户。为企业免费刻制印章1406枚，为企业节省费用137085元。办理食品经营许可339户，食品小作坊、小经营店备案411户，特种设备登记证129个，二类医疗器械备案7个。二是公平竞争审查再“加力”。出台了“四项制度”，重点对市场准入、产业发展、招商引资、招标投标、政府采购等市场主体经济活动的规范性文件做到严格把关，按照“谁制定、谁审查”的原则，清理审查文件54份，切实维护企业利益和营造公平竞争的营商环境。三是知识产权保护再“摸高”。政府常务会再次学习《中华人民共和国专利法》《中华人民共和国商标法》。开展“4.26”知识产权活动周及“知识产权服务万里行”活动，增强知识产权保护意识。出台《广元市昭化区知识产权保护管理二十二条措施》和商业秘密保护措施，加强与法院、公安、经信、司法等部门协作联动，开展知识产权执法保护专项行动，严厉打击商标侵权、假冒专利等违法行为，查处知识产权侵权违法行为8件，其中专利标识标注不规范商品案6件，假冒侵权商标案2件。全区累计有效专利52件，新增有效注册商标60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zh-CN"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分项目类别</w:t>
      </w:r>
      <w:r>
        <w:rPr>
          <w:rFonts w:hint="eastAsia" w:eastAsia="仿宋_GB2312" w:cs="Times New Roman"/>
          <w:b w:val="0"/>
          <w:bCs w:val="0"/>
          <w:color w:val="000000" w:themeColor="text1"/>
          <w:spacing w:val="0"/>
          <w:sz w:val="32"/>
          <w:szCs w:val="32"/>
          <w:lang w:val="zh-CN" w:eastAsia="zh-CN"/>
          <w14:textFill>
            <w14:solidFill>
              <w14:schemeClr w14:val="tx1"/>
            </w14:solidFill>
          </w14:textFill>
        </w:rPr>
        <w:t>从项目经济效益、社会效益、生态效益、可持续效益以及服务对象满意度等方面对项目效益进行全面分析评价。</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0" w:firstLine="640" w:firstLineChars="200"/>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五、评价结论及建议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2022年，昭化市场监管工作虽然取得了一些成效，但也存在监管与服务平衡难度大、年轻干部教育培训不足、个私企业协会工作推进缓慢等问题。2023年，我局将把“打造最优营商环境、呵护市场主体发展”作为工作开展的主要目标和重要抓手，融入市场监管工作的方方面面，围绕“一个大市场、两个强国、三个监管、四个安全”着力点，坚持在服务中监管、监管中指导、指导中规范、规范中提升，深入实施《昭化区市场监督管理局优化营商环境16条措施》，切实做到“服务发展无处不在，监管执法无私不扰”，让广大市场主体在公平公正、规范法治、轻松便利的市场环境中茁壮成长</w:t>
      </w:r>
      <w:r>
        <w:rPr>
          <w:rFonts w:hint="default" w:eastAsia="仿宋_GB2312" w:cs="Times New Roman"/>
          <w:b w:val="0"/>
          <w:bCs w:val="0"/>
          <w:color w:val="000000" w:themeColor="text1"/>
          <w:spacing w:val="0"/>
          <w:sz w:val="32"/>
          <w:szCs w:val="32"/>
          <w:lang w:val="en-US" w:eastAsia="zh-CN"/>
          <w14:textFill>
            <w14:solidFill>
              <w14:schemeClr w14:val="tx1"/>
            </w14:solidFill>
          </w14:textFill>
        </w:rPr>
        <w:t>，下一步将主要从以下几个方面开展工作：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一）进一步加强党对市场监管工作的全面领导。以忠诚拥护“两个确立”、坚决做到“两个维护”的高度政治自觉，深入学习领会、深刻理解把握习近平总书记重要论述的丰富内涵、精神实质、核心要义和实践要求，全力做好党的二十大精神宣传和贯彻落实。深化对加快建设全国统一大市场、更好服务构建新发展格局的认识，深化对建设质量强国和知识产权强国、推动经济社会高质量发展的认识，深化对加强市场综合监管、更好服务推进国家治理体系和治理能力现代化的认识，深化对坚守市场监管领域安全底线、保障人民群众生命财产安全的认识，更好地用以指导实践、推动工作，确保市场监管发展的正确政治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二）进一步完善服务市场主体新举措。深度推进“数字生态”提效能、行政审批疏堵点、高质量发展增效益、知识产权筑高地、非公党建激活力、投诉举报快处置、当好“顾问”助发展、维护秩序促公平等服务市场主体8大行动，全力做好市场保供稳价，完善消费者权益保护社会共治机制，着力解决损害人民群众切身利益,有效维护了社会生产和人民生活正常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（三）进一步强化“三品一特”安全监管。深入开展食品安全、药品安全、产品质量安全和特种设备安全的风险隐患排查治理，加强疫苗质量全程监管，守住了市场监管领域安全底线。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四）进一步抓好常态化疫情防控工作。立足市场监管职能和分工职责，聚焦全链条监管，紧盯农贸市场、药店、茶楼等重点行业，坚持人、物、环境同防，持续强化重点场所管控，加大风险隐患排查整治力度，全力防范病毒输入传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五）进一步推进全国文明城市创建。坚持目标导向，严格对照农贸市场“创文”工作标准、规范化管理及疫情防控技术指南，认真查漏补缺，逐条对标落实，同时进一步加大对农贸市场、临街商铺、餐饮单位、商超等场所实地巡查力度，督促商户及时完善整改不文明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六）进一步探索监管方式创新改革试点。继续推进以信用分级分类监管为前提，“双随机、一公开”监管为主导，重点监管为补充，“一次检查全面体检”为手段，“沙盒监管”、“触发式监管”、“牵头式监管”和“认罚从轻”“首违不罚”等新型监管方式于一体的“场景式执法”改革试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七）进一步推进质量强国建设。深入实施“昭化茯苓”全产业链管理规范及质量标准提升示范工程，立足高标准推进“昭化茯苓”省级农业标准化示范区创建工作总要求，积极抓好川产道地药材“三标准、五规范、两体系 “352”工程。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（八）进一步优化知识产权大保护格局。持续推进知识产权知识普及，夯实增量基础，完善保护运用转化机制，创新商业秘密保护机制，市场创新环境持续优化。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九）进一步加强对个私协会的管理指导。深入贯彻《促进个体工商户发展条例》，指导个私协会进一步加强自身建设和行业自律，加强与政府相关职能部门的工作联系，协助做好非公党建、党的民营经济和助企纾困政策宣传、普法学习、社会公益、诚信建设、协税护税等工作，切实代表和维护全区8000多户私营企业和个体工商户的合法权益，使个私协会真正成为党和政府联系广大个体私营企业的桥梁和纽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76" w:lineRule="exact"/>
        <w:ind w:leftChars="0" w:firstLine="640" w:firstLineChars="200"/>
        <w:jc w:val="right"/>
        <w:textAlignment w:val="auto"/>
        <w:rPr>
          <w:rFonts w:hint="default"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 xml:space="preserve">广元市昭化区市场监督管理局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76" w:lineRule="exact"/>
        <w:ind w:leftChars="0" w:firstLine="640" w:firstLineChars="200"/>
        <w:jc w:val="right"/>
        <w:textAlignment w:val="auto"/>
        <w:rPr>
          <w:rFonts w:hint="eastAsia"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lang w:val="en-US" w:eastAsia="zh-CN"/>
          <w14:textFill>
            <w14:solidFill>
              <w14:schemeClr w14:val="tx1"/>
            </w14:solidFill>
          </w14:textFill>
        </w:rPr>
        <w:t>2023年9月17日　　　　</w:t>
      </w:r>
    </w:p>
    <w:p>
      <w:pPr>
        <w:rPr>
          <w:rFonts w:hint="eastAsia" w:ascii="仿宋_GB2312" w:hAnsi="仿宋"/>
          <w:b w:val="0"/>
          <w:bCs w:val="0"/>
          <w:color w:val="000000" w:themeColor="text1"/>
          <w:spacing w:val="0"/>
          <w:sz w:val="32"/>
          <w:szCs w:val="32"/>
          <w:lang w:val="en-US" w:eastAsia="zh-CN"/>
          <w14:textFill>
            <w14:solidFill>
              <w14:schemeClr w14:val="tx1"/>
            </w14:solidFill>
          </w14:textFill>
        </w:rPr>
      </w:pPr>
      <w:r>
        <w:br w:type="page"/>
      </w:r>
    </w:p>
    <w:p>
      <w:pPr>
        <w:pStyle w:val="4"/>
        <w:bidi w:val="0"/>
        <w:rPr>
          <w:rFonts w:hint="default"/>
          <w:lang w:val="en-US" w:eastAsia="zh-CN"/>
        </w:rPr>
      </w:pPr>
      <w:r>
        <w:rPr>
          <w:rFonts w:hint="eastAsia"/>
          <w:lang w:val="en-US" w:eastAsia="zh-CN"/>
        </w:rPr>
        <w:t>附件4</w:t>
      </w:r>
    </w:p>
    <w:p>
      <w:pPr>
        <w:pStyle w:val="4"/>
        <w:bidi w:val="0"/>
        <w:jc w:val="center"/>
        <w:rPr>
          <w:rFonts w:hint="default"/>
          <w:lang w:val="en-US" w:eastAsia="zh-CN"/>
        </w:rPr>
      </w:pPr>
      <w:bookmarkStart w:id="93" w:name="_Toc18020"/>
      <w:r>
        <w:rPr>
          <w:rFonts w:hint="default"/>
          <w:lang w:val="en-US" w:eastAsia="zh-CN"/>
        </w:rPr>
        <w:t>广元市昭化区财政项目（ 市场综合监管业务经费）支出绩效自评表</w:t>
      </w:r>
      <w:bookmarkEnd w:id="93"/>
    </w:p>
    <w:p>
      <w:pPr>
        <w:pStyle w:val="9"/>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 xml:space="preserve"> 年度）</w:t>
      </w:r>
    </w:p>
    <w:tbl>
      <w:tblPr>
        <w:tblStyle w:val="18"/>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692"/>
        <w:gridCol w:w="1025"/>
        <w:gridCol w:w="631"/>
        <w:gridCol w:w="1032"/>
        <w:gridCol w:w="959"/>
        <w:gridCol w:w="936"/>
        <w:gridCol w:w="3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8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市场综合监管业务经费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3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项目（政策）资金（万元）</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5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立足市场监管部门职能职责，强化食品安全监管力度，有效打击各种违法行为.建立长效监管机制，及时制止和查处违法食品等环节案件。确保全体执法人员正常执法办案，提升执法人员执法能力。确保全区人民群众饮食安全</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立足市场监管部门职能职责，强化食品安全监管力度，有效打击各种违法行为.建立长效监管机制，及时制止和查处违法食品等环节案件。确保全体执法人员正常执法办案，提升执法人员执法能力。确保全区人民群众饮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“双随机、一公开”抽查事项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春雷执法立案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缴</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罚没款</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余万元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余万元</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年报完成公示率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完成工作时限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所需的差旅费、印刷费等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市场综合监管水平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逐步提高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逐步提高</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系统性、区域性重大质量安全事故</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公平竞争的市场秩序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逐步提高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逐步提高</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营造健康有序市场消费环境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不断提升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不断提升</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可持续影响指标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通过监督抽查、风险监测、证后监管等保障人民生命财产安全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持续影响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持续影响</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执法办案水平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不断提升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不断提升</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公众对市场综合安全的总体满意度得分度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rPr>
          <w:rFonts w:hint="eastAsia"/>
          <w:b w:val="0"/>
          <w:bCs w:val="0"/>
          <w:color w:val="000000" w:themeColor="text1"/>
          <w:spacing w:val="0"/>
          <w14:textFill>
            <w14:solidFill>
              <w14:schemeClr w14:val="tx1"/>
            </w14:solidFill>
          </w14:textFill>
        </w:rPr>
      </w:pPr>
    </w:p>
    <w:p>
      <w:pPr>
        <w:pStyle w:val="9"/>
        <w:rPr>
          <w:rFonts w:hint="default" w:eastAsia="仿宋_GB2312"/>
          <w:b w:val="0"/>
          <w:bCs w:val="0"/>
          <w:color w:val="000000" w:themeColor="text1"/>
          <w:spacing w:val="0"/>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50" w:lineRule="exact"/>
        <w:jc w:val="center"/>
        <w:textAlignment w:val="auto"/>
        <w:rPr>
          <w:rFonts w:eastAsia="方正小标宋简体"/>
          <w:b w:val="0"/>
          <w:bCs w:val="0"/>
          <w:color w:val="000000" w:themeColor="text1"/>
          <w:spacing w:val="0"/>
          <w:sz w:val="44"/>
          <w:szCs w:val="44"/>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50" w:lineRule="exact"/>
        <w:jc w:val="center"/>
        <w:textAlignment w:val="auto"/>
        <w:rPr>
          <w:rFonts w:eastAsia="方正小标宋简体"/>
          <w:b w:val="0"/>
          <w:bCs w:val="0"/>
          <w:color w:val="000000" w:themeColor="text1"/>
          <w:spacing w:val="0"/>
          <w:sz w:val="44"/>
          <w:szCs w:val="44"/>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50" w:lineRule="exact"/>
        <w:jc w:val="center"/>
        <w:textAlignment w:val="auto"/>
        <w:rPr>
          <w:rFonts w:eastAsia="方正小标宋简体"/>
          <w:b w:val="0"/>
          <w:bCs w:val="0"/>
          <w:color w:val="000000" w:themeColor="text1"/>
          <w:spacing w:val="0"/>
          <w:sz w:val="44"/>
          <w:szCs w:val="44"/>
          <w14:textFill>
            <w14:solidFill>
              <w14:schemeClr w14:val="tx1"/>
            </w14:solidFill>
          </w14:textFill>
        </w:rPr>
      </w:pPr>
    </w:p>
    <w:p>
      <w:pPr>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r>
        <w:br w:type="page"/>
      </w:r>
    </w:p>
    <w:p>
      <w:pPr>
        <w:pStyle w:val="3"/>
        <w:bidi w:val="0"/>
        <w:jc w:val="left"/>
        <w:rPr>
          <w:rFonts w:hint="eastAsia" w:ascii="宋体" w:hAnsi="宋体" w:eastAsia="宋体" w:cs="宋体"/>
          <w:b/>
          <w:bCs w:val="0"/>
          <w:sz w:val="32"/>
          <w:szCs w:val="32"/>
          <w:lang w:val="en-US" w:eastAsia="zh-CN"/>
        </w:rPr>
      </w:pPr>
      <w:bookmarkStart w:id="94" w:name="_Toc15074"/>
      <w:r>
        <w:rPr>
          <w:rFonts w:hint="eastAsia" w:ascii="宋体" w:hAnsi="宋体" w:eastAsia="宋体" w:cs="宋体"/>
          <w:b/>
          <w:bCs w:val="0"/>
          <w:sz w:val="32"/>
          <w:szCs w:val="32"/>
          <w:lang w:val="en-US" w:eastAsia="zh-CN"/>
        </w:rPr>
        <w:t>附件5</w:t>
      </w:r>
    </w:p>
    <w:p>
      <w:pPr>
        <w:pStyle w:val="3"/>
        <w:bidi w:val="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2023年中央药品监管补助预算项目绩效自评报告</w:t>
      </w:r>
      <w:bookmarkEnd w:id="94"/>
    </w:p>
    <w:p>
      <w:pPr>
        <w:pStyle w:val="39"/>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bCs w:val="0"/>
          <w:color w:val="000000" w:themeColor="text1"/>
          <w:spacing w:val="0"/>
          <w:kern w:val="2"/>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b w:val="0"/>
          <w:bCs w:val="0"/>
          <w:color w:val="000000" w:themeColor="text1"/>
          <w:spacing w:val="0"/>
          <w:kern w:val="2"/>
          <w:sz w:val="32"/>
          <w:szCs w:val="32"/>
          <w:lang w:val="zh-CN"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2"/>
          <w:szCs w:val="32"/>
          <w:lang w:val="zh-CN" w:eastAsia="zh-CN" w:bidi="ar-SA"/>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昭化区市场</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监督管理局</w:t>
      </w:r>
      <w:r>
        <w:rPr>
          <w:rFonts w:hint="default"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202</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年省级市场监管专项项目资金总额</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18</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万元，批复</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18</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万元，执行数</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18</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万元，用于支出我区</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药品</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监管工作，收到了良好的社会效益，守住了全区人民群众生命健康底线。</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（一）项目资金申报及批复情况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根据广财</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行</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2022</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48</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号文件</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和</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广财</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行</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2022</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6</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号文件下达我局20</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22</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年</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中央药品监管补助资金18万元。</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（二）项目绩效目标。</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根据全年专项工作安排，按照专项资金管理办法和专款专用的原则，主要用于药械化综合监管、药械化专项整治、药械化不良反应监测指导及药械化安全宣传等工作。强化日常监管和专项整治执法力度，加大对制售假冒伪劣药品违法犯罪活动的打击力度，进一步规范药械化经营使用秩序，进一步加大药械化安全知识普及力度，完善监管规范和监督机制，提升监管水平。</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（三）项目自评步骤及方法。</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按照区财政局的安排部署，我局成立自评小组，采用比较法展开了单位自评，首先对年初下达的预算批复和年初项目绩效进行了全面梳理，分类清理了各项目一年来绩效目标完成情况、资金使用情况、项目达到的效果等。然后逐一对各项目完成情况开展自评，最后通过召开专题会议的形</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式</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对各项目绩效情况进行分析总结。</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t>二、项目资金申报及使用情况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（一）项目资金申报及批复情况。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资金申报完全按照项目实施内容及年度内计划方案实施，资金申报合理，操作性强，可行性高。我</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局</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结合资金性质及用途，有预见性、前瞻性地开展工作，对项目实施未产生任何影响。</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（二）资金计划、到位及使用情况。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1.项目资金到位情况分析。2022年度区财政局在有效时限内将中央药品监管专项资金指标下达我局，我局根据资金用途制定了详细的项目实施方案及资金使用计划，确保了专项资金的专款专用。</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2.项目资金执行情况分析。我局项目资金的实际支出完全符合资金开支范围、标准及支付要求，支付依据合规合法，资金支付与预算相符。</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项目资金管理情况分析。为强化专项资金管理，发挥资金的最大使用绩效，我局按照“统筹兼顾、突出重点、促进发展、专款专用、注重绩效”的原则，制定了专项资金使用实施方案、项目资金管理办法及内控管理制度等，规范了项目资金的核算及账务处理相关内容，进一步强化监督管理，严格按照各项管理办法、制度执行，充分发挥了资金使用效益。</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（三）项目财务管理情况。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经费严格按照</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项目财务管理制度</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执行</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、机构设置</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健全，</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会计核算及账务处理</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到位</w:t>
      </w: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t>三、项目实施及管理情况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（一）项目组织架构及实施流程。</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我</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局</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高度重视，成立了以</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局长罗武林</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任组长，相关</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业务</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人</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员</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为成员的领导小组，将责任落实到人头，制定了切实可行的工作实施方案，为专项资金的使用提供了坚强的组织保障。</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w:t>
      </w: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二</w:t>
      </w: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）项目管理情况。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为达到项目资金</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的最大使用效</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果</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，我</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局</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按照“统筹兼顾、突出重点、促进发展、专款专用、注重绩效”的原则，制定了专项资金使用实施方案、项目资金管理办法及内控管理制度等，规范了项目资金的核算及账务处理相关内容，进一步强化监督管理，严格按照各项管理办法、制度执行，充分发挥了资金使用效益。</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w:t>
      </w: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三</w:t>
      </w:r>
      <w:r>
        <w:rPr>
          <w:rFonts w:hint="eastAsia" w:ascii="楷体_GB2312" w:hAnsi="楷体_GB2312" w:eastAsia="楷体_GB2312" w:cs="楷体_GB2312"/>
          <w:b w:val="0"/>
          <w:bCs w:val="0"/>
          <w:color w:val="000000" w:themeColor="text1"/>
          <w:spacing w:val="0"/>
          <w:kern w:val="2"/>
          <w:sz w:val="32"/>
          <w:szCs w:val="32"/>
          <w:lang w:val="zh-CN" w:eastAsia="zh-CN" w:bidi="ar-SA"/>
          <w14:textFill>
            <w14:solidFill>
              <w14:schemeClr w14:val="tx1"/>
            </w14:solidFill>
          </w14:textFill>
        </w:rPr>
        <w:t>）项目监管情况。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项目资金的使用严格按照程序化、制度化、公开化、透明化实施。</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使市场综合监管项目全部完成绩效目标，达到了项目预期的各项指标和效果。</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b w:val="0"/>
          <w:bCs w:val="0"/>
          <w:color w:val="000000" w:themeColor="text1"/>
          <w:spacing w:val="0"/>
          <w:kern w:val="2"/>
          <w:sz w:val="32"/>
          <w:szCs w:val="32"/>
          <w:lang w:val="zh-CN"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t>四、项目绩效情况</w:t>
      </w:r>
      <w:r>
        <w:rPr>
          <w:rFonts w:hint="eastAsia" w:ascii="黑体" w:hAnsi="黑体" w:eastAsia="黑体" w:cs="黑体"/>
          <w:b w:val="0"/>
          <w:bCs w:val="0"/>
          <w:color w:val="000000" w:themeColor="text1"/>
          <w:spacing w:val="0"/>
          <w:kern w:val="2"/>
          <w:sz w:val="32"/>
          <w:szCs w:val="32"/>
          <w:lang w:val="zh-CN" w:eastAsia="zh-CN" w:bidi="ar-SA"/>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（一）项目完成情况。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2022年度财政下达我局中央药品安全监管项目经费，我局做到了资金与项目方案相符，严格按照方案要求进行实施。中央药品安全监管资金18万元，按项目要求开展工作，支出18万元，资金使用率达100%。开展新冠疫苗、防疫用医疗器械、“线上净网 线下清源”、儿童化妆品等专项整治20余次，对辖区409家药械化经营使用单位进行全覆盖监督检查，查办药械化违法案件26件，移送公安机关案件1件，省药监局挂牌案件1件。开展药械化监督抽检20批次，上报药化不良反应257例。召开药械化安全监管业务培训会1次，约谈会2次，开展药械化相关法律法规及科普知识宣传8场次。</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（1）数量指标。开展新冠疫苗、防疫用医疗器械、</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线上净网</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线下清源</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、儿童化妆品等专项整治</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20</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余次，对辖区</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409</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家药械化经营使用单位进行全覆盖监督检查，查办药械化违法案件</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26</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件，移送公安机关案件</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件，省药监局挂牌案件</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件。开展药械化监督抽检</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20</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批次，上报药化不良反应</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257</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例。召开药械化安全监管业务培训会</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次，约谈会</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次，开展药械化相关法律法规及科普知识宣传</w:t>
      </w:r>
      <w:r>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8</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场次。</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（2）质量指标。指标1：不合格药品处置率：年度指标值：≥100%;实际完成指标值：100%,指标2：培训人员覆盖率：年度指标值：≥100%.实际完成指标值：100%</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（3）时效指标。截至2022年12月31日，我局严格按照上级要求，按时按质完成各项专项任务。</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（4）成本指标。药品安全监管工作经费18万元，资金使用率达100%。</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zh-CN" w:eastAsia="zh-CN" w:bidi="ar-SA"/>
          <w14:textFill>
            <w14:solidFill>
              <w14:schemeClr w14:val="tx1"/>
            </w14:solidFill>
          </w14:textFill>
        </w:rPr>
        <w:t>项目效益情况。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（1）经济效益。通过药品医疗器械化妆品抽检，打击质量不符合标准的药械化产品，净化药械化市场经济。</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（2）社会效益。通过药械化抽检，净化药械化产品质量安全，保障昭化区人民购进使用到安全可靠的药品医疗器械化妆品。</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（3）可持续影响。通过抽检发现市场的假劣药品医疗器械，对经营使用假劣药单位进行行政处罚，做到处罚一家震慑一片的效果，确保辖区内药械化经营使用单位合理合法购进储存使用药械化。</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3.满意度指标完成情况分析。本次抽检工作社会满意度达95%以上，政府满意度达95%以上。</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t>五、评价结论及建议</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评价结论：一年来，药械化安全监管工作取得一定的成效，但还存在监管工作创新不够，执法水平有待提高、法律法规宣传形式单一等问题存在，在今后的工作中，采取措施，认真改正。</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建议：</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（一）持续加大法律法规的宣贯。</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始终把公众用药用械用妆安全作为重大的民生工程来抓，认真贯彻落实《</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中华人民共和国</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药品管理法》《</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中华人民共和国</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疫苗管理法》、《医疗器械监督管理条例》及《化妆品监督管理条例》等相关的法律法规宣传，开展形式多样、深入人心的安全用药用械用妆宣传，进一步规范药械化市场，筑牢公众药械化的安全防线。</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（二）继续强化疫情防控用药用械安全监管。</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重点对新冠疫苗和核酸检测单位进行监督检查，同时强化药品医疗器械经营企业做好疫情防控工作，确保防疫工作有序进行。</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（三）强化严格执法。</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在监督检查中，做到廉洁执法、公正执法，在监管检查中发现的案件线索，严肃查处，做到发现一起，查处一起，教育一片，在药械化安全领域起到震慑作用。</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（四）加强信息公开，不断促进企业诚信自律。</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 xml:space="preserve">利用各种有效信息平台，将企业的违法行为和日常监管情况进行信息公开，扩大其违法违规行为的社会影响力，增加违法成本，促进企业自觉增强关于药械化质量安全的主体责任意识，促进倒逼企业诚信自律。    </w:t>
      </w:r>
    </w:p>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spacing w:line="576" w:lineRule="exact"/>
        <w:ind w:firstLine="640" w:firstLineChars="200"/>
        <w:jc w:val="right"/>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广元市昭化区市场监督管理局</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　　</w:t>
      </w:r>
    </w:p>
    <w:p>
      <w:pPr>
        <w:keepNext w:val="0"/>
        <w:keepLines w:val="0"/>
        <w:pageBreakBefore w:val="0"/>
        <w:widowControl w:val="0"/>
        <w:kinsoku/>
        <w:wordWrap w:val="0"/>
        <w:overflowPunct/>
        <w:topLinePunct w:val="0"/>
        <w:autoSpaceDE/>
        <w:autoSpaceDN/>
        <w:bidi w:val="0"/>
        <w:adjustRightInd w:val="0"/>
        <w:snapToGrid/>
        <w:spacing w:line="576" w:lineRule="exact"/>
        <w:ind w:firstLine="640" w:firstLineChars="200"/>
        <w:jc w:val="right"/>
        <w:textAlignment w:val="auto"/>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2023年9月17日</w:t>
      </w:r>
      <w:r>
        <w:rPr>
          <w:rFonts w:hint="eastAsia" w:eastAsia="仿宋_GB2312" w:cs="Times New Roman"/>
          <w:b w:val="0"/>
          <w:bCs w:val="0"/>
          <w:color w:val="000000" w:themeColor="text1"/>
          <w:spacing w:val="0"/>
          <w:kern w:val="2"/>
          <w:sz w:val="32"/>
          <w:szCs w:val="32"/>
          <w:lang w:val="en-US" w:eastAsia="zh-CN" w:bidi="ar-SA"/>
          <w14:textFill>
            <w14:solidFill>
              <w14:schemeClr w14:val="tx1"/>
            </w14:solidFill>
          </w14:textFill>
        </w:rPr>
        <w:t>　　　　</w:t>
      </w:r>
    </w:p>
    <w:p>
      <w:pPr>
        <w:rPr>
          <w:rFonts w:hint="eastAsia"/>
          <w:b w:val="0"/>
          <w:bCs w:val="0"/>
          <w:color w:val="000000" w:themeColor="text1"/>
          <w:spacing w:val="0"/>
          <w14:textFill>
            <w14:solidFill>
              <w14:schemeClr w14:val="tx1"/>
            </w14:solidFill>
          </w14:textFill>
        </w:rPr>
      </w:pPr>
    </w:p>
    <w:p>
      <w:pPr>
        <w:widowControl/>
        <w:jc w:val="left"/>
        <w:rPr>
          <w:rStyle w:val="33"/>
          <w:rFonts w:hint="eastAsia" w:ascii="黑体" w:hAnsi="黑体" w:eastAsia="黑体"/>
          <w:b w:val="0"/>
          <w:bCs w:val="0"/>
          <w:color w:val="000000" w:themeColor="text1"/>
          <w:spacing w:val="0"/>
          <w:highlight w:val="none"/>
          <w:lang w:val="en-US" w:eastAsia="zh-CN"/>
          <w14:textFill>
            <w14:solidFill>
              <w14:schemeClr w14:val="tx1"/>
            </w14:solidFill>
          </w14:textFill>
        </w:rPr>
      </w:pPr>
    </w:p>
    <w:p>
      <w:pPr>
        <w:rPr>
          <w:rStyle w:val="33"/>
          <w:rFonts w:hint="eastAsia" w:ascii="黑体" w:hAnsi="黑体" w:eastAsia="黑体"/>
          <w:b w:val="0"/>
          <w:bCs w:val="0"/>
          <w:color w:val="000000" w:themeColor="text1"/>
          <w:spacing w:val="0"/>
          <w:highlight w:val="none"/>
          <w:lang w:val="en-US" w:eastAsia="zh-CN"/>
          <w14:textFill>
            <w14:solidFill>
              <w14:schemeClr w14:val="tx1"/>
            </w14:solidFill>
          </w14:textFill>
        </w:rPr>
      </w:pPr>
      <w:r>
        <w:br w:type="page"/>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Style w:val="33"/>
          <w:rFonts w:hint="default" w:ascii="黑体" w:hAnsi="黑体" w:eastAsia="黑体"/>
          <w:b w:val="0"/>
          <w:bCs w:val="0"/>
          <w:color w:val="000000" w:themeColor="text1"/>
          <w:spacing w:val="0"/>
          <w:sz w:val="32"/>
          <w:szCs w:val="32"/>
          <w:highlight w:val="none"/>
          <w:lang w:val="en-US" w:eastAsia="zh-CN"/>
          <w14:textFill>
            <w14:solidFill>
              <w14:schemeClr w14:val="tx1"/>
            </w14:solidFill>
          </w14:textFill>
        </w:rPr>
      </w:pPr>
      <w:bookmarkStart w:id="95" w:name="_Toc4307"/>
      <w:r>
        <w:rPr>
          <w:rStyle w:val="33"/>
          <w:rFonts w:hint="eastAsia" w:ascii="黑体" w:hAnsi="黑体" w:eastAsia="黑体"/>
          <w:b w:val="0"/>
          <w:bCs w:val="0"/>
          <w:color w:val="000000" w:themeColor="text1"/>
          <w:spacing w:val="0"/>
          <w:sz w:val="32"/>
          <w:szCs w:val="32"/>
          <w:highlight w:val="none"/>
          <w:lang w:val="en-US" w:eastAsia="zh-CN"/>
          <w14:textFill>
            <w14:solidFill>
              <w14:schemeClr w14:val="tx1"/>
            </w14:solidFill>
          </w14:textFill>
        </w:rPr>
        <w:t>附件6</w:t>
      </w:r>
      <w:bookmarkEnd w:id="95"/>
    </w:p>
    <w:p>
      <w:pPr>
        <w:pStyle w:val="9"/>
        <w:keepNext w:val="0"/>
        <w:keepLines w:val="0"/>
        <w:pageBreakBefore w:val="0"/>
        <w:kinsoku/>
        <w:wordWrap/>
        <w:overflowPunct/>
        <w:topLinePunct w:val="0"/>
        <w:autoSpaceDE/>
        <w:autoSpaceDN/>
        <w:bidi w:val="0"/>
        <w:adjustRightInd/>
        <w:snapToGrid/>
        <w:spacing w:after="0" w:line="576" w:lineRule="exact"/>
        <w:textAlignment w:val="auto"/>
        <w:rPr>
          <w:rStyle w:val="33"/>
          <w:rFonts w:hint="eastAsia" w:ascii="黑体" w:hAnsi="黑体" w:eastAsia="黑体"/>
          <w:b w:val="0"/>
          <w:bCs w:val="0"/>
          <w:color w:val="000000" w:themeColor="text1"/>
          <w:spacing w:val="0"/>
          <w:sz w:val="32"/>
          <w:szCs w:val="32"/>
          <w:highlight w:val="none"/>
          <w:lang w:val="en-US" w:eastAsia="zh-CN"/>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after="0" w:line="576" w:lineRule="exact"/>
        <w:ind w:left="0" w:leftChars="0" w:firstLine="0" w:firstLineChars="0"/>
        <w:jc w:val="center"/>
        <w:textAlignment w:val="auto"/>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广元市昭化区财政项目（中央药品补助资金）</w:t>
      </w:r>
    </w:p>
    <w:p>
      <w:pPr>
        <w:pStyle w:val="9"/>
        <w:keepNext w:val="0"/>
        <w:keepLines w:val="0"/>
        <w:pageBreakBefore w:val="0"/>
        <w:kinsoku/>
        <w:wordWrap/>
        <w:overflowPunct/>
        <w:topLinePunct w:val="0"/>
        <w:autoSpaceDE/>
        <w:autoSpaceDN/>
        <w:bidi w:val="0"/>
        <w:adjustRightInd/>
        <w:snapToGrid/>
        <w:spacing w:after="0" w:line="576" w:lineRule="exact"/>
        <w:ind w:left="0" w:leftChars="0" w:firstLine="0" w:firstLineChars="0"/>
        <w:jc w:val="center"/>
        <w:textAlignment w:val="auto"/>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支出绩效自评表</w:t>
      </w:r>
    </w:p>
    <w:p>
      <w:pPr>
        <w:pStyle w:val="9"/>
        <w:keepNext w:val="0"/>
        <w:keepLines w:val="0"/>
        <w:pageBreakBefore w:val="0"/>
        <w:kinsoku/>
        <w:wordWrap/>
        <w:overflowPunct/>
        <w:topLinePunct w:val="0"/>
        <w:autoSpaceDE/>
        <w:autoSpaceDN/>
        <w:bidi w:val="0"/>
        <w:adjustRightInd/>
        <w:snapToGrid/>
        <w:spacing w:after="0" w:line="576" w:lineRule="exact"/>
        <w:ind w:left="0" w:leftChars="0" w:firstLine="0" w:firstLineChars="0"/>
        <w:jc w:val="center"/>
        <w:textAlignment w:val="auto"/>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 xml:space="preserve"> 年度）</w:t>
      </w:r>
    </w:p>
    <w:tbl>
      <w:tblPr>
        <w:tblStyle w:val="18"/>
        <w:tblW w:w="92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612"/>
        <w:gridCol w:w="1841"/>
        <w:gridCol w:w="909"/>
        <w:gridCol w:w="1196"/>
        <w:gridCol w:w="917"/>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中央药品补助资金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3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8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项目（政策）资金（万元）</w:t>
            </w:r>
          </w:p>
        </w:tc>
        <w:tc>
          <w:tcPr>
            <w:tcW w:w="184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1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9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28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 xml:space="preserve">  </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5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8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.在昭化辖区内全覆盖开展药械化质量安全监督检查，日常监督检查与专项整治相结合，对</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409</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家药械化经营使用单位进行全覆盖监督检查。确保药品质量安全，避免发生药品安全事件发生。</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协助上级部门开展药械化监督抽检，预计</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年抽检药品</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批次，医疗器械</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批次，化妆品</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.在昭化辖区内开展药械化监管人员及从业人员法律法规及业务知识培训工作。预计开展</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场次培训会。</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.强化宣传教育工作。全区范围内组织开展药品安全宣传月、医疗器械科普宣传周、</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爱肤日等宣传活动，通过发放宣传手册，科普小常识，禁毒知识及药械化相关法律法规等宣传资料。</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.强化药械化不良反应监测工作。全区范围内开展药械化不良反应监测工作业务培训，核实药械化不良反应报告真实性、准确性、完整性，按照百万人口上报比例完成不良反应监测工作。</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.在昭化辖区内全覆盖开展药械化质量安全监督检查，日常监督检查与专项整治相结合，对辖区内</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220</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家药械化经营使用单位进行全覆盖监督检查。确保药品质量安全，避免发生药品安全事件发生。</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.协助上级部门开展药械监督抽检，</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年抽检药品</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14</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批次，医疗器械</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批次，化妆品</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批次。</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.在昭化辖区内开展药械监管人员及从业人员法律法规及业务知识培训工作。开展</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场次培训会。</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.强化宣传教育工作。全区范围内组织开展药品安全宣传月、医疗器械科普宣传周、</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25</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爱肤日等宣传活动，通过发放宣传手册，科普小常识，禁毒知识及药械化相关法律法规等宣传资料。</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br w:type="textWrapping"/>
            </w:r>
            <w:r>
              <w:rPr>
                <w:rFonts w:hint="eastAsia" w:ascii="Times New Roman" w:hAnsi="Times New Roman" w:eastAsia="宋体" w:cs="宋体"/>
                <w:b w:val="0"/>
                <w:bCs w:val="0"/>
                <w:i w:val="0"/>
                <w:iCs w:val="0"/>
                <w:color w:val="000000" w:themeColor="text1"/>
                <w:spacing w:val="0"/>
                <w:kern w:val="0"/>
                <w:sz w:val="20"/>
                <w:szCs w:val="20"/>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.强化药械化不良反应监测工作。全区范围内开展药械化不良反应监测工作业务培训，核实药械化不良反应报告真实性、准确性、完整性，按照百万人口上报比例完成不良反应监测工作。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二级指标</w:t>
            </w:r>
          </w:p>
        </w:tc>
        <w:tc>
          <w:tcPr>
            <w:tcW w:w="9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三级指标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年度指标值</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实际完成值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产出指标</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数量指标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r>
              <w:rPr>
                <w:rStyle w:val="42"/>
                <w:rFonts w:ascii="Times New Roman" w:hAnsi="Times New Roman"/>
                <w:b w:val="0"/>
                <w:bCs w:val="0"/>
                <w:color w:val="000000" w:themeColor="text1"/>
                <w:spacing w:val="0"/>
                <w:lang w:val="en-US" w:eastAsia="zh-CN"/>
                <w14:textFill>
                  <w14:solidFill>
                    <w14:schemeClr w14:val="tx1"/>
                  </w14:solidFill>
                </w14:textFill>
              </w:rPr>
              <w:t>1</w:t>
            </w:r>
            <w:r>
              <w:rPr>
                <w:rStyle w:val="42"/>
                <w:b w:val="0"/>
                <w:bCs w:val="0"/>
                <w:color w:val="000000" w:themeColor="text1"/>
                <w:spacing w:val="0"/>
                <w:lang w:val="en-US" w:eastAsia="zh-CN"/>
                <w14:textFill>
                  <w14:solidFill>
                    <w14:schemeClr w14:val="tx1"/>
                  </w14:solidFill>
                </w14:textFill>
              </w:rPr>
              <w:t>.</w:t>
            </w:r>
            <w:r>
              <w:rPr>
                <w:rStyle w:val="43"/>
                <w:b w:val="0"/>
                <w:bCs w:val="0"/>
                <w:color w:val="000000" w:themeColor="text1"/>
                <w:spacing w:val="0"/>
                <w:lang w:val="en-US" w:eastAsia="zh-CN"/>
                <w14:textFill>
                  <w14:solidFill>
                    <w14:schemeClr w14:val="tx1"/>
                  </w14:solidFill>
                </w14:textFill>
              </w:rPr>
              <w:t>药品抽检批次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14</w:t>
            </w:r>
            <w:r>
              <w:rPr>
                <w:rStyle w:val="43"/>
                <w:b w:val="0"/>
                <w:bCs w:val="0"/>
                <w:color w:val="000000" w:themeColor="text1"/>
                <w:spacing w:val="0"/>
                <w:lang w:val="en-US" w:eastAsia="zh-CN"/>
                <w14:textFill>
                  <w14:solidFill>
                    <w14:schemeClr w14:val="tx1"/>
                  </w14:solidFill>
                </w14:textFill>
              </w:rPr>
              <w:t>批次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14</w:t>
            </w:r>
            <w:r>
              <w:rPr>
                <w:rStyle w:val="43"/>
                <w:b w:val="0"/>
                <w:bCs w:val="0"/>
                <w:color w:val="000000" w:themeColor="text1"/>
                <w:spacing w:val="0"/>
                <w:lang w:val="en-US" w:eastAsia="zh-CN"/>
                <w14:textFill>
                  <w14:solidFill>
                    <w14:schemeClr w14:val="tx1"/>
                  </w14:solidFill>
                </w14:textFill>
              </w:rPr>
              <w:t>批次</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r>
              <w:rPr>
                <w:rStyle w:val="42"/>
                <w:rFonts w:ascii="Times New Roman" w:hAnsi="Times New Roman"/>
                <w:b w:val="0"/>
                <w:bCs w:val="0"/>
                <w:color w:val="000000" w:themeColor="text1"/>
                <w:spacing w:val="0"/>
                <w:lang w:val="en-US" w:eastAsia="zh-CN"/>
                <w14:textFill>
                  <w14:solidFill>
                    <w14:schemeClr w14:val="tx1"/>
                  </w14:solidFill>
                </w14:textFill>
              </w:rPr>
              <w:t>2</w:t>
            </w:r>
            <w:r>
              <w:rPr>
                <w:rStyle w:val="43"/>
                <w:b w:val="0"/>
                <w:bCs w:val="0"/>
                <w:color w:val="000000" w:themeColor="text1"/>
                <w:spacing w:val="0"/>
                <w:lang w:val="en-US" w:eastAsia="zh-CN"/>
                <w14:textFill>
                  <w14:solidFill>
                    <w14:schemeClr w14:val="tx1"/>
                  </w14:solidFill>
                </w14:textFill>
              </w:rPr>
              <w:t>化妆品抽验批次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4</w:t>
            </w:r>
            <w:r>
              <w:rPr>
                <w:rStyle w:val="43"/>
                <w:b w:val="0"/>
                <w:bCs w:val="0"/>
                <w:color w:val="000000" w:themeColor="text1"/>
                <w:spacing w:val="0"/>
                <w:lang w:val="en-US" w:eastAsia="zh-CN"/>
                <w14:textFill>
                  <w14:solidFill>
                    <w14:schemeClr w14:val="tx1"/>
                  </w14:solidFill>
                </w14:textFill>
              </w:rPr>
              <w:t>批次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4</w:t>
            </w:r>
            <w:r>
              <w:rPr>
                <w:rStyle w:val="43"/>
                <w:b w:val="0"/>
                <w:bCs w:val="0"/>
                <w:color w:val="000000" w:themeColor="text1"/>
                <w:spacing w:val="0"/>
                <w:lang w:val="en-US" w:eastAsia="zh-CN"/>
                <w14:textFill>
                  <w14:solidFill>
                    <w14:schemeClr w14:val="tx1"/>
                  </w14:solidFill>
                </w14:textFill>
              </w:rPr>
              <w:t>批次</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r>
              <w:rPr>
                <w:rStyle w:val="42"/>
                <w:rFonts w:ascii="Times New Roman" w:hAnsi="Times New Roman"/>
                <w:b w:val="0"/>
                <w:bCs w:val="0"/>
                <w:color w:val="000000" w:themeColor="text1"/>
                <w:spacing w:val="0"/>
                <w:lang w:val="en-US" w:eastAsia="zh-CN"/>
                <w14:textFill>
                  <w14:solidFill>
                    <w14:schemeClr w14:val="tx1"/>
                  </w14:solidFill>
                </w14:textFill>
              </w:rPr>
              <w:t>3</w:t>
            </w:r>
            <w:r>
              <w:rPr>
                <w:rStyle w:val="42"/>
                <w:b w:val="0"/>
                <w:bCs w:val="0"/>
                <w:color w:val="000000" w:themeColor="text1"/>
                <w:spacing w:val="0"/>
                <w:lang w:val="en-US" w:eastAsia="zh-CN"/>
                <w14:textFill>
                  <w14:solidFill>
                    <w14:schemeClr w14:val="tx1"/>
                  </w14:solidFill>
                </w14:textFill>
              </w:rPr>
              <w:t>.</w:t>
            </w:r>
            <w:r>
              <w:rPr>
                <w:rStyle w:val="43"/>
                <w:b w:val="0"/>
                <w:bCs w:val="0"/>
                <w:color w:val="000000" w:themeColor="text1"/>
                <w:spacing w:val="0"/>
                <w:lang w:val="en-US" w:eastAsia="zh-CN"/>
                <w14:textFill>
                  <w14:solidFill>
                    <w14:schemeClr w14:val="tx1"/>
                  </w14:solidFill>
                </w14:textFill>
              </w:rPr>
              <w:t>医疗器械抽验批次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w:t>
            </w:r>
            <w:r>
              <w:rPr>
                <w:rStyle w:val="43"/>
                <w:b w:val="0"/>
                <w:bCs w:val="0"/>
                <w:color w:val="000000" w:themeColor="text1"/>
                <w:spacing w:val="0"/>
                <w:lang w:val="en-US" w:eastAsia="zh-CN"/>
                <w14:textFill>
                  <w14:solidFill>
                    <w14:schemeClr w14:val="tx1"/>
                  </w14:solidFill>
                </w14:textFill>
              </w:rPr>
              <w:t>批次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w:t>
            </w:r>
            <w:r>
              <w:rPr>
                <w:rStyle w:val="43"/>
                <w:b w:val="0"/>
                <w:bCs w:val="0"/>
                <w:color w:val="000000" w:themeColor="text1"/>
                <w:spacing w:val="0"/>
                <w:lang w:val="en-US" w:eastAsia="zh-CN"/>
                <w14:textFill>
                  <w14:solidFill>
                    <w14:schemeClr w14:val="tx1"/>
                  </w14:solidFill>
                </w14:textFill>
              </w:rPr>
              <w:t>批次</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r>
              <w:rPr>
                <w:rStyle w:val="42"/>
                <w:rFonts w:ascii="Times New Roman" w:hAnsi="Times New Roman"/>
                <w:b w:val="0"/>
                <w:bCs w:val="0"/>
                <w:color w:val="000000" w:themeColor="text1"/>
                <w:spacing w:val="0"/>
                <w:lang w:val="en-US" w:eastAsia="zh-CN"/>
                <w14:textFill>
                  <w14:solidFill>
                    <w14:schemeClr w14:val="tx1"/>
                  </w14:solidFill>
                </w14:textFill>
              </w:rPr>
              <w:t>4</w:t>
            </w:r>
            <w:r>
              <w:rPr>
                <w:rStyle w:val="42"/>
                <w:b w:val="0"/>
                <w:bCs w:val="0"/>
                <w:color w:val="000000" w:themeColor="text1"/>
                <w:spacing w:val="0"/>
                <w:lang w:val="en-US" w:eastAsia="zh-CN"/>
                <w14:textFill>
                  <w14:solidFill>
                    <w14:schemeClr w14:val="tx1"/>
                  </w14:solidFill>
                </w14:textFill>
              </w:rPr>
              <w:t>.</w:t>
            </w:r>
            <w:r>
              <w:rPr>
                <w:rStyle w:val="43"/>
                <w:b w:val="0"/>
                <w:bCs w:val="0"/>
                <w:color w:val="000000" w:themeColor="text1"/>
                <w:spacing w:val="0"/>
                <w:lang w:val="en-US" w:eastAsia="zh-CN"/>
                <w14:textFill>
                  <w14:solidFill>
                    <w14:schemeClr w14:val="tx1"/>
                  </w14:solidFill>
                </w14:textFill>
              </w:rPr>
              <w:t>药品监管企业数</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74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74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r>
              <w:rPr>
                <w:rStyle w:val="42"/>
                <w:rFonts w:ascii="Times New Roman" w:hAnsi="Times New Roman"/>
                <w:b w:val="0"/>
                <w:bCs w:val="0"/>
                <w:color w:val="000000" w:themeColor="text1"/>
                <w:spacing w:val="0"/>
                <w:lang w:val="en-US" w:eastAsia="zh-CN"/>
                <w14:textFill>
                  <w14:solidFill>
                    <w14:schemeClr w14:val="tx1"/>
                  </w14:solidFill>
                </w14:textFill>
              </w:rPr>
              <w:t>5</w:t>
            </w:r>
            <w:r>
              <w:rPr>
                <w:rStyle w:val="42"/>
                <w:b w:val="0"/>
                <w:bCs w:val="0"/>
                <w:color w:val="000000" w:themeColor="text1"/>
                <w:spacing w:val="0"/>
                <w:lang w:val="en-US" w:eastAsia="zh-CN"/>
                <w14:textFill>
                  <w14:solidFill>
                    <w14:schemeClr w14:val="tx1"/>
                  </w14:solidFill>
                </w14:textFill>
              </w:rPr>
              <w:t>.</w:t>
            </w:r>
            <w:r>
              <w:rPr>
                <w:rStyle w:val="43"/>
                <w:b w:val="0"/>
                <w:bCs w:val="0"/>
                <w:color w:val="000000" w:themeColor="text1"/>
                <w:spacing w:val="0"/>
                <w:lang w:val="en-US" w:eastAsia="zh-CN"/>
                <w14:textFill>
                  <w14:solidFill>
                    <w14:schemeClr w14:val="tx1"/>
                  </w14:solidFill>
                </w14:textFill>
              </w:rPr>
              <w:t>化妆品监管企业数</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72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72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r>
              <w:rPr>
                <w:rStyle w:val="42"/>
                <w:rFonts w:ascii="Times New Roman" w:hAnsi="Times New Roman"/>
                <w:b w:val="0"/>
                <w:bCs w:val="0"/>
                <w:color w:val="000000" w:themeColor="text1"/>
                <w:spacing w:val="0"/>
                <w:lang w:val="en-US" w:eastAsia="zh-CN"/>
                <w14:textFill>
                  <w14:solidFill>
                    <w14:schemeClr w14:val="tx1"/>
                  </w14:solidFill>
                </w14:textFill>
              </w:rPr>
              <w:t>6</w:t>
            </w:r>
            <w:r>
              <w:rPr>
                <w:rStyle w:val="42"/>
                <w:b w:val="0"/>
                <w:bCs w:val="0"/>
                <w:color w:val="000000" w:themeColor="text1"/>
                <w:spacing w:val="0"/>
                <w:lang w:val="en-US" w:eastAsia="zh-CN"/>
                <w14:textFill>
                  <w14:solidFill>
                    <w14:schemeClr w14:val="tx1"/>
                  </w14:solidFill>
                </w14:textFill>
              </w:rPr>
              <w:t>.</w:t>
            </w:r>
            <w:r>
              <w:rPr>
                <w:rStyle w:val="43"/>
                <w:b w:val="0"/>
                <w:bCs w:val="0"/>
                <w:color w:val="000000" w:themeColor="text1"/>
                <w:spacing w:val="0"/>
                <w:lang w:val="en-US" w:eastAsia="zh-CN"/>
                <w14:textFill>
                  <w14:solidFill>
                    <w14:schemeClr w14:val="tx1"/>
                  </w14:solidFill>
                </w14:textFill>
              </w:rPr>
              <w:t>医疗器械监管企业数</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74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74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r>
              <w:rPr>
                <w:rStyle w:val="42"/>
                <w:rFonts w:ascii="Times New Roman" w:hAnsi="Times New Roman"/>
                <w:b w:val="0"/>
                <w:bCs w:val="0"/>
                <w:color w:val="000000" w:themeColor="text1"/>
                <w:spacing w:val="0"/>
                <w:lang w:val="en-US" w:eastAsia="zh-CN"/>
                <w14:textFill>
                  <w14:solidFill>
                    <w14:schemeClr w14:val="tx1"/>
                  </w14:solidFill>
                </w14:textFill>
              </w:rPr>
              <w:t>7</w:t>
            </w:r>
            <w:r>
              <w:rPr>
                <w:rStyle w:val="42"/>
                <w:b w:val="0"/>
                <w:bCs w:val="0"/>
                <w:color w:val="000000" w:themeColor="text1"/>
                <w:spacing w:val="0"/>
                <w:lang w:val="en-US" w:eastAsia="zh-CN"/>
                <w14:textFill>
                  <w14:solidFill>
                    <w14:schemeClr w14:val="tx1"/>
                  </w14:solidFill>
                </w14:textFill>
              </w:rPr>
              <w:t>.</w:t>
            </w:r>
            <w:r>
              <w:rPr>
                <w:rStyle w:val="43"/>
                <w:b w:val="0"/>
                <w:bCs w:val="0"/>
                <w:color w:val="000000" w:themeColor="text1"/>
                <w:spacing w:val="0"/>
                <w:lang w:val="en-US" w:eastAsia="zh-CN"/>
                <w14:textFill>
                  <w14:solidFill>
                    <w14:schemeClr w14:val="tx1"/>
                  </w14:solidFill>
                </w14:textFill>
              </w:rPr>
              <w:t>药品监管人员人均培训学时</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质量指标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各项工作完成及时率</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时效指标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完成工作时限</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年</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年</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成本指标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药品监管所需费用</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18</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万元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18</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万元</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社会效益</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“两品一械”总体安全水平</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不断提升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不断提升</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满意度</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服务对象满意度指标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社会公众对药品安全满意度</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6"/>
                <w:szCs w:val="16"/>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6"/>
                <w:szCs w:val="16"/>
                <w:u w:val="none"/>
                <w:lang w:val="en-US" w:eastAsia="zh-CN"/>
                <w14:textFill>
                  <w14:solidFill>
                    <w14:schemeClr w14:val="tx1"/>
                  </w14:solidFill>
                </w14:textFill>
              </w:rPr>
              <w:t>%</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themeColor="text1"/>
                <w:spacing w:val="0"/>
                <w:sz w:val="16"/>
                <w:szCs w:val="16"/>
                <w:u w:val="none"/>
                <w14:textFill>
                  <w14:solidFill>
                    <w14:schemeClr w14:val="tx1"/>
                  </w14:solidFill>
                </w14:textFill>
              </w:rPr>
            </w:pPr>
          </w:p>
        </w:tc>
      </w:tr>
    </w:tbl>
    <w:p>
      <w:pPr>
        <w:pStyle w:val="31"/>
        <w:rPr>
          <w:b w:val="0"/>
          <w:bCs w:val="0"/>
          <w:color w:val="000000" w:themeColor="text1"/>
          <w:spacing w:val="0"/>
          <w14:textFill>
            <w14:solidFill>
              <w14:schemeClr w14:val="tx1"/>
            </w14:solidFill>
          </w14:textFill>
        </w:rPr>
      </w:pPr>
    </w:p>
    <w:p>
      <w:pPr>
        <w:pStyle w:val="6"/>
        <w:rPr>
          <w:b w:val="0"/>
          <w:bCs w:val="0"/>
          <w:color w:val="000000" w:themeColor="text1"/>
          <w:spacing w:val="0"/>
          <w14:textFill>
            <w14:solidFill>
              <w14:schemeClr w14:val="tx1"/>
            </w14:solidFill>
          </w14:textFill>
        </w:rPr>
      </w:pPr>
    </w:p>
    <w:p>
      <w:pPr>
        <w:widowControl/>
        <w:jc w:val="left"/>
        <w:rPr>
          <w:rFonts w:ascii="仿宋" w:hAnsi="仿宋" w:eastAsia="仿宋_GB2312"/>
          <w:b w:val="0"/>
          <w:bCs w:val="0"/>
          <w:color w:val="000000" w:themeColor="text1"/>
          <w:spacing w:val="0"/>
          <w:kern w:val="0"/>
          <w:sz w:val="32"/>
          <w:szCs w:val="32"/>
          <w:highlight w:val="none"/>
          <w14:textFill>
            <w14:solidFill>
              <w14:schemeClr w14:val="tx1"/>
            </w14:solidFill>
          </w14:textFill>
        </w:rPr>
      </w:pPr>
    </w:p>
    <w:p>
      <w:pPr>
        <w:widowControl/>
        <w:jc w:val="left"/>
        <w:rPr>
          <w:rStyle w:val="33"/>
          <w:rFonts w:ascii="黑体" w:hAnsi="黑体" w:eastAsia="黑体"/>
          <w:b w:val="0"/>
          <w:bCs w:val="0"/>
          <w:color w:val="000000" w:themeColor="text1"/>
          <w:spacing w:val="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eastAsia="方正小标宋简体"/>
          <w:b w:val="0"/>
          <w:bCs w:val="0"/>
          <w:color w:val="000000" w:themeColor="text1"/>
          <w:spacing w:val="0"/>
          <w:sz w:val="44"/>
          <w:szCs w:val="44"/>
          <w14:textFill>
            <w14:solidFill>
              <w14:schemeClr w14:val="tx1"/>
            </w14:solidFill>
          </w14:textFill>
        </w:rPr>
      </w:pPr>
    </w:p>
    <w:p>
      <w:pPr>
        <w:rPr>
          <w:rFonts w:eastAsia="方正小标宋简体"/>
          <w:b w:val="0"/>
          <w:bCs w:val="0"/>
          <w:color w:val="000000" w:themeColor="text1"/>
          <w:spacing w:val="0"/>
          <w:sz w:val="44"/>
          <w:szCs w:val="44"/>
          <w14:textFill>
            <w14:solidFill>
              <w14:schemeClr w14:val="tx1"/>
            </w14:solidFill>
          </w14:textFill>
        </w:rPr>
      </w:pPr>
      <w: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default" w:eastAsia="方正小标宋简体"/>
          <w:b w:val="0"/>
          <w:bCs w:val="0"/>
          <w:color w:val="000000" w:themeColor="text1"/>
          <w:spacing w:val="0"/>
          <w:sz w:val="44"/>
          <w:szCs w:val="44"/>
          <w:lang w:val="en-US" w:eastAsia="zh-CN"/>
          <w14:textFill>
            <w14:solidFill>
              <w14:schemeClr w14:val="tx1"/>
            </w14:solidFill>
          </w14:textFill>
        </w:rPr>
      </w:pPr>
      <w:r>
        <w:rPr>
          <w:rFonts w:hint="eastAsia" w:eastAsia="方正小标宋简体"/>
          <w:b w:val="0"/>
          <w:bCs w:val="0"/>
          <w:color w:val="000000" w:themeColor="text1"/>
          <w:spacing w:val="0"/>
          <w:sz w:val="44"/>
          <w:szCs w:val="44"/>
          <w:lang w:val="en-US" w:eastAsia="zh-CN"/>
          <w14:textFill>
            <w14:solidFill>
              <w14:schemeClr w14:val="tx1"/>
            </w14:solidFill>
          </w14:textFill>
        </w:rPr>
        <w:t>附件7</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eastAsia="方正小标宋简体"/>
          <w:b w:val="0"/>
          <w:bCs w:val="0"/>
          <w:color w:val="000000" w:themeColor="text1"/>
          <w:spacing w:val="0"/>
          <w:sz w:val="44"/>
          <w:szCs w:val="44"/>
          <w:lang w:val="en-US" w:eastAsia="zh-CN"/>
          <w14:textFill>
            <w14:solidFill>
              <w14:schemeClr w14:val="tx1"/>
            </w14:solidFill>
          </w14:textFill>
        </w:rPr>
      </w:pPr>
      <w:r>
        <w:rPr>
          <w:rFonts w:eastAsia="方正小标宋简体"/>
          <w:b w:val="0"/>
          <w:bCs w:val="0"/>
          <w:color w:val="000000" w:themeColor="text1"/>
          <w:spacing w:val="0"/>
          <w:sz w:val="44"/>
          <w:szCs w:val="44"/>
          <w14:textFill>
            <w14:solidFill>
              <w14:schemeClr w14:val="tx1"/>
            </w14:solidFill>
          </w14:textFill>
        </w:rPr>
        <w:t>广元市昭化区</w:t>
      </w:r>
      <w:r>
        <w:rPr>
          <w:rFonts w:hint="eastAsia" w:eastAsia="方正小标宋简体"/>
          <w:b w:val="0"/>
          <w:bCs w:val="0"/>
          <w:color w:val="000000" w:themeColor="text1"/>
          <w:spacing w:val="0"/>
          <w:sz w:val="44"/>
          <w:szCs w:val="44"/>
          <w:lang w:val="en-US" w:eastAsia="zh-CN"/>
          <w14:textFill>
            <w14:solidFill>
              <w14:schemeClr w14:val="tx1"/>
            </w14:solidFill>
          </w14:textFill>
        </w:rPr>
        <w:t>市场监督管理局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ascii="Times New Roman" w:hAnsi="Times New Roman" w:eastAsia="方正小标宋简体"/>
          <w:b w:val="0"/>
          <w:bCs w:val="0"/>
          <w:color w:val="000000" w:themeColor="text1"/>
          <w:spacing w:val="0"/>
          <w:sz w:val="44"/>
          <w:szCs w:val="44"/>
          <w14:textFill>
            <w14:solidFill>
              <w14:schemeClr w14:val="tx1"/>
            </w14:solidFill>
          </w14:textFill>
        </w:rPr>
      </w:pPr>
      <w:r>
        <w:rPr>
          <w:rFonts w:hint="eastAsia" w:ascii="Times New Roman" w:hAnsi="Times New Roman" w:eastAsia="方正小标宋简体"/>
          <w:b w:val="0"/>
          <w:bCs w:val="0"/>
          <w:color w:val="000000" w:themeColor="text1"/>
          <w:spacing w:val="0"/>
          <w:sz w:val="44"/>
          <w:szCs w:val="44"/>
          <w14:textFill>
            <w14:solidFill>
              <w14:schemeClr w14:val="tx1"/>
            </w14:solidFill>
          </w14:textFill>
        </w:rPr>
        <w:t>关于</w:t>
      </w:r>
      <w:r>
        <w:rPr>
          <w:rFonts w:hint="eastAsia" w:ascii="Times New Roman" w:hAnsi="Times New Roman" w:eastAsia="方正小标宋简体"/>
          <w:b w:val="0"/>
          <w:bCs w:val="0"/>
          <w:color w:val="000000" w:themeColor="text1"/>
          <w:spacing w:val="0"/>
          <w:sz w:val="44"/>
          <w:szCs w:val="44"/>
          <w:lang w:val="en-US" w:eastAsia="zh-CN"/>
          <w14:textFill>
            <w14:solidFill>
              <w14:schemeClr w14:val="tx1"/>
            </w14:solidFill>
          </w14:textFill>
        </w:rPr>
        <w:t>2022</w:t>
      </w:r>
      <w:r>
        <w:rPr>
          <w:rFonts w:hint="eastAsia" w:eastAsia="方正小标宋简体"/>
          <w:b w:val="0"/>
          <w:bCs w:val="0"/>
          <w:color w:val="000000" w:themeColor="text1"/>
          <w:spacing w:val="0"/>
          <w:sz w:val="44"/>
          <w:szCs w:val="44"/>
          <w:lang w:val="en-US" w:eastAsia="zh-CN"/>
          <w14:textFill>
            <w14:solidFill>
              <w14:schemeClr w14:val="tx1"/>
            </w14:solidFill>
          </w14:textFill>
        </w:rPr>
        <w:t>年快检车运行、特种设备监管经费</w:t>
      </w:r>
      <w:r>
        <w:rPr>
          <w:rFonts w:hint="eastAsia" w:eastAsia="方正小标宋简体"/>
          <w:b w:val="0"/>
          <w:bCs w:val="0"/>
          <w:color w:val="000000" w:themeColor="text1"/>
          <w:spacing w:val="0"/>
          <w:sz w:val="44"/>
          <w:szCs w:val="44"/>
          <w:lang w:eastAsia="zh-CN"/>
          <w14:textFill>
            <w14:solidFill>
              <w14:schemeClr w14:val="tx1"/>
            </w14:solidFill>
          </w14:textFill>
        </w:rPr>
        <w:t>等</w:t>
      </w:r>
      <w:r>
        <w:rPr>
          <w:rFonts w:hint="eastAsia" w:ascii="Times New Roman" w:hAnsi="Times New Roman" w:eastAsia="方正小标宋简体"/>
          <w:b w:val="0"/>
          <w:bCs w:val="0"/>
          <w:color w:val="000000" w:themeColor="text1"/>
          <w:spacing w:val="0"/>
          <w:sz w:val="44"/>
          <w:szCs w:val="44"/>
          <w:lang w:val="en-US" w:eastAsia="zh-CN"/>
          <w14:textFill>
            <w14:solidFill>
              <w14:schemeClr w14:val="tx1"/>
            </w14:solidFill>
          </w14:textFill>
        </w:rPr>
        <w:t>12</w:t>
      </w:r>
      <w:r>
        <w:rPr>
          <w:rFonts w:hint="eastAsia" w:eastAsia="方正小标宋简体"/>
          <w:b w:val="0"/>
          <w:bCs w:val="0"/>
          <w:color w:val="000000" w:themeColor="text1"/>
          <w:spacing w:val="0"/>
          <w:sz w:val="44"/>
          <w:szCs w:val="44"/>
          <w:lang w:val="en-US" w:eastAsia="zh-CN"/>
          <w14:textFill>
            <w14:solidFill>
              <w14:schemeClr w14:val="tx1"/>
            </w14:solidFill>
          </w14:textFill>
        </w:rPr>
        <w:t>个</w:t>
      </w:r>
      <w:r>
        <w:rPr>
          <w:rFonts w:hint="eastAsia" w:ascii="Times New Roman" w:hAnsi="Times New Roman" w:eastAsia="方正小标宋简体"/>
          <w:b w:val="0"/>
          <w:bCs w:val="0"/>
          <w:color w:val="000000" w:themeColor="text1"/>
          <w:spacing w:val="0"/>
          <w:sz w:val="44"/>
          <w:szCs w:val="44"/>
          <w14:textFill>
            <w14:solidFill>
              <w14:schemeClr w14:val="tx1"/>
            </w14:solidFill>
          </w14:textFill>
        </w:rPr>
        <w:t>项目支出绩效</w:t>
      </w:r>
      <w:r>
        <w:rPr>
          <w:rFonts w:hint="eastAsia" w:ascii="Times New Roman" w:hAnsi="Times New Roman" w:eastAsia="方正小标宋简体"/>
          <w:b w:val="0"/>
          <w:bCs w:val="0"/>
          <w:color w:val="000000" w:themeColor="text1"/>
          <w:spacing w:val="0"/>
          <w:sz w:val="44"/>
          <w:szCs w:val="44"/>
          <w:lang w:eastAsia="zh-CN"/>
          <w14:textFill>
            <w14:solidFill>
              <w14:schemeClr w14:val="tx1"/>
            </w14:solidFill>
          </w14:textFill>
        </w:rPr>
        <w:t>自</w:t>
      </w:r>
      <w:r>
        <w:rPr>
          <w:rFonts w:hint="eastAsia" w:ascii="Times New Roman" w:hAnsi="Times New Roman" w:eastAsia="方正小标宋简体"/>
          <w:b w:val="0"/>
          <w:bCs w:val="0"/>
          <w:color w:val="000000" w:themeColor="text1"/>
          <w:spacing w:val="0"/>
          <w:sz w:val="44"/>
          <w:szCs w:val="44"/>
          <w14:textFill>
            <w14:solidFill>
              <w14:schemeClr w14:val="tx1"/>
            </w14:solidFill>
          </w14:textFill>
        </w:rPr>
        <w:t>评报告</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b w:val="0"/>
          <w:bCs w:val="0"/>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为进一步推进预算绩效评价管理工作，提高财政资金使用效益，我单位按照《广元市昭化区财政支出事后绩效评价管理办法》</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昭府办函〔2022〕37号</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以及《广元市昭化区财政局关于开展2023年部门、政策和项目支出绩效评价工作有通知》（</w:t>
      </w:r>
      <w:r>
        <w:rPr>
          <w:rFonts w:hint="eastAsia" w:eastAsia="仿宋_GB2312" w:cs="Times New Roman"/>
          <w:b w:val="0"/>
          <w:bCs w:val="0"/>
          <w:color w:val="000000" w:themeColor="text1"/>
          <w:spacing w:val="0"/>
          <w:sz w:val="32"/>
          <w:szCs w:val="32"/>
          <w:lang w:eastAsia="zh-CN"/>
          <w14:textFill>
            <w14:solidFill>
              <w14:schemeClr w14:val="tx1"/>
            </w14:solidFill>
          </w14:textFill>
        </w:rPr>
        <w:t>昭</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财发〔2023〕12号）文件要求，开展了财政项目支出绩效自评，现将具体情况报告如下：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区市场监督管理局</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共有财政项目12个，均为非基建项目，年初申报预算139万元，区财政局批复预算139万元。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2022年临聘人员工资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2022年初本单位申请临聘人员工资预算28万元，区财政局批复预算28万元，为一般公共预算收入。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2022年快检车运行经费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2022年初本单位申请快检车运行经费预算5万元，区财政局批复预算5万元，为一般公共预算收入。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3</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特种设备监管经费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2022年初本单位申请特种设备监管经费预算15万元，区财政局批复预算15万元，为一般公共预算收入。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4.信息平台维护及光纤专线租金</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2022年初本单位申请信息平台维护及光纤专线租金预算6万元，区财政局批复预算6万元，为一般公共预算收入。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5.工商管理经费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2022年初本单位申请工商管理经费预算20万元，区财政局批复预算20万元，为一般公共预算收入。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6.营商环境提升</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2022年初本单位申请营商环境提升预算12万元，区财政局批复预算12万元，为一般公共预算收入。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7.食品药品医疗器械及保健化妆品监管经费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2022年初本单位申请食品药品医疗器械及保健化妆品监管经费预算15万元，区财政局批复预算15万元，为一般公共预算收入。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8.食品药品、食用农产品、流通领域检验检测经费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2022年初本单位申请食品药品、食用农产品、流通领域检验检测经费预算20万元，区财政局批复预算20万元，为一般公共预算收入。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9.食品药品投诉举报奖励基金</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2022年初本单位申请食品药品投诉举报奖励基金预算1万元，区财政局批复预算1万元，为一般公共预算收入。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10.食安委工作经费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2022年初本单位申请食安委工作经费预算10万元，区财政局批复预算10万元，为一般公共预算收入。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11.向上争取资金工作经费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2022年初本单位申请向上争取资金工作经费预算2万元，区财政局批复预算2万元，为一般公共预算收入。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12.招商引资工作经费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2022年初本单位申请招商引资工作经费预算5万元，区财政局批复预算5万元，为一般公共预算收入。</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（二）项目绩效目标</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1.2022年临聘人员工资</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绩效目标：做好8个临聘人工资、社会保障缴费按月及时兑付，协助开展农村食品药品市场监管，维护农村市场食品药品秩序，保障人民群众食品药品安全，使服务群众满意度达到90%。</w:t>
      </w:r>
    </w:p>
    <w:p>
      <w:pPr>
        <w:pStyle w:val="1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2.2022年快检车运行经费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绩效目标：全年保障重点品种、重点环节、重要时间段展开各类食品安全专项整治24次、提供食品药品快速检测20次，切实保障食品药品市场安全项目实施进度计划：按月推进，年度全面完成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3.特种设备监管经费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绩效目标：全年培训特种设备操作人员继续教育360人次，全区特种设备抽检</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率</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达90%以上。维护特种设备使用安全，保护人民生命财产安全。项目实施进度计划：按月推进，年度全面完成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4.信息平台维护及光纤专线租金</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在资源整合和网络监管等方面，统一标准，共管共治，共同维护信息安全和网络安全，按照上级主管部门要求，租赁专网1个。全力保障全局专网安全，通畅高效运转。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5.工商管理经费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绩效目标：全年完成各专项整治10次，查办各类违法案件45件，完成市场主体年报6000户。不断规范市场行为，为广大人民群众营造安全放心的消费环境。项目实施进度计划：按月推进，年度全面完成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6.营商环境提升</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绩效目标：全年为500个新开办企业提供零费用注册、零费用刻制印章。打造昭化最优营商环境。项目实施进度计划：按月推进，年度全面完成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7.食品药品医疗器械及保健化妆品监管经费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绩效目标：1、维护校园食品安全，检查学校、幼儿园食堂362家次、以及周边食品餐饮单位285家，2、加强重点品种、重点区域的食品专项整治13次，监督检查食品流通单位1553家次，餐饮服务单位872家次，3、强化</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优</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化管理，以日常检查为主，结合飞行检查、GSP跟踪检查，重点开展专项整治行动11次，药械经营使用单位517家，组织监管人员、区级医疗机构、</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各</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乡镇卫生院、诊所、民营医疗机构开展集中培训5次，重点对&lt;&lt;中华人民共和国疫苗管理法&gt;&gt;《中华人民共和国药品管理法》进行宣贯、培训。项目实施进度计划：按月推进，年度全面完成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8.食品药品、食用农产品、流通领域检验检测经费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绩效目标：围绕重点品种、重点环节、重要时间段展开各类食品安全专项整治、食品及餐饮具70个批次、开展食用农产品抽检273批次，确保广大公众吃</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得</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放心，过</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得</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舒心。项目实施进度计划：按月推进，年度全面完成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9.食品药品投诉举报奖励基金</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绩效目标：加强消费者权益保护，严格落实12315及12345热线处理24小时值班值守制度，及时查办投诉举报案件，确保重大案件投诉举报人奖励金及时到位。项目实施进度计划：按月推进，年度全面完成</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食安委工作经费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切实履行食品安全委员会工作职责，联合食品安全委员会成员单位开展食品生产、流通、餐饮等领域监管，开展专项整治8次，开展食品安全宣传10次、创建餐饮食品安全示范街3个，食品安全信息发布4次，达到食品安全专项整治全覆盖，营造良好的食品安全氛围。</w:t>
      </w:r>
    </w:p>
    <w:p>
      <w:pPr>
        <w:pStyle w:val="17"/>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11.向上争取资金工作经费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绩效目标：结合部门工作职责，按照相关政策，完成区委区政府下达的55万元任务，为食品安全监管提供更多的资金保障。项目实施进度计划：按月推进，年度全面完成</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12.招商引资工作经费</w:t>
      </w:r>
    </w:p>
    <w:p>
      <w:pPr>
        <w:pStyle w:val="1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绩效目标：为实现经济转型和产业发展，助推昭化区经济发展，围绕“十三五”发展目标，树立“大招商、招大商、招好商”的理念，全力做好项目引进落地服务工作，全年完成招商引资项目2个，开展各类主</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题</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活动2场次，完成招商引资投资任务2700万元。使全区招商引资实现新提升、新突破、新发展。项目实施进度计划：按月推进，年度全面完成。</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项目资金申报相符性</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资金申报完全按照项目实施内容及年度计划方案实施，资金申报合理，操作性强，可行性高。我局结合资金性质及用途，有预见性、前瞻性地开展工作，对项目实施未产生任何影响。</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（四）自评步骤及方法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按照区财政局的安排部署，我局成立自评小组，采用比较法展开了单位自评，首先对年初下达的预算批复和年初项目绩效进行了全面梳理，分类清理了各项目一年来绩效目标完成情况、资金使用情况、项目达到的效果等。然后逐一对各项目完成情况开展自评，最后通过召开专题会议的形</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式</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对各项目绩效情况进行分析总结。</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二、项目实施及管理情况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（一）资金计划、到位及使用情况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2022年市场监督管理局的各项资金按照本单位的预算，区财政局予以及时批复，我局严格按照各类项目资金使用要求支出，落实专款专用，无任何违规使用的情况。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1.2022年临聘人员工资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年初预算28万元，区财政局及时批复预算28万元，2022年本单位按照工作进度予以支付，全年使用</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28</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2.2022年快检车运行经费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万元，区财政局及时批复预算5万元，2022年本单位按照工作进度予以支付，全年使用5万元，执行率100%。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3.特种设备监管经费年初预算15万元，区财政局及时批复预算15万元，2022年本单位按照工作进度予以支付，全年使用</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4.信息平台维护及光纤专线租金年初预算6万元，区财政局及时批复预算6万元，2022年本单位按照工作进度予以支付，全年使用6万元，执行率100%。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5.工商管理经费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年初预算20万元，区财政局及时批复预算20万元，2022年本单位按照工作进度予以支付全年使用20万元，执行率100%。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6.营商环境提升</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年初预算12万元，区财政局及时批复预算12万元，2022年本单位按照工作进度予以支付，全年使用12万元，执行率100%。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7.食品药品医疗器械及保健化妆品监管经费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年初预算15万元，区财政局及时批复预算15万元，2022年本单位按照工作进度予以支付，全年使用15万元，执行率100%。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8.食品药品、食用农产品、流通领域检验检测经费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年初预算20万元，区财政局及时批复预算20万元，2022年本单位按照工作进度予以支付，全年使用20万元，执行率100%。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9.食品药品投诉举报奖励基金</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年初预算1万元，区财政局及时批复预算1万元，2022年本单位按照工作进度予以支付，全年使用1万元，执行率100%。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10.食安委工作经费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年初预算10万元，区财政局及时批复预算10万元，2022年本单位按照工作进度予以支付，全年使用10万元，执行率100%。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11.向上争取资金工作经费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万元，区财政局及时批复预算2万元，2022年本单位按照工作进度予以支付，全年使用2万元，执行率100%。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12.招商引资工作经费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年初预算5万元，区财政局及时批复预算5万元，2022年本单位按照工作进度予以支付，全年使用5万元，执行率100%。</w:t>
      </w:r>
    </w:p>
    <w:p>
      <w:pPr>
        <w:pStyle w:val="17"/>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项目财务管理情况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为达到项目资金的最大使用效果，我局按照“统筹兼顾、突出重点、促进发展、专款专用、注重绩效”的原则，制定了专项资金使用实施方案、项目资金管理办法及内控管理制度等，规范了项目资金的核算及账务处理相关内容，进一步强化监督管理，严格按照各项管理办法、制度执行，充分发挥了资金使用效益。</w:t>
      </w:r>
    </w:p>
    <w:p>
      <w:pPr>
        <w:pStyle w:val="17"/>
        <w:keepNext w:val="0"/>
        <w:keepLines w:val="0"/>
        <w:pageBreakBefore w:val="0"/>
        <w:widowControl w:val="0"/>
        <w:numPr>
          <w:ilvl w:val="0"/>
          <w:numId w:val="11"/>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项目组织实施情况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我局高度重视，成立了以</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局长罗武林</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任组长，相关业务人员为成员的领导小组，将责任落实到人头，制定了切实可行的工作实施方案，为专项资金的使用提供了坚强的组织保障。项目资金的使用严格按照程序化、制度化、公开化、透明化实施。12个项目全部完成各项绩效目标，达到了项目预期的各项指标和效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三、项目绩效情况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2022年度，区市场监督管理局12个项目均做到了资金与项目方案相符，严格按照方案要求进行实施，加强了资金管理，做到了专款专用，确保了资金的安全，提高了资金使用效率。各项目绩效目标完成情况详见附件（项目支出绩效自评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rPr>
          <w:rFonts w:hint="default" w:ascii="黑体" w:hAnsi="黑体" w:eastAsia="黑体" w:cs="黑体"/>
          <w:b w:val="0"/>
          <w:bCs w:val="0"/>
          <w:color w:val="000000" w:themeColor="text1"/>
          <w:spacing w:val="0"/>
          <w:sz w:val="32"/>
          <w:szCs w:val="32"/>
          <w14:textFill>
            <w14:solidFill>
              <w14:schemeClr w14:val="tx1"/>
            </w14:solidFill>
          </w14:textFill>
        </w:rPr>
      </w:pPr>
      <w:r>
        <w:rPr>
          <w:rFonts w:hint="default" w:ascii="黑体" w:hAnsi="黑体" w:eastAsia="黑体" w:cs="黑体"/>
          <w:b w:val="0"/>
          <w:bCs w:val="0"/>
          <w:color w:val="000000" w:themeColor="text1"/>
          <w:spacing w:val="0"/>
          <w:sz w:val="32"/>
          <w:szCs w:val="32"/>
          <w14:textFill>
            <w14:solidFill>
              <w14:schemeClr w14:val="tx1"/>
            </w14:solidFill>
          </w14:textFill>
        </w:rPr>
        <w:t>四、主要问题及建议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（一）存在的问题</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一是本单位项目除上级</w:t>
      </w:r>
      <w:r>
        <w:rPr>
          <w:rFonts w:hint="eastAsia" w:ascii="Times New Roman" w:cs="Times New Roman"/>
          <w:b w:val="0"/>
          <w:bCs w:val="0"/>
          <w:color w:val="000000" w:themeColor="text1"/>
          <w:spacing w:val="0"/>
          <w:sz w:val="32"/>
          <w:szCs w:val="32"/>
          <w:lang w:val="en-US" w:eastAsia="zh-CN"/>
          <w14:textFill>
            <w14:solidFill>
              <w14:schemeClr w14:val="tx1"/>
            </w14:solidFill>
          </w14:textFill>
        </w:rPr>
        <w:t>专</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项资金外，其他项目均是其他公用费，用于市场综合监管工作所需经费，在日常工作开展中，虽然是按照工作进度进行支付，但有时存在各经费混用的情况，未完全按照预算科普目进行使用；二是在项目推进过程中，因财政局在审批支付计划时，控制计划申报率，从而导致项目资金执行进度有时未按照预算要求进行执行，存在执行进度缓慢。</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rPr>
          <w:rFonts w:hint="default" w:ascii="楷体_GB2312" w:hAnsi="楷体_GB2312" w:eastAsia="楷体_GB2312" w:cs="楷体_GB2312"/>
          <w:b w:val="0"/>
          <w:bCs w:val="0"/>
          <w:color w:val="000000" w:themeColor="text1"/>
          <w:spacing w:val="0"/>
          <w:sz w:val="32"/>
          <w:szCs w:val="32"/>
          <w14:textFill>
            <w14:solidFill>
              <w14:schemeClr w14:val="tx1"/>
            </w14:solidFill>
          </w14:textFill>
        </w:rPr>
      </w:pPr>
      <w:r>
        <w:rPr>
          <w:rFonts w:hint="default" w:ascii="楷体_GB2312" w:hAnsi="楷体_GB2312" w:eastAsia="楷体_GB2312" w:cs="楷体_GB2312"/>
          <w:b w:val="0"/>
          <w:bCs w:val="0"/>
          <w:color w:val="000000" w:themeColor="text1"/>
          <w:spacing w:val="0"/>
          <w:sz w:val="32"/>
          <w:szCs w:val="32"/>
          <w14:textFill>
            <w14:solidFill>
              <w14:schemeClr w14:val="tx1"/>
            </w14:solidFill>
          </w14:textFill>
        </w:rPr>
        <w:t>（二）工作建议及改进措施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Lines="0" w:line="576" w:lineRule="exact"/>
        <w:ind w:leftChars="10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一是加强资金管理力度，进一步完善专项资金管理办法，做到专款专用；二是严格</w:t>
      </w:r>
      <w:r>
        <w:rPr>
          <w:rFonts w:hint="eastAsia" w:ascii="Times New Roman" w:cs="Times New Roman"/>
          <w:b w:val="0"/>
          <w:bCs w:val="0"/>
          <w:color w:val="000000" w:themeColor="text1"/>
          <w:spacing w:val="0"/>
          <w:sz w:val="32"/>
          <w:szCs w:val="32"/>
          <w:lang w:eastAsia="zh-CN"/>
          <w14:textFill>
            <w14:solidFill>
              <w14:schemeClr w14:val="tx1"/>
            </w14:solidFill>
          </w14:textFill>
        </w:rPr>
        <w:t>按</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照项目实施进度，预算执行进度支付各项资金，杜绝执行进度滞后的现象发生，为各项工作的开展及时提供资金支持和保障。</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Lines="0" w:line="576" w:lineRule="exact"/>
        <w:ind w:leftChars="10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beforeLines="0" w:line="576" w:lineRule="exact"/>
        <w:ind w:leftChars="100" w:firstLine="640" w:firstLineChars="200"/>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p>
    <w:p>
      <w:pPr>
        <w:pStyle w:val="17"/>
        <w:keepNext w:val="0"/>
        <w:keepLines w:val="0"/>
        <w:pageBreakBefore w:val="0"/>
        <w:widowControl w:val="0"/>
        <w:numPr>
          <w:ilvl w:val="0"/>
          <w:numId w:val="0"/>
        </w:numPr>
        <w:kinsoku/>
        <w:wordWrap w:val="0"/>
        <w:overflowPunct/>
        <w:topLinePunct w:val="0"/>
        <w:autoSpaceDE/>
        <w:autoSpaceDN/>
        <w:bidi w:val="0"/>
        <w:adjustRightInd/>
        <w:snapToGrid/>
        <w:spacing w:beforeLines="0" w:line="576" w:lineRule="exact"/>
        <w:ind w:leftChars="100" w:firstLine="640" w:firstLineChars="200"/>
        <w:jc w:val="right"/>
        <w:textAlignment w:val="auto"/>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广元市昭化区市场监督管理局</w:t>
      </w:r>
      <w:r>
        <w:rPr>
          <w:rFonts w:hint="eastAsia" w:ascii="Times New Roman" w:cs="Times New Roman"/>
          <w:b w:val="0"/>
          <w:bCs w:val="0"/>
          <w:color w:val="000000" w:themeColor="text1"/>
          <w:spacing w:val="0"/>
          <w:sz w:val="32"/>
          <w:szCs w:val="32"/>
          <w:lang w:eastAsia="zh-CN"/>
          <w14:textFill>
            <w14:solidFill>
              <w14:schemeClr w14:val="tx1"/>
            </w14:solidFill>
          </w14:textFill>
        </w:rPr>
        <w:t>　</w:t>
      </w:r>
    </w:p>
    <w:p>
      <w:pPr>
        <w:pStyle w:val="17"/>
        <w:keepNext w:val="0"/>
        <w:keepLines w:val="0"/>
        <w:pageBreakBefore w:val="0"/>
        <w:widowControl w:val="0"/>
        <w:numPr>
          <w:ilvl w:val="0"/>
          <w:numId w:val="0"/>
        </w:numPr>
        <w:kinsoku/>
        <w:wordWrap w:val="0"/>
        <w:overflowPunct/>
        <w:topLinePunct w:val="0"/>
        <w:autoSpaceDE/>
        <w:autoSpaceDN/>
        <w:bidi w:val="0"/>
        <w:adjustRightInd/>
        <w:snapToGrid/>
        <w:spacing w:beforeLines="0" w:line="576" w:lineRule="exact"/>
        <w:ind w:leftChars="100" w:firstLine="640" w:firstLineChars="200"/>
        <w:jc w:val="right"/>
        <w:textAlignment w:val="auto"/>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2023年</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日</w:t>
      </w:r>
      <w:r>
        <w:rPr>
          <w:rFonts w:hint="eastAsia" w:ascii="Times New Roman" w:cs="Times New Roman"/>
          <w:b w:val="0"/>
          <w:bCs w:val="0"/>
          <w:color w:val="000000" w:themeColor="text1"/>
          <w:spacing w:val="0"/>
          <w:sz w:val="32"/>
          <w:szCs w:val="32"/>
          <w:lang w:eastAsia="zh-CN"/>
          <w14:textFill>
            <w14:solidFill>
              <w14:schemeClr w14:val="tx1"/>
            </w14:solidFill>
          </w14:textFill>
        </w:rPr>
        <w:t>　　　　</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附件8</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hanging="8" w:firstLineChars="0"/>
        <w:jc w:val="center"/>
        <w:textAlignment w:val="auto"/>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广元市昭化区财政项目（向上争取资金工作经费）支出绩效自评表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771"/>
        <w:gridCol w:w="1041"/>
        <w:gridCol w:w="1042"/>
        <w:gridCol w:w="1243"/>
        <w:gridCol w:w="1042"/>
        <w:gridCol w:w="1041"/>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542"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向上争取工作经费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368"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13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083"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2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4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13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2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213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2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213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2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p>
        </w:tc>
        <w:tc>
          <w:tcPr>
            <w:tcW w:w="213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243"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243"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243"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243"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180"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13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180"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结合部门工作职责，按照相关政策，完成区委区政府下达的</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万元任务，为食品安全监管提供更多的资金保障</w:t>
            </w:r>
          </w:p>
        </w:tc>
        <w:tc>
          <w:tcPr>
            <w:tcW w:w="21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与省、市市场监督管理局对接</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次，争取资金</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2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4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133"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7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1041"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0" w:type="auto"/>
            <w:gridSpan w:val="2"/>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争取资金数</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71" w:type="dxa"/>
            <w:vMerge w:val="continue"/>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与省、市科协对接</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213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加大对接力度，争取上级资金。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71" w:type="dxa"/>
            <w:vMerge w:val="continue"/>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2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按程序进行申报</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符合程序</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符合程序</w:t>
            </w: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71" w:type="dxa"/>
            <w:vMerge w:val="continue"/>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2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完成工作时限</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71" w:type="dxa"/>
            <w:vMerge w:val="continue"/>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2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所需的差旅费、印刷费等</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22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为企事业单位提供资金支持</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优良</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7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2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服务群众满意度</w:t>
            </w:r>
          </w:p>
        </w:tc>
        <w:tc>
          <w:tcPr>
            <w:tcW w:w="104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4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13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广元市昭化区财政项目（食安委工作经费）</w:t>
      </w:r>
    </w:p>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815"/>
        <w:gridCol w:w="912"/>
        <w:gridCol w:w="1348"/>
        <w:gridCol w:w="1094"/>
        <w:gridCol w:w="1068"/>
        <w:gridCol w:w="767"/>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850"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食安委工作经费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422"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66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260"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6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66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60"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9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266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9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266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9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p>
        </w:tc>
        <w:tc>
          <w:tcPr>
            <w:tcW w:w="266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94"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6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67"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94"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6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67"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94"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6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67"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94"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6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67"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3"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004"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66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23"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004"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切实履行食品安全委员会工作职责，联合食品安全委员会成员单位开展食品生产、流通、餐饮等领域监管，开展专项整治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次，开展食品安全宣传</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次、创建餐饮食品安全示范街</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个，食品安全信息发布</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次，达到食品安全专项整治全覆盖，营造良好的食品安全氛围。</w:t>
            </w:r>
          </w:p>
        </w:tc>
        <w:tc>
          <w:tcPr>
            <w:tcW w:w="26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切实履行食品安全委员会工作职责，联合食品安全委员会成员单位开展食品生产、流通、餐饮等领域监管，开展专项整治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次，开展食品安全宣传</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次、创建餐饮食品安全示范街</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个，食品安全信息发布</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次，达到食品安全专项整治全覆盖，营造良好的食品安全氛围。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3" w:type="dxa"/>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81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91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4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6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66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3"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91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2442"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创建餐饮食品安全示范街个数</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23"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2"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4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食品生产、流通领域专项整治、开展食品宣传次数、食品安全信息发布次数</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3"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4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餐饮食品安全示范街完成率</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3"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4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完成工作时限</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3"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4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所需的差旅费、印刷费等</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3"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1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24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提高人民认知度</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优良</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3"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91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4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服务群众满意度</w:t>
            </w:r>
          </w:p>
        </w:tc>
        <w:tc>
          <w:tcPr>
            <w:tcW w:w="106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7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661"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ind w:firstLine="400" w:firstLineChars="100"/>
        <w:jc w:val="both"/>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广元市昭化区财政项目（特种设备监管经费）</w:t>
      </w:r>
    </w:p>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34"/>
        <w:gridCol w:w="780"/>
        <w:gridCol w:w="1632"/>
        <w:gridCol w:w="1069"/>
        <w:gridCol w:w="1125"/>
        <w:gridCol w:w="101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908"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特种设备监管经费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606"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28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52"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项目（政策）资金（万元）</w:t>
            </w:r>
          </w:p>
        </w:tc>
        <w:tc>
          <w:tcPr>
            <w:tcW w:w="2412"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6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01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28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12"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6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28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12"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6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28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12"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6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28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12"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69"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2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1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12"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69"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2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1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12"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69"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2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1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412"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69"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2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1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8"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356"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28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18"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356"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全年培训特种设备操作人员继续教育</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360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人次，全区特种设备抽检</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率</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达</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%以上。维护特种设备使用安全，保护人民生命财产安全。</w:t>
            </w:r>
          </w:p>
        </w:tc>
        <w:tc>
          <w:tcPr>
            <w:tcW w:w="22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全年培训特种设备操作人员继续教育</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360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人次，全区特种设备抽检</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率</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达</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%以上。维护特种设备使用安全，保护人民生命财产安全。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8"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73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7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01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28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2701"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20"/>
                <w:szCs w:val="20"/>
                <w:u w:val="none"/>
                <w:lang w:val="en-US" w:eastAsia="zh-CN"/>
                <w14:textFill>
                  <w14:solidFill>
                    <w14:schemeClr w14:val="tx1"/>
                  </w14:solidFill>
                </w14:textFill>
              </w:rPr>
              <w:t>培训特种设备操作人员继续教育次数</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360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人次</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360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人次</w:t>
            </w: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270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食品生产、流通领域专项整治、开展食品宣传次数、食品安全信息发布次数</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7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安全监察人员培训完成率</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7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完成工作时限</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7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所需的差旅费、印刷费等</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经济效益</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2701"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2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1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27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群众安全保障</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优良</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生态效益</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163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69"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25"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1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可持续影响指标</w:t>
            </w:r>
          </w:p>
        </w:tc>
        <w:tc>
          <w:tcPr>
            <w:tcW w:w="163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69"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25"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1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8"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3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br w:type="textWrapping"/>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7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服务群众满意度</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286"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广元市昭化区财政项目（工商管理经费）</w:t>
      </w:r>
    </w:p>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999"/>
        <w:gridCol w:w="1029"/>
        <w:gridCol w:w="969"/>
        <w:gridCol w:w="1002"/>
        <w:gridCol w:w="1022"/>
        <w:gridCol w:w="1020"/>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317"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工商管理经费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022"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27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998"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27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98"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0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27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98"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0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27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98"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0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27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98"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02"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98"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02"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98"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02"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98"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02"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063"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041"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27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63"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041"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全年完成各专项整治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次，查办各类违法案件</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件，完成市场主体年报</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户。不断规范市场行为，为广大人民群众营造安全放心的消费环境。</w:t>
            </w:r>
          </w:p>
        </w:tc>
        <w:tc>
          <w:tcPr>
            <w:tcW w:w="22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全年完成各专项整治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次，查办各类违法案件</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件，完成市场主体年报</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户。不断规范市场行为，为广大人民群众营造安全放心的消费环境。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99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2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197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27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Style w:val="41"/>
                <w:b w:val="0"/>
                <w:bCs w:val="0"/>
                <w:color w:val="000000" w:themeColor="text1"/>
                <w:spacing w:val="0"/>
                <w:lang w:val="en-US" w:eastAsia="zh-CN"/>
                <w14:textFill>
                  <w14:solidFill>
                    <w14:schemeClr w14:val="tx1"/>
                  </w14:solidFill>
                </w14:textFill>
              </w:rPr>
              <w:t>产出指标</w:t>
            </w:r>
          </w:p>
        </w:tc>
        <w:tc>
          <w:tcPr>
            <w:tcW w:w="102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Style w:val="41"/>
                <w:b w:val="0"/>
                <w:bCs w:val="0"/>
                <w:color w:val="000000" w:themeColor="text1"/>
                <w:spacing w:val="0"/>
                <w:lang w:val="en-US" w:eastAsia="zh-CN"/>
                <w14:textFill>
                  <w14:solidFill>
                    <w14:schemeClr w14:val="tx1"/>
                  </w14:solidFill>
                </w14:textFill>
              </w:rPr>
              <w:t>数量指标</w:t>
            </w:r>
          </w:p>
        </w:tc>
        <w:tc>
          <w:tcPr>
            <w:tcW w:w="197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查办市场违法案件数</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9"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7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Style w:val="41"/>
                <w:b w:val="0"/>
                <w:bCs w:val="0"/>
                <w:color w:val="000000" w:themeColor="text1"/>
                <w:spacing w:val="0"/>
                <w:lang w:val="en-US" w:eastAsia="zh-CN"/>
                <w14:textFill>
                  <w14:solidFill>
                    <w14:schemeClr w14:val="tx1"/>
                  </w14:solidFill>
                </w14:textFill>
              </w:rPr>
              <w:t>各项专项整治次数</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9"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7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Style w:val="41"/>
                <w:b w:val="0"/>
                <w:bCs w:val="0"/>
                <w:color w:val="000000" w:themeColor="text1"/>
                <w:spacing w:val="0"/>
                <w:lang w:val="en-US" w:eastAsia="zh-CN"/>
                <w14:textFill>
                  <w14:solidFill>
                    <w14:schemeClr w14:val="tx1"/>
                  </w14:solidFill>
                </w14:textFill>
              </w:rPr>
              <w:t>主体年报年检户数</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Style w:val="41"/>
                <w:b w:val="0"/>
                <w:bCs w:val="0"/>
                <w:color w:val="000000" w:themeColor="text1"/>
                <w:spacing w:val="0"/>
                <w:lang w:val="en-US" w:eastAsia="zh-CN"/>
                <w14:textFill>
                  <w14:solidFill>
                    <w14:schemeClr w14:val="tx1"/>
                  </w14:solidFill>
                </w14:textFill>
              </w:rPr>
              <w:t>成本指标</w:t>
            </w:r>
          </w:p>
        </w:tc>
        <w:tc>
          <w:tcPr>
            <w:tcW w:w="197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Style w:val="41"/>
                <w:b w:val="0"/>
                <w:bCs w:val="0"/>
                <w:color w:val="000000" w:themeColor="text1"/>
                <w:spacing w:val="0"/>
                <w:lang w:val="en-US" w:eastAsia="zh-CN"/>
                <w14:textFill>
                  <w14:solidFill>
                    <w14:schemeClr w14:val="tx1"/>
                  </w14:solidFill>
                </w14:textFill>
              </w:rPr>
              <w:t>工商管理所需工作经费控制在预算内</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197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查办市场各类违法案件率</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9"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19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年度目标任务完成时间</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满意度指标</w:t>
            </w:r>
          </w:p>
        </w:tc>
        <w:tc>
          <w:tcPr>
            <w:tcW w:w="102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19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广大人民群众满意度</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优良</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2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可持续影响指标</w:t>
            </w:r>
          </w:p>
        </w:tc>
        <w:tc>
          <w:tcPr>
            <w:tcW w:w="197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Style w:val="41"/>
                <w:b w:val="0"/>
                <w:bCs w:val="0"/>
                <w:color w:val="000000" w:themeColor="text1"/>
                <w:spacing w:val="0"/>
                <w:lang w:val="en-US" w:eastAsia="zh-CN"/>
                <w14:textFill>
                  <w14:solidFill>
                    <w14:schemeClr w14:val="tx1"/>
                  </w14:solidFill>
                </w14:textFill>
              </w:rPr>
              <w:t>市场监管工作常态化</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102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社会效益指标</w:t>
            </w:r>
          </w:p>
        </w:tc>
        <w:tc>
          <w:tcPr>
            <w:tcW w:w="19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themeColor="text1"/>
                <w:spacing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强化全区市场监管安全，提高群众的认知率，确保区域内无重大市场安全事故发</w:t>
            </w:r>
            <w:r>
              <w:rPr>
                <w:rFonts w:hint="eastAsia"/>
                <w:lang w:val="en-US" w:eastAsia="zh-CN"/>
              </w:rPr>
              <w:t>生</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27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p>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广元市昭化区财政项目（信息平台维护及</w:t>
      </w:r>
    </w:p>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光纤专线租金）支出绩效自评表</w:t>
      </w:r>
    </w:p>
    <w:p>
      <w:pPr>
        <w:keepNext w:val="0"/>
        <w:keepLines w:val="0"/>
        <w:widowControl/>
        <w:suppressLineNumbers w:val="0"/>
        <w:jc w:val="center"/>
        <w:textAlignment w:val="top"/>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p>
      <w:pPr>
        <w:pStyle w:val="17"/>
        <w:rPr>
          <w:rFonts w:hint="eastAsia"/>
          <w:b w:val="0"/>
          <w:bCs w:val="0"/>
          <w:color w:val="000000" w:themeColor="text1"/>
          <w:spacing w:val="0"/>
          <w14:textFill>
            <w14:solidFill>
              <w14:schemeClr w14:val="tx1"/>
            </w14:solidFill>
          </w14:textFill>
        </w:rPr>
      </w:pPr>
    </w:p>
    <w:tbl>
      <w:tblPr>
        <w:tblStyle w:val="18"/>
        <w:tblW w:w="9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0"/>
        <w:gridCol w:w="956"/>
        <w:gridCol w:w="1000"/>
        <w:gridCol w:w="931"/>
        <w:gridCol w:w="958"/>
        <w:gridCol w:w="1004"/>
        <w:gridCol w:w="1142"/>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31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信息平台维护及光纤专线租金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38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27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931" w:type="dxa"/>
            <w:gridSpan w:val="2"/>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0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14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227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6"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599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27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99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在资源整合和网络监管等方面，统一标准，共管共治，共同维护信息安全和网络安全，按照上级主管部门要求，租赁专网</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个。全力保障全局专网安全，通畅高效运转。</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在资源整合和网络监管等方面，统一标准，共管共治，共同维护信息安全和网络安全，按照上级主管部门要求，租赁专网</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个。全力保障全局专网安全，通畅高效运转。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可持续发展指标</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市场监管工作常态化</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满意度指标</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广大人民群众满意度</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Style w:val="43"/>
                <w:b w:val="0"/>
                <w:bCs w:val="0"/>
                <w:color w:val="000000" w:themeColor="text1"/>
                <w:spacing w:val="0"/>
                <w:lang w:val="en-US" w:eastAsia="zh-CN"/>
                <w14:textFill>
                  <w14:solidFill>
                    <w14:schemeClr w14:val="tx1"/>
                  </w14:solidFill>
                </w14:textFill>
              </w:rPr>
              <w:t>%</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完成网络维护资金成本控制在预算内</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12315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专网投诉举报中心受理消费者咨询、投诉、举报</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286</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286</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租赁专网数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全力保障全局专网安全，通畅高效运转。</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Style w:val="43"/>
                <w:b w:val="0"/>
                <w:bCs w:val="0"/>
                <w:color w:val="000000" w:themeColor="text1"/>
                <w:spacing w:val="0"/>
                <w:lang w:val="en-US" w:eastAsia="zh-CN"/>
                <w14:textFill>
                  <w14:solidFill>
                    <w14:schemeClr w14:val="tx1"/>
                  </w14:solidFill>
                </w14:textFill>
              </w:rPr>
              <w:t>%</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年度目标任务完成时间</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广元市昭化区财政项目（食品药品、医疗器械及</w:t>
      </w:r>
    </w:p>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保健化妆品监管）支出绩效自评表</w:t>
      </w:r>
    </w:p>
    <w:p>
      <w:pPr>
        <w:keepNext w:val="0"/>
        <w:keepLines w:val="0"/>
        <w:widowControl/>
        <w:suppressLineNumbers w:val="0"/>
        <w:jc w:val="center"/>
        <w:textAlignment w:val="top"/>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p>
      <w:pPr>
        <w:pStyle w:val="17"/>
        <w:rPr>
          <w:rFonts w:hint="eastAsia"/>
          <w:b w:val="0"/>
          <w:bCs w:val="0"/>
          <w:color w:val="000000" w:themeColor="text1"/>
          <w:spacing w:val="0"/>
          <w14:textFill>
            <w14:solidFill>
              <w14:schemeClr w14:val="tx1"/>
            </w14:solidFill>
          </w14:textFill>
        </w:rPr>
      </w:pPr>
    </w:p>
    <w:tbl>
      <w:tblPr>
        <w:tblStyle w:val="1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96"/>
        <w:gridCol w:w="814"/>
        <w:gridCol w:w="679"/>
        <w:gridCol w:w="1032"/>
        <w:gridCol w:w="1118"/>
        <w:gridCol w:w="110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298"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食品药品、医疗器械及保健化妆品监管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3643"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55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493"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算数</w:t>
            </w:r>
          </w:p>
        </w:tc>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算数</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行数</w:t>
            </w:r>
          </w:p>
        </w:tc>
        <w:tc>
          <w:tcPr>
            <w:tcW w:w="255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93"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3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55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9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3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55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9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3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p>
        </w:tc>
        <w:tc>
          <w:tcPr>
            <w:tcW w:w="255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9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32"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1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9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32"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1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9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32"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1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49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32"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18"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1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5544"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55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93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544"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、维护校园食品安全，检查学校、幼儿园食堂</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362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家次、以及周边食品餐饮单位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、加强重点品种、重点区域的食品专项整治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次，监督检查食品流通单位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1553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家次，餐饮服务单位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872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家次，</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、强化</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优</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化管理，以日常检查为主，结合飞行检查、GSP跟踪检查，重点开展专项整治行动</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次，药械经营使用单位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517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家，组织监管人员、区级医疗机构、</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各</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乡镇卫生院、诊所、民营医疗机构开展集中培训</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次，重点对&lt;&lt;中华人民共和国疫苗管理法&gt;&gt;《中华人民共和国药品管理法》进行宣贯、培训。</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、维护校园食品安全，检查学校、幼儿园食堂</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362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家次以及周边食品餐饮单位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、加强重点品种、重点区域的食品专项整治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次，监督检查食品流通单位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1553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家次，餐饮服务单位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872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家次，</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、强化</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优</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化管理，以日常检查为主，结合飞行检查、GSP跟踪检查，重点开展专项整治行动</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次，药械经营使用单位</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517</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家，组织监管人员、区级医疗机构、</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各</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乡镇卫生院、诊所、民营医疗机构开展集中培训</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次，重点对&lt;&lt;中华人民共和国疫苗管理法&gt;&gt;《中华人民共和国药品管理法》进行宣贯、培训。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81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55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81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年度目标任务完成时间</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涉刑案件移送率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食品生产加工企业监管覆盖率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重大案件查办率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1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不合格药品处置率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国家食品抽检不合格食品核查率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食品药品化妆品监管所需经费控制在预算内</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171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食品药品监管行政人员培训覆盖率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171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药品生产企业监测检查覆盖率</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171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食品药品监管户数</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110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家</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81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监管对象、人民群众满意度</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81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社会效益指标</w:t>
            </w: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人民群众饮食用药安全水平</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9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1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可持续发展指标</w:t>
            </w:r>
          </w:p>
        </w:tc>
        <w:tc>
          <w:tcPr>
            <w:tcW w:w="171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食品药品监管水平能力提升</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1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55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pStyle w:val="17"/>
        <w:numPr>
          <w:ilvl w:val="0"/>
          <w:numId w:val="0"/>
        </w:numPr>
        <w:rPr>
          <w:rFonts w:hint="default"/>
          <w:b w:val="0"/>
          <w:bCs w:val="0"/>
          <w:color w:val="000000" w:themeColor="text1"/>
          <w:spacing w:val="0"/>
          <w:lang w:val="en-US" w:eastAsia="zh-CN"/>
          <w14:textFill>
            <w14:solidFill>
              <w14:schemeClr w14:val="tx1"/>
            </w14:solidFill>
          </w14:textFill>
        </w:rPr>
      </w:pPr>
    </w:p>
    <w:p>
      <w:pPr>
        <w:pStyle w:val="17"/>
        <w:numPr>
          <w:ilvl w:val="0"/>
          <w:numId w:val="0"/>
        </w:numPr>
        <w:jc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p>
    <w:p>
      <w:pPr>
        <w:pStyle w:val="17"/>
        <w:numPr>
          <w:ilvl w:val="0"/>
          <w:numId w:val="0"/>
        </w:numPr>
        <w:jc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p>
    <w:p>
      <w:pPr>
        <w:pStyle w:val="17"/>
        <w:numPr>
          <w:ilvl w:val="0"/>
          <w:numId w:val="0"/>
        </w:numPr>
        <w:jc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p>
    <w:p>
      <w:pPr>
        <w:pStyle w:val="17"/>
        <w:numPr>
          <w:ilvl w:val="0"/>
          <w:numId w:val="0"/>
        </w:numPr>
        <w:jc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p>
    <w:p>
      <w:pPr>
        <w:pStyle w:val="17"/>
        <w:numPr>
          <w:ilvl w:val="0"/>
          <w:numId w:val="0"/>
        </w:numPr>
        <w:jc w:val="both"/>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p>
    <w:p>
      <w:pPr>
        <w:pStyle w:val="17"/>
        <w:numPr>
          <w:ilvl w:val="0"/>
          <w:numId w:val="0"/>
        </w:numPr>
        <w:jc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广元市昭化区财政项目（食品药品投诉奖励基金）支出绩效自评表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982"/>
        <w:gridCol w:w="1018"/>
        <w:gridCol w:w="955"/>
        <w:gridCol w:w="979"/>
        <w:gridCol w:w="995"/>
        <w:gridCol w:w="99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8055"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食品药品投诉奖励基金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320"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160"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80"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480"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480"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加强消费者权益保护，严格落实</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12315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及</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12345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热线处理</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小时值班值守制度，及时查办投诉举报案件，确保重大案件投诉举报人奖励金及时到位。</w:t>
            </w:r>
          </w:p>
        </w:tc>
        <w:tc>
          <w:tcPr>
            <w:tcW w:w="2655"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加强消费者权益保护，严格落实</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12315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及</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12345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热线处理</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小时值班值守制度，及时查办投诉举报案件，确保重大案件投诉举报人奖励金及时到位。训。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108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处理市长热线反馈件</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受理电话、网上投诉</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150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件</w:t>
            </w: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投诉举报处理</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16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年度目标任务完成时间</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投诉举报基金控制在预算内</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合法诚信经营</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社会公众对食品安全的监督保障</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65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ign w:val="center"/>
          </w:tcPr>
          <w:p>
            <w:pPr>
              <w:jc w:val="cente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监管对象、人民群众满意度</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0" w:type="auto"/>
            <w:noWrap/>
            <w:vAlign w:val="center"/>
          </w:tcPr>
          <w:p>
            <w:pPr>
              <w:rPr>
                <w:rFonts w:hint="eastAsia" w:ascii="宋体" w:hAnsi="宋体" w:eastAsia="宋体" w:cs="宋体"/>
                <w:b w:val="0"/>
                <w:bCs w:val="0"/>
                <w:i w:val="0"/>
                <w:iCs w:val="0"/>
                <w:color w:val="000000" w:themeColor="text1"/>
                <w:spacing w:val="0"/>
                <w:sz w:val="20"/>
                <w:szCs w:val="20"/>
                <w:u w:val="none"/>
                <w14:textFill>
                  <w14:solidFill>
                    <w14:schemeClr w14:val="tx1"/>
                  </w14:solidFill>
                </w14:textFill>
              </w:rPr>
            </w:pPr>
          </w:p>
        </w:tc>
      </w:tr>
    </w:tbl>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广元市昭化区财政项目（食品药品、食用农产品、流通领域检验检测）支出绩效自评表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756"/>
        <w:gridCol w:w="891"/>
        <w:gridCol w:w="739"/>
        <w:gridCol w:w="943"/>
        <w:gridCol w:w="1006"/>
        <w:gridCol w:w="97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578"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食品药品、食用农产品、流通领域检验检测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3579"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1630" w:type="dxa"/>
            <w:gridSpan w:val="2"/>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9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9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9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943" w:type="dxa"/>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7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8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943" w:type="dxa"/>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7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943" w:type="dxa"/>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7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8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6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943" w:type="dxa"/>
            <w:noWrap w:val="0"/>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0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7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2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5310"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025"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310"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围绕重点品种、重点环节、重要时间段展开各类食品安全专项整治、食品及餐饮具</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70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个批次、开展食用农产品抽检</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批次，确保广大公众吃</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得</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放心，过</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得</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舒心</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围绕重点品种、重点环节、重要时间段展开各类食品安全专项整治、食品及餐饮具</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70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个批次、开展食用农产品抽检</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批次，确保广大公众吃</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得</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放心，过</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得</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舒心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3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8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完成民生工程食品抽检次数</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170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170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完成区局监督抽检</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173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173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批次</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抽检合格率</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检验检测不合格率</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6</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食品药品等检验检测所需经费控制在预算内</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年度目标任务完成时间</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可持续发展指标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食品监管水平能力提升</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宣传发布频次达标率</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8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对食品安全的监督保障，食品安全生产经营单位的警示</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0" w:type="auto"/>
            <w:vMerge w:val="continue"/>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16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广大人民群众满意度</w:t>
            </w:r>
          </w:p>
        </w:tc>
        <w:tc>
          <w:tcPr>
            <w:tcW w:w="10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302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广元市昭化区财政项目（招商引资工作经费）</w:t>
      </w:r>
    </w:p>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825"/>
        <w:gridCol w:w="951"/>
        <w:gridCol w:w="820"/>
        <w:gridCol w:w="1021"/>
        <w:gridCol w:w="992"/>
        <w:gridCol w:w="990"/>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657"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招商引资工作经费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3784"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88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项目（政策）资金（万元）</w:t>
            </w:r>
          </w:p>
        </w:tc>
        <w:tc>
          <w:tcPr>
            <w:tcW w:w="1771"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88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71"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2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288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71"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2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288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71"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2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288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71"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21"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21"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71"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21"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62"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771"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21"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9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37"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5599"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88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1037"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5599"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为实现经济转型和产业发展，助推昭化区经济发展，围绕“十三五”发展目标，树立“大招商、招大商、招好商”的理念，全力做好项目引进落地服务工作，全年完成招商引资项目</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个，开展各类主</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题</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活动</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场次，完成招商引资投资任务</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万元。使全区招商引资实现新提升、新突破、新发展。</w:t>
            </w:r>
          </w:p>
        </w:tc>
        <w:tc>
          <w:tcPr>
            <w:tcW w:w="288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为实现经济转型和产业发展，助推昭化区经济发展，围绕“十三五”发展目标，树立“大招商、招大商、招好商”的理念，全力做好项目引进落地服务工作，全年完成招商引资项目</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个，开展各类主</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题</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活动</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场次，完成招商引资投资任务</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万元。使全区招商引资实现新提升、新突破、新发展。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95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184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88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95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184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招商引资所需差旅费、接待费等经费控制在预算内</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184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完成年度目标任务时间</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184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严格按照招商程序</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1"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184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完成招商引资金额</w:t>
            </w:r>
          </w:p>
        </w:tc>
        <w:tc>
          <w:tcPr>
            <w:tcW w:w="9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2700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招商活动签约项目个数</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95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84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举办各类主题活动场次</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场次</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场次</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9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w:t>
            </w:r>
          </w:p>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184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提高本地经济发展</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指标</w:t>
            </w:r>
          </w:p>
        </w:tc>
        <w:tc>
          <w:tcPr>
            <w:tcW w:w="9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184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广大人民群众满意度</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99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88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广元市昭化区财政项目（营商环境提升经费）</w:t>
      </w:r>
    </w:p>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019"/>
        <w:gridCol w:w="1041"/>
        <w:gridCol w:w="996"/>
        <w:gridCol w:w="1021"/>
        <w:gridCol w:w="1032"/>
        <w:gridCol w:w="10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680"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营商环境提升经费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320"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2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160"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2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22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22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w:t>
            </w:r>
          </w:p>
        </w:tc>
        <w:tc>
          <w:tcPr>
            <w:tcW w:w="22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80"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480"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2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480"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计划全年为</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个新开办企业提供零费用注册、零费用刻制印章。打造昭化最优营商环境</w:t>
            </w:r>
          </w:p>
        </w:tc>
        <w:tc>
          <w:tcPr>
            <w:tcW w:w="22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全年为</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个新开办企业提供零费用注册、零费用刻制印章。打造昭化最优营商环境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10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所需经费控制在预算内</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120000</w:t>
            </w: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完成年度目标任务时间</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为新增企业刻制印章数</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w:t>
            </w: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为新增企业服务</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实现开办企业零费用目标，打造昭化最优营商环境</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2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w:t>
      </w:r>
      <w:r>
        <w:rPr>
          <w:rFonts w:hint="default" w:ascii="Times New Roman" w:hAnsi="Times New Roman"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2022</w:t>
      </w: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年临时人员工资）</w:t>
      </w:r>
    </w:p>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031"/>
        <w:gridCol w:w="1056"/>
        <w:gridCol w:w="1027"/>
        <w:gridCol w:w="1043"/>
        <w:gridCol w:w="1054"/>
        <w:gridCol w:w="1052"/>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275"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年临时人员工资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180"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083"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2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2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w:t>
            </w:r>
          </w:p>
        </w:tc>
        <w:tc>
          <w:tcPr>
            <w:tcW w:w="2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43"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4"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43"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4"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43"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4"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4"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83"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43"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4"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2"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73"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263"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0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073"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263"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聘请</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个临时人员协助开展农村食品药品市场监管，维护农村市场食品药品秩序，保障人民群众食品药品安全</w:t>
            </w:r>
          </w:p>
        </w:tc>
        <w:tc>
          <w:tcPr>
            <w:tcW w:w="204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聘请</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个临时人员协助开展农村食品药品市场监管，维护农村市场食品药品秩序，保障人民群众食品药品安全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10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1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监管市场秩序运行情况</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临聘人员工资、保险等所需经费控制在预算内</w:t>
            </w:r>
          </w:p>
        </w:tc>
        <w:tc>
          <w:tcPr>
            <w:tcW w:w="10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280000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临时人员协助监管各类经营户数</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户</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临时人员协助开展各类专项整治次数</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6"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聘请市场协管员人数</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人</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5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年度目标任务完成时间</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可持续影响指标</w:t>
            </w: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农村市场秩序</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满意度指标</w:t>
            </w:r>
          </w:p>
        </w:tc>
        <w:tc>
          <w:tcPr>
            <w:tcW w:w="1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0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监管和服务对象满意度</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5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043"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themeColor="text1"/>
          <w:spacing w:val="0"/>
          <w:sz w:val="40"/>
          <w:szCs w:val="40"/>
          <w:u w:val="none"/>
          <w14:textFill>
            <w14:solidFill>
              <w14:schemeClr w14:val="tx1"/>
            </w14:solidFill>
          </w14:textFill>
        </w:rPr>
      </w:pP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广元市昭化区财政项目（</w:t>
      </w:r>
      <w:r>
        <w:rPr>
          <w:rFonts w:hint="default" w:ascii="Times New Roman" w:hAnsi="Times New Roman"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2022</w:t>
      </w:r>
      <w:r>
        <w:rPr>
          <w:rFonts w:hint="default" w:ascii="方正小标宋简体" w:hAnsi="方正小标宋简体" w:eastAsia="方正小标宋简体" w:cs="方正小标宋简体"/>
          <w:b w:val="0"/>
          <w:bCs w:val="0"/>
          <w:i w:val="0"/>
          <w:iCs w:val="0"/>
          <w:color w:val="000000" w:themeColor="text1"/>
          <w:spacing w:val="0"/>
          <w:kern w:val="0"/>
          <w:sz w:val="40"/>
          <w:szCs w:val="40"/>
          <w:u w:val="none"/>
          <w:lang w:val="en-US" w:eastAsia="zh-CN"/>
          <w14:textFill>
            <w14:solidFill>
              <w14:schemeClr w14:val="tx1"/>
            </w14:solidFill>
          </w14:textFill>
        </w:rPr>
        <w:t>年快检车运行经费）支出绩效自评表</w:t>
      </w:r>
    </w:p>
    <w:p>
      <w:pPr>
        <w:keepNext w:val="0"/>
        <w:keepLines w:val="0"/>
        <w:widowControl/>
        <w:suppressLineNumbers w:val="0"/>
        <w:jc w:val="center"/>
        <w:textAlignment w:val="top"/>
        <w:rPr>
          <w:rFonts w:hint="eastAsia"/>
          <w:b w:val="0"/>
          <w:bCs w:val="0"/>
          <w:color w:val="000000" w:themeColor="text1"/>
          <w:spacing w:val="0"/>
          <w14:textFill>
            <w14:solidFill>
              <w14:schemeClr w14:val="tx1"/>
            </w14:solidFill>
          </w14:textFill>
        </w:rPr>
      </w:pP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22"/>
          <w:szCs w:val="22"/>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22"/>
          <w:szCs w:val="22"/>
          <w:u w:val="none"/>
          <w:lang w:val="en-US" w:eastAsia="zh-CN"/>
          <w14:textFill>
            <w14:solidFill>
              <w14:schemeClr w14:val="tx1"/>
            </w14:solidFill>
          </w14:textFill>
        </w:rPr>
        <w:t>年度）</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996"/>
        <w:gridCol w:w="1027"/>
        <w:gridCol w:w="979"/>
        <w:gridCol w:w="986"/>
        <w:gridCol w:w="1007"/>
        <w:gridCol w:w="102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项目（政策）名称</w:t>
            </w:r>
          </w:p>
        </w:tc>
        <w:tc>
          <w:tcPr>
            <w:tcW w:w="7905"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2022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年快检车运行经费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主管部门</w:t>
            </w:r>
          </w:p>
        </w:tc>
        <w:tc>
          <w:tcPr>
            <w:tcW w:w="4320"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市市场监督管理局</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实施单位</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项目（政策）资金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（万元）</w:t>
            </w:r>
          </w:p>
        </w:tc>
        <w:tc>
          <w:tcPr>
            <w:tcW w:w="2160" w:type="dxa"/>
            <w:gridSpan w:val="2"/>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年初预算数</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全年预算数</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全年执行数</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年度资金总额</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（一）财政拨款小计</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.一般公共预算</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.政府性基金</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.国有资本经营预算</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.社保基金</w:t>
            </w:r>
          </w:p>
        </w:tc>
        <w:tc>
          <w:tcPr>
            <w:tcW w:w="1080" w:type="dxa"/>
            <w:noWrap w:val="0"/>
            <w:vAlign w:val="center"/>
          </w:tcPr>
          <w:p>
            <w:pPr>
              <w:jc w:val="left"/>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0" w:type="dxa"/>
            <w:gridSpan w:val="2"/>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160" w:type="dxa"/>
            <w:gridSpan w:val="2"/>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（二）其他资金</w:t>
            </w:r>
          </w:p>
        </w:tc>
        <w:tc>
          <w:tcPr>
            <w:tcW w:w="1080" w:type="dxa"/>
            <w:noWrap w:val="0"/>
            <w:vAlign w:val="center"/>
          </w:tcPr>
          <w:p>
            <w:pP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年度总体目标</w:t>
            </w:r>
          </w:p>
        </w:tc>
        <w:tc>
          <w:tcPr>
            <w:tcW w:w="6480" w:type="dxa"/>
            <w:gridSpan w:val="6"/>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预期目标</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6480"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全年保障重点品种、重点环节、重要时间段</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开展</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各类食品安全专项整治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次、提供食品药品快速检测</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次，切实保障食品药品市场安全</w:t>
            </w:r>
          </w:p>
        </w:tc>
        <w:tc>
          <w:tcPr>
            <w:tcW w:w="2505" w:type="dxa"/>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全年保障重点品种、重点环节、重要时间段</w:t>
            </w:r>
            <w:r>
              <w:rPr>
                <w:rFonts w:hint="eastAsia" w:ascii="宋体" w:hAnsi="宋体" w:cs="宋体"/>
                <w:b w:val="0"/>
                <w:bCs w:val="0"/>
                <w:i w:val="0"/>
                <w:iCs w:val="0"/>
                <w:color w:val="000000" w:themeColor="text1"/>
                <w:spacing w:val="0"/>
                <w:kern w:val="0"/>
                <w:sz w:val="18"/>
                <w:szCs w:val="18"/>
                <w:u w:val="none"/>
                <w:lang w:val="en-US" w:eastAsia="zh-CN"/>
                <w14:textFill>
                  <w14:solidFill>
                    <w14:schemeClr w14:val="tx1"/>
                  </w14:solidFill>
                </w14:textFill>
              </w:rPr>
              <w:t>开展</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各类食品安全专项整治</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次、提供食品药品快速检测</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次，切实保障食品药品市场安全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restart"/>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绩效指标</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一级指标</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二级指标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三级指标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年度指标值</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实际完成值</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产出指标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成本指标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开展各类食品药品监管所需经费控制在预算内</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50000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元</w:t>
            </w: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数量指标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为食品药品专项整治提供保障</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24</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提供食品药品快速检测次数</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次</w:t>
            </w: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时效指标</w:t>
            </w:r>
          </w:p>
        </w:tc>
        <w:tc>
          <w:tcPr>
            <w:tcW w:w="216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完成全年目标任务时间</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年</w:t>
            </w: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vMerge w:val="continue"/>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质量指标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为食品药品监管提供保障</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满意度指标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服务对象满意度指标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监管、服务对象满意度</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r>
              <w:rPr>
                <w:rFonts w:hint="eastAsia" w:ascii="Times New Roman" w:hAnsi="Times New Roman" w:eastAsia="宋体" w:cs="宋体"/>
                <w:b w:val="0"/>
                <w:bCs w:val="0"/>
                <w:i w:val="0"/>
                <w:iCs w:val="0"/>
                <w:color w:val="000000" w:themeColor="text1"/>
                <w:spacing w:val="0"/>
                <w:kern w:val="0"/>
                <w:sz w:val="18"/>
                <w:szCs w:val="18"/>
                <w:u w:val="none"/>
                <w:lang w:val="en-US" w:eastAsia="zh-CN"/>
                <w14:textFill>
                  <w14:solidFill>
                    <w14:schemeClr w14:val="tx1"/>
                  </w14:solidFill>
                </w14:textFill>
              </w:rPr>
              <w:t>95</w:t>
            </w: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w:t>
            </w: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noWrap/>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效益指标</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05" w:leftChars="-50" w:right="-105" w:rightChars="-50"/>
              <w:jc w:val="center"/>
              <w:textAlignment w:val="cente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社会效益指标</w:t>
            </w:r>
          </w:p>
        </w:tc>
        <w:tc>
          <w:tcPr>
            <w:tcW w:w="216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快速检测食品药品质量，为人民群众生活提供安全保障</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良</w:t>
            </w: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r>
              <w:rPr>
                <w:rFonts w:hint="eastAsia" w:ascii="宋体" w:hAnsi="宋体" w:eastAsia="宋体" w:cs="宋体"/>
                <w:b w:val="0"/>
                <w:bCs w:val="0"/>
                <w:i w:val="0"/>
                <w:iCs w:val="0"/>
                <w:color w:val="000000" w:themeColor="text1"/>
                <w:spacing w:val="0"/>
                <w:kern w:val="0"/>
                <w:sz w:val="18"/>
                <w:szCs w:val="18"/>
                <w:u w:val="none"/>
                <w:lang w:val="en-US" w:eastAsia="zh-CN"/>
                <w14:textFill>
                  <w14:solidFill>
                    <w14:schemeClr w14:val="tx1"/>
                  </w14:solidFill>
                </w14:textFill>
              </w:rPr>
              <w:t>优</w:t>
            </w:r>
          </w:p>
        </w:tc>
        <w:tc>
          <w:tcPr>
            <w:tcW w:w="2505" w:type="dxa"/>
            <w:noWrap w:val="0"/>
            <w:vAlign w:val="center"/>
          </w:tcPr>
          <w:p>
            <w:pPr>
              <w:jc w:val="center"/>
              <w:rPr>
                <w:rFonts w:hint="eastAsia" w:ascii="宋体" w:hAnsi="宋体" w:eastAsia="宋体" w:cs="宋体"/>
                <w:b w:val="0"/>
                <w:bCs w:val="0"/>
                <w:i w:val="0"/>
                <w:iCs w:val="0"/>
                <w:color w:val="000000" w:themeColor="text1"/>
                <w:spacing w:val="0"/>
                <w:sz w:val="18"/>
                <w:szCs w:val="18"/>
                <w:u w:val="none"/>
                <w14:textFill>
                  <w14:solidFill>
                    <w14:schemeClr w14:val="tx1"/>
                  </w14:solidFill>
                </w14:textFill>
              </w:rPr>
            </w:pPr>
          </w:p>
        </w:tc>
      </w:tr>
    </w:tbl>
    <w:p>
      <w:pPr>
        <w:pStyle w:val="3"/>
        <w:bidi w:val="0"/>
        <w:jc w:val="both"/>
        <w:rPr>
          <w:rFonts w:hint="eastAsia" w:ascii="黑体" w:hAnsi="黑体" w:eastAsia="黑体"/>
          <w:b w:val="0"/>
          <w:bCs w:val="0"/>
          <w:color w:val="000000" w:themeColor="text1"/>
          <w:spacing w:val="0"/>
          <w:sz w:val="44"/>
          <w:szCs w:val="44"/>
          <w:highlight w:val="none"/>
          <w14:textFill>
            <w14:solidFill>
              <w14:schemeClr w14:val="tx1"/>
            </w14:solidFill>
          </w14:textFill>
        </w:rPr>
      </w:pPr>
      <w:bookmarkStart w:id="96" w:name="_Toc15396618"/>
      <w:bookmarkStart w:id="97" w:name="_Toc11377"/>
    </w:p>
    <w:p>
      <w:pPr>
        <w:pStyle w:val="3"/>
        <w:bidi w:val="0"/>
        <w:jc w:val="center"/>
        <w:rPr>
          <w:rStyle w:val="33"/>
          <w:rFonts w:hint="eastAsia" w:ascii="黑体" w:hAnsi="黑体" w:eastAsia="黑体"/>
          <w:b w:val="0"/>
          <w:bCs w:val="0"/>
          <w:color w:val="000000" w:themeColor="text1"/>
          <w:spacing w:val="0"/>
          <w:highlight w:val="none"/>
          <w14:textFill>
            <w14:solidFill>
              <w14:schemeClr w14:val="tx1"/>
            </w14:solidFill>
          </w14:textFill>
        </w:rPr>
      </w:pPr>
      <w:r>
        <w:rPr>
          <w:rFonts w:hint="eastAsia" w:ascii="黑体" w:hAnsi="黑体" w:eastAsia="黑体"/>
          <w:b w:val="0"/>
          <w:bCs w:val="0"/>
          <w:color w:val="000000" w:themeColor="text1"/>
          <w:spacing w:val="0"/>
          <w:sz w:val="44"/>
          <w:szCs w:val="44"/>
          <w:highlight w:val="none"/>
          <w14:textFill>
            <w14:solidFill>
              <w14:schemeClr w14:val="tx1"/>
            </w14:solidFill>
          </w14:textFill>
        </w:rPr>
        <w:t>第</w:t>
      </w:r>
      <w:r>
        <w:rPr>
          <w:rStyle w:val="33"/>
          <w:rFonts w:hint="eastAsia" w:ascii="黑体" w:hAnsi="黑体" w:eastAsia="黑体"/>
          <w:b w:val="0"/>
          <w:bCs w:val="0"/>
          <w:color w:val="000000" w:themeColor="text1"/>
          <w:spacing w:val="0"/>
          <w:highlight w:val="none"/>
          <w14:textFill>
            <w14:solidFill>
              <w14:schemeClr w14:val="tx1"/>
            </w14:solidFill>
          </w14:textFill>
        </w:rPr>
        <w:t>五部分 附表</w:t>
      </w:r>
      <w:bookmarkEnd w:id="84"/>
      <w:bookmarkEnd w:id="96"/>
      <w:bookmarkEnd w:id="97"/>
      <w:bookmarkStart w:id="98" w:name="_Toc15396619"/>
    </w:p>
    <w:p>
      <w:pPr>
        <w:pStyle w:val="9"/>
        <w:keepNext w:val="0"/>
        <w:keepLines w:val="0"/>
        <w:pageBreakBefore w:val="0"/>
        <w:widowControl w:val="0"/>
        <w:kinsoku/>
        <w:wordWrap/>
        <w:overflowPunct w:val="0"/>
        <w:topLinePunct w:val="0"/>
        <w:autoSpaceDE/>
        <w:autoSpaceDN/>
        <w:bidi w:val="0"/>
        <w:adjustRightInd/>
        <w:snapToGrid/>
        <w:spacing w:after="0" w:line="576" w:lineRule="exact"/>
        <w:textAlignment w:val="auto"/>
        <w:rPr>
          <w:rFonts w:hint="eastAsia"/>
        </w:rPr>
      </w:pPr>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99" w:name="_Toc6708"/>
      <w:r>
        <w:rPr>
          <w:rFonts w:hint="eastAsia" w:ascii="仿宋" w:hAnsi="仿宋" w:eastAsia="仿宋_GB2312"/>
          <w:b w:val="0"/>
          <w:bCs w:val="0"/>
          <w:color w:val="000000" w:themeColor="text1"/>
          <w:spacing w:val="0"/>
          <w:sz w:val="32"/>
          <w:szCs w:val="32"/>
          <w:highlight w:val="none"/>
          <w14:textFill>
            <w14:solidFill>
              <w14:schemeClr w14:val="tx1"/>
            </w14:solidFill>
          </w14:textFill>
        </w:rPr>
        <w:t>一、收</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入支出决算总表</w:t>
      </w:r>
      <w:bookmarkEnd w:id="98"/>
      <w:bookmarkEnd w:id="99"/>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00" w:name="_Toc15396620"/>
      <w:bookmarkStart w:id="101" w:name="_Toc1096"/>
      <w:r>
        <w:rPr>
          <w:rFonts w:hint="eastAsia" w:ascii="仿宋" w:hAnsi="仿宋" w:eastAsia="仿宋_GB2312"/>
          <w:b w:val="0"/>
          <w:bCs w:val="0"/>
          <w:color w:val="000000" w:themeColor="text1"/>
          <w:spacing w:val="0"/>
          <w:sz w:val="32"/>
          <w:szCs w:val="32"/>
          <w:highlight w:val="none"/>
          <w14:textFill>
            <w14:solidFill>
              <w14:schemeClr w14:val="tx1"/>
            </w14:solidFill>
          </w14:textFill>
        </w:rPr>
        <w:t>二、收</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入决算表</w:t>
      </w:r>
      <w:bookmarkEnd w:id="100"/>
      <w:bookmarkEnd w:id="101"/>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02" w:name="_Toc3172"/>
      <w:bookmarkStart w:id="103" w:name="_Toc15396621"/>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三、</w:t>
      </w:r>
      <w:r>
        <w:rPr>
          <w:rFonts w:hint="eastAsia" w:ascii="仿宋" w:hAnsi="仿宋" w:eastAsia="仿宋_GB2312"/>
          <w:b w:val="0"/>
          <w:bCs w:val="0"/>
          <w:color w:val="000000" w:themeColor="text1"/>
          <w:spacing w:val="0"/>
          <w:sz w:val="32"/>
          <w:szCs w:val="32"/>
          <w:highlight w:val="none"/>
          <w14:textFill>
            <w14:solidFill>
              <w14:schemeClr w14:val="tx1"/>
            </w14:solidFill>
          </w14:textFill>
        </w:rPr>
        <w:t>支</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出决算表</w:t>
      </w:r>
      <w:bookmarkEnd w:id="102"/>
      <w:bookmarkEnd w:id="103"/>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04" w:name="_Toc16312"/>
      <w:bookmarkStart w:id="105" w:name="_Toc15396622"/>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四、</w:t>
      </w:r>
      <w:r>
        <w:rPr>
          <w:rFonts w:hint="eastAsia" w:ascii="仿宋" w:hAnsi="仿宋" w:eastAsia="仿宋_GB2312"/>
          <w:b w:val="0"/>
          <w:bCs w:val="0"/>
          <w:color w:val="000000" w:themeColor="text1"/>
          <w:spacing w:val="0"/>
          <w:sz w:val="32"/>
          <w:szCs w:val="32"/>
          <w:highlight w:val="none"/>
          <w14:textFill>
            <w14:solidFill>
              <w14:schemeClr w14:val="tx1"/>
            </w14:solidFill>
          </w14:textFill>
        </w:rPr>
        <w:t>财</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政拨款收入支出决算总表</w:t>
      </w:r>
      <w:bookmarkEnd w:id="104"/>
      <w:bookmarkEnd w:id="105"/>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Style w:val="34"/>
          <w:rFonts w:ascii="仿宋" w:hAnsi="仿宋" w:eastAsia="仿宋_GB2312"/>
          <w:b w:val="0"/>
          <w:bCs w:val="0"/>
          <w:color w:val="000000" w:themeColor="text1"/>
          <w:spacing w:val="0"/>
          <w:sz w:val="32"/>
          <w:szCs w:val="32"/>
          <w:highlight w:val="none"/>
          <w14:textFill>
            <w14:solidFill>
              <w14:schemeClr w14:val="tx1"/>
            </w14:solidFill>
          </w14:textFill>
        </w:rPr>
      </w:pPr>
      <w:bookmarkStart w:id="106" w:name="_Toc15396623"/>
      <w:bookmarkStart w:id="107" w:name="_Toc9906"/>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五、</w:t>
      </w:r>
      <w:r>
        <w:rPr>
          <w:rFonts w:hint="eastAsia" w:ascii="仿宋" w:hAnsi="仿宋" w:eastAsia="仿宋_GB2312"/>
          <w:b w:val="0"/>
          <w:bCs w:val="0"/>
          <w:color w:val="000000" w:themeColor="text1"/>
          <w:spacing w:val="0"/>
          <w:sz w:val="32"/>
          <w:szCs w:val="32"/>
          <w:highlight w:val="none"/>
          <w14:textFill>
            <w14:solidFill>
              <w14:schemeClr w14:val="tx1"/>
            </w14:solidFill>
          </w14:textFill>
        </w:rPr>
        <w:t>财</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政拨款支出决算明细表</w:t>
      </w:r>
      <w:bookmarkEnd w:id="106"/>
      <w:bookmarkEnd w:id="107"/>
      <w:bookmarkStart w:id="108" w:name="_Toc15396624"/>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09" w:name="_Toc782"/>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六、</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一</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般公共预算财政拨款支出决算表</w:t>
      </w:r>
      <w:bookmarkEnd w:id="108"/>
      <w:bookmarkEnd w:id="109"/>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10" w:name="_Toc15757"/>
      <w:bookmarkStart w:id="111" w:name="_Toc15396625"/>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七、</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一</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般公共预算财政拨款支出决算明细表</w:t>
      </w:r>
      <w:bookmarkEnd w:id="110"/>
      <w:bookmarkEnd w:id="111"/>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12" w:name="_Toc15396626"/>
      <w:bookmarkStart w:id="113" w:name="_Toc21771"/>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八、</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一</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般公共预算财政拨款基本支出决算表</w:t>
      </w:r>
      <w:bookmarkEnd w:id="112"/>
      <w:bookmarkEnd w:id="113"/>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14" w:name="_Toc22673"/>
      <w:bookmarkStart w:id="115" w:name="_Toc15396627"/>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九、</w:t>
      </w:r>
      <w:r>
        <w:rPr>
          <w:rFonts w:hint="eastAsia" w:ascii="仿宋" w:hAnsi="仿宋" w:eastAsia="仿宋_GB2312"/>
          <w:b w:val="0"/>
          <w:bCs w:val="0"/>
          <w:color w:val="000000" w:themeColor="text1"/>
          <w:spacing w:val="0"/>
          <w:sz w:val="32"/>
          <w:szCs w:val="32"/>
          <w:highlight w:val="none"/>
          <w14:textFill>
            <w14:solidFill>
              <w14:schemeClr w14:val="tx1"/>
            </w14:solidFill>
          </w14:textFill>
        </w:rPr>
        <w:t>一</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般公共预算财政拨款项目支出决算表</w:t>
      </w:r>
      <w:bookmarkEnd w:id="114"/>
      <w:bookmarkEnd w:id="115"/>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16" w:name="_Toc15396628"/>
      <w:bookmarkStart w:id="117" w:name="_Toc21296"/>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十、</w:t>
      </w:r>
      <w:bookmarkEnd w:id="116"/>
      <w:r>
        <w:rPr>
          <w:rFonts w:hint="eastAsia" w:ascii="仿宋" w:hAnsi="仿宋" w:eastAsia="仿宋_GB2312"/>
          <w:b w:val="0"/>
          <w:bCs w:val="0"/>
          <w:color w:val="000000" w:themeColor="text1"/>
          <w:spacing w:val="0"/>
          <w:sz w:val="32"/>
          <w:szCs w:val="32"/>
          <w:highlight w:val="none"/>
          <w14:textFill>
            <w14:solidFill>
              <w14:schemeClr w14:val="tx1"/>
            </w14:solidFill>
          </w14:textFill>
        </w:rPr>
        <w:t>政</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府性基金预算财政拨款收入支出决算表</w:t>
      </w:r>
      <w:bookmarkEnd w:id="117"/>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18" w:name="_Toc15396629"/>
      <w:bookmarkStart w:id="119" w:name="_Toc27178"/>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十一、</w:t>
      </w:r>
      <w:bookmarkEnd w:id="118"/>
      <w:r>
        <w:rPr>
          <w:rFonts w:hint="eastAsia" w:ascii="仿宋" w:hAnsi="仿宋" w:eastAsia="仿宋_GB2312"/>
          <w:b w:val="0"/>
          <w:bCs w:val="0"/>
          <w:color w:val="000000" w:themeColor="text1"/>
          <w:spacing w:val="0"/>
          <w:sz w:val="32"/>
          <w:szCs w:val="32"/>
          <w:highlight w:val="none"/>
          <w14:textFill>
            <w14:solidFill>
              <w14:schemeClr w14:val="tx1"/>
            </w14:solidFill>
          </w14:textFill>
        </w:rPr>
        <w:t>国</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有资本经营预算</w:t>
      </w:r>
      <w:r>
        <w:rPr>
          <w:rStyle w:val="34"/>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t>财政拨款收入</w:t>
      </w:r>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支出决算表</w:t>
      </w:r>
      <w:bookmarkEnd w:id="119"/>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ascii="仿宋" w:hAnsi="仿宋" w:eastAsia="仿宋_GB2312"/>
          <w:b w:val="0"/>
          <w:bCs w:val="0"/>
          <w:color w:val="000000" w:themeColor="text1"/>
          <w:spacing w:val="0"/>
          <w:sz w:val="32"/>
          <w:szCs w:val="32"/>
          <w:highlight w:val="none"/>
          <w14:textFill>
            <w14:solidFill>
              <w14:schemeClr w14:val="tx1"/>
            </w14:solidFill>
          </w14:textFill>
        </w:rPr>
      </w:pPr>
      <w:bookmarkStart w:id="120" w:name="_Toc15396630"/>
      <w:bookmarkStart w:id="121" w:name="_Toc3430"/>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十二、</w:t>
      </w:r>
      <w:bookmarkEnd w:id="120"/>
      <w:r>
        <w:rPr>
          <w:rStyle w:val="34"/>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t>国有资本经营预算财政拨款支出决算表</w:t>
      </w:r>
      <w:bookmarkEnd w:id="121"/>
    </w:p>
    <w:p>
      <w:pPr>
        <w:pStyle w:val="4"/>
        <w:keepNext w:val="0"/>
        <w:keepLines w:val="0"/>
        <w:pageBreakBefore w:val="0"/>
        <w:widowControl w:val="0"/>
        <w:kinsoku/>
        <w:wordWrap/>
        <w:overflowPunct w:val="0"/>
        <w:topLinePunct w:val="0"/>
        <w:autoSpaceDE/>
        <w:autoSpaceDN/>
        <w:bidi w:val="0"/>
        <w:adjustRightInd/>
        <w:snapToGrid/>
        <w:spacing w:before="0" w:after="0" w:line="576" w:lineRule="exact"/>
        <w:ind w:firstLine="640" w:firstLineChars="200"/>
        <w:textAlignment w:val="auto"/>
        <w:rPr>
          <w:rFonts w:hint="eastAsia" w:eastAsia="仿宋_GB2312"/>
          <w:b w:val="0"/>
          <w:bCs w:val="0"/>
          <w:color w:val="000000" w:themeColor="text1"/>
          <w:spacing w:val="0"/>
          <w:sz w:val="32"/>
          <w:szCs w:val="32"/>
          <w:highlight w:val="none"/>
          <w:lang w:eastAsia="zh-CN"/>
          <w14:textFill>
            <w14:solidFill>
              <w14:schemeClr w14:val="tx1"/>
            </w14:solidFill>
          </w14:textFill>
        </w:rPr>
      </w:pPr>
      <w:bookmarkStart w:id="122" w:name="_Toc15396631"/>
      <w:bookmarkStart w:id="123" w:name="_Toc13607"/>
      <w:r>
        <w:rPr>
          <w:rStyle w:val="34"/>
          <w:rFonts w:hint="eastAsia" w:ascii="仿宋" w:hAnsi="仿宋" w:eastAsia="仿宋_GB2312"/>
          <w:b w:val="0"/>
          <w:bCs w:val="0"/>
          <w:color w:val="000000" w:themeColor="text1"/>
          <w:spacing w:val="0"/>
          <w:sz w:val="32"/>
          <w:szCs w:val="32"/>
          <w:highlight w:val="none"/>
          <w14:textFill>
            <w14:solidFill>
              <w14:schemeClr w14:val="tx1"/>
            </w14:solidFill>
          </w14:textFill>
        </w:rPr>
        <w:t>十三、</w:t>
      </w:r>
      <w:bookmarkEnd w:id="122"/>
      <w:r>
        <w:rPr>
          <w:rStyle w:val="34"/>
          <w:rFonts w:hint="eastAsia" w:ascii="仿宋" w:hAnsi="仿宋" w:eastAsia="仿宋_GB2312"/>
          <w:b w:val="0"/>
          <w:bCs w:val="0"/>
          <w:color w:val="000000" w:themeColor="text1"/>
          <w:spacing w:val="0"/>
          <w:sz w:val="32"/>
          <w:szCs w:val="32"/>
          <w:highlight w:val="none"/>
          <w:lang w:eastAsia="zh-CN"/>
          <w14:textFill>
            <w14:solidFill>
              <w14:schemeClr w14:val="tx1"/>
            </w14:solidFill>
          </w14:textFill>
        </w:rPr>
        <w:t>财政拨款“三公”经费支出决算表</w:t>
      </w:r>
      <w:bookmarkEnd w:id="123"/>
    </w:p>
    <w:sectPr>
      <w:pgSz w:w="11906" w:h="16838"/>
      <w:pgMar w:top="2098" w:right="1474" w:bottom="1984" w:left="1587" w:header="851" w:footer="1587" w:gutter="0"/>
      <w:pgBorders>
        <w:top w:val="none" w:sz="0" w:space="0"/>
        <w:left w:val="none" w:sz="0" w:space="0"/>
        <w:bottom w:val="none" w:sz="0" w:space="0"/>
        <w:right w:val="none" w:sz="0" w:space="0"/>
      </w:pgBorders>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bidi w:val="0"/>
                            <w:adjustRightInd/>
                            <w:snapToGrid w:val="0"/>
                            <w:ind w:left="210" w:leftChars="100" w:right="210"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KIg4NADAgAACwQAAA4AAAAAAAAAAQAgAAAAHwEAAGRycy9lMm9E&#10;b2MueG1sUEsFBgAAAAAGAAYAWQEAAJQFAAAAAA==&#10;">
              <v:fill on="f" focussize="0,0"/>
              <v:stroke on="f"/>
              <v:imagedata o:title=""/>
              <o:lock v:ext="edit" aspectratio="f"/>
              <v:textbox inset="0mm,0mm,0mm,0mm" style="mso-fit-shape-to-text:t;">
                <w:txbxContent>
                  <w:p>
                    <w:pPr>
                      <w:pStyle w:val="12"/>
                      <w:keepNext w:val="0"/>
                      <w:keepLines w:val="0"/>
                      <w:pageBreakBefore w:val="0"/>
                      <w:widowControl w:val="0"/>
                      <w:kinsoku/>
                      <w:wordWrap/>
                      <w:overflowPunct/>
                      <w:topLinePunct w:val="0"/>
                      <w:bidi w:val="0"/>
                      <w:adjustRightInd/>
                      <w:snapToGrid w:val="0"/>
                      <w:ind w:left="210" w:leftChars="100" w:right="210"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reGiMDAgAACwQAAA4AAABkcnMvZTJvRG9jLnhtbK1TzY7TMBC+I/EO&#10;lu80aSWgip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iuahPw1Z05Yavnl29fL95+X&#10;H1/Yy2RQ60NBefd+h+MuEExquxpt+pIO1vWmnq+mqi4yScH5crFc5uS3pLNpQzzZw+8eQ3ynwLIE&#10;So7Utd5McboNcUidUtJtDrbaGIqLwrg/AsSZIlmqeKgxodjtu7HwPVRn0oswDELwcqvpzlsR4k4g&#10;dZ7qpLcR72ipDbQlhxFx1gB+/lc85VND6JSzliap5I4eDmfmvaNGpaGbAE5gPwF3tG+BRnPOGUbT&#10;Q/pBOEl0JY+cHT3qQ9NXm5QG/+YYSX7vStI2CBol04z0vo7znIbw932f9fCG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FreGiMDAgAACwQAAA4AAAAAAAAAAQAgAAAAHwEAAGRycy9lMm9E&#10;b2MueG1sUEsFBgAAAAAGAAYAWQEAAJQFA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3"/>
      <w:numFmt w:val="chineseCounting"/>
      <w:suff w:val="nothing"/>
      <w:lvlText w:val="（%1）"/>
      <w:lvlJc w:val="left"/>
      <w:rPr>
        <w:rFonts w:hint="eastAsia"/>
      </w:rPr>
    </w:lvl>
  </w:abstractNum>
  <w:abstractNum w:abstractNumId="1">
    <w:nsid w:val="B5E306ED"/>
    <w:multiLevelType w:val="singleLevel"/>
    <w:tmpl w:val="B5E306ED"/>
    <w:lvl w:ilvl="0" w:tentative="0">
      <w:start w:val="3"/>
      <w:numFmt w:val="chineseCounting"/>
      <w:suff w:val="space"/>
      <w:lvlText w:val="第%1部分"/>
      <w:lvlJc w:val="left"/>
      <w:rPr>
        <w:rFonts w:hint="eastAsia"/>
      </w:rPr>
    </w:lvl>
  </w:abstractNum>
  <w:abstractNum w:abstractNumId="2">
    <w:nsid w:val="BF205925"/>
    <w:multiLevelType w:val="singleLevel"/>
    <w:tmpl w:val="BF205925"/>
    <w:lvl w:ilvl="0" w:tentative="0">
      <w:start w:val="9"/>
      <w:numFmt w:val="chineseCounting"/>
      <w:suff w:val="nothing"/>
      <w:lvlText w:val="%1、"/>
      <w:lvlJc w:val="left"/>
      <w:rPr>
        <w:rFonts w:hint="eastAsia"/>
      </w:rPr>
    </w:lvl>
  </w:abstractNum>
  <w:abstractNum w:abstractNumId="3">
    <w:nsid w:val="CF092B84"/>
    <w:multiLevelType w:val="multilevel"/>
    <w:tmpl w:val="CF092B84"/>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4">
    <w:nsid w:val="0053208E"/>
    <w:multiLevelType w:val="singleLevel"/>
    <w:tmpl w:val="0053208E"/>
    <w:lvl w:ilvl="0" w:tentative="0">
      <w:start w:val="1"/>
      <w:numFmt w:val="chineseCounting"/>
      <w:suff w:val="nothing"/>
      <w:lvlText w:val="%1、"/>
      <w:lvlJc w:val="left"/>
      <w:rPr>
        <w:rFonts w:hint="eastAsia"/>
      </w:rPr>
    </w:lvl>
  </w:abstractNum>
  <w:abstractNum w:abstractNumId="5">
    <w:nsid w:val="0248C179"/>
    <w:multiLevelType w:val="singleLevel"/>
    <w:tmpl w:val="0248C179"/>
    <w:lvl w:ilvl="0" w:tentative="0">
      <w:start w:val="1"/>
      <w:numFmt w:val="chineseCounting"/>
      <w:suff w:val="nothing"/>
      <w:lvlText w:val="%1、"/>
      <w:lvlJc w:val="left"/>
      <w:rPr>
        <w:rFonts w:hint="eastAsia"/>
      </w:rPr>
    </w:lvl>
  </w:abstractNum>
  <w:abstractNum w:abstractNumId="6">
    <w:nsid w:val="03D62ECE"/>
    <w:multiLevelType w:val="singleLevel"/>
    <w:tmpl w:val="03D62ECE"/>
    <w:lvl w:ilvl="0" w:tentative="0">
      <w:start w:val="1"/>
      <w:numFmt w:val="chineseCounting"/>
      <w:suff w:val="nothing"/>
      <w:lvlText w:val="%1、"/>
      <w:lvlJc w:val="left"/>
      <w:rPr>
        <w:rFonts w:hint="eastAsia"/>
      </w:rPr>
    </w:lvl>
  </w:abstractNum>
  <w:abstractNum w:abstractNumId="7">
    <w:nsid w:val="25B654F3"/>
    <w:multiLevelType w:val="singleLevel"/>
    <w:tmpl w:val="25B654F3"/>
    <w:lvl w:ilvl="0" w:tentative="0">
      <w:start w:val="1"/>
      <w:numFmt w:val="chineseCounting"/>
      <w:suff w:val="nothing"/>
      <w:lvlText w:val="（%1）"/>
      <w:lvlJc w:val="left"/>
      <w:rPr>
        <w:rFonts w:hint="eastAsia"/>
      </w:rPr>
    </w:lvl>
  </w:abstractNum>
  <w:abstractNum w:abstractNumId="8">
    <w:nsid w:val="2A8F537B"/>
    <w:multiLevelType w:val="singleLevel"/>
    <w:tmpl w:val="2A8F537B"/>
    <w:lvl w:ilvl="0" w:tentative="0">
      <w:start w:val="2"/>
      <w:numFmt w:val="chineseCounting"/>
      <w:suff w:val="nothing"/>
      <w:lvlText w:val="（%1）"/>
      <w:lvlJc w:val="left"/>
      <w:rPr>
        <w:rFonts w:hint="eastAsia"/>
      </w:rPr>
    </w:lvl>
  </w:abstractNum>
  <w:abstractNum w:abstractNumId="9">
    <w:nsid w:val="59ADCABA"/>
    <w:multiLevelType w:val="singleLevel"/>
    <w:tmpl w:val="59ADCABA"/>
    <w:lvl w:ilvl="0" w:tentative="0">
      <w:start w:val="2"/>
      <w:numFmt w:val="decimal"/>
      <w:suff w:val="nothing"/>
      <w:lvlText w:val="%1、"/>
      <w:lvlJc w:val="left"/>
    </w:lvl>
  </w:abstractNum>
  <w:abstractNum w:abstractNumId="10">
    <w:nsid w:val="72183CF9"/>
    <w:multiLevelType w:val="singleLevel"/>
    <w:tmpl w:val="72183CF9"/>
    <w:lvl w:ilvl="0" w:tentative="0">
      <w:start w:val="4"/>
      <w:numFmt w:val="chineseCounting"/>
      <w:suff w:val="nothing"/>
      <w:lvlText w:val="（%1）"/>
      <w:lvlJc w:val="left"/>
      <w:rPr>
        <w:rFonts w:hint="eastAsi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DA1YjlkOTNjM2JkZWJjMTYxZWM5NGI4ODM1NTIifQ=="/>
  </w:docVars>
  <w:rsids>
    <w:rsidRoot w:val="00000000"/>
    <w:rsid w:val="00693A3C"/>
    <w:rsid w:val="592947A2"/>
    <w:rsid w:val="69F50CBD"/>
    <w:rsid w:val="7AE81D8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line="560" w:lineRule="exact"/>
      <w:outlineLvl w:val="0"/>
    </w:pPr>
    <w:rPr>
      <w:rFonts w:ascii="Times New Roman" w:hAnsi="Times New Roman" w:eastAsia="方正小标宋简体"/>
      <w:bCs/>
      <w:kern w:val="44"/>
      <w:sz w:val="44"/>
      <w:szCs w:val="44"/>
    </w:rPr>
  </w:style>
  <w:style w:type="paragraph" w:styleId="4">
    <w:name w:val="heading 2"/>
    <w:basedOn w:val="1"/>
    <w:next w:val="1"/>
    <w:link w:val="34"/>
    <w:unhideWhenUsed/>
    <w:qFormat/>
    <w:uiPriority w:val="9"/>
    <w:pPr>
      <w:keepNext/>
      <w:keepLines/>
      <w:spacing w:line="560" w:lineRule="exact"/>
      <w:ind w:firstLine="1440" w:firstLineChars="200"/>
      <w:outlineLvl w:val="1"/>
    </w:pPr>
    <w:rPr>
      <w:rFonts w:asciiTheme="majorAscii" w:hAnsiTheme="majorAsci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pPr>
      <w:spacing w:beforeLines="30"/>
    </w:pPr>
    <w:rPr>
      <w:rFonts w:ascii="仿宋_GB2312" w:eastAsia="仿宋_GB2312"/>
      <w:kern w:val="0"/>
      <w:sz w:val="30"/>
    </w:rPr>
  </w:style>
  <w:style w:type="paragraph" w:styleId="6">
    <w:name w:val="index 8"/>
    <w:basedOn w:val="1"/>
    <w:next w:val="1"/>
    <w:qFormat/>
    <w:uiPriority w:val="99"/>
    <w:pPr>
      <w:ind w:left="2940"/>
    </w:pPr>
    <w:rPr>
      <w:rFonts w:cs="黑体"/>
      <w:szCs w:val="22"/>
    </w:rPr>
  </w:style>
  <w:style w:type="paragraph" w:styleId="7">
    <w:name w:val="Normal Indent"/>
    <w:basedOn w:val="1"/>
    <w:qFormat/>
    <w:uiPriority w:val="0"/>
    <w:pPr>
      <w:ind w:firstLine="420" w:firstLineChars="200"/>
    </w:pPr>
    <w:rPr>
      <w:rFonts w:ascii="Calibri" w:hAnsi="Calibri" w:eastAsia="仿宋"/>
      <w:sz w:val="32"/>
    </w:rPr>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6"/>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jc w:val="left"/>
    </w:pPr>
    <w:rPr>
      <w:kern w:val="0"/>
      <w:sz w:val="24"/>
    </w:rPr>
  </w:style>
  <w:style w:type="paragraph" w:styleId="17">
    <w:name w:val="Body Text First Indent"/>
    <w:basedOn w:val="2"/>
    <w:unhideWhenUsed/>
    <w:qFormat/>
    <w:uiPriority w:val="99"/>
    <w:pPr>
      <w:ind w:firstLine="420" w:firstLineChars="100"/>
    </w:pPr>
    <w:rPr>
      <w:kern w:val="0"/>
      <w:sz w:val="20"/>
      <w:szCs w:val="20"/>
    </w:rPr>
  </w:style>
  <w:style w:type="table" w:styleId="1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20"/>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20"/>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20"/>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customStyle="1" w:styleId="30">
    <w:name w:val="Default"/>
    <w:next w:val="31"/>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样式1"/>
    <w:basedOn w:val="1"/>
    <w:next w:val="6"/>
    <w:qFormat/>
    <w:uiPriority w:val="0"/>
    <w:rPr>
      <w:b/>
      <w:color w:val="538135"/>
      <w:sz w:val="28"/>
    </w:rPr>
  </w:style>
  <w:style w:type="paragraph" w:styleId="32">
    <w:name w:val="List Paragraph"/>
    <w:basedOn w:val="1"/>
    <w:qFormat/>
    <w:uiPriority w:val="34"/>
    <w:pPr>
      <w:ind w:firstLine="420" w:firstLineChars="200"/>
    </w:pPr>
  </w:style>
  <w:style w:type="character" w:customStyle="1" w:styleId="33">
    <w:name w:val="标题 1 Char"/>
    <w:basedOn w:val="20"/>
    <w:link w:val="3"/>
    <w:qFormat/>
    <w:uiPriority w:val="9"/>
    <w:rPr>
      <w:rFonts w:ascii="Times New Roman" w:hAnsi="Times New Roman" w:eastAsia="方正小标宋简体"/>
      <w:bCs/>
      <w:kern w:val="44"/>
      <w:sz w:val="44"/>
      <w:szCs w:val="44"/>
    </w:rPr>
  </w:style>
  <w:style w:type="character" w:customStyle="1" w:styleId="34">
    <w:name w:val="标题 2 Char"/>
    <w:basedOn w:val="20"/>
    <w:link w:val="4"/>
    <w:qFormat/>
    <w:uiPriority w:val="9"/>
    <w:rPr>
      <w:rFonts w:asciiTheme="majorAscii" w:hAnsiTheme="majorAsci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0"/>
    <w:link w:val="11"/>
    <w:semiHidden/>
    <w:qFormat/>
    <w:uiPriority w:val="99"/>
    <w:rPr>
      <w:rFonts w:ascii="Times New Roman" w:hAnsi="Times New Roman"/>
      <w:kern w:val="2"/>
      <w:sz w:val="18"/>
      <w:szCs w:val="18"/>
    </w:rPr>
  </w:style>
  <w:style w:type="character" w:customStyle="1" w:styleId="37">
    <w:name w:val="标题 3 Char"/>
    <w:basedOn w:val="20"/>
    <w:link w:val="5"/>
    <w:qFormat/>
    <w:uiPriority w:val="9"/>
    <w:rPr>
      <w:rFonts w:ascii="Times New Roman" w:hAnsi="Times New Roman"/>
      <w:b/>
      <w:bCs/>
      <w:kern w:val="2"/>
      <w:sz w:val="32"/>
      <w:szCs w:val="32"/>
    </w:rPr>
  </w:style>
  <w:style w:type="paragraph" w:customStyle="1" w:styleId="3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40">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41">
    <w:name w:val="font31"/>
    <w:basedOn w:val="20"/>
    <w:qFormat/>
    <w:uiPriority w:val="0"/>
    <w:rPr>
      <w:rFonts w:hint="eastAsia" w:ascii="宋体" w:hAnsi="宋体" w:eastAsia="宋体" w:cs="宋体"/>
      <w:color w:val="000000"/>
      <w:sz w:val="18"/>
      <w:szCs w:val="18"/>
      <w:u w:val="none"/>
    </w:rPr>
  </w:style>
  <w:style w:type="character" w:customStyle="1" w:styleId="42">
    <w:name w:val="font71"/>
    <w:basedOn w:val="20"/>
    <w:qFormat/>
    <w:uiPriority w:val="0"/>
    <w:rPr>
      <w:rFonts w:hint="eastAsia" w:ascii="宋体" w:hAnsi="宋体" w:eastAsia="宋体" w:cs="宋体"/>
      <w:color w:val="000000"/>
      <w:sz w:val="16"/>
      <w:szCs w:val="16"/>
      <w:u w:val="none"/>
    </w:rPr>
  </w:style>
  <w:style w:type="character" w:customStyle="1" w:styleId="43">
    <w:name w:val="font61"/>
    <w:basedOn w:val="2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1  </a:t>
            </a:r>
            <a:r>
              <a:rPr altLang="en-US"/>
              <a:t>收、支决算总计变动情况图</a:t>
            </a:r>
            <a:endParaRPr altLang="en-US"/>
          </a:p>
        </c:rich>
      </c:tx>
      <c:layout>
        <c:manualLayout>
          <c:xMode val="edge"/>
          <c:yMode val="edge"/>
          <c:x val="0.291495530321334"/>
          <c:y val="0.046536336591585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c:v>
                </c:pt>
              </c:strCache>
            </c:strRef>
          </c:tx>
          <c:spPr>
            <a:solidFill>
              <a:schemeClr val="accent1"/>
            </a:solidFill>
            <a:ln>
              <a:noFill/>
            </a:ln>
            <a:effectLst/>
          </c:spPr>
          <c:invertIfNegative val="0"/>
          <c:dLbls>
            <c:delete val="1"/>
          </c:dLbls>
          <c:cat>
            <c:strRef>
              <c:f>Sheet1!$A$2:$A$3</c:f>
              <c:strCache>
                <c:ptCount val="2"/>
                <c:pt idx="0">
                  <c:v>2021年（万元）</c:v>
                </c:pt>
                <c:pt idx="1">
                  <c:v>2022年（万元）</c:v>
                </c:pt>
              </c:strCache>
            </c:strRef>
          </c:cat>
          <c:val>
            <c:numRef>
              <c:f>Sheet1!$B$2:$B$3</c:f>
              <c:numCache>
                <c:formatCode>General</c:formatCode>
                <c:ptCount val="2"/>
                <c:pt idx="0">
                  <c:v>1165.45</c:v>
                </c:pt>
                <c:pt idx="1">
                  <c:v>1399.62</c:v>
                </c:pt>
              </c:numCache>
            </c:numRef>
          </c:val>
        </c:ser>
        <c:ser>
          <c:idx val="1"/>
          <c:order val="1"/>
          <c:tx>
            <c:strRef>
              <c:f>Sheet1!$C$1</c:f>
              <c:strCache>
                <c:ptCount val="1"/>
                <c:pt idx="0">
                  <c:v>支</c:v>
                </c:pt>
              </c:strCache>
            </c:strRef>
          </c:tx>
          <c:spPr>
            <a:solidFill>
              <a:schemeClr val="accent2"/>
            </a:solidFill>
            <a:ln>
              <a:noFill/>
            </a:ln>
            <a:effectLst/>
          </c:spPr>
          <c:invertIfNegative val="0"/>
          <c:dLbls>
            <c:delete val="1"/>
          </c:dLbls>
          <c:cat>
            <c:strRef>
              <c:f>Sheet1!$A$2:$A$3</c:f>
              <c:strCache>
                <c:ptCount val="2"/>
                <c:pt idx="0">
                  <c:v>2021年（万元）</c:v>
                </c:pt>
                <c:pt idx="1">
                  <c:v>2022年（万元）</c:v>
                </c:pt>
              </c:strCache>
            </c:strRef>
          </c:cat>
          <c:val>
            <c:numRef>
              <c:f>Sheet1!$C$2:$C$3</c:f>
              <c:numCache>
                <c:formatCode>General</c:formatCode>
                <c:ptCount val="2"/>
                <c:pt idx="0">
                  <c:v>1165.45</c:v>
                </c:pt>
                <c:pt idx="1">
                  <c:v>1399.62</c:v>
                </c:pt>
              </c:numCache>
            </c:numRef>
          </c:val>
        </c:ser>
        <c:dLbls>
          <c:showLegendKey val="0"/>
          <c:showVal val="0"/>
          <c:showCatName val="0"/>
          <c:showSerName val="0"/>
          <c:showPercent val="0"/>
          <c:showBubbleSize val="0"/>
        </c:dLbls>
        <c:gapWidth val="246"/>
        <c:overlap val="-28"/>
        <c:axId val="111579725"/>
        <c:axId val="939593470"/>
      </c:barChart>
      <c:catAx>
        <c:axId val="11157972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593470"/>
        <c:crosses val="autoZero"/>
        <c:auto val="1"/>
        <c:lblAlgn val="ctr"/>
        <c:lblOffset val="100"/>
        <c:noMultiLvlLbl val="0"/>
      </c:catAx>
      <c:valAx>
        <c:axId val="939593470"/>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5797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2  </a:t>
            </a:r>
            <a:r>
              <a:rPr altLang="en-US"/>
              <a:t>收入决算结构图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3  </a:t>
            </a:r>
            <a:r>
              <a:rPr altLang="en-US"/>
              <a:t>支出决算结构图</a:t>
            </a:r>
            <a:endParaRPr altLang="en-US"/>
          </a:p>
        </c:rich>
      </c:tx>
      <c:layout>
        <c:manualLayout>
          <c:xMode val="edge"/>
          <c:yMode val="edge"/>
          <c:x val="0.346702101956994"/>
          <c:y val="0.0254993625159371"/>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0.8728</c:v>
                </c:pt>
                <c:pt idx="1">
                  <c:v>0.1272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4  </a:t>
            </a:r>
            <a:r>
              <a:rPr altLang="en-US"/>
              <a:t>财政拨款收、支决算总计变动情况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2021年（万元）</c:v>
                </c:pt>
                <c:pt idx="1">
                  <c:v>2022年（万元）</c:v>
                </c:pt>
              </c:strCache>
            </c:strRef>
          </c:cat>
          <c:val>
            <c:numRef>
              <c:f>Sheet1!$B$2:$B$3</c:f>
              <c:numCache>
                <c:formatCode>General</c:formatCode>
                <c:ptCount val="2"/>
                <c:pt idx="0">
                  <c:v>1165.45</c:v>
                </c:pt>
                <c:pt idx="1">
                  <c:v>1399.62</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2021年（万元）</c:v>
                </c:pt>
                <c:pt idx="1">
                  <c:v>2022年（万元）</c:v>
                </c:pt>
              </c:strCache>
            </c:strRef>
          </c:cat>
          <c:val>
            <c:numRef>
              <c:f>Sheet1!$C$2:$C$3</c:f>
              <c:numCache>
                <c:formatCode>General</c:formatCode>
                <c:ptCount val="2"/>
                <c:pt idx="0">
                  <c:v>1165.45</c:v>
                </c:pt>
                <c:pt idx="1">
                  <c:v>1399.62</c:v>
                </c:pt>
              </c:numCache>
            </c:numRef>
          </c:val>
        </c:ser>
        <c:dLbls>
          <c:showLegendKey val="0"/>
          <c:showVal val="0"/>
          <c:showCatName val="0"/>
          <c:showSerName val="0"/>
          <c:showPercent val="0"/>
          <c:showBubbleSize val="0"/>
        </c:dLbls>
        <c:gapWidth val="246"/>
        <c:overlap val="-28"/>
        <c:axId val="665795351"/>
        <c:axId val="69423123"/>
      </c:barChart>
      <c:catAx>
        <c:axId val="66579535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23123"/>
        <c:crosses val="autoZero"/>
        <c:auto val="1"/>
        <c:lblAlgn val="ctr"/>
        <c:lblOffset val="100"/>
        <c:noMultiLvlLbl val="0"/>
      </c:catAx>
      <c:valAx>
        <c:axId val="69423123"/>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57953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5  </a:t>
            </a:r>
            <a:r>
              <a:rPr altLang="en-US"/>
              <a:t>一般公共预算财政拨款支出决算变动情况</a:t>
            </a:r>
            <a:endParaRPr altLang="en-US"/>
          </a:p>
        </c:rich>
      </c:tx>
      <c:layout/>
      <c:overlay val="0"/>
      <c:spPr>
        <a:noFill/>
        <a:ln>
          <a:noFill/>
        </a:ln>
        <a:effectLst/>
      </c:spPr>
    </c:title>
    <c:autoTitleDeleted val="0"/>
    <c:plotArea>
      <c:layout>
        <c:manualLayout>
          <c:layoutTarget val="inner"/>
          <c:xMode val="edge"/>
          <c:yMode val="edge"/>
          <c:x val="0.0760570186035274"/>
          <c:y val="0.157883552911177"/>
          <c:w val="0.89736651365064"/>
          <c:h val="0.637994050148746"/>
        </c:manualLayout>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delete val="1"/>
          </c:dLbls>
          <c:cat>
            <c:strRef>
              <c:f>Sheet1!$A$2:$A$3</c:f>
              <c:strCache>
                <c:ptCount val="2"/>
                <c:pt idx="0">
                  <c:v>2021年（万元）</c:v>
                </c:pt>
                <c:pt idx="1">
                  <c:v>2022年（万元）</c:v>
                </c:pt>
              </c:strCache>
            </c:strRef>
          </c:cat>
          <c:val>
            <c:numRef>
              <c:f>Sheet1!$B$2:$B$3</c:f>
              <c:numCache>
                <c:formatCode>General</c:formatCode>
                <c:ptCount val="2"/>
                <c:pt idx="0">
                  <c:v>1165.45</c:v>
                </c:pt>
                <c:pt idx="1">
                  <c:v>1399.62</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2021年（万元）</c:v>
                </c:pt>
                <c:pt idx="1">
                  <c:v>2022年（万元）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01092636"/>
        <c:axId val="527985325"/>
      </c:barChart>
      <c:catAx>
        <c:axId val="4010926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985325"/>
        <c:crosses val="autoZero"/>
        <c:auto val="1"/>
        <c:lblAlgn val="ctr"/>
        <c:lblOffset val="100"/>
        <c:noMultiLvlLbl val="0"/>
      </c:catAx>
      <c:valAx>
        <c:axId val="527985325"/>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10926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6  </a:t>
            </a:r>
            <a:r>
              <a:rPr altLang="en-US"/>
              <a:t>一般公共预算财政拨款支出决算结构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一般公共服务（类）支出</c:v>
                </c:pt>
                <c:pt idx="1">
                  <c:v>社会保障和就业（类）支出</c:v>
                </c:pt>
                <c:pt idx="2">
                  <c:v>卫生健康（类）支出</c:v>
                </c:pt>
                <c:pt idx="3">
                  <c:v>住房保障（类）支出</c:v>
                </c:pt>
              </c:strCache>
            </c:strRef>
          </c:cat>
          <c:val>
            <c:numRef>
              <c:f>Sheet1!$B$2:$B$5</c:f>
              <c:numCache>
                <c:formatCode>0.00%</c:formatCode>
                <c:ptCount val="4"/>
                <c:pt idx="0">
                  <c:v>0.8154</c:v>
                </c:pt>
                <c:pt idx="1">
                  <c:v>0.0879</c:v>
                </c:pt>
                <c:pt idx="2">
                  <c:v>0.034</c:v>
                </c:pt>
                <c:pt idx="3">
                  <c:v>0.0636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7  “</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因公出国（境）费支出决算</c:v>
                </c:pt>
                <c:pt idx="1">
                  <c:v>公务用车购置及运行维护费支出决算</c:v>
                </c:pt>
                <c:pt idx="2">
                  <c:v>公务接待费支出决算</c:v>
                </c:pt>
              </c:strCache>
            </c:strRef>
          </c:cat>
          <c:val>
            <c:numRef>
              <c:f>Sheet1!$B$2:$B$4</c:f>
              <c:numCache>
                <c:formatCode>0%</c:formatCode>
                <c:ptCount val="3"/>
                <c:pt idx="0">
                  <c:v>0</c:v>
                </c:pt>
                <c:pt idx="1" c:formatCode="0.00%">
                  <c:v>0.8205</c:v>
                </c:pt>
                <c:pt idx="2" c:formatCode="0.00%">
                  <c:v>0.1795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Forever</cp:lastModifiedBy>
  <cp:lastPrinted>2023-07-31T02:35:00Z</cp:lastPrinted>
  <dcterms:modified xsi:type="dcterms:W3CDTF">2023-10-10T01:18:46Z</dcterms:modified>
  <dc:title>四川省***</dc:title>
  <cp:revision>32</cp:revision>
</cp:coreProperties>
</file>

<file path=customXml/item3.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TotalTime>
  <ScaleCrop>false</ScaleCrop>
  <LinksUpToDate>false</LinksUpToDate>
  <CharactersWithSpaces>8692</CharactersWithSpaces>
  <Application>WPS Office_12.1.0.15398_F1E327BC-269C-435d-A152-05C5408002CA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2B520EC74CC24487ABEB05C0E6E6210C_13</vt:lpw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92417F440B0B4E2B8005DCFE0FD91202_13</vt:lpwstr>
  </property>
</Properties>
</file>

<file path=customXml/item6.xml><?xml version="1.0" encoding="utf-8"?>
<Properties xmlns="http://schemas.openxmlformats.org/officeDocument/2006/extended-properties" xmlns:vt="http://schemas.openxmlformats.org/officeDocument/2006/docPropsVTypes">
  <Template>Normal.dotm</Template>
  <Company>四川省财政厅</Company>
  <Pages>79</Pages>
  <Words>33468</Words>
  <Characters>35905</Characters>
  <Lines>61</Lines>
  <Paragraphs>17</Paragraphs>
  <TotalTime>0</TotalTime>
  <ScaleCrop>false</ScaleCrop>
  <LinksUpToDate>false</LinksUpToDate>
  <CharactersWithSpaces>36198</CharactersWithSpaces>
  <Application>WPS Office_12.1.0.17147_F1E327BC-269C-435d-A152-05C5408002CA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2024-07-30T03:47:58Z</dcterms:modified>
  <dc:title>四川省_x002A__x002A__x002A_</dc:title>
  <cp:revision>32</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66e81-6741-4086-9aeb-c03f7f38ba65}">
  <ds:schemaRefs/>
</ds:datastoreItem>
</file>

<file path=customXml/itemProps3.xml><?xml version="1.0" encoding="utf-8"?>
<ds:datastoreItem xmlns:ds="http://schemas.openxmlformats.org/officeDocument/2006/customXml" ds:itemID="{fff2b1fd-f384-4c8f-b59b-49c10ebd6756}">
  <ds:schemaRefs/>
</ds:datastoreItem>
</file>

<file path=customXml/itemProps4.xml><?xml version="1.0" encoding="utf-8"?>
<ds:datastoreItem xmlns:ds="http://schemas.openxmlformats.org/officeDocument/2006/customXml" ds:itemID="{73d9ae6f-3544-456f-984f-c0e8d2bf8701}">
  <ds:schemaRefs/>
</ds:datastoreItem>
</file>

<file path=customXml/itemProps5.xml><?xml version="1.0" encoding="utf-8"?>
<ds:datastoreItem xmlns:ds="http://schemas.openxmlformats.org/officeDocument/2006/customXml" ds:itemID="{304ecadd-4634-4a57-83d8-3a1e92478c34}">
  <ds:schemaRefs/>
</ds:datastoreItem>
</file>

<file path=customXml/itemProps6.xml><?xml version="1.0" encoding="utf-8"?>
<ds:datastoreItem xmlns:ds="http://schemas.openxmlformats.org/officeDocument/2006/customXml" ds:itemID="{c2a5f5fa-2234-4d86-a266-087215ac2fc4}">
  <ds:schemaRefs/>
</ds:datastoreItem>
</file>

<file path=customXml/itemProps7.xml><?xml version="1.0" encoding="utf-8"?>
<ds:datastoreItem xmlns:ds="http://schemas.openxmlformats.org/officeDocument/2006/customXml" ds:itemID="{03a1adf9-043a-4edb-a2d9-32cf4034e54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79</Pages>
  <Words>33441</Words>
  <Characters>35875</Characters>
  <Lines>61</Lines>
  <Paragraphs>17</Paragraphs>
  <TotalTime>0</TotalTime>
  <ScaleCrop>false</ScaleCrop>
  <LinksUpToDate>false</LinksUpToDate>
  <CharactersWithSpaces>36168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2024-08-13T01:25:44Z</dcterms:modified>
  <dc:title>四川省_x002A__x002A__x002A_</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92417F440B0B4E2B8005DCFE0FD91202_13</vt:lpwstr>
  </property>
</Properties>
</file>