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shd w:val="clear" w:color="auto" w:fill="FFFFFF"/>
        <w:kinsoku/>
        <w:wordWrap/>
        <w:overflowPunct/>
        <w:topLinePunct w:val="0"/>
        <w:autoSpaceDE/>
        <w:autoSpaceDN/>
        <w:bidi w:val="0"/>
        <w:adjustRightInd/>
        <w:snapToGrid/>
        <w:spacing w:line="576" w:lineRule="exact"/>
        <w:ind w:firstLine="880" w:firstLineChars="200"/>
        <w:jc w:val="both"/>
        <w:textAlignment w:val="auto"/>
        <w:rPr>
          <w:rFonts w:hint="eastAsia" w:ascii="方正小标宋简体" w:hAnsi="方正小标宋简体" w:eastAsia="方正小标宋简体" w:cs="方正小标宋简体"/>
          <w:color w:val="333333"/>
          <w:kern w:val="0"/>
          <w:sz w:val="44"/>
          <w:szCs w:val="44"/>
          <w:lang w:bidi="en-AU"/>
        </w:rPr>
      </w:pPr>
    </w:p>
    <w:p>
      <w:pPr>
        <w:keepLines w:val="0"/>
        <w:pageBreakBefore w:val="0"/>
        <w:widowControl/>
        <w:shd w:val="clear" w:color="auto" w:fill="FFFFFF"/>
        <w:kinsoku/>
        <w:wordWrap/>
        <w:overflowPunct/>
        <w:topLinePunct w:val="0"/>
        <w:autoSpaceDE/>
        <w:autoSpaceDN/>
        <w:bidi w:val="0"/>
        <w:adjustRightInd/>
        <w:snapToGrid/>
        <w:spacing w:line="576" w:lineRule="exact"/>
        <w:ind w:firstLine="880" w:firstLineChars="200"/>
        <w:jc w:val="both"/>
        <w:textAlignment w:val="auto"/>
        <w:rPr>
          <w:rFonts w:hint="eastAsia" w:ascii="方正小标宋简体" w:hAnsi="方正小标宋简体" w:eastAsia="方正小标宋简体" w:cs="方正小标宋简体"/>
          <w:color w:val="333333"/>
          <w:kern w:val="0"/>
          <w:sz w:val="44"/>
          <w:szCs w:val="44"/>
          <w:lang w:bidi="en-AU"/>
        </w:rPr>
      </w:pPr>
    </w:p>
    <w:p>
      <w:pPr>
        <w:keepLines w:val="0"/>
        <w:pageBreakBefore w:val="0"/>
        <w:widowControl/>
        <w:shd w:val="clear" w:color="auto" w:fill="FFFFFF"/>
        <w:kinsoku/>
        <w:wordWrap/>
        <w:overflowPunct/>
        <w:topLinePunct w:val="0"/>
        <w:autoSpaceDE/>
        <w:autoSpaceDN/>
        <w:bidi w:val="0"/>
        <w:adjustRightInd/>
        <w:snapToGrid/>
        <w:spacing w:line="576" w:lineRule="exact"/>
        <w:ind w:firstLine="880" w:firstLineChars="200"/>
        <w:jc w:val="both"/>
        <w:textAlignment w:val="auto"/>
        <w:rPr>
          <w:rFonts w:hint="eastAsia" w:ascii="方正小标宋简体" w:hAnsi="方正小标宋简体" w:eastAsia="方正小标宋简体" w:cs="方正小标宋简体"/>
          <w:color w:val="333333"/>
          <w:kern w:val="0"/>
          <w:sz w:val="44"/>
          <w:szCs w:val="44"/>
          <w:lang w:bidi="en-AU"/>
        </w:rPr>
      </w:pPr>
    </w:p>
    <w:p>
      <w:pPr>
        <w:keepLines w:val="0"/>
        <w:pageBreakBefore w:val="0"/>
        <w:widowControl/>
        <w:shd w:val="clear" w:color="auto" w:fill="FFFFFF"/>
        <w:kinsoku/>
        <w:wordWrap/>
        <w:overflowPunct/>
        <w:topLinePunct w:val="0"/>
        <w:autoSpaceDE/>
        <w:autoSpaceDN/>
        <w:bidi w:val="0"/>
        <w:adjustRightInd/>
        <w:snapToGrid/>
        <w:spacing w:line="576" w:lineRule="exact"/>
        <w:ind w:firstLine="880" w:firstLineChars="200"/>
        <w:jc w:val="both"/>
        <w:textAlignment w:val="auto"/>
        <w:rPr>
          <w:rFonts w:hint="eastAsia" w:ascii="方正小标宋简体" w:hAnsi="方正小标宋简体" w:eastAsia="方正小标宋简体" w:cs="方正小标宋简体"/>
          <w:color w:val="333333"/>
          <w:kern w:val="0"/>
          <w:sz w:val="44"/>
          <w:szCs w:val="44"/>
          <w:lang w:bidi="en-AU"/>
        </w:rPr>
      </w:pPr>
    </w:p>
    <w:p>
      <w:pPr>
        <w:keepLines w:val="0"/>
        <w:pageBreakBefore w:val="0"/>
        <w:widowControl/>
        <w:shd w:val="clear" w:color="auto" w:fill="FFFFFF"/>
        <w:kinsoku/>
        <w:wordWrap/>
        <w:overflowPunct/>
        <w:topLinePunct w:val="0"/>
        <w:autoSpaceDE/>
        <w:autoSpaceDN/>
        <w:bidi w:val="0"/>
        <w:adjustRightInd/>
        <w:snapToGrid/>
        <w:spacing w:line="576" w:lineRule="exact"/>
        <w:ind w:firstLine="880" w:firstLineChars="200"/>
        <w:jc w:val="both"/>
        <w:textAlignment w:val="auto"/>
        <w:rPr>
          <w:rFonts w:hint="eastAsia" w:ascii="方正小标宋简体" w:hAnsi="方正小标宋简体" w:eastAsia="方正小标宋简体" w:cs="方正小标宋简体"/>
          <w:color w:val="333333"/>
          <w:kern w:val="0"/>
          <w:sz w:val="44"/>
          <w:szCs w:val="44"/>
          <w:lang w:bidi="en-AU"/>
        </w:rPr>
      </w:pPr>
    </w:p>
    <w:p>
      <w:pPr>
        <w:keepLines w:val="0"/>
        <w:pageBreakBefore w:val="0"/>
        <w:widowControl/>
        <w:shd w:val="clear" w:color="auto" w:fill="FFFFFF"/>
        <w:kinsoku/>
        <w:wordWrap/>
        <w:overflowPunct/>
        <w:topLinePunct w:val="0"/>
        <w:autoSpaceDE/>
        <w:autoSpaceDN/>
        <w:bidi w:val="0"/>
        <w:adjustRightInd/>
        <w:snapToGrid/>
        <w:spacing w:line="576" w:lineRule="exact"/>
        <w:ind w:firstLine="880" w:firstLineChars="200"/>
        <w:jc w:val="center"/>
        <w:textAlignment w:val="auto"/>
        <w:rPr>
          <w:rFonts w:ascii="Times New Roman" w:hAnsi="Times New Roman"/>
          <w:color w:val="333333"/>
          <w:sz w:val="32"/>
          <w:szCs w:val="32"/>
        </w:rPr>
      </w:pPr>
      <w:r>
        <w:rPr>
          <w:rFonts w:hint="eastAsia" w:ascii="方正小标宋简体" w:hAnsi="方正小标宋简体" w:eastAsia="方正小标宋简体" w:cs="方正小标宋简体"/>
          <w:color w:val="333333"/>
          <w:kern w:val="0"/>
          <w:sz w:val="44"/>
          <w:szCs w:val="44"/>
          <w:shd w:val="clear" w:color="auto" w:fill="FFFFFF"/>
          <w:lang w:bidi="en-AU"/>
        </w:rPr>
        <w:t>广元市昭化区红岩镇卫生院</w:t>
      </w:r>
    </w:p>
    <w:p>
      <w:pPr>
        <w:keepLines w:val="0"/>
        <w:pageBreakBefore w:val="0"/>
        <w:widowControl/>
        <w:shd w:val="clear" w:color="auto" w:fill="FFFFFF"/>
        <w:kinsoku/>
        <w:wordWrap/>
        <w:overflowPunct/>
        <w:topLinePunct w:val="0"/>
        <w:autoSpaceDE/>
        <w:autoSpaceDN/>
        <w:bidi w:val="0"/>
        <w:adjustRightInd/>
        <w:snapToGrid/>
        <w:spacing w:line="576" w:lineRule="exact"/>
        <w:ind w:firstLine="880" w:firstLineChars="200"/>
        <w:jc w:val="center"/>
        <w:textAlignment w:val="auto"/>
        <w:rPr>
          <w:rFonts w:ascii="Times New Roman" w:hAnsi="Times New Roman"/>
          <w:color w:val="333333"/>
          <w:sz w:val="32"/>
          <w:szCs w:val="32"/>
        </w:rPr>
      </w:pPr>
      <w:r>
        <w:rPr>
          <w:rFonts w:hint="eastAsia" w:ascii="方正小标宋简体" w:hAnsi="方正小标宋简体" w:eastAsia="方正小标宋简体" w:cs="方正小标宋简体"/>
          <w:color w:val="333333"/>
          <w:kern w:val="0"/>
          <w:sz w:val="44"/>
          <w:szCs w:val="44"/>
          <w:shd w:val="clear" w:color="auto" w:fill="FFFFFF"/>
          <w:lang w:bidi="en-AU"/>
        </w:rPr>
        <w:t>2023年部门预算编制说明</w:t>
      </w:r>
    </w:p>
    <w:p>
      <w:pPr>
        <w:pStyle w:val="14"/>
        <w:keepLines w:val="0"/>
        <w:pageBreakBefore w:val="0"/>
        <w:widowControl/>
        <w:shd w:val="clear" w:color="auto" w:fill="FFFFFF"/>
        <w:kinsoku/>
        <w:wordWrap/>
        <w:overflowPunct/>
        <w:topLinePunct w:val="0"/>
        <w:autoSpaceDE/>
        <w:autoSpaceDN/>
        <w:bidi w:val="0"/>
        <w:adjustRightInd/>
        <w:snapToGrid/>
        <w:spacing w:line="576" w:lineRule="exact"/>
        <w:ind w:firstLine="800" w:firstLineChars="200"/>
        <w:jc w:val="both"/>
        <w:textAlignment w:val="auto"/>
        <w:rPr>
          <w:rFonts w:hint="eastAsia" w:ascii="方正小标宋简体" w:hAnsi="方正小标宋简体" w:eastAsia="方正小标宋简体" w:cs="方正小标宋简体"/>
          <w:color w:val="333333"/>
          <w:kern w:val="0"/>
          <w:sz w:val="40"/>
          <w:szCs w:val="40"/>
          <w:lang w:bidi="en-AU"/>
        </w:rPr>
      </w:pPr>
    </w:p>
    <w:p>
      <w:pPr>
        <w:pStyle w:val="14"/>
        <w:keepLines w:val="0"/>
        <w:pageBreakBefore w:val="0"/>
        <w:widowControl/>
        <w:shd w:val="clear" w:color="auto" w:fill="FFFFFF"/>
        <w:kinsoku/>
        <w:wordWrap/>
        <w:overflowPunct/>
        <w:topLinePunct w:val="0"/>
        <w:autoSpaceDE/>
        <w:autoSpaceDN/>
        <w:bidi w:val="0"/>
        <w:adjustRightInd/>
        <w:snapToGrid/>
        <w:spacing w:line="576" w:lineRule="exact"/>
        <w:ind w:firstLine="800" w:firstLineChars="200"/>
        <w:jc w:val="both"/>
        <w:textAlignment w:val="auto"/>
        <w:rPr>
          <w:rFonts w:hint="eastAsia" w:ascii="方正小标宋简体" w:hAnsi="方正小标宋简体" w:eastAsia="方正小标宋简体" w:cs="方正小标宋简体"/>
          <w:color w:val="333333"/>
          <w:kern w:val="0"/>
          <w:sz w:val="40"/>
          <w:szCs w:val="40"/>
          <w:lang w:bidi="en-AU"/>
        </w:rPr>
      </w:pPr>
    </w:p>
    <w:p>
      <w:pPr>
        <w:pStyle w:val="14"/>
        <w:keepLines w:val="0"/>
        <w:pageBreakBefore w:val="0"/>
        <w:widowControl/>
        <w:shd w:val="clear" w:color="auto" w:fill="FFFFFF"/>
        <w:kinsoku/>
        <w:wordWrap/>
        <w:overflowPunct/>
        <w:topLinePunct w:val="0"/>
        <w:autoSpaceDE/>
        <w:autoSpaceDN/>
        <w:bidi w:val="0"/>
        <w:adjustRightInd/>
        <w:snapToGrid/>
        <w:spacing w:line="576" w:lineRule="exact"/>
        <w:ind w:firstLine="800" w:firstLineChars="200"/>
        <w:jc w:val="both"/>
        <w:textAlignment w:val="auto"/>
        <w:rPr>
          <w:rFonts w:hint="eastAsia" w:ascii="方正小标宋简体" w:hAnsi="方正小标宋简体" w:eastAsia="方正小标宋简体" w:cs="方正小标宋简体"/>
          <w:color w:val="333333"/>
          <w:kern w:val="0"/>
          <w:sz w:val="40"/>
          <w:szCs w:val="40"/>
          <w:lang w:bidi="en-AU"/>
        </w:rPr>
      </w:pPr>
    </w:p>
    <w:p>
      <w:pPr>
        <w:pStyle w:val="14"/>
        <w:keepLines w:val="0"/>
        <w:pageBreakBefore w:val="0"/>
        <w:widowControl/>
        <w:shd w:val="clear" w:color="auto" w:fill="FFFFFF"/>
        <w:kinsoku/>
        <w:wordWrap/>
        <w:overflowPunct/>
        <w:topLinePunct w:val="0"/>
        <w:autoSpaceDE/>
        <w:autoSpaceDN/>
        <w:bidi w:val="0"/>
        <w:adjustRightInd/>
        <w:snapToGrid/>
        <w:spacing w:line="576" w:lineRule="exact"/>
        <w:ind w:firstLine="800" w:firstLineChars="200"/>
        <w:jc w:val="both"/>
        <w:textAlignment w:val="auto"/>
        <w:rPr>
          <w:rFonts w:hint="eastAsia" w:ascii="方正小标宋简体" w:hAnsi="方正小标宋简体" w:eastAsia="方正小标宋简体" w:cs="方正小标宋简体"/>
          <w:color w:val="333333"/>
          <w:kern w:val="0"/>
          <w:sz w:val="40"/>
          <w:szCs w:val="40"/>
          <w:lang w:bidi="en-AU"/>
        </w:rPr>
      </w:pPr>
    </w:p>
    <w:p>
      <w:pPr>
        <w:pStyle w:val="14"/>
        <w:keepLines w:val="0"/>
        <w:pageBreakBefore w:val="0"/>
        <w:widowControl/>
        <w:shd w:val="clear" w:color="auto" w:fill="FFFFFF"/>
        <w:kinsoku/>
        <w:wordWrap/>
        <w:overflowPunct/>
        <w:topLinePunct w:val="0"/>
        <w:autoSpaceDE/>
        <w:autoSpaceDN/>
        <w:bidi w:val="0"/>
        <w:adjustRightInd/>
        <w:snapToGrid/>
        <w:spacing w:line="576" w:lineRule="exact"/>
        <w:ind w:firstLine="800" w:firstLineChars="200"/>
        <w:jc w:val="both"/>
        <w:textAlignment w:val="auto"/>
        <w:rPr>
          <w:rFonts w:hint="eastAsia" w:ascii="方正小标宋简体" w:hAnsi="方正小标宋简体" w:eastAsia="方正小标宋简体" w:cs="方正小标宋简体"/>
          <w:color w:val="333333"/>
          <w:kern w:val="0"/>
          <w:sz w:val="40"/>
          <w:szCs w:val="40"/>
          <w:lang w:bidi="en-AU"/>
        </w:rPr>
      </w:pPr>
    </w:p>
    <w:p>
      <w:pPr>
        <w:pStyle w:val="14"/>
        <w:keepLines w:val="0"/>
        <w:pageBreakBefore w:val="0"/>
        <w:widowControl/>
        <w:shd w:val="clear" w:color="auto" w:fill="FFFFFF"/>
        <w:kinsoku/>
        <w:wordWrap/>
        <w:overflowPunct/>
        <w:topLinePunct w:val="0"/>
        <w:autoSpaceDE/>
        <w:autoSpaceDN/>
        <w:bidi w:val="0"/>
        <w:adjustRightInd/>
        <w:snapToGrid/>
        <w:spacing w:line="576" w:lineRule="exact"/>
        <w:ind w:firstLine="800" w:firstLineChars="200"/>
        <w:jc w:val="both"/>
        <w:textAlignment w:val="auto"/>
        <w:rPr>
          <w:rFonts w:hint="eastAsia" w:ascii="方正小标宋简体" w:hAnsi="方正小标宋简体" w:eastAsia="方正小标宋简体" w:cs="方正小标宋简体"/>
          <w:color w:val="333333"/>
          <w:kern w:val="0"/>
          <w:sz w:val="40"/>
          <w:szCs w:val="40"/>
          <w:lang w:bidi="en-AU"/>
        </w:rPr>
      </w:pPr>
    </w:p>
    <w:p>
      <w:pPr>
        <w:pStyle w:val="14"/>
        <w:keepLines w:val="0"/>
        <w:pageBreakBefore w:val="0"/>
        <w:widowControl/>
        <w:shd w:val="clear" w:color="auto" w:fill="FFFFFF"/>
        <w:kinsoku/>
        <w:wordWrap/>
        <w:overflowPunct/>
        <w:topLinePunct w:val="0"/>
        <w:autoSpaceDE/>
        <w:autoSpaceDN/>
        <w:bidi w:val="0"/>
        <w:adjustRightInd/>
        <w:snapToGrid/>
        <w:spacing w:line="576" w:lineRule="exact"/>
        <w:ind w:firstLine="800" w:firstLineChars="200"/>
        <w:jc w:val="both"/>
        <w:textAlignment w:val="auto"/>
        <w:rPr>
          <w:rFonts w:hint="eastAsia" w:ascii="方正小标宋简体" w:hAnsi="方正小标宋简体" w:eastAsia="方正小标宋简体" w:cs="方正小标宋简体"/>
          <w:color w:val="333333"/>
          <w:kern w:val="0"/>
          <w:sz w:val="40"/>
          <w:szCs w:val="40"/>
          <w:lang w:bidi="en-AU"/>
        </w:rPr>
      </w:pPr>
    </w:p>
    <w:p>
      <w:pPr>
        <w:pStyle w:val="14"/>
        <w:keepLines w:val="0"/>
        <w:pageBreakBefore w:val="0"/>
        <w:widowControl/>
        <w:shd w:val="clear" w:color="auto" w:fill="FFFFFF"/>
        <w:kinsoku/>
        <w:wordWrap/>
        <w:overflowPunct/>
        <w:topLinePunct w:val="0"/>
        <w:autoSpaceDE/>
        <w:autoSpaceDN/>
        <w:bidi w:val="0"/>
        <w:adjustRightInd/>
        <w:snapToGrid/>
        <w:spacing w:line="576" w:lineRule="exact"/>
        <w:ind w:firstLine="800" w:firstLineChars="200"/>
        <w:jc w:val="both"/>
        <w:textAlignment w:val="auto"/>
        <w:rPr>
          <w:rFonts w:hint="eastAsia" w:ascii="方正小标宋简体" w:hAnsi="方正小标宋简体" w:eastAsia="方正小标宋简体" w:cs="方正小标宋简体"/>
          <w:color w:val="333333"/>
          <w:kern w:val="0"/>
          <w:sz w:val="40"/>
          <w:szCs w:val="40"/>
          <w:lang w:bidi="en-AU"/>
        </w:rPr>
      </w:pPr>
    </w:p>
    <w:p>
      <w:pPr>
        <w:pStyle w:val="14"/>
        <w:keepLines w:val="0"/>
        <w:pageBreakBefore w:val="0"/>
        <w:widowControl/>
        <w:shd w:val="clear" w:color="auto" w:fill="FFFFFF"/>
        <w:kinsoku/>
        <w:wordWrap/>
        <w:overflowPunct/>
        <w:topLinePunct w:val="0"/>
        <w:autoSpaceDE/>
        <w:autoSpaceDN/>
        <w:bidi w:val="0"/>
        <w:adjustRightInd/>
        <w:snapToGrid/>
        <w:spacing w:line="576" w:lineRule="exact"/>
        <w:ind w:firstLine="800" w:firstLineChars="200"/>
        <w:jc w:val="both"/>
        <w:textAlignment w:val="auto"/>
        <w:rPr>
          <w:rFonts w:hint="eastAsia" w:ascii="方正小标宋简体" w:hAnsi="方正小标宋简体" w:eastAsia="方正小标宋简体" w:cs="方正小标宋简体"/>
          <w:color w:val="333333"/>
          <w:kern w:val="0"/>
          <w:sz w:val="40"/>
          <w:szCs w:val="40"/>
          <w:lang w:bidi="en-AU"/>
        </w:rPr>
      </w:pPr>
    </w:p>
    <w:p>
      <w:pPr>
        <w:pStyle w:val="14"/>
        <w:keepLines w:val="0"/>
        <w:pageBreakBefore w:val="0"/>
        <w:widowControl/>
        <w:shd w:val="clear" w:color="auto" w:fill="FFFFFF"/>
        <w:kinsoku/>
        <w:wordWrap/>
        <w:overflowPunct/>
        <w:topLinePunct w:val="0"/>
        <w:autoSpaceDE/>
        <w:autoSpaceDN/>
        <w:bidi w:val="0"/>
        <w:adjustRightInd/>
        <w:snapToGrid/>
        <w:spacing w:line="576" w:lineRule="exact"/>
        <w:ind w:firstLine="800" w:firstLineChars="200"/>
        <w:jc w:val="both"/>
        <w:textAlignment w:val="auto"/>
        <w:rPr>
          <w:rFonts w:hint="eastAsia" w:ascii="方正小标宋简体" w:hAnsi="方正小标宋简体" w:eastAsia="方正小标宋简体" w:cs="方正小标宋简体"/>
          <w:color w:val="333333"/>
          <w:kern w:val="0"/>
          <w:sz w:val="40"/>
          <w:szCs w:val="40"/>
          <w:lang w:bidi="en-AU"/>
        </w:rPr>
      </w:pPr>
    </w:p>
    <w:p>
      <w:pPr>
        <w:pStyle w:val="14"/>
        <w:keepLines w:val="0"/>
        <w:pageBreakBefore w:val="0"/>
        <w:widowControl/>
        <w:shd w:val="clear" w:color="auto" w:fill="FFFFFF"/>
        <w:kinsoku/>
        <w:wordWrap/>
        <w:overflowPunct/>
        <w:topLinePunct w:val="0"/>
        <w:autoSpaceDE/>
        <w:autoSpaceDN/>
        <w:bidi w:val="0"/>
        <w:adjustRightInd/>
        <w:snapToGrid/>
        <w:spacing w:line="576" w:lineRule="exact"/>
        <w:ind w:firstLine="800" w:firstLineChars="200"/>
        <w:jc w:val="both"/>
        <w:textAlignment w:val="auto"/>
        <w:rPr>
          <w:rFonts w:hint="eastAsia" w:ascii="方正小标宋简体" w:hAnsi="方正小标宋简体" w:eastAsia="方正小标宋简体" w:cs="方正小标宋简体"/>
          <w:color w:val="333333"/>
          <w:kern w:val="0"/>
          <w:sz w:val="40"/>
          <w:szCs w:val="40"/>
          <w:lang w:bidi="en-AU"/>
        </w:rPr>
      </w:pPr>
    </w:p>
    <w:p>
      <w:pPr>
        <w:pStyle w:val="14"/>
        <w:keepLines w:val="0"/>
        <w:pageBreakBefore w:val="0"/>
        <w:widowControl/>
        <w:shd w:val="clear" w:color="auto" w:fill="FFFFFF"/>
        <w:kinsoku/>
        <w:wordWrap/>
        <w:overflowPunct/>
        <w:topLinePunct w:val="0"/>
        <w:autoSpaceDE/>
        <w:autoSpaceDN/>
        <w:bidi w:val="0"/>
        <w:adjustRightInd/>
        <w:snapToGrid/>
        <w:spacing w:line="576" w:lineRule="exact"/>
        <w:ind w:firstLine="800" w:firstLineChars="200"/>
        <w:jc w:val="both"/>
        <w:textAlignment w:val="auto"/>
        <w:rPr>
          <w:rFonts w:hint="eastAsia" w:ascii="方正小标宋简体" w:hAnsi="方正小标宋简体" w:eastAsia="方正小标宋简体" w:cs="方正小标宋简体"/>
          <w:color w:val="333333"/>
          <w:kern w:val="0"/>
          <w:sz w:val="40"/>
          <w:szCs w:val="40"/>
          <w:lang w:bidi="en-AU"/>
        </w:rPr>
      </w:pPr>
    </w:p>
    <w:p>
      <w:pPr>
        <w:pStyle w:val="14"/>
        <w:keepLines w:val="0"/>
        <w:pageBreakBefore w:val="0"/>
        <w:widowControl/>
        <w:shd w:val="clear" w:color="auto" w:fill="FFFFFF"/>
        <w:kinsoku/>
        <w:wordWrap/>
        <w:overflowPunct/>
        <w:topLinePunct w:val="0"/>
        <w:autoSpaceDE/>
        <w:autoSpaceDN/>
        <w:bidi w:val="0"/>
        <w:adjustRightInd/>
        <w:snapToGrid/>
        <w:spacing w:line="576" w:lineRule="exact"/>
        <w:ind w:firstLine="800" w:firstLineChars="200"/>
        <w:jc w:val="both"/>
        <w:textAlignment w:val="auto"/>
        <w:rPr>
          <w:rFonts w:hint="eastAsia" w:ascii="方正小标宋简体" w:hAnsi="方正小标宋简体" w:eastAsia="方正小标宋简体" w:cs="方正小标宋简体"/>
          <w:color w:val="333333"/>
          <w:kern w:val="0"/>
          <w:sz w:val="40"/>
          <w:szCs w:val="40"/>
          <w:lang w:bidi="en-AU"/>
        </w:rPr>
      </w:pPr>
    </w:p>
    <w:p>
      <w:pPr>
        <w:pStyle w:val="14"/>
        <w:keepLines w:val="0"/>
        <w:pageBreakBefore w:val="0"/>
        <w:widowControl/>
        <w:shd w:val="clear" w:color="auto" w:fill="FFFFFF"/>
        <w:kinsoku/>
        <w:wordWrap/>
        <w:overflowPunct/>
        <w:topLinePunct w:val="0"/>
        <w:autoSpaceDE/>
        <w:autoSpaceDN/>
        <w:bidi w:val="0"/>
        <w:adjustRightInd/>
        <w:snapToGrid/>
        <w:spacing w:line="576" w:lineRule="exact"/>
        <w:ind w:firstLine="800" w:firstLineChars="200"/>
        <w:jc w:val="both"/>
        <w:textAlignment w:val="auto"/>
        <w:rPr>
          <w:rFonts w:hint="eastAsia" w:ascii="方正小标宋简体" w:hAnsi="方正小标宋简体" w:eastAsia="方正小标宋简体" w:cs="方正小标宋简体"/>
          <w:color w:val="333333"/>
          <w:kern w:val="0"/>
          <w:sz w:val="40"/>
          <w:szCs w:val="40"/>
          <w:lang w:bidi="en-AU"/>
        </w:rPr>
      </w:pPr>
    </w:p>
    <w:p>
      <w:pPr>
        <w:pStyle w:val="14"/>
        <w:keepLines w:val="0"/>
        <w:pageBreakBefore w:val="0"/>
        <w:widowControl/>
        <w:shd w:val="clear" w:color="auto" w:fill="FFFFFF"/>
        <w:kinsoku/>
        <w:wordWrap/>
        <w:overflowPunct/>
        <w:topLinePunct w:val="0"/>
        <w:autoSpaceDE/>
        <w:autoSpaceDN/>
        <w:bidi w:val="0"/>
        <w:adjustRightInd/>
        <w:snapToGrid/>
        <w:spacing w:line="576" w:lineRule="exact"/>
        <w:ind w:firstLine="800" w:firstLineChars="200"/>
        <w:jc w:val="both"/>
        <w:textAlignment w:val="auto"/>
        <w:rPr>
          <w:rFonts w:hint="eastAsia" w:ascii="方正小标宋简体" w:hAnsi="方正小标宋简体" w:eastAsia="方正小标宋简体" w:cs="方正小标宋简体"/>
          <w:color w:val="333333"/>
          <w:kern w:val="0"/>
          <w:sz w:val="40"/>
          <w:szCs w:val="40"/>
          <w:lang w:bidi="en-AU"/>
        </w:rPr>
      </w:pPr>
    </w:p>
    <w:p>
      <w:pPr>
        <w:pStyle w:val="14"/>
        <w:keepLines w:val="0"/>
        <w:pageBreakBefore w:val="0"/>
        <w:widowControl/>
        <w:shd w:val="clear" w:color="auto" w:fill="FFFFFF"/>
        <w:kinsoku/>
        <w:wordWrap/>
        <w:overflowPunct/>
        <w:topLinePunct w:val="0"/>
        <w:autoSpaceDE/>
        <w:autoSpaceDN/>
        <w:bidi w:val="0"/>
        <w:adjustRightInd/>
        <w:snapToGrid/>
        <w:spacing w:line="576" w:lineRule="exact"/>
        <w:ind w:firstLine="800" w:firstLineChars="200"/>
        <w:jc w:val="both"/>
        <w:textAlignment w:val="auto"/>
        <w:rPr>
          <w:rFonts w:hint="eastAsia" w:ascii="方正小标宋简体" w:hAnsi="方正小标宋简体" w:eastAsia="方正小标宋简体" w:cs="方正小标宋简体"/>
          <w:color w:val="333333"/>
          <w:kern w:val="0"/>
          <w:sz w:val="40"/>
          <w:szCs w:val="40"/>
          <w:lang w:bidi="en-AU"/>
        </w:rPr>
      </w:pPr>
    </w:p>
    <w:p>
      <w:pPr>
        <w:keepLines w:val="0"/>
        <w:pageBreakBefore w:val="0"/>
        <w:kinsoku/>
        <w:wordWrap/>
        <w:overflowPunct/>
        <w:topLinePunct w:val="0"/>
        <w:autoSpaceDE/>
        <w:autoSpaceDN/>
        <w:bidi w:val="0"/>
        <w:adjustRightInd/>
        <w:snapToGrid/>
        <w:spacing w:after="0" w:line="576" w:lineRule="exact"/>
        <w:ind w:left="0" w:leftChars="0" w:right="0" w:rightChars="0" w:firstLine="560" w:firstLineChars="200"/>
        <w:jc w:val="both"/>
        <w:textAlignment w:val="auto"/>
        <w:rPr>
          <w:rFonts w:hint="eastAsia" w:ascii="方正小标宋简体" w:hAnsi="方正小标宋简体" w:eastAsia="方正小标宋简体" w:cs="方正小标宋简体"/>
          <w:color w:val="333333"/>
          <w:kern w:val="0"/>
          <w:sz w:val="28"/>
          <w:szCs w:val="28"/>
          <w:lang w:val="en-US" w:eastAsia="zh-CN" w:bidi="en-AU"/>
        </w:rPr>
      </w:pPr>
      <w:bookmarkStart w:id="0" w:name="_Toc891_WPSOffice_Type1"/>
    </w:p>
    <w:p>
      <w:pPr>
        <w:keepLines w:val="0"/>
        <w:pageBreakBefore w:val="0"/>
        <w:kinsoku/>
        <w:wordWrap/>
        <w:overflowPunct/>
        <w:topLinePunct w:val="0"/>
        <w:autoSpaceDE/>
        <w:autoSpaceDN/>
        <w:bidi w:val="0"/>
        <w:adjustRightInd/>
        <w:snapToGrid/>
        <w:spacing w:after="0" w:line="576" w:lineRule="exact"/>
        <w:ind w:left="0" w:leftChars="0" w:right="0" w:rightChars="0" w:firstLine="720" w:firstLineChars="200"/>
        <w:jc w:val="center"/>
        <w:textAlignment w:val="auto"/>
        <w:rPr>
          <w:rFonts w:hint="eastAsia" w:ascii="方正小标宋简体" w:hAnsi="方正小标宋简体" w:eastAsia="方正小标宋简体" w:cs="方正小标宋简体"/>
          <w:color w:val="333333"/>
          <w:kern w:val="0"/>
          <w:sz w:val="36"/>
          <w:szCs w:val="36"/>
          <w:lang w:val="en-US" w:eastAsia="zh-CN" w:bidi="en-AU"/>
        </w:rPr>
        <w:sectPr>
          <w:footerReference r:id="rId3" w:type="default"/>
          <w:pgSz w:w="11906" w:h="16838"/>
          <w:pgMar w:top="1440" w:right="1800" w:bottom="1440" w:left="1800" w:header="720" w:footer="720" w:gutter="0"/>
          <w:pgNumType w:fmt="decimal" w:start="1"/>
          <w:docGrid w:type="lines" w:linePitch="312" w:charSpace="0"/>
        </w:sectPr>
      </w:pPr>
    </w:p>
    <w:p>
      <w:pPr>
        <w:keepLines w:val="0"/>
        <w:pageBreakBefore w:val="0"/>
        <w:kinsoku/>
        <w:wordWrap/>
        <w:overflowPunct/>
        <w:topLinePunct w:val="0"/>
        <w:autoSpaceDE/>
        <w:autoSpaceDN/>
        <w:bidi w:val="0"/>
        <w:adjustRightInd/>
        <w:snapToGrid/>
        <w:spacing w:after="0" w:line="576" w:lineRule="exact"/>
        <w:ind w:left="0" w:leftChars="0" w:right="0" w:rightChars="0" w:firstLine="720" w:firstLineChars="200"/>
        <w:jc w:val="center"/>
        <w:textAlignment w:val="auto"/>
        <w:rPr>
          <w:rFonts w:hint="eastAsia" w:ascii="方正小标宋简体" w:hAnsi="方正小标宋简体" w:eastAsia="方正小标宋简体" w:cs="方正小标宋简体"/>
          <w:color w:val="333333"/>
          <w:kern w:val="0"/>
          <w:sz w:val="36"/>
          <w:szCs w:val="36"/>
          <w:lang w:val="en-US" w:eastAsia="zh-CN" w:bidi="en-AU"/>
        </w:rPr>
      </w:pPr>
      <w:r>
        <w:rPr>
          <w:rFonts w:hint="eastAsia" w:ascii="方正小标宋简体" w:hAnsi="方正小标宋简体" w:eastAsia="方正小标宋简体" w:cs="方正小标宋简体"/>
          <w:color w:val="333333"/>
          <w:kern w:val="0"/>
          <w:sz w:val="36"/>
          <w:szCs w:val="36"/>
          <w:shd w:val="clear" w:color="auto" w:fill="FFFFFF"/>
          <w:lang w:val="en-US" w:eastAsia="zh-CN" w:bidi="en-AU"/>
        </w:rPr>
        <w:t>目  录</w:t>
      </w:r>
    </w:p>
    <w:p>
      <w:pPr>
        <w:keepLines w:val="0"/>
        <w:pageBreakBefore w:val="0"/>
        <w:kinsoku/>
        <w:wordWrap/>
        <w:overflowPunct/>
        <w:topLinePunct w:val="0"/>
        <w:autoSpaceDE/>
        <w:autoSpaceDN/>
        <w:bidi w:val="0"/>
        <w:adjustRightInd/>
        <w:snapToGrid/>
        <w:spacing w:after="0" w:line="576" w:lineRule="exact"/>
        <w:ind w:left="0" w:leftChars="0" w:right="0" w:rightChars="0" w:firstLine="720" w:firstLineChars="200"/>
        <w:jc w:val="both"/>
        <w:textAlignment w:val="auto"/>
        <w:rPr>
          <w:rFonts w:hint="eastAsia" w:ascii="方正小标宋简体" w:hAnsi="方正小标宋简体" w:eastAsia="方正小标宋简体" w:cs="方正小标宋简体"/>
          <w:color w:val="333333"/>
          <w:kern w:val="0"/>
          <w:sz w:val="36"/>
          <w:szCs w:val="36"/>
          <w:lang w:val="en-US" w:eastAsia="zh-CN" w:bidi="en-AU"/>
        </w:rPr>
      </w:pPr>
    </w:p>
    <w:p>
      <w:pPr>
        <w:pStyle w:val="18"/>
        <w:keepLines w:val="0"/>
        <w:pageBreakBefore w:val="0"/>
        <w:tabs>
          <w:tab w:val="right" w:leader="dot" w:pos="8306"/>
        </w:tabs>
        <w:kinsoku/>
        <w:wordWrap/>
        <w:overflowPunct/>
        <w:topLinePunct w:val="0"/>
        <w:autoSpaceDE/>
        <w:autoSpaceDN/>
        <w:bidi w:val="0"/>
        <w:adjustRightInd/>
        <w:snapToGrid/>
        <w:spacing w:line="576" w:lineRule="exact"/>
        <w:ind w:firstLine="400" w:firstLineChars="200"/>
        <w:jc w:val="both"/>
        <w:textAlignment w:val="auto"/>
        <w:rPr>
          <w:rFonts w:hint="eastAsia" w:ascii="方正小标宋简体" w:hAnsi="方正小标宋简体" w:eastAsia="方正小标宋简体" w:cs="方正小标宋简体"/>
          <w:color w:val="333333"/>
          <w:kern w:val="0"/>
          <w:sz w:val="28"/>
          <w:szCs w:val="28"/>
          <w:lang w:val="en-US" w:eastAsia="zh-CN" w:bidi="en-AU"/>
        </w:rPr>
      </w:pPr>
      <w:r>
        <w:fldChar w:fldCharType="begin"/>
      </w:r>
      <w:r>
        <w:instrText xml:space="preserve"> HYPERLINK \l "_Toc2876_WPSOffice_Level1" </w:instrText>
      </w:r>
      <w:r>
        <w:fldChar w:fldCharType="separate"/>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一、基本职能及主要工作</w:t>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ab/>
      </w:r>
      <w:bookmarkStart w:id="1" w:name="_Toc2876_WPSOffice_Level1Page"/>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1</w:t>
      </w:r>
      <w:bookmarkEnd w:id="1"/>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fldChar w:fldCharType="end"/>
      </w:r>
    </w:p>
    <w:p>
      <w:pPr>
        <w:pStyle w:val="18"/>
        <w:keepLines w:val="0"/>
        <w:pageBreakBefore w:val="0"/>
        <w:tabs>
          <w:tab w:val="right" w:leader="dot" w:pos="8306"/>
        </w:tabs>
        <w:kinsoku/>
        <w:wordWrap/>
        <w:overflowPunct/>
        <w:topLinePunct w:val="0"/>
        <w:autoSpaceDE/>
        <w:autoSpaceDN/>
        <w:bidi w:val="0"/>
        <w:adjustRightInd/>
        <w:snapToGrid/>
        <w:spacing w:line="576" w:lineRule="exact"/>
        <w:ind w:firstLine="400" w:firstLineChars="200"/>
        <w:jc w:val="both"/>
        <w:textAlignment w:val="auto"/>
        <w:rPr>
          <w:rFonts w:hint="eastAsia" w:ascii="方正小标宋简体" w:hAnsi="方正小标宋简体" w:eastAsia="方正小标宋简体" w:cs="方正小标宋简体"/>
          <w:color w:val="333333"/>
          <w:kern w:val="0"/>
          <w:sz w:val="28"/>
          <w:szCs w:val="28"/>
          <w:lang w:val="en-US" w:eastAsia="zh-CN" w:bidi="en-AU"/>
        </w:rPr>
      </w:pPr>
      <w:r>
        <w:fldChar w:fldCharType="begin"/>
      </w:r>
      <w:r>
        <w:instrText xml:space="preserve"> HYPERLINK \l "_Toc18759_WPSOffice_Level1" </w:instrText>
      </w:r>
      <w:r>
        <w:fldChar w:fldCharType="separate"/>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二、部门预算单位构成</w:t>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ab/>
      </w:r>
      <w:bookmarkStart w:id="2" w:name="_Toc18759_WPSOffice_Level1Page"/>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3</w:t>
      </w:r>
      <w:bookmarkEnd w:id="2"/>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fldChar w:fldCharType="end"/>
      </w:r>
    </w:p>
    <w:p>
      <w:pPr>
        <w:pStyle w:val="18"/>
        <w:keepLines w:val="0"/>
        <w:pageBreakBefore w:val="0"/>
        <w:tabs>
          <w:tab w:val="right" w:leader="dot" w:pos="8306"/>
        </w:tabs>
        <w:kinsoku/>
        <w:wordWrap/>
        <w:overflowPunct/>
        <w:topLinePunct w:val="0"/>
        <w:autoSpaceDE/>
        <w:autoSpaceDN/>
        <w:bidi w:val="0"/>
        <w:adjustRightInd/>
        <w:snapToGrid/>
        <w:spacing w:line="576" w:lineRule="exact"/>
        <w:ind w:firstLine="400" w:firstLineChars="200"/>
        <w:jc w:val="both"/>
        <w:textAlignment w:val="auto"/>
        <w:rPr>
          <w:rFonts w:hint="eastAsia" w:ascii="方正小标宋简体" w:hAnsi="方正小标宋简体" w:eastAsia="方正小标宋简体" w:cs="方正小标宋简体"/>
          <w:color w:val="333333"/>
          <w:kern w:val="0"/>
          <w:sz w:val="28"/>
          <w:szCs w:val="28"/>
          <w:lang w:val="en-US" w:eastAsia="zh-CN" w:bidi="en-AU"/>
        </w:rPr>
      </w:pPr>
      <w:r>
        <w:fldChar w:fldCharType="begin"/>
      </w:r>
      <w:r>
        <w:instrText xml:space="preserve"> HYPERLINK \l "_Toc13773_WPSOffice_Level1" </w:instrText>
      </w:r>
      <w:r>
        <w:fldChar w:fldCharType="separate"/>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三、收支预算情况说明</w:t>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ab/>
      </w:r>
      <w:bookmarkStart w:id="3" w:name="_Toc13773_WPSOffice_Level1Page"/>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4</w:t>
      </w:r>
      <w:bookmarkEnd w:id="3"/>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fldChar w:fldCharType="end"/>
      </w:r>
    </w:p>
    <w:p>
      <w:pPr>
        <w:pStyle w:val="18"/>
        <w:keepLines w:val="0"/>
        <w:pageBreakBefore w:val="0"/>
        <w:tabs>
          <w:tab w:val="right" w:leader="dot" w:pos="8306"/>
        </w:tabs>
        <w:kinsoku/>
        <w:wordWrap/>
        <w:overflowPunct/>
        <w:topLinePunct w:val="0"/>
        <w:autoSpaceDE/>
        <w:autoSpaceDN/>
        <w:bidi w:val="0"/>
        <w:adjustRightInd/>
        <w:snapToGrid/>
        <w:spacing w:line="576" w:lineRule="exact"/>
        <w:ind w:firstLine="400" w:firstLineChars="200"/>
        <w:jc w:val="both"/>
        <w:textAlignment w:val="auto"/>
        <w:rPr>
          <w:rFonts w:hint="eastAsia" w:ascii="方正小标宋简体" w:hAnsi="方正小标宋简体" w:eastAsia="方正小标宋简体" w:cs="方正小标宋简体"/>
          <w:color w:val="333333"/>
          <w:kern w:val="0"/>
          <w:sz w:val="28"/>
          <w:szCs w:val="28"/>
          <w:lang w:val="en-US" w:eastAsia="zh-CN" w:bidi="en-AU"/>
        </w:rPr>
      </w:pPr>
      <w:r>
        <w:fldChar w:fldCharType="begin"/>
      </w:r>
      <w:r>
        <w:instrText xml:space="preserve"> HYPERLINK \l "_Toc22584_WPSOffice_Level1" </w:instrText>
      </w:r>
      <w:r>
        <w:fldChar w:fldCharType="separate"/>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四、财政拨款收支预算情况说明</w:t>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ab/>
      </w:r>
      <w:bookmarkStart w:id="4" w:name="_Toc22584_WPSOffice_Level1Page"/>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4</w:t>
      </w:r>
      <w:bookmarkEnd w:id="4"/>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fldChar w:fldCharType="end"/>
      </w:r>
    </w:p>
    <w:p>
      <w:pPr>
        <w:pStyle w:val="18"/>
        <w:keepLines w:val="0"/>
        <w:pageBreakBefore w:val="0"/>
        <w:tabs>
          <w:tab w:val="right" w:leader="dot" w:pos="8306"/>
        </w:tabs>
        <w:kinsoku/>
        <w:wordWrap/>
        <w:overflowPunct/>
        <w:topLinePunct w:val="0"/>
        <w:autoSpaceDE/>
        <w:autoSpaceDN/>
        <w:bidi w:val="0"/>
        <w:adjustRightInd/>
        <w:snapToGrid/>
        <w:spacing w:line="576" w:lineRule="exact"/>
        <w:ind w:firstLine="400" w:firstLineChars="200"/>
        <w:jc w:val="both"/>
        <w:textAlignment w:val="auto"/>
        <w:rPr>
          <w:rFonts w:hint="eastAsia" w:ascii="方正小标宋简体" w:hAnsi="方正小标宋简体" w:eastAsia="方正小标宋简体" w:cs="方正小标宋简体"/>
          <w:color w:val="333333"/>
          <w:kern w:val="0"/>
          <w:sz w:val="28"/>
          <w:szCs w:val="28"/>
          <w:lang w:val="en-US" w:eastAsia="zh-CN" w:bidi="en-AU"/>
        </w:rPr>
      </w:pPr>
      <w:r>
        <w:fldChar w:fldCharType="begin"/>
      </w:r>
      <w:r>
        <w:instrText xml:space="preserve"> HYPERLINK \l "_Toc25905_WPSOffice_Level1" </w:instrText>
      </w:r>
      <w:r>
        <w:fldChar w:fldCharType="separate"/>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五、 一般公共预算当年拨款情况说明</w:t>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ab/>
      </w:r>
      <w:bookmarkStart w:id="5" w:name="_Toc25905_WPSOffice_Level1Page"/>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5</w:t>
      </w:r>
      <w:bookmarkEnd w:id="5"/>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fldChar w:fldCharType="end"/>
      </w:r>
    </w:p>
    <w:p>
      <w:pPr>
        <w:pStyle w:val="18"/>
        <w:keepLines w:val="0"/>
        <w:pageBreakBefore w:val="0"/>
        <w:tabs>
          <w:tab w:val="right" w:leader="dot" w:pos="8306"/>
        </w:tabs>
        <w:kinsoku/>
        <w:wordWrap/>
        <w:overflowPunct/>
        <w:topLinePunct w:val="0"/>
        <w:autoSpaceDE/>
        <w:autoSpaceDN/>
        <w:bidi w:val="0"/>
        <w:adjustRightInd/>
        <w:snapToGrid/>
        <w:spacing w:line="576" w:lineRule="exact"/>
        <w:ind w:firstLine="400" w:firstLineChars="200"/>
        <w:jc w:val="both"/>
        <w:textAlignment w:val="auto"/>
        <w:rPr>
          <w:rFonts w:hint="eastAsia" w:ascii="方正小标宋简体" w:hAnsi="方正小标宋简体" w:eastAsia="方正小标宋简体" w:cs="方正小标宋简体"/>
          <w:color w:val="333333"/>
          <w:kern w:val="0"/>
          <w:sz w:val="28"/>
          <w:szCs w:val="28"/>
          <w:lang w:val="en-US" w:eastAsia="zh-CN" w:bidi="en-AU"/>
        </w:rPr>
      </w:pPr>
      <w:r>
        <w:fldChar w:fldCharType="begin"/>
      </w:r>
      <w:r>
        <w:instrText xml:space="preserve"> HYPERLINK \l "_Toc7436_WPSOffice_Level1" </w:instrText>
      </w:r>
      <w:r>
        <w:fldChar w:fldCharType="separate"/>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六、一般公共预算基本支出情况说明</w:t>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ab/>
      </w:r>
      <w:bookmarkStart w:id="6" w:name="_Toc7436_WPSOffice_Level1Page"/>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6</w:t>
      </w:r>
      <w:bookmarkEnd w:id="6"/>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fldChar w:fldCharType="end"/>
      </w:r>
    </w:p>
    <w:p>
      <w:pPr>
        <w:pStyle w:val="18"/>
        <w:keepLines w:val="0"/>
        <w:pageBreakBefore w:val="0"/>
        <w:tabs>
          <w:tab w:val="right" w:leader="dot" w:pos="8306"/>
        </w:tabs>
        <w:kinsoku/>
        <w:wordWrap/>
        <w:overflowPunct/>
        <w:topLinePunct w:val="0"/>
        <w:autoSpaceDE/>
        <w:autoSpaceDN/>
        <w:bidi w:val="0"/>
        <w:adjustRightInd/>
        <w:snapToGrid/>
        <w:spacing w:line="576" w:lineRule="exact"/>
        <w:ind w:firstLine="400" w:firstLineChars="200"/>
        <w:jc w:val="both"/>
        <w:textAlignment w:val="auto"/>
        <w:rPr>
          <w:rFonts w:hint="eastAsia" w:ascii="方正小标宋简体" w:hAnsi="方正小标宋简体" w:eastAsia="方正小标宋简体" w:cs="方正小标宋简体"/>
          <w:color w:val="333333"/>
          <w:kern w:val="0"/>
          <w:sz w:val="28"/>
          <w:szCs w:val="28"/>
          <w:lang w:val="en-US" w:eastAsia="zh-CN" w:bidi="en-AU"/>
        </w:rPr>
      </w:pPr>
      <w:r>
        <w:fldChar w:fldCharType="begin"/>
      </w:r>
      <w:r>
        <w:instrText xml:space="preserve"> HYPERLINK \l "_Toc26326_WPSOffice_Level1" </w:instrText>
      </w:r>
      <w:r>
        <w:fldChar w:fldCharType="separate"/>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七、“三公”经费财政拨款预算安排情况说明</w:t>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ab/>
      </w:r>
      <w:bookmarkStart w:id="7" w:name="_Toc26326_WPSOffice_Level1Page"/>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7</w:t>
      </w:r>
      <w:bookmarkEnd w:id="7"/>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fldChar w:fldCharType="end"/>
      </w:r>
    </w:p>
    <w:p>
      <w:pPr>
        <w:pStyle w:val="18"/>
        <w:keepLines w:val="0"/>
        <w:pageBreakBefore w:val="0"/>
        <w:tabs>
          <w:tab w:val="right" w:leader="dot" w:pos="8306"/>
        </w:tabs>
        <w:kinsoku/>
        <w:wordWrap/>
        <w:overflowPunct/>
        <w:topLinePunct w:val="0"/>
        <w:autoSpaceDE/>
        <w:autoSpaceDN/>
        <w:bidi w:val="0"/>
        <w:adjustRightInd/>
        <w:snapToGrid/>
        <w:spacing w:line="576" w:lineRule="exact"/>
        <w:ind w:firstLine="400" w:firstLineChars="200"/>
        <w:jc w:val="both"/>
        <w:textAlignment w:val="auto"/>
        <w:rPr>
          <w:rFonts w:hint="eastAsia" w:ascii="方正小标宋简体" w:hAnsi="方正小标宋简体" w:eastAsia="方正小标宋简体" w:cs="方正小标宋简体"/>
          <w:color w:val="333333"/>
          <w:kern w:val="0"/>
          <w:sz w:val="28"/>
          <w:szCs w:val="28"/>
          <w:lang w:val="en-US" w:eastAsia="zh-CN" w:bidi="en-AU"/>
        </w:rPr>
      </w:pPr>
      <w:r>
        <w:fldChar w:fldCharType="begin"/>
      </w:r>
      <w:r>
        <w:instrText xml:space="preserve"> HYPERLINK \l "_Toc19548_WPSOffice_Level1" </w:instrText>
      </w:r>
      <w:r>
        <w:fldChar w:fldCharType="separate"/>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八、 政府性基金预算支出情况说明</w:t>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ab/>
      </w:r>
      <w:bookmarkStart w:id="8" w:name="_Toc19548_WPSOffice_Level1Page"/>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7</w:t>
      </w:r>
      <w:bookmarkEnd w:id="8"/>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fldChar w:fldCharType="end"/>
      </w:r>
    </w:p>
    <w:p>
      <w:pPr>
        <w:pStyle w:val="18"/>
        <w:keepLines w:val="0"/>
        <w:pageBreakBefore w:val="0"/>
        <w:tabs>
          <w:tab w:val="right" w:leader="dot" w:pos="8306"/>
        </w:tabs>
        <w:kinsoku/>
        <w:wordWrap/>
        <w:overflowPunct/>
        <w:topLinePunct w:val="0"/>
        <w:autoSpaceDE/>
        <w:autoSpaceDN/>
        <w:bidi w:val="0"/>
        <w:adjustRightInd/>
        <w:snapToGrid/>
        <w:spacing w:line="576" w:lineRule="exact"/>
        <w:ind w:firstLine="400" w:firstLineChars="200"/>
        <w:jc w:val="both"/>
        <w:textAlignment w:val="auto"/>
        <w:rPr>
          <w:rFonts w:hint="eastAsia" w:ascii="方正小标宋简体" w:hAnsi="方正小标宋简体" w:eastAsia="方正小标宋简体" w:cs="方正小标宋简体"/>
          <w:color w:val="333333"/>
          <w:kern w:val="0"/>
          <w:sz w:val="28"/>
          <w:szCs w:val="28"/>
          <w:lang w:val="en-US" w:eastAsia="zh-CN" w:bidi="en-AU"/>
        </w:rPr>
      </w:pPr>
      <w:r>
        <w:fldChar w:fldCharType="begin"/>
      </w:r>
      <w:r>
        <w:instrText xml:space="preserve"> HYPERLINK \l "_Toc20044_WPSOffice_Level1" </w:instrText>
      </w:r>
      <w:r>
        <w:fldChar w:fldCharType="separate"/>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九、 国有资本经营预算支出情况说明</w:t>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ab/>
      </w:r>
      <w:bookmarkStart w:id="9" w:name="_Toc20044_WPSOffice_Level1Page"/>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7</w:t>
      </w:r>
      <w:bookmarkEnd w:id="9"/>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fldChar w:fldCharType="end"/>
      </w:r>
    </w:p>
    <w:p>
      <w:pPr>
        <w:pStyle w:val="18"/>
        <w:keepLines w:val="0"/>
        <w:pageBreakBefore w:val="0"/>
        <w:tabs>
          <w:tab w:val="right" w:leader="dot" w:pos="8306"/>
        </w:tabs>
        <w:kinsoku/>
        <w:wordWrap/>
        <w:overflowPunct/>
        <w:topLinePunct w:val="0"/>
        <w:autoSpaceDE/>
        <w:autoSpaceDN/>
        <w:bidi w:val="0"/>
        <w:adjustRightInd/>
        <w:snapToGrid/>
        <w:spacing w:line="576" w:lineRule="exact"/>
        <w:ind w:firstLine="400" w:firstLineChars="200"/>
        <w:jc w:val="both"/>
        <w:textAlignment w:val="auto"/>
        <w:rPr>
          <w:rFonts w:hint="eastAsia" w:ascii="方正小标宋简体" w:hAnsi="方正小标宋简体" w:eastAsia="方正小标宋简体" w:cs="方正小标宋简体"/>
          <w:color w:val="333333"/>
          <w:kern w:val="0"/>
          <w:sz w:val="28"/>
          <w:szCs w:val="28"/>
          <w:lang w:val="en-US" w:eastAsia="zh-CN" w:bidi="en-AU"/>
        </w:rPr>
      </w:pPr>
      <w:r>
        <w:fldChar w:fldCharType="begin"/>
      </w:r>
      <w:r>
        <w:instrText xml:space="preserve"> HYPERLINK \l "_Toc32617_WPSOffice_Level1" </w:instrText>
      </w:r>
      <w:r>
        <w:fldChar w:fldCharType="separate"/>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十、 其他重要事项的情况说明</w:t>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ab/>
      </w:r>
      <w:bookmarkStart w:id="10" w:name="_Toc32617_WPSOffice_Level1Page"/>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7</w:t>
      </w:r>
      <w:bookmarkEnd w:id="10"/>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fldChar w:fldCharType="end"/>
      </w:r>
    </w:p>
    <w:p>
      <w:pPr>
        <w:pStyle w:val="18"/>
        <w:keepLines w:val="0"/>
        <w:pageBreakBefore w:val="0"/>
        <w:tabs>
          <w:tab w:val="right" w:leader="dot" w:pos="8306"/>
        </w:tabs>
        <w:kinsoku/>
        <w:wordWrap/>
        <w:overflowPunct/>
        <w:topLinePunct w:val="0"/>
        <w:autoSpaceDE/>
        <w:autoSpaceDN/>
        <w:bidi w:val="0"/>
        <w:adjustRightInd/>
        <w:snapToGrid/>
        <w:spacing w:line="576" w:lineRule="exact"/>
        <w:ind w:firstLine="400" w:firstLineChars="200"/>
        <w:jc w:val="both"/>
        <w:textAlignment w:val="auto"/>
        <w:rPr>
          <w:rFonts w:hint="eastAsia" w:ascii="方正小标宋简体" w:hAnsi="方正小标宋简体" w:eastAsia="方正小标宋简体" w:cs="方正小标宋简体"/>
          <w:color w:val="333333"/>
          <w:kern w:val="0"/>
          <w:sz w:val="28"/>
          <w:szCs w:val="28"/>
          <w:lang w:val="en-US" w:eastAsia="zh-CN" w:bidi="en-AU"/>
        </w:rPr>
      </w:pPr>
      <w:r>
        <w:fldChar w:fldCharType="begin"/>
      </w:r>
      <w:r>
        <w:instrText xml:space="preserve"> HYPERLINK \l "_Toc7161_WPSOffice_Level1" </w:instrText>
      </w:r>
      <w:r>
        <w:fldChar w:fldCharType="separate"/>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十一、 名词解释</w:t>
      </w:r>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ab/>
      </w:r>
      <w:bookmarkStart w:id="11" w:name="_Toc7161_WPSOffice_Level1Page"/>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t>8</w:t>
      </w:r>
      <w:bookmarkEnd w:id="11"/>
      <w:r>
        <w:rPr>
          <w:rFonts w:hint="eastAsia" w:ascii="方正小标宋简体" w:hAnsi="方正小标宋简体" w:eastAsia="方正小标宋简体" w:cs="方正小标宋简体"/>
          <w:color w:val="333333"/>
          <w:kern w:val="0"/>
          <w:sz w:val="28"/>
          <w:szCs w:val="28"/>
          <w:shd w:val="clear" w:color="auto" w:fill="FFFFFF"/>
          <w:lang w:val="en-US" w:eastAsia="zh-CN" w:bidi="en-AU"/>
        </w:rPr>
        <w:fldChar w:fldCharType="end"/>
      </w:r>
    </w:p>
    <w:bookmarkEnd w:id="0"/>
    <w:p>
      <w:pPr>
        <w:pStyle w:val="18"/>
        <w:keepLines w:val="0"/>
        <w:pageBreakBefore w:val="0"/>
        <w:tabs>
          <w:tab w:val="right" w:leader="dot" w:pos="8306"/>
        </w:tabs>
        <w:kinsoku/>
        <w:wordWrap/>
        <w:overflowPunct/>
        <w:topLinePunct w:val="0"/>
        <w:autoSpaceDE/>
        <w:autoSpaceDN/>
        <w:bidi w:val="0"/>
        <w:adjustRightInd/>
        <w:snapToGrid/>
        <w:spacing w:line="576" w:lineRule="exact"/>
        <w:ind w:firstLine="560" w:firstLineChars="200"/>
        <w:jc w:val="both"/>
        <w:textAlignment w:val="auto"/>
        <w:rPr>
          <w:rFonts w:hint="eastAsia" w:ascii="方正小标宋简体" w:hAnsi="方正小标宋简体" w:eastAsia="方正小标宋简体" w:cs="方正小标宋简体"/>
          <w:color w:val="333333"/>
          <w:kern w:val="0"/>
          <w:sz w:val="28"/>
          <w:szCs w:val="28"/>
          <w:lang w:val="en-US" w:eastAsia="zh-CN" w:bidi="en-AU"/>
        </w:rPr>
      </w:pPr>
    </w:p>
    <w:p>
      <w:pPr>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ascii="黑体" w:hAnsi="宋体" w:eastAsia="黑体" w:cs="黑体"/>
          <w:color w:val="333333"/>
          <w:kern w:val="0"/>
          <w:sz w:val="32"/>
          <w:szCs w:val="32"/>
          <w:lang w:bidi="en-AU"/>
        </w:rPr>
      </w:pPr>
    </w:p>
    <w:p>
      <w:pPr>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ascii="黑体" w:hAnsi="宋体" w:eastAsia="黑体" w:cs="黑体"/>
          <w:color w:val="333333"/>
          <w:kern w:val="0"/>
          <w:sz w:val="32"/>
          <w:szCs w:val="32"/>
          <w:lang w:bidi="en-AU"/>
        </w:rPr>
      </w:pPr>
    </w:p>
    <w:p>
      <w:pPr>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ascii="黑体" w:hAnsi="宋体" w:eastAsia="黑体" w:cs="黑体"/>
          <w:color w:val="333333"/>
          <w:kern w:val="0"/>
          <w:sz w:val="32"/>
          <w:szCs w:val="32"/>
          <w:lang w:bidi="en-AU"/>
        </w:rPr>
      </w:pPr>
    </w:p>
    <w:p>
      <w:pPr>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ascii="黑体" w:hAnsi="宋体" w:eastAsia="黑体" w:cs="黑体"/>
          <w:color w:val="333333"/>
          <w:kern w:val="0"/>
          <w:sz w:val="32"/>
          <w:szCs w:val="32"/>
          <w:lang w:bidi="en-AU"/>
        </w:rPr>
      </w:pPr>
    </w:p>
    <w:p>
      <w:pPr>
        <w:keepLines w:val="0"/>
        <w:pageBreakBefore w:val="0"/>
        <w:tabs>
          <w:tab w:val="left" w:pos="2324"/>
        </w:tabs>
        <w:kinsoku/>
        <w:wordWrap/>
        <w:overflowPunct/>
        <w:topLinePunct w:val="0"/>
        <w:autoSpaceDE/>
        <w:autoSpaceDN/>
        <w:bidi w:val="0"/>
        <w:adjustRightInd/>
        <w:snapToGrid/>
        <w:spacing w:line="576" w:lineRule="exact"/>
        <w:ind w:firstLine="420" w:firstLineChars="200"/>
        <w:jc w:val="both"/>
        <w:textAlignment w:val="auto"/>
        <w:rPr>
          <w:lang w:val="en-US" w:eastAsia="zh-CN"/>
        </w:rPr>
        <w:sectPr>
          <w:footerReference r:id="rId4" w:type="default"/>
          <w:pgSz w:w="11906" w:h="16838"/>
          <w:pgMar w:top="1440" w:right="1800" w:bottom="1440" w:left="1800" w:header="720" w:footer="720" w:gutter="0"/>
          <w:pgNumType w:fmt="decimal" w:start="1"/>
          <w:docGrid w:type="lines" w:linePitch="312" w:charSpace="0"/>
        </w:sectPr>
      </w:pPr>
    </w:p>
    <w:p>
      <w:pPr>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333333"/>
          <w:sz w:val="32"/>
          <w:szCs w:val="32"/>
        </w:rPr>
      </w:pPr>
      <w:bookmarkStart w:id="12" w:name="_Toc2876_WPSOffice_Level1"/>
      <w:r>
        <w:rPr>
          <w:rFonts w:hint="eastAsia" w:ascii="黑体" w:hAnsi="黑体" w:eastAsia="黑体" w:cs="黑体"/>
          <w:color w:val="333333"/>
          <w:kern w:val="0"/>
          <w:sz w:val="32"/>
          <w:szCs w:val="32"/>
          <w:shd w:val="clear" w:color="auto" w:fill="FFFFFF"/>
          <w:lang w:bidi="en-AU"/>
        </w:rPr>
        <w:t>一、基本职能及主要工作</w:t>
      </w:r>
      <w:bookmarkEnd w:id="12"/>
    </w:p>
    <w:p>
      <w:pPr>
        <w:pStyle w:val="18"/>
        <w:keepNext w:val="0"/>
        <w:keepLines w:val="0"/>
        <w:pageBreakBefore w:val="0"/>
        <w:tabs>
          <w:tab w:val="right" w:leader="dot" w:pos="8306"/>
        </w:tabs>
        <w:kinsoku/>
        <w:wordWrap/>
        <w:overflowPunct/>
        <w:topLinePunct w:val="0"/>
        <w:autoSpaceDE/>
        <w:autoSpaceDN/>
        <w:bidi w:val="0"/>
        <w:adjustRightInd/>
        <w:snapToGrid/>
        <w:spacing w:line="576" w:lineRule="exact"/>
        <w:ind w:firstLine="320" w:firstLineChars="100"/>
        <w:textAlignment w:val="auto"/>
        <w:rPr>
          <w:rFonts w:hint="eastAsia" w:ascii="楷体_GB2312" w:hAnsi="楷体_GB2312" w:eastAsia="楷体_GB2312" w:cs="楷体_GB2312"/>
          <w:b w:val="0"/>
          <w:bCs/>
          <w:color w:val="333333"/>
          <w:sz w:val="32"/>
          <w:szCs w:val="32"/>
        </w:rPr>
      </w:pPr>
      <w:r>
        <w:rPr>
          <w:rFonts w:hint="eastAsia" w:ascii="楷体_GB2312" w:hAnsi="楷体_GB2312" w:eastAsia="楷体_GB2312" w:cs="楷体_GB2312"/>
          <w:b w:val="0"/>
          <w:bCs/>
          <w:color w:val="333333"/>
          <w:sz w:val="32"/>
          <w:szCs w:val="32"/>
          <w:shd w:val="clear" w:color="auto" w:fill="FFFFFF"/>
        </w:rPr>
        <w:t>（一）单位</w:t>
      </w:r>
      <w:r>
        <w:rPr>
          <w:rFonts w:hint="eastAsia" w:ascii="方正仿宋_GB2312" w:hAnsi="方正仿宋_GB2312" w:eastAsia="方正仿宋_GB2312" w:cs="方正仿宋_GB2312"/>
          <w:i w:val="0"/>
          <w:caps w:val="0"/>
          <w:color w:val="333333"/>
          <w:spacing w:val="0"/>
          <w:kern w:val="0"/>
          <w:sz w:val="32"/>
          <w:szCs w:val="32"/>
          <w:shd w:val="clear" w:color="auto" w:fill="FFFFFF"/>
          <w:lang w:val="en-US" w:eastAsia="zh-CN" w:bidi="en-AU"/>
        </w:rPr>
        <w:t>职能</w:t>
      </w:r>
      <w:r>
        <w:rPr>
          <w:rFonts w:hint="eastAsia" w:ascii="楷体_GB2312" w:hAnsi="楷体_GB2312" w:eastAsia="楷体_GB2312" w:cs="楷体_GB2312"/>
          <w:b w:val="0"/>
          <w:bCs/>
          <w:color w:val="333333"/>
          <w:sz w:val="32"/>
          <w:szCs w:val="32"/>
          <w:shd w:val="clear" w:color="auto" w:fill="FFFFFF"/>
        </w:rPr>
        <w:t>简介</w:t>
      </w:r>
    </w:p>
    <w:p>
      <w:pPr>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基本医疗服务方面</w:t>
      </w:r>
    </w:p>
    <w:p>
      <w:pPr>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（1）继续大力发展红岩本部及各分院基本医疗业务，力争门诊人次达到2万人次以上，住院达600人次以上，医疗收入较去年同期上升20%；药占比控制在60%以内</w:t>
      </w:r>
      <w:r>
        <w:rPr>
          <w:rFonts w:hint="eastAsia" w:ascii="Times New Roman" w:hAnsi="Times New Roman" w:eastAsia="仿宋_GB2312" w:cs="仿宋_GB2312"/>
          <w:sz w:val="32"/>
          <w:szCs w:val="32"/>
          <w:lang w:eastAsia="zh-CN"/>
        </w:rPr>
        <w:t>。</w:t>
      </w:r>
    </w:p>
    <w:p>
      <w:pPr>
        <w:keepLines w:val="0"/>
        <w:pageBreakBefore w:val="0"/>
        <w:numPr>
          <w:ilvl w:val="0"/>
          <w:numId w:val="1"/>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加强中医理疗康复科建设、再添置部分理疗康复设备，以点带面，大力发展分院中医适宜技术，在红岩本部试建设中医骨伤专科，力争中医非药物疗法占门诊的20%以上，康复理疗住院病人30%以上</w:t>
      </w:r>
      <w:r>
        <w:rPr>
          <w:rFonts w:hint="eastAsia" w:ascii="Times New Roman" w:hAnsi="Times New Roman" w:eastAsia="仿宋_GB2312" w:cs="仿宋_GB2312"/>
          <w:sz w:val="32"/>
          <w:szCs w:val="32"/>
          <w:lang w:eastAsia="zh-CN"/>
        </w:rPr>
        <w:t>。</w:t>
      </w:r>
    </w:p>
    <w:p>
      <w:pPr>
        <w:keepLines w:val="0"/>
        <w:pageBreakBefore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3）借助DRG付费的东风，规范临床路径管理，根据医院现有的医疗资源情况，完善相关制度，有效降低医疗成本，以常见病、多发病为重点，严格执行相关病种的诊疗、护理规范，保证医疗安全，并做好实施效果评价</w:t>
      </w:r>
      <w:r>
        <w:rPr>
          <w:rFonts w:hint="eastAsia" w:ascii="Times New Roman" w:hAnsi="Times New Roman" w:eastAsia="仿宋_GB2312" w:cs="仿宋_GB2312"/>
          <w:sz w:val="32"/>
          <w:szCs w:val="32"/>
          <w:lang w:eastAsia="zh-CN"/>
        </w:rPr>
        <w:t>。</w:t>
      </w:r>
    </w:p>
    <w:p>
      <w:pPr>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加强业务学习及演练，提升急救技术及应急处置能力，尽量减轻患者的痛苦和挽救生命</w:t>
      </w:r>
      <w:r>
        <w:rPr>
          <w:rFonts w:hint="eastAsia" w:ascii="Times New Roman" w:hAnsi="Times New Roman" w:eastAsia="仿宋_GB2312" w:cs="仿宋_GB2312"/>
          <w:sz w:val="32"/>
          <w:szCs w:val="32"/>
          <w:lang w:eastAsia="zh-CN"/>
        </w:rPr>
        <w:t>。</w:t>
      </w:r>
    </w:p>
    <w:p>
      <w:pPr>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rPr>
        <w:t>基本公共卫生服务方面</w:t>
      </w:r>
    </w:p>
    <w:p>
      <w:pPr>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（一）加强基本公共卫生服务工作，组织强有力的服务团队，着重对特殊人群：0-6岁儿童、孕产妇、</w:t>
      </w:r>
      <w:r>
        <w:rPr>
          <w:rFonts w:hint="eastAsia" w:ascii="Times New Roman" w:hAnsi="Times New Roman" w:eastAsia="仿宋_GB2312" w:cs="仿宋_GB2312"/>
          <w:sz w:val="32"/>
          <w:szCs w:val="32"/>
          <w:lang w:eastAsia="zh-CN"/>
        </w:rPr>
        <w:t>重型精神病</w:t>
      </w:r>
      <w:r>
        <w:rPr>
          <w:rFonts w:hint="eastAsia" w:ascii="Times New Roman" w:hAnsi="Times New Roman" w:eastAsia="仿宋_GB2312" w:cs="仿宋_GB2312"/>
          <w:sz w:val="32"/>
          <w:szCs w:val="32"/>
        </w:rPr>
        <w:t>患者、65岁老年人、高血压、糖尿病、类风湿关节炎及肺结核患者等动态管理，65岁以上老年人体检率达到80%以上。</w:t>
      </w:r>
    </w:p>
    <w:p>
      <w:pPr>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color w:val="333333"/>
          <w:kern w:val="2"/>
          <w:sz w:val="32"/>
          <w:szCs w:val="32"/>
          <w:shd w:val="clear" w:color="auto" w:fill="FFFFFF"/>
          <w:lang w:val="en-US" w:eastAsia="zh-CN" w:bidi="ar-SA"/>
        </w:rPr>
        <w:t>（二）加大健康宣传教育力度</w:t>
      </w:r>
      <w:r>
        <w:rPr>
          <w:rFonts w:hint="eastAsia" w:ascii="Times New Roman" w:hAnsi="Times New Roman" w:eastAsia="仿宋_GB2312" w:cs="仿宋_GB2312"/>
          <w:sz w:val="32"/>
          <w:szCs w:val="32"/>
        </w:rPr>
        <w:t>，转变宣传方式，走入校园、工地及村、居委会，提高群众对疫情防控、慢病防治、健康知识、生活方式等的知晓率，与上级专科医院紧密配合，做好育龄期妇女“两癌”筛查工作，为我镇的基本医疗工作提供保障，让公共卫生工作排名在前八名之内；</w:t>
      </w:r>
    </w:p>
    <w:p>
      <w:pPr>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医院管理方面</w:t>
      </w:r>
    </w:p>
    <w:p>
      <w:pPr>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（1）落实各类责任，年初与院内各科负责人、村卫生室负责人签订了均等化管理、综治安全生产责任目标书，并层层抓落实，明确各级安全责任节点，量化细节举措。</w:t>
      </w:r>
    </w:p>
    <w:p>
      <w:pPr>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（2）完善了卫生院各项应急预案做到分工明确、责任到人、流程合理。</w:t>
      </w:r>
    </w:p>
    <w:p>
      <w:pPr>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落实防范措施，积极配合区卫健局等部门对卫生院的督查，发现问题立即整改到位，并形成整改报告上交；建立定期不定期自查制度，重点检查诊疗规范操作规程落实情况、医废处理、财务室、药库药房等安全措施落实情况，做到管理到位，确保消防设施完备有效。</w:t>
      </w:r>
    </w:p>
    <w:p>
      <w:pPr>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（4）坚持24小时值班制度，制定节假日医疗急救卫生保障实施方案，实行领导负责制，并同邻近的医疗机构互通互联，确立卫生保障、紧急救护机制落实到位，确保了一方平安。</w:t>
      </w:r>
    </w:p>
    <w:p>
      <w:pPr>
        <w:pStyle w:val="14"/>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color w:val="333333"/>
          <w:sz w:val="32"/>
          <w:szCs w:val="32"/>
        </w:rPr>
      </w:pPr>
      <w:r>
        <w:rPr>
          <w:rFonts w:hint="eastAsia" w:ascii="楷体_GB2312" w:hAnsi="楷体_GB2312" w:eastAsia="楷体_GB2312" w:cs="楷体_GB2312"/>
          <w:b w:val="0"/>
          <w:bCs/>
          <w:color w:val="333333"/>
          <w:sz w:val="32"/>
          <w:szCs w:val="32"/>
          <w:shd w:val="clear" w:color="auto" w:fill="FFFFFF"/>
        </w:rPr>
        <w:t>（二）红岩镇卫生院2023年重点工作</w:t>
      </w:r>
    </w:p>
    <w:p>
      <w:pPr>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（1）做好意识形态工作，加强支部建设及廉政建设提升组织能力，吸纳专业型、技术型、觉悟高、能力强的人才加入组织，为卫健系统储备后继力量；</w:t>
      </w:r>
    </w:p>
    <w:p>
      <w:pPr>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（2）强化宣传教育和正确的舆论引导。广泛普及卫生科学知识，回应</w:t>
      </w:r>
      <w:r>
        <w:rPr>
          <w:rFonts w:hint="eastAsia" w:ascii="Times New Roman" w:hAnsi="Times New Roman" w:eastAsia="仿宋_GB2312" w:cs="仿宋_GB2312"/>
          <w:sz w:val="32"/>
          <w:szCs w:val="32"/>
          <w:lang w:eastAsia="zh-CN"/>
        </w:rPr>
        <w:t>群众</w:t>
      </w:r>
      <w:r>
        <w:rPr>
          <w:rFonts w:hint="eastAsia" w:ascii="Times New Roman" w:hAnsi="Times New Roman" w:eastAsia="仿宋_GB2312" w:cs="仿宋_GB2312"/>
          <w:sz w:val="32"/>
          <w:szCs w:val="32"/>
        </w:rPr>
        <w:t>关心的问题，增强及时性、针对性、专业性，让更多群众知道我们正在做什么、还要做什么，让老百姓认识卫生人、理解卫生人、信任卫生人；</w:t>
      </w:r>
    </w:p>
    <w:p>
      <w:pPr>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（3）加强人才培养，有针对性</w:t>
      </w:r>
      <w:r>
        <w:rPr>
          <w:rFonts w:hint="eastAsia" w:ascii="Times New Roman" w:hAnsi="Times New Roman" w:eastAsia="仿宋_GB2312" w:cs="仿宋_GB2312"/>
          <w:sz w:val="32"/>
          <w:szCs w:val="32"/>
          <w:lang w:eastAsia="zh-CN"/>
        </w:rPr>
        <w:t>地</w:t>
      </w:r>
      <w:r>
        <w:rPr>
          <w:rFonts w:hint="eastAsia" w:ascii="Times New Roman" w:hAnsi="Times New Roman" w:eastAsia="仿宋_GB2312" w:cs="仿宋_GB2312"/>
          <w:sz w:val="32"/>
          <w:szCs w:val="32"/>
        </w:rPr>
        <w:t>安排2-3名人员去上级医疗机构进修B超、心电图、中医适宜技术等，做好专业学科带头人的培养，提高专技人员业务水平；</w:t>
      </w:r>
    </w:p>
    <w:p>
      <w:pPr>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（4）加强对资金的管理，节约成本，确保专款专用，做到不增新债务，有能力偿还旧债务；</w:t>
      </w:r>
    </w:p>
    <w:p>
      <w:pPr>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（5）开展绩效改革工作，打破“大锅饭”现象，提高医务人员的积极性，实现次月上旬对上月的绩效考核发放。</w:t>
      </w:r>
    </w:p>
    <w:p>
      <w:pPr>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（6）加强对村医的管理及人才的培养，强化制度保障，规范考核，用好用活村医队伍，激发乡村医生的工作积极性；</w:t>
      </w:r>
    </w:p>
    <w:p>
      <w:pPr>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kern w:val="0"/>
          <w:sz w:val="32"/>
          <w:szCs w:val="32"/>
          <w:lang w:bidi="en-AU"/>
        </w:rPr>
      </w:pPr>
      <w:r>
        <w:rPr>
          <w:rFonts w:hint="eastAsia" w:ascii="Times New Roman" w:hAnsi="Times New Roman" w:eastAsia="仿宋_GB2312" w:cs="仿宋_GB2312"/>
          <w:sz w:val="32"/>
          <w:szCs w:val="32"/>
        </w:rPr>
        <w:t>（7）制定医院改扩建方案，科学合理规划科室布局，美化环境。在资金条件允许下，更换诊断室门，安装走廊的扶手及栏杆，改造门诊一楼及二楼公共厕所，让患者就医体验更上新台阶。</w:t>
      </w:r>
    </w:p>
    <w:p>
      <w:pPr>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sz w:val="32"/>
          <w:szCs w:val="32"/>
        </w:rPr>
      </w:pPr>
      <w:bookmarkStart w:id="13" w:name="_Toc18759_WPSOffice_Level1"/>
      <w:r>
        <w:rPr>
          <w:rFonts w:hint="eastAsia" w:ascii="黑体" w:hAnsi="黑体" w:eastAsia="黑体" w:cs="黑体"/>
          <w:color w:val="333333"/>
          <w:kern w:val="0"/>
          <w:sz w:val="32"/>
          <w:szCs w:val="32"/>
          <w:shd w:val="clear" w:color="auto" w:fill="FFFFFF"/>
          <w:lang w:bidi="en-AU"/>
        </w:rPr>
        <w:t>二、部门预算单位构成</w:t>
      </w:r>
      <w:bookmarkEnd w:id="13"/>
    </w:p>
    <w:p>
      <w:pPr>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kern w:val="0"/>
          <w:sz w:val="32"/>
          <w:szCs w:val="32"/>
          <w:lang w:bidi="en-AU"/>
        </w:rPr>
      </w:pPr>
      <w:r>
        <w:rPr>
          <w:rFonts w:hint="eastAsia" w:ascii="Times New Roman" w:hAnsi="Times New Roman" w:eastAsia="仿宋_GB2312" w:cs="仿宋_GB2312"/>
          <w:color w:val="333333"/>
          <w:kern w:val="0"/>
          <w:sz w:val="32"/>
          <w:szCs w:val="32"/>
          <w:shd w:val="clear" w:color="auto" w:fill="FFFFFF"/>
          <w:lang w:bidi="en-AU"/>
        </w:rPr>
        <w:t>红岩镇</w:t>
      </w:r>
      <w:r>
        <w:rPr>
          <w:rFonts w:hint="eastAsia" w:ascii="Times New Roman" w:hAnsi="Times New Roman" w:eastAsia="仿宋_GB2312" w:cs="仿宋_GB2312"/>
          <w:color w:val="333333"/>
          <w:kern w:val="0"/>
          <w:sz w:val="32"/>
          <w:szCs w:val="32"/>
          <w:shd w:val="clear" w:color="auto" w:fill="FFFFFF"/>
          <w:lang w:val="en-US" w:eastAsia="zh-CN" w:bidi="en-AU"/>
        </w:rPr>
        <w:t>卫</w:t>
      </w:r>
      <w:r>
        <w:rPr>
          <w:rFonts w:hint="eastAsia" w:ascii="Times New Roman" w:hAnsi="Times New Roman" w:eastAsia="仿宋_GB2312" w:cs="仿宋_GB2312"/>
          <w:color w:val="333333"/>
          <w:kern w:val="0"/>
          <w:sz w:val="32"/>
          <w:szCs w:val="32"/>
          <w:shd w:val="clear" w:color="auto" w:fill="FFFFFF"/>
          <w:lang w:bidi="en-AU"/>
        </w:rPr>
        <w:t>生院为</w:t>
      </w:r>
      <w:r>
        <w:rPr>
          <w:rFonts w:hint="eastAsia" w:ascii="Times New Roman" w:hAnsi="Times New Roman" w:eastAsia="仿宋_GB2312" w:cs="仿宋_GB2312"/>
          <w:color w:val="333333"/>
          <w:kern w:val="0"/>
          <w:sz w:val="32"/>
          <w:szCs w:val="32"/>
          <w:shd w:val="clear" w:color="auto" w:fill="FFFFFF"/>
          <w:lang w:eastAsia="zh-CN" w:bidi="en-AU"/>
        </w:rPr>
        <w:t>二级预算单位，隶属于广元市昭化区卫生健康局，为公益一类预算单位</w:t>
      </w:r>
      <w:r>
        <w:rPr>
          <w:rFonts w:hint="eastAsia" w:ascii="Times New Roman" w:hAnsi="Times New Roman" w:eastAsia="仿宋_GB2312" w:cs="仿宋_GB2312"/>
          <w:color w:val="333333"/>
          <w:kern w:val="0"/>
          <w:sz w:val="32"/>
          <w:szCs w:val="32"/>
          <w:shd w:val="clear" w:color="auto" w:fill="FFFFFF"/>
          <w:lang w:bidi="en-AU"/>
        </w:rPr>
        <w:t>。</w:t>
      </w:r>
      <w:bookmarkStart w:id="14" w:name="_Toc13773_WPSOffice_Level1"/>
    </w:p>
    <w:p>
      <w:pPr>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333333"/>
          <w:kern w:val="0"/>
          <w:sz w:val="32"/>
          <w:szCs w:val="32"/>
          <w:lang w:bidi="en-AU"/>
        </w:rPr>
      </w:pPr>
      <w:r>
        <w:rPr>
          <w:rFonts w:hint="eastAsia" w:ascii="黑体" w:hAnsi="黑体" w:eastAsia="黑体" w:cs="黑体"/>
          <w:color w:val="333333"/>
          <w:kern w:val="0"/>
          <w:sz w:val="32"/>
          <w:szCs w:val="32"/>
          <w:shd w:val="clear" w:color="auto" w:fill="FFFFFF"/>
          <w:lang w:bidi="en-AU"/>
        </w:rPr>
        <w:t>三、收支预算情况说明</w:t>
      </w:r>
      <w:bookmarkEnd w:id="14"/>
    </w:p>
    <w:p>
      <w:pPr>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kern w:val="0"/>
          <w:sz w:val="32"/>
          <w:szCs w:val="32"/>
          <w:lang w:bidi="en-AU"/>
        </w:rPr>
      </w:pPr>
      <w:r>
        <w:rPr>
          <w:rFonts w:hint="eastAsia" w:ascii="Times New Roman" w:hAnsi="Times New Roman" w:eastAsia="仿宋_GB2312" w:cs="仿宋_GB2312"/>
          <w:color w:val="333333"/>
          <w:kern w:val="0"/>
          <w:sz w:val="32"/>
          <w:szCs w:val="32"/>
          <w:shd w:val="clear" w:color="auto" w:fill="FFFFFF"/>
          <w:lang w:bidi="en-AU"/>
        </w:rPr>
        <w:t>按照综合预算的原则，红岩镇卫生院所有收入和支出均纳入部门预算管理。收入包括：一般公共预算拨款收入；支出包括：一般公共服务支出、社会保障和就业支出、卫生健康支出、住房保障支出。红岩镇卫生院2023年收支总预算287.98万元</w:t>
      </w:r>
      <w:r>
        <w:rPr>
          <w:rFonts w:hint="eastAsia" w:ascii="Times New Roman" w:hAnsi="Times New Roman" w:eastAsia="仿宋_GB2312" w:cs="仿宋_GB2312"/>
          <w:color w:val="333333"/>
          <w:kern w:val="0"/>
          <w:sz w:val="32"/>
          <w:szCs w:val="32"/>
          <w:shd w:val="clear" w:color="auto" w:fill="FFFFFF"/>
          <w:lang w:eastAsia="zh-CN" w:bidi="en-AU"/>
        </w:rPr>
        <w:t>，</w:t>
      </w:r>
      <w:r>
        <w:rPr>
          <w:rFonts w:hint="eastAsia" w:ascii="Times New Roman" w:hAnsi="Times New Roman" w:eastAsia="仿宋_GB2312" w:cs="仿宋_GB2312"/>
          <w:color w:val="333333"/>
          <w:kern w:val="0"/>
          <w:sz w:val="32"/>
          <w:szCs w:val="32"/>
          <w:shd w:val="clear" w:color="auto" w:fill="FFFFFF"/>
          <w:lang w:bidi="en-AU"/>
        </w:rPr>
        <w:t>比2022年收支预算总数增加212.04万元</w:t>
      </w:r>
      <w:r>
        <w:rPr>
          <w:rFonts w:hint="eastAsia" w:ascii="Times New Roman" w:hAnsi="Times New Roman" w:eastAsia="仿宋_GB2312" w:cs="仿宋_GB2312"/>
          <w:color w:val="333333"/>
          <w:kern w:val="0"/>
          <w:sz w:val="32"/>
          <w:szCs w:val="32"/>
          <w:shd w:val="clear" w:color="auto" w:fill="FFFFFF"/>
          <w:lang w:eastAsia="zh-CN" w:bidi="en-AU"/>
        </w:rPr>
        <w:t>，</w:t>
      </w:r>
      <w:r>
        <w:rPr>
          <w:rFonts w:hint="eastAsia" w:ascii="Times New Roman" w:hAnsi="Times New Roman" w:eastAsia="仿宋_GB2312" w:cs="仿宋_GB2312"/>
          <w:color w:val="333333"/>
          <w:kern w:val="0"/>
          <w:sz w:val="32"/>
          <w:szCs w:val="32"/>
          <w:shd w:val="clear" w:color="auto" w:fill="FFFFFF"/>
          <w:lang w:bidi="en-AU"/>
        </w:rPr>
        <w:t>主要原因是</w:t>
      </w:r>
      <w:r>
        <w:rPr>
          <w:rFonts w:hint="eastAsia" w:ascii="Times New Roman" w:hAnsi="Times New Roman" w:eastAsia="仿宋_GB2312" w:cs="仿宋_GB2312"/>
          <w:color w:val="333333"/>
          <w:kern w:val="0"/>
          <w:sz w:val="32"/>
          <w:szCs w:val="32"/>
          <w:shd w:val="clear" w:color="auto" w:fill="FFFFFF"/>
          <w:lang w:eastAsia="zh-CN" w:bidi="en-AU"/>
        </w:rPr>
        <w:t>卫生院</w:t>
      </w:r>
      <w:r>
        <w:rPr>
          <w:rFonts w:hint="eastAsia" w:ascii="Times New Roman" w:hAnsi="Times New Roman" w:eastAsia="仿宋_GB2312" w:cs="仿宋_GB2312"/>
          <w:color w:val="333333"/>
          <w:kern w:val="0"/>
          <w:sz w:val="32"/>
          <w:szCs w:val="32"/>
          <w:shd w:val="clear" w:color="auto" w:fill="FFFFFF"/>
          <w:lang w:bidi="en-AU"/>
        </w:rPr>
        <w:t>合并，人员增加，人员经费增加。</w:t>
      </w:r>
    </w:p>
    <w:p>
      <w:pPr>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color w:val="333333"/>
          <w:sz w:val="32"/>
          <w:szCs w:val="32"/>
        </w:rPr>
      </w:pPr>
      <w:r>
        <w:rPr>
          <w:rFonts w:hint="eastAsia" w:ascii="楷体_GB2312" w:hAnsi="楷体_GB2312" w:eastAsia="楷体_GB2312" w:cs="楷体_GB2312"/>
          <w:b w:val="0"/>
          <w:bCs/>
          <w:color w:val="333333"/>
          <w:sz w:val="32"/>
          <w:szCs w:val="32"/>
          <w:shd w:val="clear" w:color="auto" w:fill="FFFFFF"/>
        </w:rPr>
        <w:t>（一）收入预算情况</w:t>
      </w:r>
    </w:p>
    <w:p>
      <w:pPr>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kern w:val="0"/>
          <w:sz w:val="32"/>
          <w:szCs w:val="32"/>
          <w:lang w:bidi="en-AU"/>
        </w:rPr>
      </w:pPr>
      <w:r>
        <w:rPr>
          <w:rFonts w:hint="eastAsia" w:ascii="Times New Roman" w:hAnsi="Times New Roman" w:eastAsia="仿宋_GB2312" w:cs="仿宋_GB2312"/>
          <w:color w:val="333333"/>
          <w:kern w:val="0"/>
          <w:sz w:val="32"/>
          <w:szCs w:val="32"/>
          <w:shd w:val="clear" w:color="auto" w:fill="FFFFFF"/>
          <w:lang w:bidi="en-AU"/>
        </w:rPr>
        <w:t>红岩镇卫生院2023年收入预算287.98万元，其中：一般公共预算拨款收入287 .98万元，占100%。</w:t>
      </w:r>
    </w:p>
    <w:p>
      <w:pPr>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color w:val="333333"/>
          <w:sz w:val="32"/>
          <w:szCs w:val="32"/>
        </w:rPr>
      </w:pPr>
      <w:r>
        <w:rPr>
          <w:rFonts w:hint="eastAsia" w:ascii="楷体_GB2312" w:hAnsi="楷体_GB2312" w:eastAsia="楷体_GB2312" w:cs="楷体_GB2312"/>
          <w:b w:val="0"/>
          <w:bCs/>
          <w:color w:val="333333"/>
          <w:sz w:val="32"/>
          <w:szCs w:val="32"/>
          <w:shd w:val="clear" w:color="auto" w:fill="FFFFFF"/>
        </w:rPr>
        <w:t>（二）支出预算情况</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kern w:val="0"/>
          <w:sz w:val="32"/>
          <w:szCs w:val="32"/>
          <w:lang w:bidi="en-AU"/>
        </w:rPr>
      </w:pPr>
      <w:r>
        <w:rPr>
          <w:rFonts w:hint="eastAsia" w:ascii="Times New Roman" w:hAnsi="Times New Roman" w:eastAsia="仿宋_GB2312" w:cs="仿宋_GB2312"/>
          <w:color w:val="333333"/>
          <w:kern w:val="0"/>
          <w:sz w:val="32"/>
          <w:szCs w:val="32"/>
          <w:shd w:val="clear" w:color="auto" w:fill="FFFFFF"/>
          <w:lang w:bidi="en-AU"/>
        </w:rPr>
        <w:t>红岩镇卫生院2023年支出预算287.98万元，其中：基本支出287.98万元，占100%。</w:t>
      </w:r>
    </w:p>
    <w:p>
      <w:pPr>
        <w:keepNext w:val="0"/>
        <w:keepLines w:val="0"/>
        <w:pageBreakBefore w:val="0"/>
        <w:widowControl w:val="0"/>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sz w:val="32"/>
          <w:szCs w:val="32"/>
        </w:rPr>
      </w:pPr>
      <w:bookmarkStart w:id="15" w:name="_Toc22584_WPSOffice_Level1"/>
      <w:r>
        <w:rPr>
          <w:rFonts w:hint="eastAsia" w:ascii="黑体" w:hAnsi="黑体" w:eastAsia="黑体" w:cs="黑体"/>
          <w:color w:val="333333"/>
          <w:kern w:val="0"/>
          <w:sz w:val="32"/>
          <w:szCs w:val="32"/>
          <w:shd w:val="clear" w:color="auto" w:fill="FFFFFF"/>
          <w:lang w:bidi="en-AU"/>
        </w:rPr>
        <w:t>四、财政拨款收支预算情况说明</w:t>
      </w:r>
      <w:bookmarkEnd w:id="15"/>
    </w:p>
    <w:p>
      <w:pPr>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kern w:val="0"/>
          <w:sz w:val="32"/>
          <w:szCs w:val="32"/>
          <w:shd w:val="clear" w:color="auto" w:fill="FFFFFF"/>
          <w:lang w:bidi="en-AU"/>
        </w:rPr>
        <w:t>红岩镇卫生院2023年财政拨款收支总预算287.98万元</w:t>
      </w:r>
      <w:r>
        <w:rPr>
          <w:rFonts w:hint="eastAsia" w:ascii="Times New Roman" w:hAnsi="Times New Roman" w:eastAsia="仿宋_GB2312" w:cs="仿宋_GB2312"/>
          <w:color w:val="333333"/>
          <w:kern w:val="0"/>
          <w:sz w:val="32"/>
          <w:szCs w:val="32"/>
          <w:shd w:val="clear" w:color="auto" w:fill="FFFFFF"/>
          <w:lang w:eastAsia="zh-CN" w:bidi="en-AU"/>
        </w:rPr>
        <w:t>，</w:t>
      </w:r>
      <w:r>
        <w:rPr>
          <w:rFonts w:hint="eastAsia" w:ascii="Times New Roman" w:hAnsi="Times New Roman" w:eastAsia="仿宋_GB2312" w:cs="仿宋_GB2312"/>
          <w:color w:val="333333"/>
          <w:kern w:val="0"/>
          <w:sz w:val="32"/>
          <w:szCs w:val="32"/>
          <w:shd w:val="clear" w:color="auto" w:fill="FFFFFF"/>
          <w:lang w:bidi="en-AU"/>
        </w:rPr>
        <w:t>比2022年财政拨款收支总预算增加212.04万元，主要原因是</w:t>
      </w:r>
      <w:r>
        <w:rPr>
          <w:rFonts w:hint="eastAsia" w:ascii="Times New Roman" w:hAnsi="Times New Roman" w:eastAsia="仿宋_GB2312" w:cs="仿宋_GB2312"/>
          <w:color w:val="333333"/>
          <w:kern w:val="0"/>
          <w:sz w:val="32"/>
          <w:szCs w:val="32"/>
          <w:shd w:val="clear" w:color="auto" w:fill="FFFFFF"/>
          <w:lang w:eastAsia="zh-CN" w:bidi="en-AU"/>
        </w:rPr>
        <w:t>卫生院</w:t>
      </w:r>
      <w:r>
        <w:rPr>
          <w:rFonts w:hint="eastAsia" w:ascii="Times New Roman" w:hAnsi="Times New Roman" w:eastAsia="仿宋_GB2312" w:cs="仿宋_GB2312"/>
          <w:color w:val="333333"/>
          <w:kern w:val="0"/>
          <w:sz w:val="32"/>
          <w:szCs w:val="32"/>
          <w:shd w:val="clear" w:color="auto" w:fill="FFFFFF"/>
          <w:lang w:bidi="en-AU"/>
        </w:rPr>
        <w:t>合并，人员增加，人员经费增加。</w:t>
      </w:r>
    </w:p>
    <w:p>
      <w:pPr>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kern w:val="0"/>
          <w:sz w:val="32"/>
          <w:szCs w:val="32"/>
          <w:lang w:bidi="en-AU"/>
        </w:rPr>
      </w:pPr>
      <w:r>
        <w:rPr>
          <w:rFonts w:hint="eastAsia" w:ascii="Times New Roman" w:hAnsi="Times New Roman" w:eastAsia="仿宋_GB2312" w:cs="仿宋_GB2312"/>
          <w:color w:val="333333"/>
          <w:kern w:val="0"/>
          <w:sz w:val="32"/>
          <w:szCs w:val="32"/>
          <w:shd w:val="clear" w:color="auto" w:fill="FFFFFF"/>
          <w:lang w:bidi="en-AU"/>
        </w:rPr>
        <w:t>收入包括：本年一般公共预算拨款收入287.98万元；支出包括：社会保障和就业支出52.16万元、卫生健康支出212.75万元、住房保障支出23.06万元。</w:t>
      </w:r>
      <w:bookmarkStart w:id="16" w:name="_Toc25905_WPSOffice_Level1"/>
    </w:p>
    <w:p>
      <w:pPr>
        <w:keepLines w:val="0"/>
        <w:pageBreakBefore w:val="0"/>
        <w:widowControl/>
        <w:numPr>
          <w:ilvl w:val="0"/>
          <w:numId w:val="2"/>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333333"/>
          <w:kern w:val="0"/>
          <w:sz w:val="32"/>
          <w:szCs w:val="32"/>
          <w:lang w:bidi="en-AU"/>
        </w:rPr>
      </w:pPr>
      <w:r>
        <w:rPr>
          <w:rFonts w:hint="eastAsia" w:ascii="黑体" w:hAnsi="黑体" w:eastAsia="黑体" w:cs="黑体"/>
          <w:color w:val="333333"/>
          <w:kern w:val="0"/>
          <w:sz w:val="32"/>
          <w:szCs w:val="32"/>
          <w:shd w:val="clear" w:color="auto" w:fill="FFFFFF"/>
          <w:lang w:bidi="en-AU"/>
        </w:rPr>
        <w:t>一般公共预算当年拨款情况说明</w:t>
      </w:r>
      <w:bookmarkEnd w:id="16"/>
    </w:p>
    <w:p>
      <w:pPr>
        <w:keepLines w:val="0"/>
        <w:pageBreakBefore w:val="0"/>
        <w:widowControl/>
        <w:numPr>
          <w:ilvl w:val="0"/>
          <w:numId w:val="3"/>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sz w:val="32"/>
          <w:szCs w:val="32"/>
        </w:rPr>
      </w:pPr>
      <w:r>
        <w:rPr>
          <w:rFonts w:hint="eastAsia" w:ascii="楷体_GB2312" w:hAnsi="楷体_GB2312" w:eastAsia="楷体_GB2312" w:cs="楷体_GB2312"/>
          <w:b w:val="0"/>
          <w:bCs/>
          <w:color w:val="333333"/>
          <w:sz w:val="32"/>
          <w:szCs w:val="32"/>
          <w:shd w:val="clear" w:color="auto" w:fill="FFFFFF"/>
        </w:rPr>
        <w:t>一般公共预算当年拨款规模变化情况</w:t>
      </w:r>
    </w:p>
    <w:p>
      <w:pPr>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kern w:val="0"/>
          <w:sz w:val="32"/>
          <w:szCs w:val="32"/>
          <w:lang w:bidi="en-AU"/>
        </w:rPr>
      </w:pPr>
      <w:r>
        <w:rPr>
          <w:rFonts w:hint="eastAsia" w:ascii="Times New Roman" w:hAnsi="Times New Roman" w:eastAsia="仿宋_GB2312" w:cs="仿宋_GB2312"/>
          <w:color w:val="333333"/>
          <w:kern w:val="0"/>
          <w:sz w:val="32"/>
          <w:szCs w:val="32"/>
          <w:shd w:val="clear" w:color="auto" w:fill="FFFFFF"/>
          <w:lang w:bidi="en-AU"/>
        </w:rPr>
        <w:t>红岩镇卫生院2023年一般公共预算当年拨款287.98万元，比2022年预算数增加212.04万元，主要原因是</w:t>
      </w:r>
      <w:r>
        <w:rPr>
          <w:rFonts w:hint="eastAsia" w:ascii="Times New Roman" w:hAnsi="Times New Roman" w:eastAsia="仿宋_GB2312" w:cs="仿宋_GB2312"/>
          <w:color w:val="333333"/>
          <w:kern w:val="0"/>
          <w:sz w:val="32"/>
          <w:szCs w:val="32"/>
          <w:shd w:val="clear" w:color="auto" w:fill="FFFFFF"/>
          <w:lang w:eastAsia="zh-CN" w:bidi="en-AU"/>
        </w:rPr>
        <w:t>卫生院</w:t>
      </w:r>
      <w:r>
        <w:rPr>
          <w:rFonts w:hint="eastAsia" w:ascii="Times New Roman" w:hAnsi="Times New Roman" w:eastAsia="仿宋_GB2312" w:cs="仿宋_GB2312"/>
          <w:color w:val="333333"/>
          <w:kern w:val="0"/>
          <w:sz w:val="32"/>
          <w:szCs w:val="32"/>
          <w:shd w:val="clear" w:color="auto" w:fill="FFFFFF"/>
          <w:lang w:bidi="en-AU"/>
        </w:rPr>
        <w:t>合并，人员增加，人员经费增加。</w:t>
      </w:r>
    </w:p>
    <w:p>
      <w:pPr>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color w:val="333333"/>
          <w:sz w:val="32"/>
          <w:szCs w:val="32"/>
        </w:rPr>
      </w:pPr>
      <w:r>
        <w:rPr>
          <w:rFonts w:hint="eastAsia" w:ascii="楷体_GB2312" w:hAnsi="楷体_GB2312" w:eastAsia="楷体_GB2312" w:cs="楷体_GB2312"/>
          <w:b w:val="0"/>
          <w:bCs/>
          <w:color w:val="333333"/>
          <w:sz w:val="32"/>
          <w:szCs w:val="32"/>
          <w:shd w:val="clear" w:color="auto" w:fill="FFFFFF"/>
        </w:rPr>
        <w:t>（二）一般公共预算当年拨款结构情况</w:t>
      </w:r>
    </w:p>
    <w:p>
      <w:pPr>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kern w:val="0"/>
          <w:sz w:val="32"/>
          <w:szCs w:val="32"/>
          <w:lang w:bidi="en-AU"/>
        </w:rPr>
      </w:pPr>
      <w:r>
        <w:rPr>
          <w:rFonts w:hint="eastAsia" w:ascii="Times New Roman" w:hAnsi="Times New Roman" w:eastAsia="仿宋_GB2312" w:cs="仿宋_GB2312"/>
          <w:color w:val="333333"/>
          <w:kern w:val="0"/>
          <w:sz w:val="32"/>
          <w:szCs w:val="32"/>
          <w:shd w:val="clear" w:color="auto" w:fill="FFFFFF"/>
          <w:lang w:bidi="en-AU"/>
        </w:rPr>
        <w:t>社会保障和就业支出52.16万元，占18.2%；卫生健康支出212.75万元，占73.8%；住房保障支出23.06万元，占0.8%。</w:t>
      </w:r>
    </w:p>
    <w:p>
      <w:pPr>
        <w:keepLines w:val="0"/>
        <w:pageBreakBefore w:val="0"/>
        <w:widowControl/>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color w:val="333333"/>
          <w:sz w:val="32"/>
          <w:szCs w:val="32"/>
        </w:rPr>
      </w:pPr>
      <w:r>
        <w:rPr>
          <w:rFonts w:hint="eastAsia" w:ascii="楷体_GB2312" w:hAnsi="楷体_GB2312" w:eastAsia="楷体_GB2312" w:cs="楷体_GB2312"/>
          <w:b w:val="0"/>
          <w:bCs/>
          <w:color w:val="333333"/>
          <w:sz w:val="32"/>
          <w:szCs w:val="32"/>
          <w:shd w:val="clear" w:color="auto" w:fill="FFFFFF"/>
          <w:lang w:eastAsia="zh-CN"/>
        </w:rPr>
        <w:t>（三）</w:t>
      </w:r>
      <w:r>
        <w:rPr>
          <w:rFonts w:hint="eastAsia" w:ascii="楷体_GB2312" w:hAnsi="楷体_GB2312" w:eastAsia="楷体_GB2312" w:cs="楷体_GB2312"/>
          <w:b w:val="0"/>
          <w:bCs/>
          <w:color w:val="333333"/>
          <w:sz w:val="32"/>
          <w:szCs w:val="32"/>
          <w:shd w:val="clear" w:color="auto" w:fill="FFFFFF"/>
        </w:rPr>
        <w:t>一般公共预算当年拨款具体使用情况</w:t>
      </w:r>
    </w:p>
    <w:p>
      <w:pPr>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kern w:val="0"/>
          <w:sz w:val="32"/>
          <w:szCs w:val="32"/>
          <w:lang w:bidi="en-AU"/>
        </w:rPr>
      </w:pPr>
      <w:r>
        <w:rPr>
          <w:rFonts w:hint="eastAsia" w:ascii="Times New Roman" w:hAnsi="Times New Roman" w:eastAsia="仿宋_GB2312" w:cs="仿宋_GB2312"/>
          <w:color w:val="333333"/>
          <w:kern w:val="0"/>
          <w:sz w:val="32"/>
          <w:szCs w:val="32"/>
          <w:shd w:val="clear" w:color="auto" w:fill="FFFFFF"/>
          <w:lang w:val="en-US" w:eastAsia="zh-CN" w:bidi="en-AU"/>
        </w:rPr>
        <w:t>1.</w:t>
      </w:r>
      <w:r>
        <w:rPr>
          <w:rFonts w:hint="eastAsia" w:ascii="Times New Roman" w:hAnsi="Times New Roman" w:eastAsia="仿宋_GB2312" w:cs="仿宋_GB2312"/>
          <w:color w:val="333333"/>
          <w:kern w:val="0"/>
          <w:sz w:val="32"/>
          <w:szCs w:val="32"/>
          <w:shd w:val="clear" w:color="auto" w:fill="FFFFFF"/>
          <w:lang w:bidi="en-AU"/>
        </w:rPr>
        <w:t>社会保障和就业（类）行政事业单位养老支出（款）行政单位离退休（项）2023年预算数为12万元，主要用于：机关及参公管理事业单位离退休人员经费支出。</w:t>
      </w:r>
    </w:p>
    <w:p>
      <w:pPr>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kern w:val="0"/>
          <w:sz w:val="32"/>
          <w:szCs w:val="32"/>
          <w:lang w:bidi="en-AU"/>
        </w:rPr>
      </w:pPr>
      <w:r>
        <w:rPr>
          <w:rFonts w:hint="eastAsia" w:ascii="Times New Roman" w:hAnsi="Times New Roman" w:eastAsia="仿宋_GB2312" w:cs="仿宋_GB2312"/>
          <w:color w:val="333333"/>
          <w:kern w:val="0"/>
          <w:sz w:val="32"/>
          <w:szCs w:val="32"/>
          <w:shd w:val="clear" w:color="auto" w:fill="FFFFFF"/>
          <w:lang w:val="en-US" w:eastAsia="zh-CN" w:bidi="en-AU"/>
        </w:rPr>
        <w:t>2.</w:t>
      </w:r>
      <w:r>
        <w:rPr>
          <w:rFonts w:hint="eastAsia" w:ascii="Times New Roman" w:hAnsi="Times New Roman" w:eastAsia="仿宋_GB2312" w:cs="仿宋_GB2312"/>
          <w:color w:val="333333"/>
          <w:kern w:val="0"/>
          <w:sz w:val="32"/>
          <w:szCs w:val="32"/>
          <w:shd w:val="clear" w:color="auto" w:fill="FFFFFF"/>
          <w:lang w:bidi="en-AU"/>
        </w:rPr>
        <w:t>社会保障和就业（类）行政事业单位养老支出（款）机关事业单位基本养老保险缴费支出（项）2023年预算数为28.98万元，主要用于：实施养老保险制度由单位缴纳的基本养老保险支出。</w:t>
      </w:r>
    </w:p>
    <w:p>
      <w:pPr>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kern w:val="0"/>
          <w:sz w:val="32"/>
          <w:szCs w:val="32"/>
          <w:lang w:bidi="en-AU"/>
        </w:rPr>
      </w:pPr>
      <w:r>
        <w:rPr>
          <w:rFonts w:hint="eastAsia" w:ascii="Times New Roman" w:hAnsi="Times New Roman" w:eastAsia="仿宋_GB2312" w:cs="仿宋_GB2312"/>
          <w:color w:val="333333"/>
          <w:kern w:val="0"/>
          <w:sz w:val="32"/>
          <w:szCs w:val="32"/>
          <w:shd w:val="clear" w:color="auto" w:fill="FFFFFF"/>
          <w:lang w:val="en-US" w:eastAsia="zh-CN" w:bidi="en-AU"/>
        </w:rPr>
        <w:t>3.</w:t>
      </w:r>
      <w:r>
        <w:rPr>
          <w:rFonts w:hint="eastAsia" w:ascii="Times New Roman" w:hAnsi="Times New Roman" w:eastAsia="仿宋_GB2312" w:cs="仿宋_GB2312"/>
          <w:color w:val="333333"/>
          <w:kern w:val="0"/>
          <w:sz w:val="32"/>
          <w:szCs w:val="32"/>
          <w:shd w:val="clear" w:color="auto" w:fill="FFFFFF"/>
          <w:lang w:bidi="en-AU"/>
        </w:rPr>
        <w:t>社会保障和就业（类）行政事业单位养老支出（款）机关事业单位职业年金缴费支出（项）2023年预算数为11.18万元，主要用于：实施养老保险制度由单位缴纳的职业年金支出。</w:t>
      </w:r>
    </w:p>
    <w:p>
      <w:pPr>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kern w:val="0"/>
          <w:sz w:val="32"/>
          <w:szCs w:val="32"/>
          <w:lang w:bidi="en-AU"/>
        </w:rPr>
      </w:pPr>
      <w:r>
        <w:rPr>
          <w:rFonts w:hint="eastAsia" w:ascii="Times New Roman" w:hAnsi="Times New Roman" w:eastAsia="仿宋_GB2312" w:cs="仿宋_GB2312"/>
          <w:color w:val="333333"/>
          <w:kern w:val="0"/>
          <w:sz w:val="32"/>
          <w:szCs w:val="32"/>
          <w:shd w:val="clear" w:color="auto" w:fill="FFFFFF"/>
          <w:lang w:val="en-US" w:eastAsia="zh-CN" w:bidi="en-AU"/>
        </w:rPr>
        <w:t>4.</w:t>
      </w:r>
      <w:r>
        <w:rPr>
          <w:rFonts w:hint="eastAsia" w:ascii="Times New Roman" w:hAnsi="Times New Roman" w:eastAsia="仿宋_GB2312" w:cs="仿宋_GB2312"/>
          <w:color w:val="333333"/>
          <w:kern w:val="0"/>
          <w:sz w:val="32"/>
          <w:szCs w:val="32"/>
          <w:shd w:val="clear" w:color="auto" w:fill="FFFFFF"/>
          <w:lang w:bidi="en-AU"/>
        </w:rPr>
        <w:t>卫生健康（类）行政事业单位医疗（款）行政单位医疗（项）2023年预算数为13.53万元，主要用于：机关及参公管理事业单位按规定由单位缴纳的基本医疗保险支出。</w:t>
      </w:r>
    </w:p>
    <w:p>
      <w:pPr>
        <w:keepLines w:val="0"/>
        <w:pageBreakBefore w:val="0"/>
        <w:widowControl/>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仿宋_GB2312" w:cs="仿宋_GB2312"/>
          <w:color w:val="333333"/>
          <w:kern w:val="0"/>
          <w:sz w:val="32"/>
          <w:szCs w:val="32"/>
          <w:lang w:bidi="en-AU"/>
        </w:rPr>
      </w:pPr>
      <w:r>
        <w:rPr>
          <w:rFonts w:hint="eastAsia" w:ascii="Times New Roman" w:hAnsi="Times New Roman" w:eastAsia="仿宋_GB2312" w:cs="仿宋_GB2312"/>
          <w:color w:val="333333"/>
          <w:kern w:val="0"/>
          <w:sz w:val="32"/>
          <w:szCs w:val="32"/>
          <w:shd w:val="clear" w:color="auto" w:fill="FFFFFF"/>
          <w:lang w:val="en-US" w:eastAsia="zh-CN" w:bidi="en-AU"/>
        </w:rPr>
        <w:t>5</w:t>
      </w:r>
      <w:r>
        <w:rPr>
          <w:rFonts w:hint="eastAsia" w:ascii="Times New Roman" w:hAnsi="Times New Roman" w:eastAsia="仿宋_GB2312" w:cs="仿宋_GB2312"/>
          <w:color w:val="333333"/>
          <w:kern w:val="0"/>
          <w:sz w:val="32"/>
          <w:szCs w:val="32"/>
          <w:shd w:val="clear" w:color="auto" w:fill="FFFFFF"/>
          <w:lang w:bidi="en-AU"/>
        </w:rPr>
        <w:t>.住房保障（类）住房改革支出（款）住房公积金（项）2023年预算数为23.06万元，主要用于：部门按规定为职工缴纳的住房公积金支出。</w:t>
      </w:r>
    </w:p>
    <w:p>
      <w:pPr>
        <w:keepNext/>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仿宋_GB2312" w:cs="仿宋_GB2312"/>
          <w:color w:val="333333"/>
          <w:kern w:val="0"/>
          <w:sz w:val="32"/>
          <w:szCs w:val="32"/>
          <w:lang w:bidi="en-AU"/>
        </w:rPr>
      </w:pPr>
      <w:bookmarkStart w:id="17" w:name="_Toc7436_WPSOffice_Level1"/>
      <w:r>
        <w:rPr>
          <w:rFonts w:hint="eastAsia" w:ascii="黑体" w:hAnsi="黑体" w:eastAsia="黑体" w:cs="黑体"/>
          <w:color w:val="333333"/>
          <w:kern w:val="0"/>
          <w:sz w:val="32"/>
          <w:szCs w:val="32"/>
          <w:shd w:val="clear" w:color="auto" w:fill="FFFFFF"/>
          <w:lang w:bidi="en-AU"/>
        </w:rPr>
        <w:t>六、一般公共预算基本支出情况说明</w:t>
      </w:r>
      <w:bookmarkEnd w:id="17"/>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仿宋_GB2312" w:cs="仿宋_GB2312"/>
          <w:color w:val="333333"/>
          <w:kern w:val="0"/>
          <w:sz w:val="32"/>
          <w:szCs w:val="32"/>
          <w:lang w:bidi="en-AU"/>
        </w:rPr>
      </w:pPr>
      <w:r>
        <w:rPr>
          <w:rFonts w:hint="eastAsia" w:ascii="Times New Roman" w:hAnsi="Times New Roman" w:eastAsia="仿宋_GB2312" w:cs="仿宋_GB2312"/>
          <w:color w:val="333333"/>
          <w:kern w:val="0"/>
          <w:sz w:val="32"/>
          <w:szCs w:val="32"/>
          <w:shd w:val="clear" w:color="auto" w:fill="FFFFFF"/>
          <w:lang w:bidi="en-AU"/>
        </w:rPr>
        <w:t>红岩镇卫生院2023年一般公共预算基本支出287.98万元，其中：人员经费</w:t>
      </w:r>
      <w:r>
        <w:rPr>
          <w:rFonts w:hint="eastAsia" w:ascii="Times New Roman" w:hAnsi="Times New Roman" w:eastAsia="仿宋_GB2312" w:cs="仿宋_GB2312"/>
          <w:color w:val="333333"/>
          <w:kern w:val="0"/>
          <w:sz w:val="32"/>
          <w:szCs w:val="32"/>
          <w:shd w:val="clear" w:color="auto" w:fill="FFFFFF"/>
          <w:lang w:val="en-US" w:eastAsia="zh-CN" w:bidi="en-AU"/>
        </w:rPr>
        <w:t>287.98</w:t>
      </w:r>
      <w:r>
        <w:rPr>
          <w:rFonts w:hint="eastAsia" w:ascii="Times New Roman" w:hAnsi="Times New Roman" w:eastAsia="仿宋_GB2312" w:cs="仿宋_GB2312"/>
          <w:color w:val="333333"/>
          <w:kern w:val="0"/>
          <w:sz w:val="32"/>
          <w:szCs w:val="32"/>
          <w:shd w:val="clear" w:color="auto" w:fill="FFFFFF"/>
          <w:lang w:bidi="en-AU"/>
        </w:rPr>
        <w:t>万元，主要包括：基本工资、津贴补贴、奖金、社会保险缴费、</w:t>
      </w:r>
      <w:r>
        <w:rPr>
          <w:rFonts w:hint="eastAsia" w:ascii="Times New Roman" w:hAnsi="Times New Roman" w:eastAsia="仿宋_GB2312" w:cs="仿宋_GB2312"/>
          <w:color w:val="333333"/>
          <w:kern w:val="0"/>
          <w:sz w:val="32"/>
          <w:szCs w:val="32"/>
          <w:shd w:val="clear" w:color="auto" w:fill="FFFFFF"/>
          <w:lang w:eastAsia="zh-CN" w:bidi="en-AU"/>
        </w:rPr>
        <w:t>退</w:t>
      </w:r>
      <w:r>
        <w:rPr>
          <w:rFonts w:hint="eastAsia" w:ascii="Times New Roman" w:hAnsi="Times New Roman" w:eastAsia="仿宋_GB2312" w:cs="仿宋_GB2312"/>
          <w:color w:val="333333"/>
          <w:kern w:val="0"/>
          <w:sz w:val="32"/>
          <w:szCs w:val="32"/>
          <w:shd w:val="clear" w:color="auto" w:fill="FFFFFF"/>
          <w:lang w:bidi="en-AU"/>
        </w:rPr>
        <w:t>休费、住房公积金等支出。</w:t>
      </w:r>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仿宋_GB2312" w:cs="仿宋_GB2312"/>
          <w:color w:val="333333"/>
          <w:kern w:val="0"/>
          <w:sz w:val="32"/>
          <w:szCs w:val="32"/>
          <w:lang w:bidi="en-AU"/>
        </w:rPr>
      </w:pPr>
      <w:r>
        <w:rPr>
          <w:rFonts w:hint="eastAsia" w:ascii="Times New Roman" w:hAnsi="Times New Roman" w:eastAsia="仿宋_GB2312" w:cs="仿宋_GB2312"/>
          <w:color w:val="333333"/>
          <w:kern w:val="0"/>
          <w:sz w:val="32"/>
          <w:szCs w:val="32"/>
          <w:shd w:val="clear" w:color="auto" w:fill="FFFFFF"/>
          <w:lang w:bidi="en-AU"/>
        </w:rPr>
        <w:t>公用经费</w:t>
      </w:r>
      <w:r>
        <w:rPr>
          <w:rFonts w:hint="eastAsia" w:ascii="Times New Roman" w:hAnsi="Times New Roman" w:eastAsia="仿宋_GB2312" w:cs="仿宋_GB2312"/>
          <w:color w:val="333333"/>
          <w:kern w:val="0"/>
          <w:sz w:val="32"/>
          <w:szCs w:val="32"/>
          <w:shd w:val="clear" w:color="auto" w:fill="FFFFFF"/>
          <w:lang w:val="en-US" w:eastAsia="zh-CN" w:bidi="en-AU"/>
        </w:rPr>
        <w:t>0</w:t>
      </w:r>
      <w:r>
        <w:rPr>
          <w:rFonts w:hint="eastAsia" w:ascii="Times New Roman" w:hAnsi="Times New Roman" w:eastAsia="仿宋_GB2312" w:cs="仿宋_GB2312"/>
          <w:color w:val="333333"/>
          <w:kern w:val="0"/>
          <w:sz w:val="32"/>
          <w:szCs w:val="32"/>
          <w:shd w:val="clear" w:color="auto" w:fill="FFFFFF"/>
          <w:lang w:bidi="en-AU"/>
        </w:rPr>
        <w:t>万元。</w:t>
      </w:r>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color w:val="333333"/>
          <w:kern w:val="0"/>
          <w:sz w:val="32"/>
          <w:szCs w:val="32"/>
          <w:lang w:bidi="en-AU"/>
        </w:rPr>
      </w:pPr>
      <w:bookmarkStart w:id="18" w:name="_Toc26326_WPSOffice_Level1"/>
      <w:r>
        <w:rPr>
          <w:rFonts w:hint="eastAsia" w:ascii="黑体" w:hAnsi="黑体" w:eastAsia="黑体" w:cs="黑体"/>
          <w:color w:val="333333"/>
          <w:kern w:val="0"/>
          <w:sz w:val="32"/>
          <w:szCs w:val="32"/>
          <w:shd w:val="clear" w:color="auto" w:fill="FFFFFF"/>
          <w:lang w:eastAsia="zh-CN" w:bidi="en-AU"/>
        </w:rPr>
        <w:t>七、</w:t>
      </w:r>
      <w:r>
        <w:rPr>
          <w:rFonts w:hint="eastAsia" w:ascii="黑体" w:hAnsi="黑体" w:eastAsia="黑体" w:cs="黑体"/>
          <w:color w:val="333333"/>
          <w:kern w:val="0"/>
          <w:sz w:val="32"/>
          <w:szCs w:val="32"/>
          <w:shd w:val="clear" w:color="auto" w:fill="FFFFFF"/>
          <w:lang w:bidi="en-AU"/>
        </w:rPr>
        <w:t>“三公”经费财政拨款预算安排情况说明</w:t>
      </w:r>
      <w:bookmarkEnd w:id="18"/>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仿宋_GB2312" w:cs="仿宋_GB2312"/>
          <w:color w:val="333333"/>
          <w:kern w:val="0"/>
          <w:sz w:val="32"/>
          <w:szCs w:val="32"/>
          <w:lang w:val="en-US" w:eastAsia="zh-CN" w:bidi="en-AU"/>
        </w:rPr>
      </w:pPr>
      <w:r>
        <w:rPr>
          <w:rFonts w:hint="eastAsia" w:ascii="Times New Roman" w:hAnsi="Times New Roman" w:eastAsia="仿宋_GB2312" w:cs="仿宋_GB2312"/>
          <w:color w:val="333333"/>
          <w:kern w:val="0"/>
          <w:sz w:val="32"/>
          <w:szCs w:val="32"/>
          <w:shd w:val="clear" w:color="auto" w:fill="FFFFFF"/>
          <w:lang w:val="en-US" w:eastAsia="zh-CN" w:bidi="en-AU"/>
        </w:rPr>
        <w:t>红岩镇卫生院2023年“三公”经费财政拨款预算数0万元（2023年本单位无三公经费预算），其中：公务接待费0万元，公务用车购置及运行维护费0万元，因公出国（境）经费0万元。</w:t>
      </w:r>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color w:val="333333"/>
          <w:kern w:val="0"/>
          <w:sz w:val="32"/>
          <w:szCs w:val="32"/>
          <w:lang w:val="en-US" w:eastAsia="zh-CN" w:bidi="en-AU"/>
        </w:rPr>
      </w:pPr>
      <w:r>
        <w:rPr>
          <w:rFonts w:hint="eastAsia" w:ascii="楷体_GB2312" w:hAnsi="楷体_GB2312" w:eastAsia="楷体_GB2312" w:cs="楷体_GB2312"/>
          <w:b w:val="0"/>
          <w:bCs/>
          <w:color w:val="333333"/>
          <w:kern w:val="0"/>
          <w:sz w:val="32"/>
          <w:szCs w:val="32"/>
          <w:shd w:val="clear" w:color="auto" w:fill="FFFFFF"/>
          <w:lang w:val="en-US" w:eastAsia="zh-CN" w:bidi="en-AU"/>
        </w:rPr>
        <w:t>（一）公务接待费与2022年预算相比</w:t>
      </w:r>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仿宋_GB2312" w:cs="仿宋_GB2312"/>
          <w:color w:val="333333"/>
          <w:kern w:val="0"/>
          <w:sz w:val="32"/>
          <w:szCs w:val="32"/>
          <w:lang w:val="en-US" w:eastAsia="zh-CN" w:bidi="en-AU"/>
        </w:rPr>
      </w:pPr>
      <w:r>
        <w:rPr>
          <w:rFonts w:hint="eastAsia" w:ascii="Times New Roman" w:hAnsi="Times New Roman" w:eastAsia="仿宋_GB2312" w:cs="仿宋_GB2312"/>
          <w:color w:val="333333"/>
          <w:kern w:val="0"/>
          <w:sz w:val="32"/>
          <w:szCs w:val="32"/>
          <w:shd w:val="clear" w:color="auto" w:fill="FFFFFF"/>
          <w:lang w:val="en-US" w:eastAsia="zh-CN" w:bidi="en-AU"/>
        </w:rPr>
        <w:t>2023年本单位无公务接待费预算，与2022年预算相比持平。</w:t>
      </w:r>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color w:val="333333"/>
          <w:kern w:val="0"/>
          <w:sz w:val="32"/>
          <w:szCs w:val="32"/>
          <w:lang w:val="en-US" w:eastAsia="zh-CN" w:bidi="en-AU"/>
        </w:rPr>
      </w:pPr>
      <w:r>
        <w:rPr>
          <w:rFonts w:hint="eastAsia" w:ascii="楷体_GB2312" w:hAnsi="楷体_GB2312" w:eastAsia="楷体_GB2312" w:cs="楷体_GB2312"/>
          <w:b w:val="0"/>
          <w:bCs/>
          <w:color w:val="333333"/>
          <w:kern w:val="0"/>
          <w:sz w:val="32"/>
          <w:szCs w:val="32"/>
          <w:shd w:val="clear" w:color="auto" w:fill="FFFFFF"/>
          <w:lang w:val="en-US" w:eastAsia="zh-CN" w:bidi="en-AU"/>
        </w:rPr>
        <w:t>（二）公务用车购置及运行维护费与2022年预算相比</w:t>
      </w:r>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仿宋_GB2312" w:cs="仿宋_GB2312"/>
          <w:color w:val="333333"/>
          <w:kern w:val="0"/>
          <w:sz w:val="32"/>
          <w:szCs w:val="32"/>
          <w:lang w:val="en-US" w:eastAsia="zh-CN" w:bidi="en-AU"/>
        </w:rPr>
      </w:pPr>
      <w:r>
        <w:rPr>
          <w:rFonts w:hint="eastAsia" w:ascii="Times New Roman" w:hAnsi="Times New Roman" w:eastAsia="仿宋_GB2312" w:cs="仿宋_GB2312"/>
          <w:color w:val="333333"/>
          <w:kern w:val="0"/>
          <w:sz w:val="32"/>
          <w:szCs w:val="32"/>
          <w:shd w:val="clear" w:color="auto" w:fill="FFFFFF"/>
          <w:lang w:val="en-US" w:eastAsia="zh-CN" w:bidi="en-AU"/>
        </w:rPr>
        <w:t>2023年本单位无公务用车购置及运行维护费，与2022年预算相比持平。</w:t>
      </w:r>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color w:val="333333"/>
          <w:kern w:val="0"/>
          <w:sz w:val="32"/>
          <w:szCs w:val="32"/>
          <w:lang w:val="en-US" w:eastAsia="zh-CN" w:bidi="en-AU"/>
        </w:rPr>
      </w:pPr>
      <w:r>
        <w:rPr>
          <w:rFonts w:hint="eastAsia" w:ascii="楷体_GB2312" w:hAnsi="楷体_GB2312" w:eastAsia="楷体_GB2312" w:cs="楷体_GB2312"/>
          <w:b w:val="0"/>
          <w:bCs/>
          <w:color w:val="333333"/>
          <w:kern w:val="0"/>
          <w:sz w:val="32"/>
          <w:szCs w:val="32"/>
          <w:shd w:val="clear" w:color="auto" w:fill="FFFFFF"/>
          <w:lang w:val="en-US" w:eastAsia="zh-CN" w:bidi="en-AU"/>
        </w:rPr>
        <w:t>（三）因公出国（境）经费与2022年预算相比</w:t>
      </w:r>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仿宋_GB2312" w:cs="仿宋_GB2312"/>
          <w:color w:val="333333"/>
          <w:kern w:val="0"/>
          <w:sz w:val="32"/>
          <w:szCs w:val="32"/>
          <w:lang w:eastAsia="zh-CN" w:bidi="en-AU"/>
        </w:rPr>
      </w:pPr>
      <w:r>
        <w:rPr>
          <w:rFonts w:hint="eastAsia" w:ascii="Times New Roman" w:hAnsi="Times New Roman" w:eastAsia="仿宋_GB2312" w:cs="仿宋_GB2312"/>
          <w:color w:val="333333"/>
          <w:kern w:val="0"/>
          <w:sz w:val="32"/>
          <w:szCs w:val="32"/>
          <w:shd w:val="clear" w:color="auto" w:fill="FFFFFF"/>
          <w:lang w:val="en-US" w:eastAsia="zh-CN" w:bidi="en-AU"/>
        </w:rPr>
        <w:t>2023年本单位无因公出国（境）经费预算，与2022年预算持平。</w:t>
      </w:r>
    </w:p>
    <w:p>
      <w:pPr>
        <w:keepNext w:val="0"/>
        <w:keepLines w:val="0"/>
        <w:pageBreakBefore w:val="0"/>
        <w:widowControl w:val="0"/>
        <w:numPr>
          <w:ilvl w:val="0"/>
          <w:numId w:val="4"/>
        </w:numPr>
        <w:pBdr>
          <w:bottom w:val="single" w:color="FFFFFF" w:sz="8" w:space="31"/>
        </w:pBdr>
        <w:shd w:val="clear" w:color="auto" w:fill="FFFFFF"/>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color w:val="333333"/>
          <w:kern w:val="0"/>
          <w:sz w:val="32"/>
          <w:szCs w:val="32"/>
          <w:lang w:bidi="en-AU"/>
        </w:rPr>
      </w:pPr>
      <w:bookmarkStart w:id="19" w:name="_Toc19548_WPSOffice_Level1"/>
      <w:r>
        <w:rPr>
          <w:rFonts w:hint="eastAsia" w:ascii="黑体" w:hAnsi="黑体" w:eastAsia="黑体" w:cs="黑体"/>
          <w:color w:val="333333"/>
          <w:kern w:val="0"/>
          <w:sz w:val="32"/>
          <w:szCs w:val="32"/>
          <w:shd w:val="clear" w:color="auto" w:fill="FFFFFF"/>
          <w:lang w:bidi="en-AU"/>
        </w:rPr>
        <w:t>政府性基金预算支出情况说明</w:t>
      </w:r>
      <w:bookmarkEnd w:id="19"/>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kern w:val="0"/>
          <w:sz w:val="32"/>
          <w:szCs w:val="32"/>
          <w:lang w:bidi="en-AU"/>
        </w:rPr>
      </w:pPr>
      <w:r>
        <w:rPr>
          <w:rFonts w:hint="eastAsia" w:ascii="Times New Roman" w:hAnsi="Times New Roman" w:eastAsia="仿宋_GB2312" w:cs="仿宋_GB2312"/>
          <w:color w:val="333333"/>
          <w:kern w:val="0"/>
          <w:sz w:val="32"/>
          <w:szCs w:val="32"/>
          <w:shd w:val="clear" w:color="auto" w:fill="FFFFFF"/>
          <w:lang w:bidi="en-AU"/>
        </w:rPr>
        <w:t>红岩镇卫生院2023年没有使用政府性基金预算拨款安排的支出。</w:t>
      </w:r>
    </w:p>
    <w:p>
      <w:pPr>
        <w:keepNext w:val="0"/>
        <w:keepLines w:val="0"/>
        <w:pageBreakBefore w:val="0"/>
        <w:widowControl w:val="0"/>
        <w:numPr>
          <w:ilvl w:val="0"/>
          <w:numId w:val="4"/>
        </w:numPr>
        <w:pBdr>
          <w:bottom w:val="single" w:color="FFFFFF" w:sz="8" w:space="31"/>
        </w:pBdr>
        <w:shd w:val="clear" w:color="auto" w:fill="FFFFFF"/>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仿宋_GB2312" w:cs="仿宋_GB2312"/>
          <w:color w:val="333333"/>
          <w:kern w:val="0"/>
          <w:sz w:val="32"/>
          <w:szCs w:val="32"/>
          <w:lang w:bidi="en-AU"/>
        </w:rPr>
      </w:pPr>
      <w:bookmarkStart w:id="20" w:name="_Toc20044_WPSOffice_Level1"/>
      <w:r>
        <w:rPr>
          <w:rFonts w:hint="eastAsia" w:ascii="黑体" w:hAnsi="黑体" w:eastAsia="黑体" w:cs="黑体"/>
          <w:color w:val="333333"/>
          <w:kern w:val="0"/>
          <w:sz w:val="32"/>
          <w:szCs w:val="32"/>
          <w:shd w:val="clear" w:color="auto" w:fill="FFFFFF"/>
          <w:lang w:bidi="en-AU"/>
        </w:rPr>
        <w:t>国有资本经营预算支出情况说明</w:t>
      </w:r>
      <w:bookmarkEnd w:id="20"/>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kern w:val="0"/>
          <w:sz w:val="32"/>
          <w:szCs w:val="32"/>
          <w:lang w:bidi="en-AU"/>
        </w:rPr>
      </w:pPr>
      <w:r>
        <w:rPr>
          <w:rFonts w:hint="eastAsia" w:ascii="Times New Roman" w:hAnsi="Times New Roman" w:eastAsia="仿宋_GB2312" w:cs="仿宋_GB2312"/>
          <w:color w:val="333333"/>
          <w:kern w:val="0"/>
          <w:sz w:val="32"/>
          <w:szCs w:val="32"/>
          <w:shd w:val="clear" w:color="auto" w:fill="FFFFFF"/>
          <w:lang w:bidi="en-AU"/>
        </w:rPr>
        <w:t>红岩镇卫生院2023年没有使用国有资本经营预算拨款安排的支出。</w:t>
      </w:r>
    </w:p>
    <w:p>
      <w:pPr>
        <w:keepNext w:val="0"/>
        <w:keepLines w:val="0"/>
        <w:pageBreakBefore w:val="0"/>
        <w:widowControl w:val="0"/>
        <w:numPr>
          <w:ilvl w:val="0"/>
          <w:numId w:val="4"/>
        </w:numPr>
        <w:pBdr>
          <w:bottom w:val="single" w:color="FFFFFF" w:sz="8" w:space="31"/>
        </w:pBdr>
        <w:shd w:val="clear" w:color="auto" w:fill="FFFFFF"/>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color w:val="333333"/>
          <w:kern w:val="0"/>
          <w:sz w:val="32"/>
          <w:szCs w:val="32"/>
          <w:lang w:bidi="en-AU"/>
        </w:rPr>
      </w:pPr>
      <w:bookmarkStart w:id="21" w:name="_Toc32617_WPSOffice_Level1"/>
      <w:r>
        <w:rPr>
          <w:rFonts w:hint="eastAsia" w:ascii="黑体" w:hAnsi="黑体" w:eastAsia="黑体" w:cs="黑体"/>
          <w:color w:val="333333"/>
          <w:kern w:val="0"/>
          <w:sz w:val="32"/>
          <w:szCs w:val="32"/>
          <w:shd w:val="clear" w:color="auto" w:fill="FFFFFF"/>
          <w:lang w:bidi="en-AU"/>
        </w:rPr>
        <w:t>其他重要事项的情况说明</w:t>
      </w:r>
      <w:bookmarkEnd w:id="21"/>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color w:val="333333"/>
          <w:kern w:val="0"/>
          <w:sz w:val="32"/>
          <w:szCs w:val="32"/>
          <w:lang w:val="en-US" w:eastAsia="zh-CN" w:bidi="en-AU"/>
        </w:rPr>
      </w:pPr>
      <w:r>
        <w:rPr>
          <w:rFonts w:hint="eastAsia" w:ascii="楷体_GB2312" w:hAnsi="楷体_GB2312" w:eastAsia="楷体_GB2312" w:cs="楷体_GB2312"/>
          <w:b w:val="0"/>
          <w:bCs/>
          <w:color w:val="333333"/>
          <w:kern w:val="0"/>
          <w:sz w:val="32"/>
          <w:szCs w:val="32"/>
          <w:shd w:val="clear" w:color="auto" w:fill="FFFFFF"/>
          <w:lang w:val="en-US" w:eastAsia="zh-CN" w:bidi="en-AU"/>
        </w:rPr>
        <w:t>（一）机关运行经费</w:t>
      </w:r>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kern w:val="0"/>
          <w:sz w:val="32"/>
          <w:szCs w:val="32"/>
          <w:lang w:eastAsia="zh-CN" w:bidi="en-AU"/>
        </w:rPr>
      </w:pPr>
      <w:r>
        <w:rPr>
          <w:rFonts w:hint="eastAsia" w:ascii="Times New Roman" w:hAnsi="Times New Roman" w:eastAsia="仿宋_GB2312" w:cs="仿宋_GB2312"/>
          <w:color w:val="333333"/>
          <w:kern w:val="0"/>
          <w:sz w:val="32"/>
          <w:szCs w:val="32"/>
          <w:shd w:val="clear" w:color="auto" w:fill="FFFFFF"/>
          <w:lang w:bidi="en-AU"/>
        </w:rPr>
        <w:t>2023年，红岩镇卫生院</w:t>
      </w:r>
      <w:r>
        <w:rPr>
          <w:rFonts w:hint="eastAsia" w:ascii="Times New Roman" w:hAnsi="Times New Roman" w:eastAsia="仿宋_GB2312" w:cs="仿宋_GB2312"/>
          <w:color w:val="333333"/>
          <w:kern w:val="0"/>
          <w:sz w:val="32"/>
          <w:szCs w:val="32"/>
          <w:shd w:val="clear" w:color="auto" w:fill="FFFFFF"/>
          <w:lang w:eastAsia="zh-CN" w:bidi="en-AU"/>
        </w:rPr>
        <w:t>无机关运行经费。</w:t>
      </w:r>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楷体_GB2312" w:hAnsi="楷体_GB2312" w:eastAsia="楷体_GB2312" w:cs="楷体_GB2312"/>
          <w:b w:val="0"/>
          <w:bCs/>
          <w:color w:val="333333"/>
          <w:kern w:val="0"/>
          <w:sz w:val="32"/>
          <w:szCs w:val="32"/>
          <w:lang w:val="en-US" w:eastAsia="zh-CN" w:bidi="en-AU"/>
        </w:rPr>
      </w:pPr>
      <w:r>
        <w:rPr>
          <w:rFonts w:hint="eastAsia" w:ascii="楷体_GB2312" w:hAnsi="楷体_GB2312" w:eastAsia="楷体_GB2312" w:cs="楷体_GB2312"/>
          <w:b w:val="0"/>
          <w:bCs/>
          <w:color w:val="333333"/>
          <w:kern w:val="0"/>
          <w:sz w:val="32"/>
          <w:szCs w:val="32"/>
          <w:shd w:val="clear" w:color="auto" w:fill="FFFFFF"/>
          <w:lang w:val="en-US" w:eastAsia="zh-CN" w:bidi="en-AU"/>
        </w:rPr>
        <w:t>（二）政府采购情况</w:t>
      </w:r>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kern w:val="0"/>
          <w:sz w:val="32"/>
          <w:szCs w:val="32"/>
          <w:lang w:bidi="en-AU"/>
        </w:rPr>
      </w:pPr>
      <w:r>
        <w:rPr>
          <w:rFonts w:hint="eastAsia" w:ascii="Times New Roman" w:hAnsi="Times New Roman" w:eastAsia="仿宋_GB2312" w:cs="仿宋_GB2312"/>
          <w:color w:val="333333"/>
          <w:kern w:val="0"/>
          <w:sz w:val="32"/>
          <w:szCs w:val="32"/>
          <w:shd w:val="clear" w:color="auto" w:fill="FFFFFF"/>
          <w:lang w:bidi="en-AU"/>
        </w:rPr>
        <w:t>2023年，红岩镇卫生院安排政府采购预算0万元。</w:t>
      </w:r>
    </w:p>
    <w:p>
      <w:pPr>
        <w:keepNext w:val="0"/>
        <w:keepLines w:val="0"/>
        <w:pageBreakBefore w:val="0"/>
        <w:widowControl w:val="0"/>
        <w:numPr>
          <w:ilvl w:val="0"/>
          <w:numId w:val="5"/>
        </w:numPr>
        <w:pBdr>
          <w:bottom w:val="single" w:color="FFFFFF" w:sz="8" w:space="31"/>
        </w:pBdr>
        <w:shd w:val="clear" w:color="auto" w:fill="FFFFFF"/>
        <w:kinsoku/>
        <w:wordWrap/>
        <w:overflowPunct/>
        <w:topLinePunct w:val="0"/>
        <w:autoSpaceDE/>
        <w:autoSpaceDN/>
        <w:bidi w:val="0"/>
        <w:adjustRightInd w:val="0"/>
        <w:snapToGrid/>
        <w:spacing w:line="576" w:lineRule="exact"/>
        <w:ind w:firstLine="640" w:firstLineChars="200"/>
        <w:jc w:val="both"/>
        <w:textAlignment w:val="auto"/>
        <w:rPr>
          <w:rFonts w:hint="eastAsia" w:ascii="楷体_GB2312" w:hAnsi="楷体_GB2312" w:eastAsia="楷体_GB2312" w:cs="楷体_GB2312"/>
          <w:b w:val="0"/>
          <w:bCs/>
          <w:color w:val="333333"/>
          <w:kern w:val="0"/>
          <w:sz w:val="32"/>
          <w:szCs w:val="32"/>
          <w:lang w:val="en-US" w:eastAsia="zh-CN" w:bidi="en-AU"/>
        </w:rPr>
      </w:pPr>
      <w:r>
        <w:rPr>
          <w:rFonts w:hint="eastAsia" w:ascii="楷体_GB2312" w:hAnsi="楷体_GB2312" w:eastAsia="楷体_GB2312" w:cs="楷体_GB2312"/>
          <w:b w:val="0"/>
          <w:bCs/>
          <w:color w:val="333333"/>
          <w:kern w:val="0"/>
          <w:sz w:val="32"/>
          <w:szCs w:val="32"/>
          <w:shd w:val="clear" w:color="auto" w:fill="FFFFFF"/>
          <w:lang w:val="en-US" w:eastAsia="zh-CN" w:bidi="en-AU"/>
        </w:rPr>
        <w:t>国有资产占有使用情况</w:t>
      </w:r>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val="0"/>
        <w:snapToGrid/>
        <w:spacing w:line="576" w:lineRule="exact"/>
        <w:ind w:firstLine="640" w:firstLineChars="200"/>
        <w:jc w:val="both"/>
        <w:textAlignment w:val="auto"/>
        <w:rPr>
          <w:rFonts w:hint="eastAsia" w:ascii="Times New Roman" w:hAnsi="Times New Roman" w:eastAsia="仿宋_GB2312" w:cs="仿宋_GB2312"/>
          <w:color w:val="333333"/>
          <w:kern w:val="0"/>
          <w:sz w:val="32"/>
          <w:szCs w:val="32"/>
          <w:lang w:bidi="en-AU"/>
        </w:rPr>
      </w:pPr>
      <w:r>
        <w:rPr>
          <w:rFonts w:hint="eastAsia" w:ascii="Times New Roman" w:hAnsi="Times New Roman" w:eastAsia="仿宋_GB2312" w:cs="仿宋_GB2312"/>
          <w:color w:val="333333"/>
          <w:kern w:val="0"/>
          <w:sz w:val="32"/>
          <w:szCs w:val="32"/>
          <w:shd w:val="clear" w:color="auto" w:fill="FFFFFF"/>
          <w:lang w:bidi="en-AU"/>
        </w:rPr>
        <w:t>截至202</w:t>
      </w:r>
      <w:r>
        <w:rPr>
          <w:rFonts w:hint="eastAsia" w:ascii="Times New Roman" w:hAnsi="Times New Roman" w:eastAsia="仿宋_GB2312" w:cs="仿宋_GB2312"/>
          <w:color w:val="333333"/>
          <w:kern w:val="0"/>
          <w:sz w:val="32"/>
          <w:szCs w:val="32"/>
          <w:shd w:val="clear" w:color="auto" w:fill="FFFFFF"/>
          <w:lang w:val="en-US" w:eastAsia="zh-CN" w:bidi="en-AU"/>
        </w:rPr>
        <w:t>2</w:t>
      </w:r>
      <w:r>
        <w:rPr>
          <w:rFonts w:hint="eastAsia" w:ascii="Times New Roman" w:hAnsi="Times New Roman" w:eastAsia="仿宋_GB2312" w:cs="仿宋_GB2312"/>
          <w:color w:val="333333"/>
          <w:kern w:val="0"/>
          <w:sz w:val="32"/>
          <w:szCs w:val="32"/>
          <w:shd w:val="clear" w:color="auto" w:fill="FFFFFF"/>
          <w:lang w:bidi="en-AU"/>
        </w:rPr>
        <w:t>年底，红岩镇卫生院共有救护车辆</w:t>
      </w:r>
      <w:bookmarkStart w:id="24" w:name="_GoBack"/>
      <w:bookmarkEnd w:id="24"/>
      <w:r>
        <w:rPr>
          <w:rFonts w:hint="eastAsia" w:ascii="Times New Roman" w:hAnsi="Times New Roman" w:eastAsia="仿宋_GB2312" w:cs="仿宋_GB2312"/>
          <w:color w:val="333333"/>
          <w:kern w:val="0"/>
          <w:sz w:val="32"/>
          <w:szCs w:val="32"/>
          <w:shd w:val="clear" w:color="auto" w:fill="FFFFFF"/>
          <w:lang w:bidi="en-AU"/>
        </w:rPr>
        <w:t>1辆，其中，领导干部用车0辆、定向保障用车</w:t>
      </w:r>
      <w:r>
        <w:rPr>
          <w:rFonts w:hint="eastAsia" w:ascii="Times New Roman" w:hAnsi="Times New Roman" w:eastAsia="仿宋_GB2312" w:cs="仿宋_GB2312"/>
          <w:color w:val="333333"/>
          <w:kern w:val="0"/>
          <w:sz w:val="32"/>
          <w:szCs w:val="32"/>
          <w:shd w:val="clear" w:color="auto" w:fill="FFFFFF"/>
          <w:lang w:val="en-US" w:eastAsia="zh-CN" w:bidi="en-AU"/>
        </w:rPr>
        <w:t>1</w:t>
      </w:r>
      <w:r>
        <w:rPr>
          <w:rFonts w:hint="eastAsia" w:ascii="Times New Roman" w:hAnsi="Times New Roman" w:eastAsia="仿宋_GB2312" w:cs="仿宋_GB2312"/>
          <w:color w:val="333333"/>
          <w:kern w:val="0"/>
          <w:sz w:val="32"/>
          <w:szCs w:val="32"/>
          <w:shd w:val="clear" w:color="auto" w:fill="FFFFFF"/>
          <w:lang w:bidi="en-AU"/>
        </w:rPr>
        <w:t>辆</w:t>
      </w:r>
      <w:r>
        <w:rPr>
          <w:rFonts w:hint="eastAsia" w:ascii="Times New Roman" w:hAnsi="Times New Roman" w:eastAsia="仿宋_GB2312" w:cs="仿宋_GB2312"/>
          <w:color w:val="333333"/>
          <w:kern w:val="0"/>
          <w:sz w:val="32"/>
          <w:szCs w:val="32"/>
          <w:shd w:val="clear" w:color="auto" w:fill="FFFFFF"/>
          <w:lang w:eastAsia="zh-CN" w:bidi="en-AU"/>
        </w:rPr>
        <w:t>（救护车）</w:t>
      </w:r>
      <w:r>
        <w:rPr>
          <w:rFonts w:hint="eastAsia" w:ascii="Times New Roman" w:hAnsi="Times New Roman" w:eastAsia="仿宋_GB2312" w:cs="仿宋_GB2312"/>
          <w:color w:val="333333"/>
          <w:kern w:val="0"/>
          <w:sz w:val="32"/>
          <w:szCs w:val="32"/>
          <w:shd w:val="clear" w:color="auto" w:fill="FFFFFF"/>
          <w:lang w:bidi="en-AU"/>
        </w:rPr>
        <w:t>、执法执勤用车0辆。单位价值200万元以上大型设备0台（套）。</w:t>
      </w:r>
    </w:p>
    <w:p>
      <w:pPr>
        <w:keepNext w:val="0"/>
        <w:keepLines w:val="0"/>
        <w:pageBreakBefore w:val="0"/>
        <w:widowControl w:val="0"/>
        <w:numPr>
          <w:ilvl w:val="0"/>
          <w:numId w:val="5"/>
        </w:numPr>
        <w:pBdr>
          <w:bottom w:val="single" w:color="FFFFFF" w:sz="8" w:space="31"/>
        </w:pBdr>
        <w:shd w:val="clear" w:color="auto" w:fill="FFFFFF"/>
        <w:kinsoku/>
        <w:wordWrap/>
        <w:overflowPunct/>
        <w:topLinePunct w:val="0"/>
        <w:autoSpaceDE/>
        <w:autoSpaceDN/>
        <w:bidi w:val="0"/>
        <w:adjustRightInd w:val="0"/>
        <w:snapToGrid/>
        <w:spacing w:line="576" w:lineRule="exact"/>
        <w:ind w:firstLine="640" w:firstLineChars="200"/>
        <w:jc w:val="both"/>
        <w:textAlignment w:val="auto"/>
        <w:rPr>
          <w:rFonts w:hint="eastAsia" w:ascii="楷体_GB2312" w:hAnsi="楷体_GB2312" w:eastAsia="楷体_GB2312" w:cs="楷体_GB2312"/>
          <w:b w:val="0"/>
          <w:bCs/>
          <w:color w:val="333333"/>
          <w:kern w:val="0"/>
          <w:sz w:val="32"/>
          <w:szCs w:val="32"/>
          <w:lang w:val="en-US" w:eastAsia="zh-CN" w:bidi="en-AU"/>
        </w:rPr>
      </w:pPr>
      <w:r>
        <w:rPr>
          <w:rFonts w:hint="eastAsia" w:ascii="楷体_GB2312" w:hAnsi="楷体_GB2312" w:eastAsia="楷体_GB2312" w:cs="楷体_GB2312"/>
          <w:b w:val="0"/>
          <w:bCs/>
          <w:color w:val="333333"/>
          <w:kern w:val="0"/>
          <w:sz w:val="32"/>
          <w:szCs w:val="32"/>
          <w:shd w:val="clear" w:color="auto" w:fill="FFFFFF"/>
          <w:lang w:val="en-US" w:eastAsia="zh-CN" w:bidi="en-AU"/>
        </w:rPr>
        <w:t>绩效目标编制情况</w:t>
      </w:r>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kern w:val="0"/>
          <w:sz w:val="32"/>
          <w:szCs w:val="32"/>
          <w:lang w:eastAsia="zh-CN" w:bidi="en-AU"/>
        </w:rPr>
      </w:pPr>
      <w:r>
        <w:rPr>
          <w:rFonts w:hint="eastAsia" w:ascii="Times New Roman" w:hAnsi="Times New Roman" w:eastAsia="仿宋_GB2312" w:cs="仿宋_GB2312"/>
          <w:color w:val="333333"/>
          <w:kern w:val="0"/>
          <w:sz w:val="32"/>
          <w:szCs w:val="32"/>
          <w:shd w:val="clear" w:color="auto" w:fill="FFFFFF"/>
          <w:lang w:val="en-US" w:eastAsia="zh-CN" w:bidi="en-AU"/>
        </w:rPr>
        <w:t>绩效目标是预算编制的前提和基础，2023年红岩镇卫生院部门预算按申请项目资金年度预期达到的产出和效果，编制了“部门预算项目绩效目标申报表（2023年度）”，涉及项目  0个 （含单位定额公用经费），金额 0 万元；按年度全部部门预算资金达到的总体产出和效果编制了“整体支出绩效目标申报表”。</w:t>
      </w:r>
    </w:p>
    <w:p>
      <w:pPr>
        <w:keepNext w:val="0"/>
        <w:keepLines w:val="0"/>
        <w:pageBreakBefore w:val="0"/>
        <w:widowControl w:val="0"/>
        <w:numPr>
          <w:ilvl w:val="0"/>
          <w:numId w:val="4"/>
        </w:numPr>
        <w:pBdr>
          <w:bottom w:val="single" w:color="FFFFFF" w:sz="8" w:space="31"/>
        </w:pBdr>
        <w:shd w:val="clear" w:color="auto" w:fill="FFFFFF"/>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color w:val="333333"/>
          <w:kern w:val="0"/>
          <w:sz w:val="32"/>
          <w:szCs w:val="32"/>
          <w:lang w:val="en-US" w:eastAsia="zh-CN" w:bidi="en-AU"/>
        </w:rPr>
      </w:pPr>
      <w:bookmarkStart w:id="22" w:name="_Toc7161_WPSOffice_Level1"/>
      <w:r>
        <w:rPr>
          <w:rFonts w:hint="eastAsia" w:ascii="黑体" w:hAnsi="黑体" w:eastAsia="黑体" w:cs="黑体"/>
          <w:color w:val="333333"/>
          <w:kern w:val="0"/>
          <w:sz w:val="32"/>
          <w:szCs w:val="32"/>
          <w:shd w:val="clear" w:color="auto" w:fill="FFFFFF"/>
          <w:lang w:val="en-US" w:eastAsia="zh-CN" w:bidi="en-AU"/>
        </w:rPr>
        <w:t>名词解释</w:t>
      </w:r>
      <w:bookmarkEnd w:id="22"/>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kern w:val="0"/>
          <w:sz w:val="32"/>
          <w:szCs w:val="32"/>
          <w:lang w:val="en-US" w:eastAsia="zh-CN" w:bidi="en-AU"/>
        </w:rPr>
      </w:pPr>
      <w:r>
        <w:rPr>
          <w:rFonts w:hint="eastAsia" w:ascii="Times New Roman" w:hAnsi="Times New Roman" w:eastAsia="仿宋_GB2312" w:cs="仿宋_GB2312"/>
          <w:color w:val="333333"/>
          <w:kern w:val="0"/>
          <w:sz w:val="32"/>
          <w:szCs w:val="32"/>
          <w:shd w:val="clear" w:color="auto" w:fill="FFFFFF"/>
          <w:lang w:val="en-US" w:eastAsia="zh-CN" w:bidi="en-AU"/>
        </w:rPr>
        <w:t>（一）一般公共预算拨款收入：指省级财政当年拨付的资金。</w:t>
      </w:r>
      <w:r>
        <w:rPr>
          <w:rFonts w:hint="eastAsia" w:ascii="Times New Roman" w:hAnsi="Times New Roman" w:eastAsia="仿宋_GB2312" w:cs="仿宋_GB2312"/>
          <w:color w:val="333333"/>
          <w:kern w:val="0"/>
          <w:sz w:val="32"/>
          <w:szCs w:val="32"/>
          <w:lang w:val="en-US" w:eastAsia="zh-CN" w:bidi="en-AU"/>
        </w:rPr>
        <w:br w:type="textWrapping"/>
      </w:r>
      <w:r>
        <w:rPr>
          <w:rFonts w:hint="eastAsia" w:ascii="Times New Roman" w:hAnsi="Times New Roman" w:eastAsia="仿宋_GB2312" w:cs="仿宋_GB2312"/>
          <w:color w:val="333333"/>
          <w:kern w:val="0"/>
          <w:sz w:val="32"/>
          <w:szCs w:val="32"/>
          <w:shd w:val="clear" w:color="auto" w:fill="FFFFFF"/>
          <w:lang w:val="en-US" w:eastAsia="zh-CN" w:bidi="en-AU"/>
        </w:rPr>
        <w:t>　　（二）社会保障和就业（类）行政事业单位养老支出（款）事业单位离退休（项）：指事业单位离退休人员的支出。</w:t>
      </w:r>
      <w:r>
        <w:rPr>
          <w:rFonts w:hint="eastAsia" w:ascii="Times New Roman" w:hAnsi="Times New Roman" w:eastAsia="仿宋_GB2312" w:cs="仿宋_GB2312"/>
          <w:color w:val="333333"/>
          <w:kern w:val="0"/>
          <w:sz w:val="32"/>
          <w:szCs w:val="32"/>
          <w:lang w:val="en-US" w:eastAsia="zh-CN" w:bidi="en-AU"/>
        </w:rPr>
        <w:br w:type="textWrapping"/>
      </w:r>
      <w:r>
        <w:rPr>
          <w:rFonts w:hint="eastAsia" w:ascii="Times New Roman" w:hAnsi="Times New Roman" w:eastAsia="仿宋_GB2312" w:cs="仿宋_GB2312"/>
          <w:color w:val="333333"/>
          <w:kern w:val="0"/>
          <w:sz w:val="32"/>
          <w:szCs w:val="32"/>
          <w:shd w:val="clear" w:color="auto" w:fill="FFFFFF"/>
          <w:lang w:val="en-US" w:eastAsia="zh-CN" w:bidi="en-AU"/>
        </w:rPr>
        <w:t>　　（三）社会保障和就业（类）行政事业单位养老支出（款）行政单位离退休（项）：指行政及参公管理事业单位离退休人员的支出。</w:t>
      </w:r>
      <w:r>
        <w:rPr>
          <w:rFonts w:hint="eastAsia" w:ascii="Times New Roman" w:hAnsi="Times New Roman" w:eastAsia="仿宋_GB2312" w:cs="仿宋_GB2312"/>
          <w:color w:val="333333"/>
          <w:kern w:val="0"/>
          <w:sz w:val="32"/>
          <w:szCs w:val="32"/>
          <w:lang w:val="en-US" w:eastAsia="zh-CN" w:bidi="en-AU"/>
        </w:rPr>
        <w:br w:type="textWrapping"/>
      </w:r>
      <w:r>
        <w:rPr>
          <w:rFonts w:hint="eastAsia" w:ascii="Times New Roman" w:hAnsi="Times New Roman" w:eastAsia="仿宋_GB2312" w:cs="仿宋_GB2312"/>
          <w:color w:val="333333"/>
          <w:kern w:val="0"/>
          <w:sz w:val="32"/>
          <w:szCs w:val="32"/>
          <w:shd w:val="clear" w:color="auto" w:fill="FFFFFF"/>
          <w:lang w:val="en-US" w:eastAsia="zh-CN" w:bidi="en-AU"/>
        </w:rPr>
        <w:t>　　（四）社会保障和就业（类）行政事业单位养老支出（款）机关事业单位基本养老保险缴费支出（项）：指部门实施养老保险制度由单位缴纳的养老保险的支出。</w:t>
      </w:r>
      <w:r>
        <w:rPr>
          <w:rFonts w:hint="eastAsia" w:ascii="Times New Roman" w:hAnsi="Times New Roman" w:eastAsia="仿宋_GB2312" w:cs="仿宋_GB2312"/>
          <w:color w:val="333333"/>
          <w:kern w:val="0"/>
          <w:sz w:val="32"/>
          <w:szCs w:val="32"/>
          <w:lang w:val="en-US" w:eastAsia="zh-CN" w:bidi="en-AU"/>
        </w:rPr>
        <w:br w:type="textWrapping"/>
      </w:r>
      <w:r>
        <w:rPr>
          <w:rFonts w:hint="eastAsia" w:ascii="Times New Roman" w:hAnsi="Times New Roman" w:eastAsia="仿宋_GB2312" w:cs="仿宋_GB2312"/>
          <w:color w:val="333333"/>
          <w:kern w:val="0"/>
          <w:sz w:val="32"/>
          <w:szCs w:val="32"/>
          <w:shd w:val="clear" w:color="auto" w:fill="FFFFFF"/>
          <w:lang w:val="en-US" w:eastAsia="zh-CN" w:bidi="en-AU"/>
        </w:rPr>
        <w:t>　　（五）社会保障和就业（类）行政事业单位养老支出（款）机关事业单位职业年金缴费支出（项）：指部门实施养老保险制度由单位缴纳的职业年金的支出。</w:t>
      </w:r>
      <w:r>
        <w:rPr>
          <w:rFonts w:hint="eastAsia" w:ascii="Times New Roman" w:hAnsi="Times New Roman" w:eastAsia="仿宋_GB2312" w:cs="仿宋_GB2312"/>
          <w:color w:val="333333"/>
          <w:kern w:val="0"/>
          <w:sz w:val="32"/>
          <w:szCs w:val="32"/>
          <w:lang w:val="en-US" w:eastAsia="zh-CN" w:bidi="en-AU"/>
        </w:rPr>
        <w:br w:type="textWrapping"/>
      </w:r>
      <w:r>
        <w:rPr>
          <w:rFonts w:hint="eastAsia" w:ascii="Times New Roman" w:hAnsi="Times New Roman" w:eastAsia="仿宋_GB2312" w:cs="仿宋_GB2312"/>
          <w:color w:val="333333"/>
          <w:kern w:val="0"/>
          <w:sz w:val="32"/>
          <w:szCs w:val="32"/>
          <w:shd w:val="clear" w:color="auto" w:fill="FFFFFF"/>
          <w:lang w:val="en-US" w:eastAsia="zh-CN" w:bidi="en-AU"/>
        </w:rPr>
        <w:t>　　（六）卫生健康（类）行政事业单位医疗（款）行政单位医疗（项）：指机关及参公管理事业单位用于单位应缴纳基本医疗保险支出。</w:t>
      </w:r>
      <w:r>
        <w:rPr>
          <w:rFonts w:hint="eastAsia" w:ascii="Times New Roman" w:hAnsi="Times New Roman" w:eastAsia="仿宋_GB2312" w:cs="仿宋_GB2312"/>
          <w:color w:val="333333"/>
          <w:kern w:val="0"/>
          <w:sz w:val="32"/>
          <w:szCs w:val="32"/>
          <w:lang w:val="en-US" w:eastAsia="zh-CN" w:bidi="en-AU"/>
        </w:rPr>
        <w:br w:type="textWrapping"/>
      </w:r>
      <w:r>
        <w:rPr>
          <w:rFonts w:hint="eastAsia" w:ascii="Times New Roman" w:hAnsi="Times New Roman" w:eastAsia="仿宋_GB2312" w:cs="仿宋_GB2312"/>
          <w:color w:val="333333"/>
          <w:kern w:val="0"/>
          <w:sz w:val="32"/>
          <w:szCs w:val="32"/>
          <w:shd w:val="clear" w:color="auto" w:fill="FFFFFF"/>
          <w:lang w:val="en-US" w:eastAsia="zh-CN" w:bidi="en-AU"/>
        </w:rPr>
        <w:t>　　（七）卫生健康（类）行政事业单位医疗（款）事业单位医疗（项）：指事业单位用于单位应缴纳基本医疗保险支出。</w:t>
      </w:r>
      <w:r>
        <w:rPr>
          <w:rFonts w:hint="eastAsia" w:ascii="Times New Roman" w:hAnsi="Times New Roman" w:eastAsia="仿宋_GB2312" w:cs="仿宋_GB2312"/>
          <w:color w:val="333333"/>
          <w:kern w:val="0"/>
          <w:sz w:val="32"/>
          <w:szCs w:val="32"/>
          <w:lang w:val="en-US" w:eastAsia="zh-CN" w:bidi="en-AU"/>
        </w:rPr>
        <w:br w:type="textWrapping"/>
      </w:r>
      <w:r>
        <w:rPr>
          <w:rFonts w:hint="eastAsia" w:ascii="Times New Roman" w:hAnsi="Times New Roman" w:eastAsia="仿宋_GB2312" w:cs="仿宋_GB2312"/>
          <w:color w:val="333333"/>
          <w:kern w:val="0"/>
          <w:sz w:val="32"/>
          <w:szCs w:val="32"/>
          <w:shd w:val="clear" w:color="auto" w:fill="FFFFFF"/>
          <w:lang w:val="en-US" w:eastAsia="zh-CN" w:bidi="en-AU"/>
        </w:rPr>
        <w:t>　　（八）卫生健康（类）行政事业单位医疗（款）公务员医疗补助（项）：指机关及参公管理事业单位用于集中缴纳公务员医疗补助支出。</w:t>
      </w:r>
    </w:p>
    <w:p>
      <w:pPr>
        <w:keepNext w:val="0"/>
        <w:keepLines w:val="0"/>
        <w:pageBreakBefore w:val="0"/>
        <w:widowControl w:val="0"/>
        <w:numPr>
          <w:ilvl w:val="0"/>
          <w:numId w:val="0"/>
        </w:numPr>
        <w:pBdr>
          <w:bottom w:val="single" w:color="FFFFFF" w:sz="8" w:space="31"/>
        </w:pBdr>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kern w:val="0"/>
          <w:sz w:val="32"/>
          <w:szCs w:val="32"/>
          <w:lang w:val="en-US" w:eastAsia="zh-CN" w:bidi="en-AU"/>
        </w:rPr>
      </w:pPr>
      <w:r>
        <w:rPr>
          <w:rFonts w:hint="eastAsia" w:ascii="Times New Roman" w:hAnsi="Times New Roman" w:eastAsia="仿宋_GB2312" w:cs="仿宋_GB2312"/>
          <w:color w:val="333333"/>
          <w:kern w:val="0"/>
          <w:sz w:val="32"/>
          <w:szCs w:val="32"/>
          <w:shd w:val="clear" w:color="auto" w:fill="FFFFFF"/>
          <w:lang w:val="en-US" w:eastAsia="zh-CN" w:bidi="en-AU"/>
        </w:rPr>
        <w:t>（九）住房保障（类）住房改革支出（款）住房公积金（项）：指按照《住房公积金管理条例》的规定，由单位及其在职职工缴存的长期住房储金。</w:t>
      </w:r>
      <w:r>
        <w:rPr>
          <w:rFonts w:hint="eastAsia" w:ascii="Times New Roman" w:hAnsi="Times New Roman" w:eastAsia="仿宋_GB2312" w:cs="仿宋_GB2312"/>
          <w:color w:val="333333"/>
          <w:kern w:val="0"/>
          <w:sz w:val="32"/>
          <w:szCs w:val="32"/>
          <w:lang w:val="en-US" w:eastAsia="zh-CN" w:bidi="en-AU"/>
        </w:rPr>
        <w:br w:type="textWrapping"/>
      </w:r>
      <w:r>
        <w:rPr>
          <w:rFonts w:hint="eastAsia" w:ascii="Times New Roman" w:hAnsi="Times New Roman" w:eastAsia="仿宋_GB2312" w:cs="仿宋_GB2312"/>
          <w:color w:val="333333"/>
          <w:kern w:val="0"/>
          <w:sz w:val="32"/>
          <w:szCs w:val="32"/>
          <w:shd w:val="clear" w:color="auto" w:fill="FFFFFF"/>
          <w:lang w:val="en-US" w:eastAsia="zh-CN" w:bidi="en-AU"/>
        </w:rPr>
        <w:t>　　（十）基本支出：指为保证机构正常运转，完成日常工作任务而发生的人员支出和公用支出。</w:t>
      </w:r>
      <w:r>
        <w:rPr>
          <w:rFonts w:hint="eastAsia" w:ascii="Times New Roman" w:hAnsi="Times New Roman" w:eastAsia="仿宋_GB2312" w:cs="仿宋_GB2312"/>
          <w:color w:val="333333"/>
          <w:kern w:val="0"/>
          <w:sz w:val="32"/>
          <w:szCs w:val="32"/>
          <w:lang w:val="en-US" w:eastAsia="zh-CN" w:bidi="en-AU"/>
        </w:rPr>
        <w:br w:type="textWrapping"/>
      </w:r>
      <w:r>
        <w:rPr>
          <w:rFonts w:hint="eastAsia" w:ascii="Times New Roman" w:hAnsi="Times New Roman" w:eastAsia="仿宋_GB2312" w:cs="仿宋_GB2312"/>
          <w:color w:val="333333"/>
          <w:kern w:val="0"/>
          <w:sz w:val="32"/>
          <w:szCs w:val="32"/>
          <w:shd w:val="clear" w:color="auto" w:fill="FFFFFF"/>
          <w:lang w:val="en-US" w:eastAsia="zh-CN" w:bidi="en-AU"/>
        </w:rPr>
        <w:t>　　（十一）“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imes New Roman" w:hAnsi="Times New Roman" w:eastAsia="仿宋_GB2312" w:cs="仿宋_GB2312"/>
          <w:color w:val="333333"/>
          <w:kern w:val="0"/>
          <w:sz w:val="32"/>
          <w:szCs w:val="32"/>
          <w:lang w:val="en-US" w:eastAsia="zh-CN" w:bidi="en-AU"/>
        </w:rPr>
        <w:br w:type="textWrapping"/>
      </w:r>
      <w:r>
        <w:rPr>
          <w:rFonts w:hint="eastAsia" w:ascii="Times New Roman" w:hAnsi="Times New Roman" w:eastAsia="仿宋_GB2312" w:cs="仿宋_GB2312"/>
          <w:color w:val="333333"/>
          <w:kern w:val="0"/>
          <w:sz w:val="32"/>
          <w:szCs w:val="32"/>
          <w:shd w:val="clear" w:color="auto" w:fill="FFFFFF"/>
          <w:lang w:val="en-US" w:eastAsia="zh-CN" w:bidi="en-AU"/>
        </w:rPr>
        <w:t>　　（十二）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333333"/>
          <w:kern w:val="0"/>
          <w:sz w:val="32"/>
          <w:szCs w:val="32"/>
          <w:lang w:bidi="en-AU"/>
        </w:rPr>
      </w:pPr>
      <w:bookmarkStart w:id="23" w:name="_Toc30848_WPSOffice_Level1"/>
      <w:r>
        <w:rPr>
          <w:rFonts w:hint="eastAsia" w:ascii="Times New Roman" w:hAnsi="Times New Roman" w:eastAsia="仿宋_GB2312" w:cs="仿宋_GB2312"/>
          <w:color w:val="333333"/>
          <w:kern w:val="0"/>
          <w:sz w:val="32"/>
          <w:szCs w:val="32"/>
          <w:shd w:val="clear" w:color="auto" w:fill="FFFFFF"/>
          <w:lang w:bidi="en-AU"/>
        </w:rPr>
        <w:t>附件：部门预算公开表</w:t>
      </w:r>
      <w:bookmarkEnd w:id="23"/>
    </w:p>
    <w:p>
      <w:pPr>
        <w:keepLines w:val="0"/>
        <w:pageBreakBefore w:val="0"/>
        <w:kinsoku/>
        <w:wordWrap/>
        <w:overflowPunct/>
        <w:topLinePunct w:val="0"/>
        <w:autoSpaceDE/>
        <w:autoSpaceDN/>
        <w:bidi w:val="0"/>
        <w:adjustRightInd/>
        <w:snapToGrid/>
        <w:spacing w:line="576" w:lineRule="exact"/>
        <w:ind w:firstLine="420" w:firstLineChars="200"/>
        <w:jc w:val="both"/>
        <w:textAlignment w:val="auto"/>
        <w:rPr>
          <w:rFonts w:hint="eastAsia" w:ascii="Times New Roman" w:hAnsi="Times New Roman" w:eastAsia="仿宋_GB2312" w:cs="仿宋_GB2312"/>
        </w:rPr>
      </w:pPr>
    </w:p>
    <w:sectPr>
      <w:footerReference r:id="rId5" w:type="default"/>
      <w:pgSz w:w="11906" w:h="16838"/>
      <w:pgMar w:top="2098" w:right="1474" w:bottom="1984" w:left="1587" w:header="720" w:footer="720" w:gutter="0"/>
      <w:pgNumType w:fmt="decimal" w:start="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5" o:spid="_x0000_s2049" o:spt="202" type="#_x0000_t202" style="position:absolute;left:0pt;margin-top:0pt;height:144pt;width:144pt;mso-position-horizontal:outside;mso-position-horizontal-relative:margin;mso-wrap-style:none;z-index:0;mso-width-relative:page;mso-height-relative:page;" filled="f" stroked="f" coordsize="21600,21600">
          <v:path/>
          <v:fill on="f" focussize="0,0"/>
          <v:stroke on="f"/>
          <v:imagedata o:title=""/>
          <o:lock v:ext="edit"/>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tentative="0">
      <w:start w:val="3"/>
      <w:numFmt w:val="chineseCounting"/>
      <w:suff w:val="nothing"/>
      <w:lvlText w:val="（%1）"/>
      <w:lvlJc w:val="left"/>
      <w:rPr>
        <w:rFonts w:hint="eastAsia"/>
      </w:rPr>
    </w:lvl>
  </w:abstractNum>
  <w:abstractNum w:abstractNumId="1">
    <w:nsid w:val="BF205925"/>
    <w:multiLevelType w:val="singleLevel"/>
    <w:tmpl w:val="BF205925"/>
    <w:lvl w:ilvl="0" w:tentative="0">
      <w:start w:val="8"/>
      <w:numFmt w:val="chineseCounting"/>
      <w:suff w:val="nothing"/>
      <w:lvlText w:val="%1、"/>
      <w:lvlJc w:val="left"/>
      <w:rPr>
        <w:rFonts w:hint="eastAsia" w:ascii="黑体" w:hAnsi="黑体" w:eastAsia="黑体" w:cs="黑体"/>
        <w:sz w:val="32"/>
        <w:szCs w:val="32"/>
      </w:rPr>
    </w:lvl>
  </w:abstractNum>
  <w:abstractNum w:abstractNumId="2">
    <w:nsid w:val="CF092B84"/>
    <w:multiLevelType w:val="singleLevel"/>
    <w:tmpl w:val="CF092B84"/>
    <w:lvl w:ilvl="0" w:tentative="0">
      <w:start w:val="5"/>
      <w:numFmt w:val="chineseCounting"/>
      <w:suff w:val="nothing"/>
      <w:lvlText w:val="%1、"/>
      <w:lvlJc w:val="left"/>
      <w:rPr>
        <w:rFonts w:hint="eastAsia"/>
      </w:rPr>
    </w:lvl>
  </w:abstractNum>
  <w:abstractNum w:abstractNumId="3">
    <w:nsid w:val="0053208E"/>
    <w:multiLevelType w:val="singleLevel"/>
    <w:tmpl w:val="0053208E"/>
    <w:lvl w:ilvl="0" w:tentative="0">
      <w:start w:val="2"/>
      <w:numFmt w:val="decimal"/>
      <w:suff w:val="nothing"/>
      <w:lvlText w:val="（%1）"/>
      <w:lvlJc w:val="left"/>
    </w:lvl>
  </w:abstractNum>
  <w:abstractNum w:abstractNumId="4">
    <w:nsid w:val="59ADCABA"/>
    <w:multiLevelType w:val="singleLevel"/>
    <w:tmpl w:val="59ADCABA"/>
    <w:lvl w:ilvl="0" w:tentative="0">
      <w:start w:val="1"/>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doNotTrackMoves/>
  <w:documentProtection w:enforcement="0"/>
  <w:defaultTabStop w:val="420"/>
  <w:drawingGridHorizontalSpacing w:val="1"/>
  <w:drawingGridVerticalSpacing w:val="1"/>
  <w:doNotUseMarginsForDrawingGridOrigin w:val="1"/>
  <w:drawingGridHorizontalOrigin w:val="0"/>
  <w:drawingGridVerticalOrigin w:val="0"/>
  <w:noPunctuationKerning w:val="1"/>
  <w:characterSpacingControl w:val="compressPunctuation"/>
  <w:noLineBreaksAfter w:lang="zh-CN" w:val="([{·‘“〈《「『【〔〖（．［｛￡￥"/>
  <w:noLineBreaksBefore w:lang="zh-CN" w:val="!),.:;?]}¨·ˇˉ―‖’”…∶、。〃々〉》」』】〕〗！＂＇），．：；？］｀｜｝～￠"/>
  <w:hdrShapeDefaults>
    <o:shapelayout v:ext="edit">
      <o:idmap v:ext="edit" data="2"/>
    </o:shapelayout>
  </w:hdrShapeDefaults>
  <w:compat>
    <w:noLeading/>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enableOpenTypeFeatures" w:uri="http://schemas.microsoft.com/office/word" w:val="1"/>
    <w:compatSetting w:name="doNotFlipMirrorIndents" w:uri="http://schemas.microsoft.com/office/word" w:val="1"/>
  </w:compat>
  <w:docVars>
    <w:docVar w:name="commondata" w:val="eyJoZGlkIjoiOWMwMDdjMDFjZjQ1NWM1ZjZjMDI2NDMyZGQyNmU4MjQifQ=="/>
    <w:docVar w:name="KSO_WPS_MARK_KEY" w:val="db600870-b3d7-40d9-b36c-4d63719b9019"/>
  </w:docVars>
  <w:rsids>
    <w:rsidRoot w:val="00000000"/>
    <w:rsid w:val="2C010628"/>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2">
    <w:name w:val="Default Paragraph Font"/>
    <w:uiPriority w:val="0"/>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5">
    <w:name w:val="默认段落字体11"/>
    <w:qFormat/>
    <w:uiPriority w:val="0"/>
  </w:style>
  <w:style w:type="table" w:customStyle="1" w:styleId="6">
    <w:name w:val="普通表格1"/>
    <w:semiHidden/>
    <w:qFormat/>
    <w:uiPriority w:val="0"/>
    <w:tblPr>
      <w:tblLayout w:type="fixed"/>
      <w:tblCellMar>
        <w:top w:w="0" w:type="dxa"/>
        <w:left w:w="108" w:type="dxa"/>
        <w:bottom w:w="0" w:type="dxa"/>
        <w:right w:w="108" w:type="dxa"/>
      </w:tblCellMar>
    </w:tblPr>
  </w:style>
  <w:style w:type="paragraph" w:customStyle="1" w:styleId="7">
    <w:name w:val="正文文本1"/>
    <w:basedOn w:val="1"/>
    <w:next w:val="1"/>
    <w:uiPriority w:val="0"/>
    <w:pPr>
      <w:spacing w:before="0" w:after="140" w:line="276" w:lineRule="auto"/>
    </w:pPr>
  </w:style>
  <w:style w:type="paragraph" w:customStyle="1" w:styleId="8">
    <w:name w:val="题注1"/>
    <w:basedOn w:val="1"/>
    <w:qFormat/>
    <w:uiPriority w:val="0"/>
    <w:pPr>
      <w:widowControl w:val="0"/>
      <w:suppressLineNumbers/>
      <w:suppressAutoHyphens/>
      <w:spacing w:before="120" w:after="120"/>
    </w:pPr>
    <w:rPr>
      <w:i/>
      <w:iCs/>
      <w:sz w:val="24"/>
      <w:szCs w:val="24"/>
    </w:rPr>
  </w:style>
  <w:style w:type="paragraph" w:customStyle="1" w:styleId="9">
    <w:name w:val="页脚1"/>
    <w:basedOn w:val="1"/>
    <w:link w:val="10"/>
    <w:qFormat/>
    <w:uiPriority w:val="0"/>
    <w:pPr>
      <w:tabs>
        <w:tab w:val="center" w:pos="4153"/>
        <w:tab w:val="right" w:pos="8306"/>
      </w:tabs>
      <w:snapToGrid w:val="0"/>
      <w:jc w:val="left"/>
    </w:pPr>
    <w:rPr>
      <w:sz w:val="18"/>
      <w:szCs w:val="18"/>
    </w:rPr>
  </w:style>
  <w:style w:type="character" w:customStyle="1" w:styleId="10">
    <w:name w:val="页脚 Char"/>
    <w:basedOn w:val="5"/>
    <w:link w:val="9"/>
    <w:uiPriority w:val="0"/>
    <w:rPr>
      <w:rFonts w:ascii="Calibri" w:hAnsi="Calibri"/>
      <w:kern w:val="2"/>
      <w:sz w:val="18"/>
      <w:szCs w:val="18"/>
    </w:rPr>
  </w:style>
  <w:style w:type="paragraph" w:customStyle="1" w:styleId="11">
    <w:name w:val="页眉1"/>
    <w:basedOn w:val="1"/>
    <w:link w:val="12"/>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5"/>
    <w:link w:val="11"/>
    <w:uiPriority w:val="0"/>
    <w:rPr>
      <w:rFonts w:ascii="Calibri" w:hAnsi="Calibri"/>
      <w:kern w:val="2"/>
      <w:sz w:val="18"/>
      <w:szCs w:val="18"/>
    </w:rPr>
  </w:style>
  <w:style w:type="paragraph" w:customStyle="1" w:styleId="13">
    <w:name w:val="列表1"/>
    <w:basedOn w:val="7"/>
    <w:uiPriority w:val="0"/>
  </w:style>
  <w:style w:type="paragraph" w:customStyle="1" w:styleId="14">
    <w:name w:val="普通(网站)1"/>
    <w:basedOn w:val="1"/>
    <w:qFormat/>
    <w:uiPriority w:val="0"/>
    <w:rPr>
      <w:sz w:val="24"/>
    </w:rPr>
  </w:style>
  <w:style w:type="character" w:customStyle="1" w:styleId="15">
    <w:name w:val="默认段落字体1"/>
    <w:uiPriority w:val="0"/>
  </w:style>
  <w:style w:type="paragraph" w:customStyle="1" w:styleId="16">
    <w:name w:val="Heading"/>
    <w:basedOn w:val="1"/>
    <w:next w:val="7"/>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7">
    <w:name w:val="Index"/>
    <w:basedOn w:val="1"/>
    <w:uiPriority w:val="0"/>
    <w:pPr>
      <w:widowControl w:val="0"/>
      <w:suppressLineNumbers/>
      <w:suppressAutoHyphens/>
    </w:pPr>
  </w:style>
  <w:style w:type="paragraph" w:customStyle="1" w:styleId="1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4092</Words>
  <Characters>4349</Characters>
  <Lines>39</Lines>
  <Paragraphs>11</Paragraphs>
  <TotalTime>1</TotalTime>
  <ScaleCrop>false</ScaleCrop>
  <LinksUpToDate>false</LinksUpToDate>
  <CharactersWithSpaces>4393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2023-03-09T03:12:00Z</dcterms:created>
  <dc:creator>user</dc:creator>
  <cp:lastModifiedBy>lenovo</cp:lastModifiedBy>
  <dcterms:modified xsi:type="dcterms:W3CDTF">2024-08-12T05:53:38Z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65CA4F26332548AEB9BD04E4FAF1010A</vt:lpwstr>
  </property>
</Properties>
</file>