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4AFC9">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14:paraId="16EB7334">
      <w:pPr>
        <w:spacing w:line="600" w:lineRule="exact"/>
        <w:jc w:val="center"/>
        <w:outlineLvl w:val="9"/>
        <w:rPr>
          <w:rFonts w:ascii="方正小标宋简体" w:hAnsi="宋体" w:eastAsia="方正小标宋简体"/>
          <w:color w:val="auto"/>
          <w:sz w:val="72"/>
          <w:szCs w:val="72"/>
          <w:highlight w:val="none"/>
        </w:rPr>
      </w:pPr>
    </w:p>
    <w:p w14:paraId="65FD2813">
      <w:pPr>
        <w:spacing w:line="600" w:lineRule="exact"/>
        <w:jc w:val="center"/>
        <w:outlineLvl w:val="9"/>
        <w:rPr>
          <w:rFonts w:hint="eastAsia" w:ascii="方正舒体" w:hAnsi="方正舒体" w:eastAsia="方正舒体" w:cs="方正舒体"/>
          <w:color w:val="auto"/>
          <w:sz w:val="52"/>
          <w:szCs w:val="52"/>
          <w:highlight w:val="none"/>
        </w:rPr>
      </w:pPr>
    </w:p>
    <w:p w14:paraId="0996703D">
      <w:pPr>
        <w:bidi w:val="0"/>
        <w:rPr>
          <w:rFonts w:hint="eastAsia" w:ascii="方正舒体" w:hAnsi="方正舒体" w:eastAsia="方正舒体" w:cs="方正舒体"/>
          <w:sz w:val="52"/>
          <w:szCs w:val="52"/>
        </w:rPr>
      </w:pPr>
    </w:p>
    <w:p w14:paraId="42338B12">
      <w:pPr>
        <w:bidi w:val="0"/>
        <w:jc w:val="center"/>
        <w:rPr>
          <w:rFonts w:hint="eastAsia" w:ascii="方正舒体" w:hAnsi="方正舒体" w:eastAsia="方正舒体" w:cs="方正舒体"/>
          <w:b/>
          <w:bCs/>
          <w:sz w:val="52"/>
          <w:szCs w:val="52"/>
        </w:rPr>
      </w:pPr>
      <w:bookmarkStart w:id="1" w:name="_Toc15396475"/>
      <w:bookmarkStart w:id="2" w:name="_Toc15377425"/>
      <w:bookmarkStart w:id="3" w:name="_Toc15378441"/>
      <w:bookmarkStart w:id="4" w:name="_Toc15377193"/>
      <w:bookmarkStart w:id="5" w:name="_Toc15396597"/>
      <w:r>
        <w:rPr>
          <w:rFonts w:hint="eastAsia" w:ascii="方正舒体" w:hAnsi="方正舒体" w:eastAsia="方正舒体" w:cs="方正舒体"/>
          <w:b/>
          <w:bCs/>
          <w:sz w:val="52"/>
          <w:szCs w:val="52"/>
        </w:rPr>
        <w:t>20</w:t>
      </w:r>
      <w:r>
        <w:rPr>
          <w:rFonts w:hint="eastAsia" w:ascii="方正舒体" w:hAnsi="方正舒体" w:eastAsia="方正舒体" w:cs="方正舒体"/>
          <w:b/>
          <w:bCs/>
          <w:sz w:val="52"/>
          <w:szCs w:val="52"/>
          <w:lang w:val="en-US" w:eastAsia="zh-CN"/>
        </w:rPr>
        <w:t>21</w:t>
      </w:r>
      <w:r>
        <w:rPr>
          <w:rFonts w:hint="eastAsia" w:ascii="方正舒体" w:hAnsi="方正舒体" w:eastAsia="方正舒体" w:cs="方正舒体"/>
          <w:b/>
          <w:bCs/>
          <w:sz w:val="52"/>
          <w:szCs w:val="52"/>
        </w:rPr>
        <w:t>年度</w:t>
      </w:r>
      <w:bookmarkEnd w:id="1"/>
      <w:bookmarkEnd w:id="2"/>
      <w:bookmarkEnd w:id="3"/>
      <w:bookmarkEnd w:id="4"/>
      <w:bookmarkEnd w:id="5"/>
    </w:p>
    <w:bookmarkEnd w:id="0"/>
    <w:p w14:paraId="2E5EE442">
      <w:pPr>
        <w:bidi w:val="0"/>
        <w:jc w:val="center"/>
        <w:rPr>
          <w:rFonts w:hint="eastAsia" w:ascii="方正舒体" w:hAnsi="方正舒体" w:eastAsia="方正舒体" w:cs="方正舒体"/>
          <w:b/>
          <w:bCs/>
          <w:sz w:val="52"/>
          <w:szCs w:val="52"/>
          <w:lang w:eastAsia="zh-CN"/>
        </w:rPr>
      </w:pPr>
      <w:bookmarkStart w:id="6" w:name="_Toc15377426"/>
      <w:bookmarkStart w:id="7" w:name="_Toc15377194"/>
      <w:bookmarkStart w:id="8" w:name="_Toc15378442"/>
      <w:bookmarkStart w:id="9" w:name="_Toc15396598"/>
      <w:bookmarkStart w:id="10" w:name="_Toc15306268"/>
      <w:bookmarkStart w:id="11" w:name="_Toc15396476"/>
      <w:r>
        <w:rPr>
          <w:rFonts w:hint="eastAsia" w:ascii="方正舒体" w:hAnsi="方正舒体" w:eastAsia="方正舒体" w:cs="方正舒体"/>
          <w:b/>
          <w:bCs/>
          <w:sz w:val="52"/>
          <w:szCs w:val="52"/>
          <w:lang w:eastAsia="zh-CN"/>
        </w:rPr>
        <w:t>中共广元市昭化区纪律检查委员会单位</w:t>
      </w:r>
      <w:r>
        <w:rPr>
          <w:rFonts w:hint="eastAsia" w:ascii="方正舒体" w:hAnsi="方正舒体" w:eastAsia="方正舒体" w:cs="方正舒体"/>
          <w:b/>
          <w:bCs/>
          <w:sz w:val="52"/>
          <w:szCs w:val="52"/>
        </w:rPr>
        <w:t>决算</w:t>
      </w:r>
      <w:bookmarkEnd w:id="6"/>
      <w:bookmarkEnd w:id="7"/>
      <w:bookmarkEnd w:id="8"/>
      <w:bookmarkEnd w:id="9"/>
      <w:bookmarkEnd w:id="10"/>
      <w:bookmarkEnd w:id="11"/>
      <w:r>
        <w:rPr>
          <w:rFonts w:hint="eastAsia" w:ascii="方正舒体" w:hAnsi="方正舒体" w:eastAsia="方正舒体" w:cs="方正舒体"/>
          <w:b/>
          <w:bCs/>
          <w:sz w:val="52"/>
          <w:szCs w:val="52"/>
          <w:lang w:eastAsia="zh-CN"/>
        </w:rPr>
        <w:t>公开说明</w:t>
      </w:r>
    </w:p>
    <w:p w14:paraId="2A7B587B">
      <w:pPr>
        <w:widowControl/>
        <w:jc w:val="center"/>
        <w:rPr>
          <w:rFonts w:hint="eastAsia" w:ascii="方正舒体" w:hAnsi="方正舒体" w:eastAsia="方正舒体" w:cs="方正舒体"/>
          <w:color w:val="auto"/>
          <w:sz w:val="52"/>
          <w:szCs w:val="52"/>
          <w:highlight w:val="none"/>
        </w:rPr>
      </w:pPr>
      <w:r>
        <w:rPr>
          <w:rFonts w:hint="eastAsia" w:ascii="方正舒体" w:hAnsi="方正舒体" w:eastAsia="方正舒体" w:cs="方正舒体"/>
          <w:b/>
          <w:bCs/>
          <w:color w:val="auto"/>
          <w:sz w:val="52"/>
          <w:szCs w:val="52"/>
          <w:highlight w:val="none"/>
        </w:rPr>
        <w:br w:type="page"/>
      </w:r>
    </w:p>
    <w:p w14:paraId="64C98574">
      <w:pPr>
        <w:pStyle w:val="12"/>
        <w:jc w:val="both"/>
        <w:rPr>
          <w:color w:val="auto"/>
          <w:highlight w:val="none"/>
        </w:rPr>
      </w:pPr>
    </w:p>
    <w:p w14:paraId="4BAECB40">
      <w:pPr>
        <w:rPr>
          <w:color w:val="auto"/>
          <w:highlight w:val="none"/>
        </w:rPr>
      </w:pPr>
    </w:p>
    <w:sdt>
      <w:sdtPr>
        <w:rPr>
          <w:rFonts w:ascii="宋体" w:hAnsi="宋体" w:eastAsia="宋体" w:cs="Times New Roman"/>
          <w:kern w:val="2"/>
          <w:sz w:val="24"/>
          <w:szCs w:val="24"/>
          <w:lang w:val="en-US" w:eastAsia="zh-CN" w:bidi="ar-SA"/>
        </w:rPr>
        <w:id w:val="147467167"/>
        <w15:color w:val="DBDBDB"/>
        <w:docPartObj>
          <w:docPartGallery w:val="Table of Contents"/>
          <w:docPartUnique/>
        </w:docPartObj>
      </w:sdtPr>
      <w:sdtEndPr>
        <w:rPr>
          <w:rFonts w:hint="eastAsia" w:ascii="宋体" w:hAnsi="宋体" w:eastAsia="宋体" w:cs="Times New Roman"/>
          <w:color w:val="auto"/>
          <w:kern w:val="2"/>
          <w:sz w:val="24"/>
          <w:szCs w:val="24"/>
          <w:highlight w:val="none"/>
          <w:lang w:val="en-US" w:eastAsia="zh-CN" w:bidi="ar-SA"/>
        </w:rPr>
      </w:sdtEndPr>
      <w:sdtContent>
        <w:p w14:paraId="57451556">
          <w:pPr>
            <w:spacing w:before="0" w:beforeLines="0" w:after="0" w:afterLines="0" w:line="240" w:lineRule="auto"/>
            <w:ind w:left="0" w:leftChars="0" w:right="0" w:rightChars="0" w:firstLine="0" w:firstLineChars="0"/>
            <w:jc w:val="center"/>
            <w:rPr>
              <w:sz w:val="24"/>
              <w:szCs w:val="24"/>
            </w:rPr>
          </w:pPr>
          <w:r>
            <w:rPr>
              <w:rFonts w:ascii="宋体" w:hAnsi="宋体" w:eastAsia="宋体"/>
              <w:sz w:val="24"/>
              <w:szCs w:val="24"/>
            </w:rPr>
            <w:t>目录</w:t>
          </w:r>
        </w:p>
        <w:p w14:paraId="76DA5C11">
          <w:pPr>
            <w:pStyle w:val="12"/>
            <w:tabs>
              <w:tab w:val="right" w:leader="dot" w:pos="8306"/>
              <w:tab w:val="clear" w:pos="8296"/>
            </w:tabs>
          </w:pPr>
          <w:r>
            <w:rPr>
              <w:rFonts w:hint="eastAsia" w:cs="Times New Roman"/>
              <w:color w:val="auto"/>
              <w:sz w:val="24"/>
              <w:highlight w:val="none"/>
            </w:rPr>
            <w:fldChar w:fldCharType="begin"/>
          </w:r>
          <w:r>
            <w:rPr>
              <w:rFonts w:hint="eastAsia" w:cs="Times New Roman"/>
              <w:color w:val="auto"/>
              <w:sz w:val="24"/>
              <w:highlight w:val="none"/>
            </w:rPr>
            <w:instrText xml:space="preserve">TOC \o "1-2" \h \u </w:instrText>
          </w:r>
          <w:r>
            <w:rPr>
              <w:rFonts w:hint="eastAsia" w:cs="Times New Roman"/>
              <w:color w:val="auto"/>
              <w:sz w:val="24"/>
              <w:highlight w:val="none"/>
            </w:rPr>
            <w:fldChar w:fldCharType="separate"/>
          </w:r>
          <w:r>
            <w:rPr>
              <w:rFonts w:hint="eastAsia" w:cs="Times New Roman"/>
              <w:color w:val="auto"/>
              <w:highlight w:val="none"/>
            </w:rPr>
            <w:fldChar w:fldCharType="begin"/>
          </w:r>
          <w:r>
            <w:rPr>
              <w:rFonts w:hint="eastAsia" w:cs="Times New Roman"/>
              <w:highlight w:val="none"/>
            </w:rPr>
            <w:instrText xml:space="preserve"> HYPERLINK \l _Toc13736 </w:instrText>
          </w:r>
          <w:r>
            <w:rPr>
              <w:rFonts w:hint="eastAsia" w:cs="Times New Roman"/>
              <w:highlight w:val="none"/>
            </w:rPr>
            <w:fldChar w:fldCharType="separate"/>
          </w:r>
          <w:r>
            <w:rPr>
              <w:rFonts w:hint="eastAsia" w:ascii="黑体" w:hAnsi="黑体" w:eastAsia="黑体" w:cs="Times New Roman"/>
              <w:bCs w:val="0"/>
              <w:highlight w:val="none"/>
              <w:lang w:val="en-US" w:eastAsia="zh-CN" w:bidi="ar-SA"/>
            </w:rPr>
            <w:t>第一部分 单位概况</w:t>
          </w:r>
          <w:r>
            <w:tab/>
          </w:r>
          <w:r>
            <w:fldChar w:fldCharType="begin"/>
          </w:r>
          <w:r>
            <w:instrText xml:space="preserve"> PAGEREF _Toc13736 </w:instrText>
          </w:r>
          <w:r>
            <w:fldChar w:fldCharType="separate"/>
          </w:r>
          <w:r>
            <w:t>3</w:t>
          </w:r>
          <w:r>
            <w:fldChar w:fldCharType="end"/>
          </w:r>
          <w:r>
            <w:rPr>
              <w:rFonts w:hint="eastAsia" w:cs="Times New Roman"/>
              <w:color w:val="auto"/>
              <w:highlight w:val="none"/>
            </w:rPr>
            <w:fldChar w:fldCharType="end"/>
          </w:r>
        </w:p>
        <w:p w14:paraId="16C4F52B">
          <w:pPr>
            <w:pStyle w:val="12"/>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_Toc7171 </w:instrText>
          </w:r>
          <w:r>
            <w:rPr>
              <w:rFonts w:hint="eastAsia" w:cs="Times New Roman"/>
              <w:highlight w:val="none"/>
            </w:rPr>
            <w:fldChar w:fldCharType="separate"/>
          </w:r>
          <w:r>
            <w:rPr>
              <w:rFonts w:hint="eastAsia" w:ascii="黑体" w:hAnsi="黑体" w:eastAsia="黑体"/>
              <w:bCs w:val="0"/>
              <w:highlight w:val="none"/>
            </w:rPr>
            <w:t xml:space="preserve">第二部分 </w:t>
          </w:r>
          <w:r>
            <w:rPr>
              <w:rFonts w:hint="eastAsia" w:ascii="黑体" w:hAnsi="黑体" w:eastAsia="黑体"/>
              <w:bCs w:val="0"/>
              <w:highlight w:val="none"/>
              <w:lang w:val="en-US" w:eastAsia="zh-CN"/>
            </w:rPr>
            <w:t>2021年度</w:t>
          </w:r>
          <w:r>
            <w:rPr>
              <w:rFonts w:hint="eastAsia" w:ascii="黑体" w:hAnsi="黑体" w:eastAsia="黑体"/>
              <w:bCs w:val="0"/>
              <w:highlight w:val="none"/>
              <w:lang w:eastAsia="zh-CN"/>
            </w:rPr>
            <w:t>单位</w:t>
          </w:r>
          <w:r>
            <w:rPr>
              <w:rFonts w:hint="eastAsia" w:ascii="黑体" w:hAnsi="黑体" w:eastAsia="黑体"/>
              <w:bCs w:val="0"/>
              <w:highlight w:val="none"/>
            </w:rPr>
            <w:t>决算情况说明</w:t>
          </w:r>
          <w:r>
            <w:tab/>
          </w:r>
          <w:r>
            <w:fldChar w:fldCharType="begin"/>
          </w:r>
          <w:r>
            <w:instrText xml:space="preserve"> PAGEREF _Toc7171 </w:instrText>
          </w:r>
          <w:r>
            <w:fldChar w:fldCharType="separate"/>
          </w:r>
          <w:r>
            <w:t>10</w:t>
          </w:r>
          <w:r>
            <w:fldChar w:fldCharType="end"/>
          </w:r>
          <w:r>
            <w:rPr>
              <w:rFonts w:hint="eastAsia" w:cs="Times New Roman"/>
              <w:color w:val="auto"/>
              <w:highlight w:val="none"/>
            </w:rPr>
            <w:fldChar w:fldCharType="end"/>
          </w:r>
        </w:p>
        <w:p w14:paraId="1C8FDBFE">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_Toc267 </w:instrText>
          </w:r>
          <w:r>
            <w:rPr>
              <w:rFonts w:hint="eastAsia" w:cs="Times New Roman"/>
              <w:highlight w:val="none"/>
            </w:rP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_Toc267 </w:instrText>
          </w:r>
          <w:r>
            <w:fldChar w:fldCharType="separate"/>
          </w:r>
          <w:r>
            <w:t>10</w:t>
          </w:r>
          <w:r>
            <w:fldChar w:fldCharType="end"/>
          </w:r>
          <w:r>
            <w:rPr>
              <w:rFonts w:hint="eastAsia" w:cs="Times New Roman"/>
              <w:color w:val="auto"/>
              <w:highlight w:val="none"/>
            </w:rPr>
            <w:fldChar w:fldCharType="end"/>
          </w:r>
        </w:p>
        <w:p w14:paraId="2C111F1B">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_Toc16348 </w:instrText>
          </w:r>
          <w:r>
            <w:rPr>
              <w:rFonts w:hint="eastAsia" w:cs="Times New Roman"/>
              <w:highlight w:val="none"/>
            </w:rP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_Toc16348 </w:instrText>
          </w:r>
          <w:r>
            <w:fldChar w:fldCharType="separate"/>
          </w:r>
          <w:r>
            <w:t>10</w:t>
          </w:r>
          <w:r>
            <w:fldChar w:fldCharType="end"/>
          </w:r>
          <w:r>
            <w:rPr>
              <w:rFonts w:hint="eastAsia" w:cs="Times New Roman"/>
              <w:color w:val="auto"/>
              <w:highlight w:val="none"/>
            </w:rPr>
            <w:fldChar w:fldCharType="end"/>
          </w:r>
        </w:p>
        <w:p w14:paraId="4DBDC9BB">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_Toc22302 </w:instrText>
          </w:r>
          <w:r>
            <w:rPr>
              <w:rFonts w:hint="eastAsia" w:cs="Times New Roman"/>
              <w:highlight w:val="none"/>
            </w:rP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_Toc22302 </w:instrText>
          </w:r>
          <w:r>
            <w:fldChar w:fldCharType="separate"/>
          </w:r>
          <w:r>
            <w:t>11</w:t>
          </w:r>
          <w:r>
            <w:fldChar w:fldCharType="end"/>
          </w:r>
          <w:r>
            <w:rPr>
              <w:rFonts w:hint="eastAsia" w:cs="Times New Roman"/>
              <w:color w:val="auto"/>
              <w:highlight w:val="none"/>
            </w:rPr>
            <w:fldChar w:fldCharType="end"/>
          </w:r>
        </w:p>
        <w:p w14:paraId="25AC212A">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_Toc32229 </w:instrText>
          </w:r>
          <w:r>
            <w:rPr>
              <w:rFonts w:hint="eastAsia" w:cs="Times New Roman"/>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_Toc32229 </w:instrText>
          </w:r>
          <w:r>
            <w:fldChar w:fldCharType="separate"/>
          </w:r>
          <w:r>
            <w:t>11</w:t>
          </w:r>
          <w:r>
            <w:fldChar w:fldCharType="end"/>
          </w:r>
          <w:r>
            <w:rPr>
              <w:rFonts w:hint="eastAsia" w:cs="Times New Roman"/>
              <w:color w:val="auto"/>
              <w:highlight w:val="none"/>
            </w:rPr>
            <w:fldChar w:fldCharType="end"/>
          </w:r>
        </w:p>
        <w:p w14:paraId="43A7EA84">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_Toc19674 </w:instrText>
          </w:r>
          <w:r>
            <w:rPr>
              <w:rFonts w:hint="eastAsia" w:cs="Times New Roman"/>
              <w:highlight w:val="none"/>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_Toc19674 </w:instrText>
          </w:r>
          <w:r>
            <w:fldChar w:fldCharType="separate"/>
          </w:r>
          <w:r>
            <w:t>12</w:t>
          </w:r>
          <w:r>
            <w:fldChar w:fldCharType="end"/>
          </w:r>
          <w:r>
            <w:rPr>
              <w:rFonts w:hint="eastAsia" w:cs="Times New Roman"/>
              <w:color w:val="auto"/>
              <w:highlight w:val="none"/>
            </w:rPr>
            <w:fldChar w:fldCharType="end"/>
          </w:r>
        </w:p>
        <w:p w14:paraId="0B0F1526">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_Toc15188 </w:instrText>
          </w:r>
          <w:r>
            <w:rPr>
              <w:rFonts w:hint="eastAsia" w:cs="Times New Roman"/>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_Toc15188 </w:instrText>
          </w:r>
          <w:r>
            <w:fldChar w:fldCharType="separate"/>
          </w:r>
          <w:r>
            <w:t>14</w:t>
          </w:r>
          <w:r>
            <w:fldChar w:fldCharType="end"/>
          </w:r>
          <w:r>
            <w:rPr>
              <w:rFonts w:hint="eastAsia" w:cs="Times New Roman"/>
              <w:color w:val="auto"/>
              <w:highlight w:val="none"/>
            </w:rPr>
            <w:fldChar w:fldCharType="end"/>
          </w:r>
        </w:p>
        <w:p w14:paraId="7733DB11">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_Toc11848 </w:instrText>
          </w:r>
          <w:r>
            <w:rPr>
              <w:rFonts w:hint="eastAsia" w:cs="Times New Roman"/>
              <w:highlight w:val="none"/>
            </w:rPr>
            <w:fldChar w:fldCharType="separate"/>
          </w:r>
          <w:r>
            <w:rPr>
              <w:rFonts w:hint="eastAsia" w:ascii="黑体" w:eastAsia="黑体"/>
              <w:szCs w:val="32"/>
              <w:highlight w:val="none"/>
            </w:rPr>
            <w:t>七、</w:t>
          </w:r>
          <w:r>
            <w:rPr>
              <w:rFonts w:hint="eastAsia" w:ascii="黑体" w:hAnsi="黑体" w:eastAsia="黑体"/>
              <w:highlight w:val="none"/>
            </w:rPr>
            <w:t>“三公”经费财政拨款支出决算情况说明</w:t>
          </w:r>
          <w:r>
            <w:tab/>
          </w:r>
          <w:r>
            <w:fldChar w:fldCharType="begin"/>
          </w:r>
          <w:r>
            <w:instrText xml:space="preserve"> PAGEREF _Toc11848 </w:instrText>
          </w:r>
          <w:r>
            <w:fldChar w:fldCharType="separate"/>
          </w:r>
          <w:r>
            <w:t>15</w:t>
          </w:r>
          <w:r>
            <w:fldChar w:fldCharType="end"/>
          </w:r>
          <w:r>
            <w:rPr>
              <w:rFonts w:hint="eastAsia" w:cs="Times New Roman"/>
              <w:color w:val="auto"/>
              <w:highlight w:val="none"/>
            </w:rPr>
            <w:fldChar w:fldCharType="end"/>
          </w:r>
        </w:p>
        <w:p w14:paraId="486E6F75">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_Toc26864 </w:instrText>
          </w:r>
          <w:r>
            <w:rPr>
              <w:rFonts w:hint="eastAsia" w:cs="Times New Roman"/>
              <w:highlight w:val="none"/>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_Toc26864 </w:instrText>
          </w:r>
          <w:r>
            <w:fldChar w:fldCharType="separate"/>
          </w:r>
          <w:r>
            <w:t>16</w:t>
          </w:r>
          <w:r>
            <w:fldChar w:fldCharType="end"/>
          </w:r>
          <w:r>
            <w:rPr>
              <w:rFonts w:hint="eastAsia" w:cs="Times New Roman"/>
              <w:color w:val="auto"/>
              <w:highlight w:val="none"/>
            </w:rPr>
            <w:fldChar w:fldCharType="end"/>
          </w:r>
        </w:p>
        <w:p w14:paraId="13F6FB7C">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_Toc21085 </w:instrText>
          </w:r>
          <w:r>
            <w:rPr>
              <w:rFonts w:hint="eastAsia" w:cs="Times New Roman"/>
              <w:highlight w:val="none"/>
            </w:rP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_Toc21085 </w:instrText>
          </w:r>
          <w:r>
            <w:fldChar w:fldCharType="separate"/>
          </w:r>
          <w:r>
            <w:t>17</w:t>
          </w:r>
          <w:r>
            <w:fldChar w:fldCharType="end"/>
          </w:r>
          <w:r>
            <w:rPr>
              <w:rFonts w:hint="eastAsia" w:cs="Times New Roman"/>
              <w:color w:val="auto"/>
              <w:highlight w:val="none"/>
            </w:rPr>
            <w:fldChar w:fldCharType="end"/>
          </w:r>
        </w:p>
        <w:p w14:paraId="297DB285">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_Toc3613 </w:instrText>
          </w:r>
          <w:r>
            <w:rPr>
              <w:rFonts w:hint="eastAsia" w:cs="Times New Roman"/>
              <w:highlight w:val="none"/>
            </w:rPr>
            <w:fldChar w:fldCharType="separate"/>
          </w:r>
          <w:r>
            <w:rPr>
              <w:rFonts w:hint="eastAsia" w:ascii="黑体" w:hAnsi="黑体" w:eastAsia="黑体"/>
            </w:rPr>
            <w:t xml:space="preserve">十、 </w:t>
          </w:r>
          <w:r>
            <w:rPr>
              <w:rFonts w:hint="eastAsia" w:ascii="黑体" w:hAnsi="黑体" w:eastAsia="黑体"/>
              <w:highlight w:val="none"/>
              <w:lang w:val="en-US" w:eastAsia="zh-CN"/>
            </w:rPr>
            <w:t>预算绩效管理情况</w:t>
          </w:r>
          <w:r>
            <w:tab/>
          </w:r>
          <w:r>
            <w:fldChar w:fldCharType="begin"/>
          </w:r>
          <w:r>
            <w:instrText xml:space="preserve"> PAGEREF _Toc3613 </w:instrText>
          </w:r>
          <w:r>
            <w:fldChar w:fldCharType="separate"/>
          </w:r>
          <w:r>
            <w:t>17</w:t>
          </w:r>
          <w:r>
            <w:fldChar w:fldCharType="end"/>
          </w:r>
          <w:r>
            <w:rPr>
              <w:rFonts w:hint="eastAsia" w:cs="Times New Roman"/>
              <w:color w:val="auto"/>
              <w:highlight w:val="none"/>
            </w:rPr>
            <w:fldChar w:fldCharType="end"/>
          </w:r>
        </w:p>
        <w:p w14:paraId="6AD65632">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_Toc26170 </w:instrText>
          </w:r>
          <w:r>
            <w:rPr>
              <w:rFonts w:hint="eastAsia" w:cs="Times New Roman"/>
              <w:highlight w:val="none"/>
            </w:rPr>
            <w:fldChar w:fldCharType="separate"/>
          </w:r>
          <w:r>
            <w:rPr>
              <w:rFonts w:hint="eastAsia" w:ascii="黑体" w:hAnsi="黑体" w:eastAsia="黑体"/>
            </w:rPr>
            <w:t xml:space="preserve">十一、 </w:t>
          </w:r>
          <w:r>
            <w:rPr>
              <w:rFonts w:hint="eastAsia" w:ascii="黑体" w:hAnsi="黑体" w:eastAsia="黑体"/>
              <w:highlight w:val="none"/>
            </w:rPr>
            <w:t>其他重要事项的情况说明</w:t>
          </w:r>
          <w:r>
            <w:tab/>
          </w:r>
          <w:r>
            <w:fldChar w:fldCharType="begin"/>
          </w:r>
          <w:r>
            <w:instrText xml:space="preserve"> PAGEREF _Toc26170 </w:instrText>
          </w:r>
          <w:r>
            <w:fldChar w:fldCharType="separate"/>
          </w:r>
          <w:r>
            <w:t>17</w:t>
          </w:r>
          <w:r>
            <w:fldChar w:fldCharType="end"/>
          </w:r>
          <w:r>
            <w:rPr>
              <w:rFonts w:hint="eastAsia" w:cs="Times New Roman"/>
              <w:color w:val="auto"/>
              <w:highlight w:val="none"/>
            </w:rPr>
            <w:fldChar w:fldCharType="end"/>
          </w:r>
        </w:p>
        <w:p w14:paraId="781CD5A7">
          <w:pPr>
            <w:pStyle w:val="12"/>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_Toc8568 </w:instrText>
          </w:r>
          <w:r>
            <w:rPr>
              <w:rFonts w:hint="eastAsia" w:cs="Times New Roman"/>
              <w:highlight w:val="none"/>
            </w:rPr>
            <w:fldChar w:fldCharType="separate"/>
          </w:r>
          <w:r>
            <w:rPr>
              <w:rFonts w:hint="eastAsia" w:ascii="黑体" w:hAnsi="黑体" w:eastAsia="黑体" w:cs="黑体"/>
              <w:bCs/>
              <w:szCs w:val="44"/>
            </w:rPr>
            <w:t xml:space="preserve">第三部分 </w:t>
          </w:r>
          <w:r>
            <w:rPr>
              <w:rFonts w:hint="eastAsia" w:ascii="黑体" w:hAnsi="黑体" w:eastAsia="黑体"/>
              <w:bCs/>
              <w:szCs w:val="44"/>
              <w:highlight w:val="none"/>
            </w:rPr>
            <w:t>名</w:t>
          </w:r>
          <w:r>
            <w:rPr>
              <w:rFonts w:hint="eastAsia" w:ascii="黑体" w:hAnsi="黑体" w:eastAsia="黑体"/>
              <w:bCs/>
              <w:highlight w:val="none"/>
            </w:rPr>
            <w:t>词解释</w:t>
          </w:r>
          <w:r>
            <w:tab/>
          </w:r>
          <w:r>
            <w:fldChar w:fldCharType="begin"/>
          </w:r>
          <w:r>
            <w:instrText xml:space="preserve"> PAGEREF _Toc8568 </w:instrText>
          </w:r>
          <w:r>
            <w:fldChar w:fldCharType="separate"/>
          </w:r>
          <w:r>
            <w:t>19</w:t>
          </w:r>
          <w:r>
            <w:fldChar w:fldCharType="end"/>
          </w:r>
          <w:r>
            <w:rPr>
              <w:rFonts w:hint="eastAsia" w:cs="Times New Roman"/>
              <w:color w:val="auto"/>
              <w:highlight w:val="none"/>
            </w:rPr>
            <w:fldChar w:fldCharType="end"/>
          </w:r>
        </w:p>
        <w:p w14:paraId="67AC8F56">
          <w:pPr>
            <w:pStyle w:val="12"/>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_Toc13289 </w:instrText>
          </w:r>
          <w:r>
            <w:rPr>
              <w:rFonts w:hint="eastAsia" w:cs="Times New Roman"/>
              <w:highlight w:val="none"/>
            </w:rPr>
            <w:fldChar w:fldCharType="separate"/>
          </w:r>
          <w:r>
            <w:rPr>
              <w:rFonts w:hint="eastAsia" w:ascii="黑体" w:hAnsi="黑体" w:eastAsia="黑体"/>
              <w:bCs/>
              <w:szCs w:val="44"/>
              <w:highlight w:val="none"/>
            </w:rPr>
            <w:t>第</w:t>
          </w:r>
          <w:r>
            <w:rPr>
              <w:rFonts w:hint="eastAsia" w:ascii="黑体" w:hAnsi="黑体" w:eastAsia="黑体"/>
              <w:bCs/>
              <w:highlight w:val="none"/>
            </w:rPr>
            <w:t>四部分 附件</w:t>
          </w:r>
          <w:r>
            <w:tab/>
          </w:r>
          <w:r>
            <w:fldChar w:fldCharType="begin"/>
          </w:r>
          <w:r>
            <w:instrText xml:space="preserve"> PAGEREF _Toc13289 </w:instrText>
          </w:r>
          <w:r>
            <w:fldChar w:fldCharType="separate"/>
          </w:r>
          <w:r>
            <w:t>22</w:t>
          </w:r>
          <w:r>
            <w:fldChar w:fldCharType="end"/>
          </w:r>
          <w:r>
            <w:rPr>
              <w:rFonts w:hint="eastAsia" w:cs="Times New Roman"/>
              <w:color w:val="auto"/>
              <w:highlight w:val="none"/>
            </w:rPr>
            <w:fldChar w:fldCharType="end"/>
          </w:r>
        </w:p>
        <w:p w14:paraId="3CE63F06">
          <w:pPr>
            <w:pStyle w:val="12"/>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_Toc17222 </w:instrText>
          </w:r>
          <w:r>
            <w:rPr>
              <w:rFonts w:hint="eastAsia" w:cs="Times New Roman"/>
              <w:highlight w:val="none"/>
            </w:rPr>
            <w:fldChar w:fldCharType="separate"/>
          </w:r>
          <w:r>
            <w:rPr>
              <w:rFonts w:hint="eastAsia" w:ascii="黑体" w:hAnsi="黑体" w:eastAsia="黑体"/>
              <w:bCs/>
              <w:szCs w:val="44"/>
              <w:highlight w:val="none"/>
            </w:rPr>
            <w:t>第</w:t>
          </w:r>
          <w:r>
            <w:rPr>
              <w:rFonts w:hint="eastAsia" w:ascii="黑体" w:hAnsi="黑体" w:eastAsia="黑体"/>
              <w:bCs/>
              <w:szCs w:val="44"/>
              <w:highlight w:val="none"/>
              <w:lang w:eastAsia="zh-CN"/>
            </w:rPr>
            <w:t>五</w:t>
          </w:r>
          <w:r>
            <w:rPr>
              <w:rFonts w:hint="eastAsia" w:ascii="黑体" w:hAnsi="黑体" w:eastAsia="黑体"/>
              <w:bCs/>
              <w:highlight w:val="none"/>
            </w:rPr>
            <w:t>部分 附表</w:t>
          </w:r>
          <w:r>
            <w:tab/>
          </w:r>
          <w:r>
            <w:fldChar w:fldCharType="begin"/>
          </w:r>
          <w:r>
            <w:instrText xml:space="preserve"> PAGEREF _Toc17222 </w:instrText>
          </w:r>
          <w:r>
            <w:fldChar w:fldCharType="separate"/>
          </w:r>
          <w:r>
            <w:t>23</w:t>
          </w:r>
          <w:r>
            <w:fldChar w:fldCharType="end"/>
          </w:r>
          <w:r>
            <w:rPr>
              <w:rFonts w:hint="eastAsia" w:cs="Times New Roman"/>
              <w:color w:val="auto"/>
              <w:highlight w:val="none"/>
            </w:rPr>
            <w:fldChar w:fldCharType="end"/>
          </w:r>
        </w:p>
        <w:p w14:paraId="29E833B3">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_Toc18323 </w:instrText>
          </w:r>
          <w:r>
            <w:rPr>
              <w:rFonts w:hint="eastAsia" w:cs="Times New Roman"/>
              <w:highlight w:val="none"/>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_Toc18323 </w:instrText>
          </w:r>
          <w:r>
            <w:fldChar w:fldCharType="separate"/>
          </w:r>
          <w:r>
            <w:t>23</w:t>
          </w:r>
          <w:r>
            <w:fldChar w:fldCharType="end"/>
          </w:r>
          <w:r>
            <w:rPr>
              <w:rFonts w:hint="eastAsia" w:cs="Times New Roman"/>
              <w:color w:val="auto"/>
              <w:highlight w:val="none"/>
            </w:rPr>
            <w:fldChar w:fldCharType="end"/>
          </w:r>
        </w:p>
        <w:p w14:paraId="1B8E983C">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_Toc20528 </w:instrText>
          </w:r>
          <w:r>
            <w:rPr>
              <w:rFonts w:hint="eastAsia" w:cs="Times New Roman"/>
              <w:highlight w:val="none"/>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_Toc20528 </w:instrText>
          </w:r>
          <w:r>
            <w:fldChar w:fldCharType="separate"/>
          </w:r>
          <w:r>
            <w:t>23</w:t>
          </w:r>
          <w:r>
            <w:fldChar w:fldCharType="end"/>
          </w:r>
          <w:r>
            <w:rPr>
              <w:rFonts w:hint="eastAsia" w:cs="Times New Roman"/>
              <w:color w:val="auto"/>
              <w:highlight w:val="none"/>
            </w:rPr>
            <w:fldChar w:fldCharType="end"/>
          </w:r>
        </w:p>
        <w:p w14:paraId="01D7FAC4">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_Toc12218 </w:instrText>
          </w:r>
          <w:r>
            <w:rPr>
              <w:rFonts w:hint="eastAsia" w:cs="Times New Roman"/>
              <w:highlight w:val="none"/>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_Toc12218 </w:instrText>
          </w:r>
          <w:r>
            <w:fldChar w:fldCharType="separate"/>
          </w:r>
          <w:r>
            <w:t>23</w:t>
          </w:r>
          <w:r>
            <w:fldChar w:fldCharType="end"/>
          </w:r>
          <w:r>
            <w:rPr>
              <w:rFonts w:hint="eastAsia" w:cs="Times New Roman"/>
              <w:color w:val="auto"/>
              <w:highlight w:val="none"/>
            </w:rPr>
            <w:fldChar w:fldCharType="end"/>
          </w:r>
        </w:p>
        <w:p w14:paraId="4259B966">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_Toc14128 </w:instrText>
          </w:r>
          <w:r>
            <w:rPr>
              <w:rFonts w:hint="eastAsia" w:cs="Times New Roman"/>
              <w:highlight w:val="none"/>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_Toc14128 </w:instrText>
          </w:r>
          <w:r>
            <w:fldChar w:fldCharType="separate"/>
          </w:r>
          <w:r>
            <w:t>23</w:t>
          </w:r>
          <w:r>
            <w:fldChar w:fldCharType="end"/>
          </w:r>
          <w:r>
            <w:rPr>
              <w:rFonts w:hint="eastAsia" w:cs="Times New Roman"/>
              <w:color w:val="auto"/>
              <w:highlight w:val="none"/>
            </w:rPr>
            <w:fldChar w:fldCharType="end"/>
          </w:r>
        </w:p>
        <w:p w14:paraId="64514DDA">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_Toc14339 </w:instrText>
          </w:r>
          <w:r>
            <w:rPr>
              <w:rFonts w:hint="eastAsia" w:cs="Times New Roman"/>
              <w:highlight w:val="none"/>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_Toc14339 </w:instrText>
          </w:r>
          <w:r>
            <w:fldChar w:fldCharType="separate"/>
          </w:r>
          <w:r>
            <w:t>23</w:t>
          </w:r>
          <w:r>
            <w:fldChar w:fldCharType="end"/>
          </w:r>
          <w:r>
            <w:rPr>
              <w:rFonts w:hint="eastAsia" w:cs="Times New Roman"/>
              <w:color w:val="auto"/>
              <w:highlight w:val="none"/>
            </w:rPr>
            <w:fldChar w:fldCharType="end"/>
          </w:r>
        </w:p>
        <w:p w14:paraId="0E717B1E">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_Toc5018 </w:instrText>
          </w:r>
          <w:r>
            <w:rPr>
              <w:rFonts w:hint="eastAsia" w:cs="Times New Roman"/>
              <w:highlight w:val="none"/>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_Toc5018 </w:instrText>
          </w:r>
          <w:r>
            <w:fldChar w:fldCharType="separate"/>
          </w:r>
          <w:r>
            <w:t>23</w:t>
          </w:r>
          <w:r>
            <w:fldChar w:fldCharType="end"/>
          </w:r>
          <w:r>
            <w:rPr>
              <w:rFonts w:hint="eastAsia" w:cs="Times New Roman"/>
              <w:color w:val="auto"/>
              <w:highlight w:val="none"/>
            </w:rPr>
            <w:fldChar w:fldCharType="end"/>
          </w:r>
        </w:p>
        <w:p w14:paraId="62E234E7">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_Toc15250 </w:instrText>
          </w:r>
          <w:r>
            <w:rPr>
              <w:rFonts w:hint="eastAsia" w:cs="Times New Roman"/>
              <w:highlight w:val="none"/>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_Toc15250 </w:instrText>
          </w:r>
          <w:r>
            <w:fldChar w:fldCharType="separate"/>
          </w:r>
          <w:r>
            <w:t>23</w:t>
          </w:r>
          <w:r>
            <w:fldChar w:fldCharType="end"/>
          </w:r>
          <w:r>
            <w:rPr>
              <w:rFonts w:hint="eastAsia" w:cs="Times New Roman"/>
              <w:color w:val="auto"/>
              <w:highlight w:val="none"/>
            </w:rPr>
            <w:fldChar w:fldCharType="end"/>
          </w:r>
        </w:p>
        <w:p w14:paraId="3634AFF2">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_Toc21663 </w:instrText>
          </w:r>
          <w:r>
            <w:rPr>
              <w:rFonts w:hint="eastAsia" w:cs="Times New Roman"/>
              <w:highlight w:val="none"/>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_Toc21663 </w:instrText>
          </w:r>
          <w:r>
            <w:fldChar w:fldCharType="separate"/>
          </w:r>
          <w:r>
            <w:t>23</w:t>
          </w:r>
          <w:r>
            <w:fldChar w:fldCharType="end"/>
          </w:r>
          <w:r>
            <w:rPr>
              <w:rFonts w:hint="eastAsia" w:cs="Times New Roman"/>
              <w:color w:val="auto"/>
              <w:highlight w:val="none"/>
            </w:rPr>
            <w:fldChar w:fldCharType="end"/>
          </w:r>
        </w:p>
        <w:p w14:paraId="39A914D9">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_Toc21258 </w:instrText>
          </w:r>
          <w:r>
            <w:rPr>
              <w:rFonts w:hint="eastAsia" w:cs="Times New Roman"/>
              <w:highlight w:val="none"/>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_Toc21258 </w:instrText>
          </w:r>
          <w:r>
            <w:fldChar w:fldCharType="separate"/>
          </w:r>
          <w:r>
            <w:t>23</w:t>
          </w:r>
          <w:r>
            <w:fldChar w:fldCharType="end"/>
          </w:r>
          <w:r>
            <w:rPr>
              <w:rFonts w:hint="eastAsia" w:cs="Times New Roman"/>
              <w:color w:val="auto"/>
              <w:highlight w:val="none"/>
            </w:rPr>
            <w:fldChar w:fldCharType="end"/>
          </w:r>
        </w:p>
        <w:p w14:paraId="1AC621F7">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_Toc17858 </w:instrText>
          </w:r>
          <w:r>
            <w:rPr>
              <w:rFonts w:hint="eastAsia" w:cs="Times New Roman"/>
              <w:highlight w:val="none"/>
            </w:rPr>
            <w:fldChar w:fldCharType="separate"/>
          </w:r>
          <w:r>
            <w:rPr>
              <w:rFonts w:hint="eastAsia" w:ascii="仿宋" w:hAnsi="仿宋" w:eastAsia="仿宋"/>
              <w:bCs w:val="0"/>
              <w:highlight w:val="none"/>
            </w:rPr>
            <w:t>十、</w:t>
          </w:r>
          <w:r>
            <w:rPr>
              <w:rFonts w:hint="eastAsia" w:ascii="仿宋" w:hAnsi="仿宋" w:eastAsia="仿宋"/>
              <w:highlight w:val="none"/>
            </w:rPr>
            <w:t>一</w:t>
          </w:r>
          <w:r>
            <w:rPr>
              <w:rFonts w:hint="eastAsia" w:ascii="仿宋" w:hAnsi="仿宋" w:eastAsia="仿宋"/>
              <w:bCs w:val="0"/>
              <w:highlight w:val="none"/>
            </w:rPr>
            <w:t>般公共预算财政拨款“三公”经费支出决算表</w:t>
          </w:r>
          <w:r>
            <w:tab/>
          </w:r>
          <w:r>
            <w:fldChar w:fldCharType="begin"/>
          </w:r>
          <w:r>
            <w:instrText xml:space="preserve"> PAGEREF _Toc17858 </w:instrText>
          </w:r>
          <w:r>
            <w:fldChar w:fldCharType="separate"/>
          </w:r>
          <w:r>
            <w:t>23</w:t>
          </w:r>
          <w:r>
            <w:fldChar w:fldCharType="end"/>
          </w:r>
          <w:r>
            <w:rPr>
              <w:rFonts w:hint="eastAsia" w:cs="Times New Roman"/>
              <w:color w:val="auto"/>
              <w:highlight w:val="none"/>
            </w:rPr>
            <w:fldChar w:fldCharType="end"/>
          </w:r>
        </w:p>
        <w:p w14:paraId="1DF66F1C">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_Toc931 </w:instrText>
          </w:r>
          <w:r>
            <w:rPr>
              <w:rFonts w:hint="eastAsia" w:cs="Times New Roman"/>
              <w:highlight w:val="none"/>
            </w:rPr>
            <w:fldChar w:fldCharType="separate"/>
          </w:r>
          <w:r>
            <w:rPr>
              <w:rFonts w:hint="eastAsia" w:ascii="仿宋" w:hAnsi="仿宋" w:eastAsia="仿宋"/>
              <w:bCs w:val="0"/>
              <w:highlight w:val="none"/>
            </w:rPr>
            <w:t>十一、</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_Toc931 </w:instrText>
          </w:r>
          <w:r>
            <w:fldChar w:fldCharType="separate"/>
          </w:r>
          <w:r>
            <w:t>23</w:t>
          </w:r>
          <w:r>
            <w:fldChar w:fldCharType="end"/>
          </w:r>
          <w:r>
            <w:rPr>
              <w:rFonts w:hint="eastAsia" w:cs="Times New Roman"/>
              <w:color w:val="auto"/>
              <w:highlight w:val="none"/>
            </w:rPr>
            <w:fldChar w:fldCharType="end"/>
          </w:r>
        </w:p>
        <w:p w14:paraId="0B3DC713">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_Toc10258 </w:instrText>
          </w:r>
          <w:r>
            <w:rPr>
              <w:rFonts w:hint="eastAsia" w:cs="Times New Roman"/>
              <w:highlight w:val="none"/>
            </w:rPr>
            <w:fldChar w:fldCharType="separate"/>
          </w:r>
          <w:r>
            <w:rPr>
              <w:rFonts w:hint="eastAsia" w:ascii="仿宋" w:hAnsi="仿宋" w:eastAsia="仿宋"/>
              <w:bCs w:val="0"/>
              <w:highlight w:val="none"/>
            </w:rPr>
            <w:t>十二、</w:t>
          </w:r>
          <w:r>
            <w:rPr>
              <w:rFonts w:hint="eastAsia" w:ascii="仿宋" w:hAnsi="仿宋" w:eastAsia="仿宋"/>
              <w:highlight w:val="none"/>
            </w:rPr>
            <w:t>政</w:t>
          </w:r>
          <w:r>
            <w:rPr>
              <w:rFonts w:hint="eastAsia" w:ascii="仿宋" w:hAnsi="仿宋" w:eastAsia="仿宋"/>
              <w:bCs w:val="0"/>
              <w:highlight w:val="none"/>
            </w:rPr>
            <w:t>府性基金预算财政拨款“三公”经费支出决算表</w:t>
          </w:r>
          <w:r>
            <w:tab/>
          </w:r>
          <w:r>
            <w:fldChar w:fldCharType="begin"/>
          </w:r>
          <w:r>
            <w:instrText xml:space="preserve"> PAGEREF _Toc10258 </w:instrText>
          </w:r>
          <w:r>
            <w:fldChar w:fldCharType="separate"/>
          </w:r>
          <w:r>
            <w:t>23</w:t>
          </w:r>
          <w:r>
            <w:fldChar w:fldCharType="end"/>
          </w:r>
          <w:r>
            <w:rPr>
              <w:rFonts w:hint="eastAsia" w:cs="Times New Roman"/>
              <w:color w:val="auto"/>
              <w:highlight w:val="none"/>
            </w:rPr>
            <w:fldChar w:fldCharType="end"/>
          </w:r>
        </w:p>
        <w:p w14:paraId="44A6AC05">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_Toc2 </w:instrText>
          </w:r>
          <w:r>
            <w:rPr>
              <w:rFonts w:hint="eastAsia" w:cs="Times New Roman"/>
              <w:highlight w:val="none"/>
            </w:rPr>
            <w:fldChar w:fldCharType="separate"/>
          </w:r>
          <w:r>
            <w:rPr>
              <w:rFonts w:hint="eastAsia" w:ascii="仿宋" w:hAnsi="仿宋" w:eastAsia="仿宋"/>
              <w:bCs w:val="0"/>
              <w:highlight w:val="none"/>
            </w:rPr>
            <w:t>十三、</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_Toc2 </w:instrText>
          </w:r>
          <w:r>
            <w:fldChar w:fldCharType="separate"/>
          </w:r>
          <w:r>
            <w:t>23</w:t>
          </w:r>
          <w:r>
            <w:fldChar w:fldCharType="end"/>
          </w:r>
          <w:r>
            <w:rPr>
              <w:rFonts w:hint="eastAsia" w:cs="Times New Roman"/>
              <w:color w:val="auto"/>
              <w:highlight w:val="none"/>
            </w:rPr>
            <w:fldChar w:fldCharType="end"/>
          </w:r>
        </w:p>
        <w:p w14:paraId="360A4583">
          <w:pPr>
            <w:pStyle w:val="14"/>
            <w:tabs>
              <w:tab w:val="right" w:leader="dot" w:pos="8306"/>
              <w:tab w:val="clear" w:pos="8296"/>
            </w:tabs>
          </w:pPr>
          <w:r>
            <w:rPr>
              <w:rFonts w:hint="eastAsia" w:cs="Times New Roman"/>
              <w:color w:val="auto"/>
              <w:highlight w:val="none"/>
            </w:rPr>
            <w:fldChar w:fldCharType="begin"/>
          </w:r>
          <w:r>
            <w:rPr>
              <w:rFonts w:hint="eastAsia" w:cs="Times New Roman"/>
              <w:highlight w:val="none"/>
            </w:rPr>
            <w:instrText xml:space="preserve"> HYPERLINK \l _Toc18988 </w:instrText>
          </w:r>
          <w:r>
            <w:rPr>
              <w:rFonts w:hint="eastAsia" w:cs="Times New Roman"/>
              <w:highlight w:val="none"/>
            </w:rPr>
            <w:fldChar w:fldCharType="separate"/>
          </w:r>
          <w:r>
            <w:rPr>
              <w:rFonts w:hint="eastAsia" w:ascii="仿宋" w:hAnsi="仿宋" w:eastAsia="仿宋"/>
              <w:bCs w:val="0"/>
              <w:highlight w:val="none"/>
              <w:lang w:eastAsia="zh-CN"/>
            </w:rPr>
            <w:t>十四、国有资本经营预算财政拨款支出决算表</w:t>
          </w:r>
          <w:r>
            <w:tab/>
          </w:r>
          <w:r>
            <w:fldChar w:fldCharType="begin"/>
          </w:r>
          <w:r>
            <w:instrText xml:space="preserve"> PAGEREF _Toc18988 </w:instrText>
          </w:r>
          <w:r>
            <w:fldChar w:fldCharType="separate"/>
          </w:r>
          <w:r>
            <w:t>23</w:t>
          </w:r>
          <w:r>
            <w:fldChar w:fldCharType="end"/>
          </w:r>
          <w:r>
            <w:rPr>
              <w:rFonts w:hint="eastAsia" w:cs="Times New Roman"/>
              <w:color w:val="auto"/>
              <w:highlight w:val="none"/>
            </w:rPr>
            <w:fldChar w:fldCharType="end"/>
          </w:r>
        </w:p>
        <w:p w14:paraId="26804E9A">
          <w:pPr>
            <w:pStyle w:val="12"/>
            <w:adjustRightInd w:val="0"/>
            <w:snapToGrid w:val="0"/>
            <w:spacing w:before="0" w:line="440" w:lineRule="exact"/>
            <w:jc w:val="left"/>
            <w:rPr>
              <w:rFonts w:hint="eastAsia" w:cs="Times New Roman"/>
              <w:color w:val="auto"/>
              <w:sz w:val="24"/>
              <w:highlight w:val="none"/>
            </w:rPr>
          </w:pPr>
          <w:r>
            <w:rPr>
              <w:rFonts w:hint="eastAsia" w:cs="Times New Roman"/>
              <w:color w:val="auto"/>
              <w:highlight w:val="none"/>
            </w:rPr>
            <w:fldChar w:fldCharType="end"/>
          </w:r>
        </w:p>
      </w:sdtContent>
    </w:sdt>
    <w:p w14:paraId="6A88BBEB">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14:paraId="549C5764">
      <w:pPr>
        <w:bidi w:val="0"/>
        <w:jc w:val="center"/>
        <w:rPr>
          <w:rStyle w:val="28"/>
          <w:rFonts w:hint="eastAsia" w:ascii="黑体" w:hAnsi="黑体" w:eastAsia="黑体" w:cs="Times New Roman"/>
          <w:b/>
          <w:bCs w:val="0"/>
          <w:color w:val="auto"/>
          <w:highlight w:val="none"/>
          <w:lang w:val="en-US" w:eastAsia="zh-CN" w:bidi="ar-SA"/>
        </w:rPr>
      </w:pPr>
      <w:bookmarkStart w:id="14" w:name="_Toc13736"/>
      <w:r>
        <w:rPr>
          <w:rStyle w:val="28"/>
          <w:rFonts w:hint="eastAsia" w:ascii="黑体" w:hAnsi="黑体" w:eastAsia="黑体" w:cs="Times New Roman"/>
          <w:b/>
          <w:bCs w:val="0"/>
          <w:color w:val="auto"/>
          <w:highlight w:val="none"/>
          <w:lang w:val="en-US" w:eastAsia="zh-CN" w:bidi="ar-SA"/>
        </w:rPr>
        <w:t>第一部分 单位概况</w:t>
      </w:r>
      <w:bookmarkEnd w:id="12"/>
      <w:bookmarkEnd w:id="13"/>
    </w:p>
    <w:bookmarkEnd w:id="14"/>
    <w:p w14:paraId="779F73BD">
      <w:pPr>
        <w:widowControl/>
        <w:jc w:val="left"/>
        <w:rPr>
          <w:rFonts w:ascii="黑体" w:eastAsia="黑体"/>
          <w:color w:val="auto"/>
          <w:sz w:val="32"/>
          <w:szCs w:val="32"/>
          <w:highlight w:val="none"/>
        </w:rPr>
      </w:pPr>
    </w:p>
    <w:p w14:paraId="27A38335">
      <w:pPr>
        <w:spacing w:line="576" w:lineRule="exact"/>
        <w:ind w:firstLine="617" w:firstLineChars="192"/>
        <w:rPr>
          <w:rFonts w:hint="eastAsia" w:ascii="Times New Roman" w:hAnsi="Times New Roman" w:eastAsia="仿宋_GB2312" w:cs="Times New Roman"/>
          <w:b/>
          <w:bCs/>
          <w:sz w:val="32"/>
          <w:szCs w:val="32"/>
          <w:lang w:eastAsia="zh-CN"/>
        </w:rPr>
      </w:pPr>
      <w:bookmarkStart w:id="15" w:name="_Toc15377197"/>
      <w:bookmarkStart w:id="16" w:name="_Toc15396600"/>
      <w:r>
        <w:rPr>
          <w:rFonts w:hint="eastAsia" w:ascii="Times New Roman" w:hAnsi="Times New Roman" w:eastAsia="仿宋_GB2312" w:cs="Times New Roman"/>
          <w:b/>
          <w:bCs/>
          <w:sz w:val="32"/>
          <w:szCs w:val="32"/>
          <w:lang w:eastAsia="zh-CN"/>
        </w:rPr>
        <w:t>一、</w:t>
      </w:r>
      <w:r>
        <w:rPr>
          <w:rFonts w:hint="eastAsia" w:eastAsia="仿宋_GB2312" w:cs="Times New Roman"/>
          <w:b/>
          <w:bCs/>
          <w:sz w:val="32"/>
          <w:szCs w:val="32"/>
          <w:lang w:eastAsia="zh-CN"/>
        </w:rPr>
        <w:t>单位部门概况</w:t>
      </w:r>
    </w:p>
    <w:p w14:paraId="33D1349A">
      <w:pPr>
        <w:spacing w:line="576" w:lineRule="exact"/>
        <w:ind w:firstLine="614" w:firstLineChars="192"/>
        <w:rPr>
          <w:rFonts w:hint="eastAsia" w:eastAsia="仿宋_GB2312"/>
          <w:sz w:val="32"/>
          <w:szCs w:val="32"/>
          <w:lang w:eastAsia="zh-CN"/>
        </w:rPr>
      </w:pPr>
      <w:r>
        <w:rPr>
          <w:rFonts w:hint="eastAsia" w:eastAsia="仿宋_GB2312" w:cs="Times New Roman"/>
          <w:sz w:val="32"/>
          <w:szCs w:val="32"/>
          <w:lang w:val="en-US" w:eastAsia="zh-CN"/>
        </w:rPr>
        <w:t>(一）</w:t>
      </w:r>
      <w:r>
        <w:rPr>
          <w:rFonts w:hint="eastAsia" w:ascii="Times New Roman" w:hAnsi="Times New Roman" w:eastAsia="仿宋_GB2312" w:cs="Times New Roman"/>
          <w:sz w:val="32"/>
          <w:szCs w:val="32"/>
        </w:rPr>
        <w:t>职能</w:t>
      </w:r>
      <w:r>
        <w:rPr>
          <w:rFonts w:hint="eastAsia" w:ascii="Times New Roman" w:hAnsi="Times New Roman" w:eastAsia="仿宋_GB2312" w:cs="Times New Roman"/>
          <w:sz w:val="32"/>
          <w:szCs w:val="32"/>
          <w:lang w:eastAsia="zh-CN"/>
        </w:rPr>
        <w:t>简介：</w:t>
      </w:r>
      <w:r>
        <w:rPr>
          <w:rFonts w:eastAsia="仿宋_GB2312"/>
          <w:sz w:val="32"/>
          <w:szCs w:val="32"/>
        </w:rPr>
        <w:t>负责党的纪律检查工作。贯彻落实党中央关于纪律检查工作的决定，落实市委和区委关于纪律检查工作的要求，维护党的章程和其他党内法规，检查党的路线方针政策和决议的执行情况，协助区委推进全面从严治党、加强党风建设和组织协调反腐败工作。依照党的章程和其他党内法规履行监督、执纪、问责职责。负责经常对党员进行遵守纪律的教育，作出关于维护党纪的决定；对区委工作机关、区委批准设立的党组（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负责全区监察工作。贯彻落实中央关于监察工作的决定，按照市纪委监委和区委关于监察工作的要求，维护宪法法律，依法对区委管理的行使公权力的公职人员进行监察，调查职务违法和职务犯罪，开展廉政建设和反腐败工作。依照法律规定履行监督、调查、处置职责。推动开展廉政教育，对全区行使公权力的公职人员依法履职、秉公用权、廉洁从政从业以及道德操守情况进行监督检查；对涉嫌贪污贿赂、滥用职权、玩忽职守、权力寻租、利益输送、徇私舞弊以及浪费国家资</w:t>
      </w:r>
      <w:r>
        <w:rPr>
          <w:rFonts w:hint="eastAsia" w:eastAsia="仿宋_GB2312"/>
          <w:sz w:val="32"/>
          <w:szCs w:val="32"/>
        </w:rPr>
        <w:t>产</w:t>
      </w:r>
      <w:r>
        <w:rPr>
          <w:rFonts w:eastAsia="仿宋_GB2312"/>
          <w:sz w:val="32"/>
          <w:szCs w:val="32"/>
        </w:rPr>
        <w:t>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负责组织协调全面从严治党、党风廉政建设和反腐败宣传教育工作。负责综合分析全面从严治党、党风廉政建设和反腐败工作情况，对纪检监察工作重要理论及实践问题进行调查研究；制定或者修改纪检监察文件制度，参与起草制定区内有关规范性文件。根据干部管理权限，负责纪检监察系统领导班子建设、干部队伍建设和组织建设的综合规划、政策研究、制度建设和业务指导；会同有关方面做好区纪委监委派驻派出机构，乡镇纪检监察机构领导班子建设有关工作；组织和指导纪检监察系统干部教育培训工作等。完成市纪委监委和区委交办的其他任务</w:t>
      </w:r>
      <w:r>
        <w:rPr>
          <w:rFonts w:hint="eastAsia" w:eastAsia="仿宋_GB2312"/>
          <w:sz w:val="32"/>
          <w:szCs w:val="32"/>
          <w:lang w:eastAsia="zh-CN"/>
        </w:rPr>
        <w:t>。</w:t>
      </w:r>
    </w:p>
    <w:p w14:paraId="2EDCCB51">
      <w:pPr>
        <w:numPr>
          <w:ilvl w:val="0"/>
          <w:numId w:val="0"/>
        </w:numPr>
        <w:spacing w:line="576" w:lineRule="exact"/>
        <w:rPr>
          <w:rFonts w:hint="eastAsia"/>
          <w:lang w:val="en-US" w:eastAsia="zh-CN"/>
        </w:rPr>
      </w:pPr>
      <w:r>
        <w:rPr>
          <w:rFonts w:hint="eastAsia"/>
          <w:sz w:val="32"/>
          <w:szCs w:val="32"/>
          <w:lang w:val="en-US" w:eastAsia="zh-CN"/>
        </w:rPr>
        <w:t xml:space="preserve">  （二）机构设置：</w:t>
      </w:r>
      <w:r>
        <w:rPr>
          <w:rFonts w:hint="eastAsia" w:ascii="Times New Roman" w:hAnsi="Times New Roman" w:eastAsia="仿宋_GB2312" w:cs="Times New Roman"/>
          <w:sz w:val="32"/>
          <w:szCs w:val="32"/>
          <w:lang w:val="en-US" w:eastAsia="zh-CN"/>
        </w:rPr>
        <w:t>昭化区纪委</w:t>
      </w:r>
      <w:r>
        <w:rPr>
          <w:rFonts w:hint="eastAsia" w:eastAsia="仿宋_GB2312" w:cs="Times New Roman"/>
          <w:sz w:val="32"/>
          <w:szCs w:val="32"/>
          <w:lang w:val="en-US" w:eastAsia="zh-CN"/>
        </w:rPr>
        <w:t>属于一级预算单位，其中行政单位1个，参照公务员法管理的事业单位0个，其他事业单位1个，</w:t>
      </w:r>
      <w:r>
        <w:rPr>
          <w:rFonts w:hint="eastAsia" w:ascii="Times New Roman" w:hAnsi="Times New Roman" w:eastAsia="仿宋_GB2312" w:cs="Times New Roman"/>
          <w:sz w:val="32"/>
          <w:szCs w:val="32"/>
          <w:lang w:val="en-US" w:eastAsia="zh-CN"/>
        </w:rPr>
        <w:t>为广元市昭化区廉政教育培训中心。</w:t>
      </w:r>
    </w:p>
    <w:p w14:paraId="042B2B3F">
      <w:pPr>
        <w:pStyle w:val="13"/>
        <w:keepNext w:val="0"/>
        <w:keepLines w:val="0"/>
        <w:pageBreakBefore w:val="0"/>
        <w:widowControl w:val="0"/>
        <w:numPr>
          <w:ilvl w:val="0"/>
          <w:numId w:val="0"/>
        </w:numPr>
        <w:kinsoku/>
        <w:wordWrap/>
        <w:overflowPunct/>
        <w:topLinePunct w:val="0"/>
        <w:autoSpaceDE/>
        <w:autoSpaceDN/>
        <w:bidi w:val="0"/>
        <w:spacing w:line="600" w:lineRule="exact"/>
        <w:ind w:left="0" w:firstLine="643" w:firstLineChars="20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二、2021年重点</w:t>
      </w:r>
      <w:r>
        <w:rPr>
          <w:rFonts w:hint="eastAsia" w:ascii="Times New Roman" w:hAnsi="Times New Roman" w:eastAsia="仿宋_GB2312" w:cs="Times New Roman"/>
          <w:b/>
          <w:bCs/>
          <w:sz w:val="32"/>
          <w:szCs w:val="32"/>
        </w:rPr>
        <w:t>工作</w:t>
      </w:r>
      <w:bookmarkEnd w:id="15"/>
      <w:bookmarkEnd w:id="16"/>
      <w:r>
        <w:rPr>
          <w:rFonts w:hint="eastAsia" w:ascii="Times New Roman" w:hAnsi="Times New Roman" w:eastAsia="仿宋_GB2312" w:cs="Times New Roman"/>
          <w:b/>
          <w:bCs/>
          <w:sz w:val="32"/>
          <w:szCs w:val="32"/>
          <w:lang w:eastAsia="zh-CN"/>
        </w:rPr>
        <w:t>完成情况</w:t>
      </w:r>
    </w:p>
    <w:p w14:paraId="36ECB734">
      <w:pPr>
        <w:pStyle w:val="13"/>
        <w:keepNext w:val="0"/>
        <w:keepLines w:val="0"/>
        <w:pageBreakBefore w:val="0"/>
        <w:widowControl w:val="0"/>
        <w:numPr>
          <w:ilvl w:val="0"/>
          <w:numId w:val="0"/>
        </w:numPr>
        <w:kinsoku/>
        <w:wordWrap/>
        <w:overflowPunct/>
        <w:topLinePunct w:val="0"/>
        <w:autoSpaceDE/>
        <w:autoSpaceDN/>
        <w:bidi w:val="0"/>
        <w:spacing w:line="600" w:lineRule="exact"/>
        <w:ind w:left="0"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sz w:val="32"/>
          <w:szCs w:val="32"/>
          <w:lang w:eastAsia="zh-CN"/>
        </w:rPr>
        <w:t>（一）旗帜鲜明践行“两个维护”，服务大局更加有力。</w:t>
      </w:r>
      <w:r>
        <w:rPr>
          <w:rFonts w:hint="eastAsia" w:ascii="仿宋_GB2312" w:hAnsi="仿宋_GB2312" w:eastAsia="仿宋_GB2312" w:cs="仿宋_GB2312"/>
          <w:b w:val="0"/>
          <w:bCs w:val="0"/>
          <w:color w:val="auto"/>
          <w:kern w:val="2"/>
          <w:sz w:val="32"/>
          <w:szCs w:val="32"/>
          <w:lang w:val="en-US" w:eastAsia="zh-CN" w:bidi="ar-SA"/>
        </w:rPr>
        <w:t>始终把学习贯彻习近平新时代中国特色社会主义思想作为首要政治任务，带头并督促全区各级党组织和广大党员干部把学懂弄通做实党的创新理论作为首要政治要求，不断提高政治判断力、政治领悟力、政治执行力。围绕学习贯彻党的十九届六中全会精神、党史学习教育开展监督检查，督促整改学习浅尝辄止、不严不实等问题23个</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紧盯习近平总书记重要指示批示精神贯彻落实，聚焦常态化疫情防控、森林防灭火等重大决策部署跟进监督，立案查处8件8人，对7个单位履行疫情防控责任不到位进行问责。对中央生态环境保护督察反馈问题一抓到底，立案查处4件4人，组织处理7人。加强换届纪律风气全过程监督，区镇领导班子换届实现零差错、零信访。严管“关键少数”，9名领导干部履行主体责任不力被问责。深入开展付健、姜荣鑫、罗鸣严重违纪违法案以案促改工作，一体推进以案促建、以案促治。</w:t>
      </w:r>
    </w:p>
    <w:p w14:paraId="72526CA3">
      <w:pPr>
        <w:pStyle w:val="13"/>
        <w:keepNext w:val="0"/>
        <w:keepLines w:val="0"/>
        <w:pageBreakBefore w:val="0"/>
        <w:widowControl w:val="0"/>
        <w:numPr>
          <w:ilvl w:val="0"/>
          <w:numId w:val="0"/>
        </w:numPr>
        <w:kinsoku/>
        <w:wordWrap/>
        <w:overflowPunct/>
        <w:topLinePunct w:val="0"/>
        <w:autoSpaceDE/>
        <w:autoSpaceDN/>
        <w:bidi w:val="0"/>
        <w:spacing w:line="600" w:lineRule="exact"/>
        <w:ind w:left="0"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sz w:val="32"/>
          <w:szCs w:val="32"/>
          <w:lang w:eastAsia="zh-CN"/>
        </w:rPr>
        <w:t>（二）抓铁有痕高压惩贪治腐，“三不”叠加效应更加释放。</w:t>
      </w:r>
      <w:r>
        <w:rPr>
          <w:rFonts w:hint="default" w:ascii="仿宋_GB2312" w:hAnsi="仿宋_GB2312" w:eastAsia="仿宋_GB2312" w:cs="仿宋_GB2312"/>
          <w:b w:val="0"/>
          <w:bCs w:val="0"/>
          <w:color w:val="auto"/>
          <w:kern w:val="2"/>
          <w:sz w:val="32"/>
          <w:szCs w:val="32"/>
          <w:lang w:val="en-US" w:eastAsia="zh-CN" w:bidi="ar-SA"/>
        </w:rPr>
        <w:t>保持严的主基调不放松，释放越往后执纪越严强烈信号</w:t>
      </w:r>
      <w:r>
        <w:rPr>
          <w:rFonts w:hint="eastAsia" w:ascii="仿宋_GB2312" w:hAnsi="仿宋_GB2312" w:eastAsia="仿宋_GB2312" w:cs="仿宋_GB2312"/>
          <w:b w:val="0"/>
          <w:bCs w:val="0"/>
          <w:color w:val="auto"/>
          <w:kern w:val="2"/>
          <w:sz w:val="32"/>
          <w:szCs w:val="32"/>
          <w:lang w:val="en-US" w:eastAsia="zh-CN" w:bidi="ar-SA"/>
        </w:rPr>
        <w:t>。受理信访举报89件次，处置问题线索242件，立案111件、处分106人（其中科级干部19人），移送司法机关3人，挽回直接经济损失1</w:t>
      </w:r>
      <w:r>
        <w:rPr>
          <w:rFonts w:hint="default" w:ascii="仿宋_GB2312" w:hAnsi="仿宋_GB2312" w:eastAsia="仿宋_GB2312" w:cs="仿宋_GB2312"/>
          <w:b w:val="0"/>
          <w:bCs w:val="0"/>
          <w:color w:val="auto"/>
          <w:kern w:val="2"/>
          <w:sz w:val="32"/>
          <w:szCs w:val="32"/>
          <w:lang w:val="en-US" w:eastAsia="zh-CN" w:bidi="ar-SA"/>
        </w:rPr>
        <w:t>200余万元，维护党纪国法严肃性。</w:t>
      </w:r>
      <w:r>
        <w:rPr>
          <w:rFonts w:hint="eastAsia" w:ascii="仿宋_GB2312" w:hAnsi="仿宋_GB2312" w:eastAsia="仿宋_GB2312" w:cs="仿宋_GB2312"/>
          <w:b w:val="0"/>
          <w:bCs w:val="0"/>
          <w:color w:val="auto"/>
          <w:kern w:val="2"/>
          <w:sz w:val="32"/>
          <w:szCs w:val="32"/>
          <w:lang w:val="en-US" w:eastAsia="zh-CN" w:bidi="ar-SA"/>
        </w:rPr>
        <w:t>将家风融入审理，深入开展受处分干部教育回访工作，做实审查调查“后半篇文章”。</w:t>
      </w:r>
      <w:r>
        <w:rPr>
          <w:rFonts w:hint="eastAsia" w:ascii="仿宋_GB2312" w:hAnsi="仿宋_GB2312" w:eastAsia="仿宋_GB2312" w:cs="仿宋_GB2312"/>
          <w:b w:val="0"/>
          <w:bCs w:val="0"/>
          <w:color w:val="auto"/>
          <w:kern w:val="2"/>
          <w:sz w:val="32"/>
          <w:szCs w:val="32"/>
          <w:lang w:val="zh-CN" w:eastAsia="zh-CN" w:bidi="ar-SA"/>
        </w:rPr>
        <w:t>精心组织</w:t>
      </w:r>
      <w:r>
        <w:rPr>
          <w:rFonts w:hint="eastAsia" w:ascii="仿宋_GB2312" w:hAnsi="仿宋_GB2312" w:eastAsia="仿宋_GB2312" w:cs="仿宋_GB2312"/>
          <w:b w:val="0"/>
          <w:bCs w:val="0"/>
          <w:color w:val="auto"/>
          <w:kern w:val="2"/>
          <w:sz w:val="32"/>
          <w:szCs w:val="32"/>
          <w:lang w:val="en-US" w:eastAsia="zh-CN" w:bidi="ar-SA"/>
        </w:rPr>
        <w:t>“学史知纪明法”周末教育</w:t>
      </w:r>
      <w:r>
        <w:rPr>
          <w:rFonts w:hint="eastAsia" w:ascii="仿宋_GB2312" w:hAnsi="仿宋_GB2312" w:eastAsia="仿宋_GB2312" w:cs="仿宋_GB2312"/>
          <w:b w:val="0"/>
          <w:bCs w:val="0"/>
          <w:color w:val="auto"/>
          <w:kern w:val="2"/>
          <w:sz w:val="32"/>
          <w:szCs w:val="32"/>
          <w:lang w:val="zh-CN" w:eastAsia="zh-CN" w:bidi="ar-SA"/>
        </w:rPr>
        <w:t>培训</w:t>
      </w:r>
      <w:r>
        <w:rPr>
          <w:rFonts w:hint="eastAsia" w:ascii="仿宋_GB2312" w:hAnsi="仿宋_GB2312" w:eastAsia="仿宋_GB2312" w:cs="仿宋_GB2312"/>
          <w:b w:val="0"/>
          <w:bCs w:val="0"/>
          <w:color w:val="auto"/>
          <w:kern w:val="2"/>
          <w:sz w:val="32"/>
          <w:szCs w:val="32"/>
          <w:lang w:val="en-US" w:eastAsia="zh-CN" w:bidi="ar-SA"/>
        </w:rPr>
        <w:t>，各级党组织开展警示教育活动460余场次，筑牢拒腐防变思想防线。在中央省市核心媒体发稿347篇，精心讲好正风反腐昭化故事。加大容错纠错力度，绝不使“因干得多而出差错”的同志流汗又流泪，绝不让“别有用心者”有市场、能得逞，依规依纪依法从轻减轻处理14人，对27条不实</w:t>
      </w:r>
      <w:r>
        <w:rPr>
          <w:rFonts w:hint="default" w:ascii="仿宋_GB2312" w:hAnsi="仿宋_GB2312" w:eastAsia="仿宋_GB2312" w:cs="仿宋_GB2312"/>
          <w:b w:val="0"/>
          <w:bCs w:val="0"/>
          <w:color w:val="auto"/>
          <w:kern w:val="2"/>
          <w:sz w:val="32"/>
          <w:szCs w:val="32"/>
          <w:lang w:val="en-US" w:eastAsia="zh-CN" w:bidi="ar-SA"/>
        </w:rPr>
        <w:t>举报</w:t>
      </w:r>
      <w:r>
        <w:rPr>
          <w:rFonts w:hint="eastAsia" w:ascii="仿宋_GB2312" w:hAnsi="仿宋_GB2312" w:eastAsia="仿宋_GB2312" w:cs="仿宋_GB2312"/>
          <w:b w:val="0"/>
          <w:bCs w:val="0"/>
          <w:color w:val="auto"/>
          <w:kern w:val="2"/>
          <w:sz w:val="32"/>
          <w:szCs w:val="32"/>
          <w:lang w:val="en-US" w:eastAsia="zh-CN" w:bidi="ar-SA"/>
        </w:rPr>
        <w:t>作信访了结，为7名干部澄清正名。精准</w:t>
      </w:r>
      <w:r>
        <w:rPr>
          <w:rFonts w:hint="default" w:ascii="仿宋_GB2312" w:hAnsi="仿宋_GB2312" w:eastAsia="仿宋_GB2312" w:cs="仿宋_GB2312"/>
          <w:b w:val="0"/>
          <w:bCs w:val="0"/>
          <w:color w:val="auto"/>
          <w:kern w:val="2"/>
          <w:sz w:val="32"/>
          <w:szCs w:val="32"/>
          <w:lang w:val="en-US" w:eastAsia="zh-CN" w:bidi="ar-SA"/>
        </w:rPr>
        <w:t>运用“四种形态”，各形态占比分别为</w:t>
      </w:r>
      <w:r>
        <w:rPr>
          <w:rFonts w:hint="eastAsia" w:ascii="仿宋_GB2312" w:hAnsi="仿宋_GB2312" w:eastAsia="仿宋_GB2312" w:cs="仿宋_GB2312"/>
          <w:b w:val="0"/>
          <w:bCs w:val="0"/>
          <w:color w:val="auto"/>
          <w:kern w:val="2"/>
          <w:sz w:val="32"/>
          <w:szCs w:val="32"/>
          <w:lang w:val="en-US" w:eastAsia="zh-CN" w:bidi="ar-SA"/>
        </w:rPr>
        <w:t>68.6</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26.2</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5</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3.7</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做到宽严相济</w:t>
      </w:r>
      <w:r>
        <w:rPr>
          <w:rFonts w:hint="default" w:ascii="仿宋_GB2312" w:hAnsi="仿宋_GB2312" w:eastAsia="仿宋_GB2312" w:cs="仿宋_GB2312"/>
          <w:b w:val="0"/>
          <w:bCs w:val="0"/>
          <w:color w:val="auto"/>
          <w:kern w:val="2"/>
          <w:sz w:val="32"/>
          <w:szCs w:val="32"/>
          <w:lang w:val="en-US" w:eastAsia="zh-CN" w:bidi="ar-SA"/>
        </w:rPr>
        <w:t>。</w:t>
      </w:r>
    </w:p>
    <w:p w14:paraId="49295693">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w:t>
      </w:r>
      <w:r>
        <w:rPr>
          <w:rFonts w:hint="eastAsia" w:ascii="仿宋_GB2312" w:hAnsi="仿宋_GB2312" w:eastAsia="仿宋_GB2312" w:cs="仿宋_GB2312"/>
          <w:b w:val="0"/>
          <w:bCs w:val="0"/>
          <w:color w:val="auto"/>
          <w:kern w:val="2"/>
          <w:sz w:val="32"/>
          <w:szCs w:val="32"/>
          <w:lang w:val="en-US" w:eastAsia="zh-CN" w:bidi="ar-SA"/>
        </w:rPr>
        <w:t>聚焦“小进即满、不思进取”等12个方面突出问题，协助区委深入推进干部纪律作风整顿，各级党组织和党员干部查摆并整改问题1.9万余个。区委常委会定期听取责任单位工作汇报，46个党组织负责人公开“亮单晒诺”。扎实开展“我为群众办实事”实践活动，解决群众急难愁盼问题131个，</w:t>
      </w:r>
      <w:r>
        <w:rPr>
          <w:rFonts w:hint="eastAsia" w:ascii="仿宋_GB2312" w:hAnsi="仿宋_GB2312" w:eastAsia="仿宋_GB2312" w:cs="仿宋_GB2312"/>
          <w:b w:val="0"/>
          <w:bCs w:val="0"/>
          <w:color w:val="auto"/>
          <w:kern w:val="2"/>
          <w:sz w:val="32"/>
          <w:szCs w:val="32"/>
          <w:lang w:val="zh-CN" w:eastAsia="zh-CN" w:bidi="ar-SA"/>
        </w:rPr>
        <w:t>“</w:t>
      </w:r>
      <w:r>
        <w:rPr>
          <w:rFonts w:hint="default" w:ascii="仿宋_GB2312" w:hAnsi="仿宋_GB2312" w:eastAsia="仿宋_GB2312" w:cs="仿宋_GB2312"/>
          <w:b w:val="0"/>
          <w:bCs w:val="0"/>
          <w:color w:val="auto"/>
          <w:kern w:val="2"/>
          <w:sz w:val="32"/>
          <w:szCs w:val="32"/>
          <w:lang w:val="zh-CN" w:eastAsia="zh-CN" w:bidi="ar-SA"/>
        </w:rPr>
        <w:t>村能办”</w:t>
      </w:r>
      <w:r>
        <w:rPr>
          <w:rFonts w:hint="eastAsia" w:ascii="仿宋_GB2312" w:hAnsi="仿宋_GB2312" w:eastAsia="仿宋_GB2312" w:cs="仿宋_GB2312"/>
          <w:b w:val="0"/>
          <w:bCs w:val="0"/>
          <w:color w:val="auto"/>
          <w:kern w:val="2"/>
          <w:sz w:val="32"/>
          <w:szCs w:val="32"/>
          <w:lang w:val="zh-CN" w:eastAsia="zh-CN" w:bidi="ar-SA"/>
        </w:rPr>
        <w:t>让</w:t>
      </w:r>
      <w:r>
        <w:rPr>
          <w:rFonts w:hint="eastAsia" w:ascii="仿宋_GB2312" w:hAnsi="仿宋_GB2312" w:eastAsia="仿宋_GB2312" w:cs="仿宋_GB2312"/>
          <w:b w:val="0"/>
          <w:bCs w:val="0"/>
          <w:color w:val="auto"/>
          <w:kern w:val="2"/>
          <w:sz w:val="32"/>
          <w:szCs w:val="32"/>
          <w:lang w:val="en-US" w:eastAsia="zh-CN" w:bidi="ar-SA"/>
        </w:rPr>
        <w:t>80个事项不出村就办结。寸步不让狠刹享乐主义、奢靡之风，及时清除“风”“腐”滋生隐患，综合运用大数据筛查、“点穴式”明察暗访，发出整改提醒单145份，查处违反中央八项规定精神问题21个、处分38人。深入整治形式主义、官僚主义，从具体人具体事着手，查纠贯彻落实决策部署不作为、慢作为问题17件17人。助力最优营商环境建设，</w:t>
      </w:r>
      <w:r>
        <w:rPr>
          <w:rFonts w:hint="eastAsia" w:ascii="仿宋_GB2312" w:hAnsi="仿宋_GB2312" w:eastAsia="仿宋_GB2312" w:cs="仿宋_GB2312"/>
          <w:b w:val="0"/>
          <w:bCs w:val="0"/>
          <w:color w:val="auto"/>
          <w:kern w:val="2"/>
          <w:sz w:val="32"/>
          <w:szCs w:val="32"/>
          <w:lang w:val="zh-CN" w:eastAsia="zh-CN" w:bidi="ar-SA"/>
        </w:rPr>
        <w:t>严格落实优化营商环境若干措施和减税降费各项政策，</w:t>
      </w:r>
      <w:r>
        <w:rPr>
          <w:rFonts w:hint="eastAsia" w:ascii="仿宋_GB2312" w:hAnsi="仿宋_GB2312" w:eastAsia="仿宋_GB2312" w:cs="仿宋_GB2312"/>
          <w:b w:val="0"/>
          <w:bCs w:val="0"/>
          <w:color w:val="auto"/>
          <w:kern w:val="2"/>
          <w:sz w:val="32"/>
          <w:szCs w:val="32"/>
          <w:lang w:val="en-US" w:eastAsia="zh-CN" w:bidi="ar-SA"/>
        </w:rPr>
        <w:t>选派营商环境“三员”，从项目签约到投产全程服务、跟进监督，发出纪律检查建议书5份，督促职能部门整改问题44个。</w:t>
      </w:r>
    </w:p>
    <w:p w14:paraId="7F31BD1A">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（四）</w:t>
      </w:r>
      <w:r>
        <w:rPr>
          <w:rFonts w:hint="eastAsia" w:ascii="仿宋_GB2312" w:hAnsi="仿宋_GB2312" w:eastAsia="仿宋_GB2312" w:cs="仿宋_GB2312"/>
          <w:b w:val="0"/>
          <w:bCs w:val="0"/>
          <w:color w:val="auto"/>
          <w:kern w:val="2"/>
          <w:sz w:val="32"/>
          <w:szCs w:val="32"/>
          <w:lang w:val="en-US" w:eastAsia="zh-CN" w:bidi="ar-SA"/>
        </w:rPr>
        <w:t>全面贯彻习近平总书记关于巡视工作重要论述，聚焦基层贯彻落实党的理论路线方针政策和决策部署情况，聚焦群众身边腐败问题和不正之风，聚焦基层党组织领导班子和干部队伍建设，高质量完成七届区委巡察全覆盖任务，高起点制定《昭化区委巡察五年工作规划》。扎实开展新冠感染疫情防控、粮食购销领域联动巡察和森林防灭火机动巡察、政法系统巡视巡察反馈问题整改“回头看”。高标准启动八届区委第一轮巡察工作，完成区应急管理局等4个单位党组织常规巡察，对4个村级党组织开展提级直巡，发现问题87个、移送问题线索5个,巡察利剑直插最基层。实行“一函一单一会”巡前沟通会商机制，助推精准发现问题。分领域开展集中反馈，县级领导到会提要求、压责任、督落实。建立健全协作配合机制，制定巡察整改工作质效评估办法，七届区委第十轮、第十一轮巡察反馈问题整改率达91%。</w:t>
      </w:r>
    </w:p>
    <w:p w14:paraId="19420DDF">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（五））我们守正创新扛牢监督首责，日常监督更加精准。</w:t>
      </w:r>
      <w:r>
        <w:rPr>
          <w:rFonts w:hint="eastAsia" w:ascii="仿宋_GB2312" w:hAnsi="仿宋_GB2312" w:eastAsia="仿宋_GB2312" w:cs="仿宋_GB2312"/>
          <w:b w:val="0"/>
          <w:bCs w:val="0"/>
          <w:color w:val="auto"/>
          <w:kern w:val="2"/>
          <w:sz w:val="32"/>
          <w:szCs w:val="32"/>
          <w:lang w:val="en-US" w:eastAsia="zh-CN" w:bidi="ar-SA"/>
        </w:rPr>
        <w:t>加强对“一把手”和班子成员的监督，常态化开展区级部门和镇党组织主要负责人在区纪委全会上述责述廉、接受评议，定期筛选分析信访举报，精准研判办理，通过</w:t>
      </w:r>
      <w:r>
        <w:rPr>
          <w:rFonts w:hint="default" w:ascii="仿宋_GB2312" w:hAnsi="仿宋_GB2312" w:eastAsia="仿宋_GB2312" w:cs="仿宋_GB2312"/>
          <w:b w:val="0"/>
          <w:bCs w:val="0"/>
          <w:color w:val="auto"/>
          <w:kern w:val="2"/>
          <w:sz w:val="32"/>
          <w:szCs w:val="32"/>
          <w:lang w:val="en-US" w:eastAsia="zh-CN" w:bidi="ar-SA"/>
        </w:rPr>
        <w:t>个别谈话、列席民主生活会、提出纪检监察建议等方式，抓实近距离、常态化监督</w:t>
      </w:r>
      <w:r>
        <w:rPr>
          <w:rFonts w:hint="eastAsia" w:ascii="仿宋_GB2312" w:hAnsi="仿宋_GB2312" w:eastAsia="仿宋_GB2312" w:cs="仿宋_GB2312"/>
          <w:b w:val="0"/>
          <w:bCs w:val="0"/>
          <w:color w:val="auto"/>
          <w:kern w:val="2"/>
          <w:sz w:val="32"/>
          <w:szCs w:val="32"/>
          <w:lang w:val="en-US" w:eastAsia="zh-CN" w:bidi="ar-SA"/>
        </w:rPr>
        <w:t>。严把党风廉政意见回复关，区本级出具1800</w:t>
      </w:r>
      <w:r>
        <w:rPr>
          <w:rFonts w:hint="default" w:ascii="仿宋_GB2312" w:hAnsi="仿宋_GB2312" w:eastAsia="仿宋_GB2312" w:cs="仿宋_GB2312"/>
          <w:b w:val="0"/>
          <w:bCs w:val="0"/>
          <w:color w:val="auto"/>
          <w:kern w:val="2"/>
          <w:sz w:val="32"/>
          <w:szCs w:val="32"/>
          <w:lang w:val="en-US" w:eastAsia="zh-CN" w:bidi="ar-SA"/>
        </w:rPr>
        <w:t>余人次，坚决防止</w:t>
      </w:r>
      <w:r>
        <w:rPr>
          <w:rFonts w:hint="eastAsia" w:ascii="仿宋_GB2312" w:hAnsi="仿宋_GB2312" w:eastAsia="仿宋_GB2312" w:cs="仿宋_GB2312"/>
          <w:b w:val="0"/>
          <w:bCs w:val="0"/>
          <w:color w:val="auto"/>
          <w:kern w:val="2"/>
          <w:sz w:val="32"/>
          <w:szCs w:val="32"/>
          <w:lang w:val="en-US" w:eastAsia="zh-CN" w:bidi="ar-SA"/>
        </w:rPr>
        <w:t>“带病提拔”、带伤评优</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督促指导区镇村214个党组织，分层分类制定具体明确、可执行的责任清单，全覆盖开展“四责同述”。制定《村级党组织精准监督纪实手册》，破解不会监督难题，经验做法在中央纪委网站刊发。推动监督融合，充分发挥区委反腐败协调小组作用，召开个案协调会3次，与司法机关双向移送问题线索31条。全力推动派驻机构和镇纪委规范履职，织密区、镇、村三张“监督网”，通过监督主动发现问题线索占比达30%，派驻机构立案23件、同比增长110%。</w:t>
      </w:r>
    </w:p>
    <w:p w14:paraId="69027D64">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（六）矢志不渝站稳人民立场，民心民力更加凝聚。</w:t>
      </w:r>
      <w:r>
        <w:rPr>
          <w:rFonts w:hint="eastAsia" w:ascii="仿宋_GB2312" w:hAnsi="仿宋_GB2312" w:eastAsia="仿宋_GB2312" w:cs="仿宋_GB2312"/>
          <w:b w:val="0"/>
          <w:bCs w:val="0"/>
          <w:color w:val="auto"/>
          <w:kern w:val="2"/>
          <w:sz w:val="32"/>
          <w:szCs w:val="32"/>
          <w:lang w:val="en-US" w:eastAsia="zh-CN" w:bidi="ar-SA"/>
        </w:rPr>
        <w:t>开展“带案下访”和区镇联动接访活动，督促整改问题94个。围绕村级“三资”管理，对6个重点村、站所探索开展“提级监督”试点，规范小微权力运行。在信访较多、资金密集的村设置廉情监测点，推动“纪检监督+群众监督”有机融合，37个村实现“零信访”，经验做法在市委《领导参阅》刊发。纵深推进“5+2”重点行业系统治理，立案查处30人，追缴退赔资金351.76万元。实行“一企业一专班”模式推进粮食购销领域腐败问题专项治理，自查并整改问题32个，立案查处2人。跟进监督</w:t>
      </w:r>
      <w:r>
        <w:rPr>
          <w:rFonts w:hint="default" w:ascii="仿宋_GB2312" w:hAnsi="仿宋_GB2312" w:eastAsia="仿宋_GB2312" w:cs="仿宋_GB2312"/>
          <w:b w:val="0"/>
          <w:bCs w:val="0"/>
          <w:color w:val="auto"/>
          <w:kern w:val="2"/>
          <w:sz w:val="32"/>
          <w:szCs w:val="32"/>
          <w:lang w:val="en-US" w:eastAsia="zh-CN" w:bidi="ar-SA"/>
        </w:rPr>
        <w:t>推动政法队伍教育整顿走深走实，</w:t>
      </w:r>
      <w:r>
        <w:rPr>
          <w:rFonts w:hint="eastAsia" w:ascii="仿宋_GB2312" w:hAnsi="仿宋_GB2312" w:eastAsia="仿宋_GB2312" w:cs="仿宋_GB2312"/>
          <w:b w:val="0"/>
          <w:bCs w:val="0"/>
          <w:color w:val="auto"/>
          <w:kern w:val="2"/>
          <w:sz w:val="32"/>
          <w:szCs w:val="32"/>
          <w:lang w:val="en-US" w:eastAsia="zh-CN" w:bidi="ar-SA"/>
        </w:rPr>
        <w:t>制作警示教育片《贷价》开展专题警示，</w:t>
      </w:r>
      <w:r>
        <w:rPr>
          <w:rFonts w:hint="default" w:ascii="仿宋_GB2312" w:hAnsi="仿宋_GB2312" w:eastAsia="仿宋_GB2312" w:cs="仿宋_GB2312"/>
          <w:b w:val="0"/>
          <w:bCs w:val="0"/>
          <w:color w:val="auto"/>
          <w:kern w:val="2"/>
          <w:sz w:val="32"/>
          <w:szCs w:val="32"/>
          <w:lang w:val="en-US" w:eastAsia="zh-CN" w:bidi="ar-SA"/>
        </w:rPr>
        <w:t>10人主动说清问题</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党纪政务处分11人。</w:t>
      </w:r>
      <w:r>
        <w:rPr>
          <w:rFonts w:hint="eastAsia" w:ascii="仿宋_GB2312" w:hAnsi="仿宋_GB2312" w:eastAsia="仿宋_GB2312" w:cs="仿宋_GB2312"/>
          <w:b w:val="0"/>
          <w:bCs w:val="0"/>
          <w:color w:val="auto"/>
          <w:kern w:val="2"/>
          <w:sz w:val="32"/>
          <w:szCs w:val="32"/>
          <w:lang w:val="en-US" w:eastAsia="zh-CN" w:bidi="ar-SA"/>
        </w:rPr>
        <w:t>开展直接联系基层服务群众活动，70余名纪检监察干部全覆盖联系150个村（社区）。深入开展“窗口腐败”、低保领域问题等专项整治，常态化惩治涉黑涉恶腐败和“保护伞”</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区纪委监委机关被市委市政府表彰为扫黑除恶专项斗争先进集体。</w:t>
      </w:r>
    </w:p>
    <w:p w14:paraId="6A62FD72">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lang w:val="en-US" w:eastAsia="zh-CN" w:bidi="ar-SA"/>
        </w:rPr>
        <w:t>（七））内外兼修强化自身建设，铁军本色更加纯正。</w:t>
      </w:r>
      <w:r>
        <w:rPr>
          <w:rFonts w:hint="eastAsia" w:ascii="仿宋_GB2312" w:hAnsi="仿宋_GB2312" w:eastAsia="仿宋_GB2312" w:cs="仿宋_GB2312"/>
          <w:b w:val="0"/>
          <w:bCs w:val="0"/>
          <w:color w:val="auto"/>
          <w:sz w:val="32"/>
          <w:szCs w:val="32"/>
          <w:lang w:val="en-US" w:eastAsia="zh-CN"/>
        </w:rPr>
        <w:t>加强机关党的建设，深入开展党史学习教育和庆祝建党100周年系列活动，在审查调查和政治巡察一线设立临时党支部，推动党建和业务深度融合，被市纪委监委表彰为全市纪检监察系统先进集体。带头弘扬厉行节约，被国家机关事务管理局等四部委授予“节约型机关”荣誉称号。</w:t>
      </w:r>
      <w:r>
        <w:rPr>
          <w:rFonts w:hint="default" w:ascii="仿宋_GB2312" w:hAnsi="仿宋_GB2312" w:eastAsia="仿宋_GB2312" w:cs="仿宋_GB2312"/>
          <w:b w:val="0"/>
          <w:bCs w:val="0"/>
          <w:color w:val="auto"/>
          <w:sz w:val="32"/>
          <w:szCs w:val="32"/>
          <w:lang w:val="en-US" w:eastAsia="zh-CN"/>
        </w:rPr>
        <w:t>高质量</w:t>
      </w:r>
      <w:r>
        <w:rPr>
          <w:rFonts w:hint="eastAsia" w:ascii="仿宋_GB2312" w:hAnsi="仿宋_GB2312" w:eastAsia="仿宋_GB2312" w:cs="仿宋_GB2312"/>
          <w:b w:val="0"/>
          <w:bCs w:val="0"/>
          <w:color w:val="auto"/>
          <w:sz w:val="32"/>
          <w:szCs w:val="32"/>
          <w:lang w:val="en-US" w:eastAsia="zh-CN"/>
        </w:rPr>
        <w:t>完成</w:t>
      </w:r>
      <w:r>
        <w:rPr>
          <w:rFonts w:hint="default" w:ascii="仿宋_GB2312" w:hAnsi="仿宋_GB2312" w:eastAsia="仿宋_GB2312" w:cs="仿宋_GB2312"/>
          <w:b w:val="0"/>
          <w:bCs w:val="0"/>
          <w:color w:val="auto"/>
          <w:sz w:val="32"/>
          <w:szCs w:val="32"/>
          <w:lang w:val="en-US" w:eastAsia="zh-CN"/>
        </w:rPr>
        <w:t>换届工作，配齐配强区镇纪委班子</w:t>
      </w:r>
      <w:r>
        <w:rPr>
          <w:rFonts w:hint="eastAsia" w:ascii="仿宋_GB2312" w:hAnsi="仿宋_GB2312" w:eastAsia="仿宋_GB2312" w:cs="仿宋_GB2312"/>
          <w:b w:val="0"/>
          <w:bCs w:val="0"/>
          <w:color w:val="auto"/>
          <w:sz w:val="32"/>
          <w:szCs w:val="32"/>
          <w:lang w:val="en-US" w:eastAsia="zh-CN"/>
        </w:rPr>
        <w:t>。畅通机关、镇纪委、派驻、巡察机构干部成长交流渠道，提拔重用20人，招引新进人员18人。鲜明“四高四专”工作理念和“四心四不”工作要求，开办“葭萌纪法讲堂”，组织纪检监察干部到延安干部学院开展专题培训班，轮训干部129人次。</w:t>
      </w:r>
      <w:r>
        <w:rPr>
          <w:rFonts w:hint="eastAsia" w:ascii="仿宋_GB2312" w:hAnsi="仿宋_GB2312" w:eastAsia="仿宋_GB2312" w:cs="仿宋_GB2312"/>
          <w:color w:val="auto"/>
          <w:sz w:val="32"/>
          <w:szCs w:val="32"/>
          <w:highlight w:val="none"/>
          <w:lang w:val="en-US" w:eastAsia="zh-CN"/>
        </w:rPr>
        <w:t>深入推进系统内干部纪律作风整顿，聚焦“12+6”方面问题隐患，查找并整改问题500余个，建立台账督促落实。完善《区纪委监委机关管理制度》《派驻纪检监察组日常管理办法》等制度，执行新任、提拔和交流岗位纪检监察干部谈心谈话规定，对苗头性问题及时提醒，坚决防止“灯下黑”。</w:t>
      </w:r>
    </w:p>
    <w:p w14:paraId="248B5DAE">
      <w:pPr>
        <w:keepNext w:val="0"/>
        <w:keepLines w:val="0"/>
        <w:pageBreakBefore w:val="0"/>
        <w:widowControl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color w:val="auto"/>
          <w:kern w:val="2"/>
          <w:sz w:val="32"/>
          <w:szCs w:val="32"/>
          <w:highlight w:val="none"/>
          <w:lang w:val="zh-CN" w:eastAsia="zh-CN" w:bidi="ar-SA"/>
        </w:rPr>
      </w:pPr>
    </w:p>
    <w:p w14:paraId="17A0351B">
      <w:pPr>
        <w:spacing w:line="576" w:lineRule="exact"/>
        <w:ind w:firstLine="614" w:firstLineChars="192"/>
        <w:jc w:val="both"/>
        <w:rPr>
          <w:rFonts w:hint="eastAsia" w:ascii="Times New Roman" w:hAnsi="Times New Roman" w:eastAsia="仿宋_GB2312" w:cs="Times New Roman"/>
          <w:sz w:val="32"/>
          <w:szCs w:val="32"/>
        </w:rPr>
      </w:pPr>
    </w:p>
    <w:p w14:paraId="364E0322">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0A746B35">
      <w:pPr>
        <w:pStyle w:val="3"/>
        <w:ind w:right="440"/>
        <w:jc w:val="center"/>
        <w:rPr>
          <w:rStyle w:val="28"/>
          <w:rFonts w:ascii="黑体" w:hAnsi="黑体" w:eastAsia="黑体"/>
          <w:b/>
          <w:bCs w:val="0"/>
          <w:color w:val="auto"/>
          <w:highlight w:val="none"/>
        </w:rPr>
      </w:pPr>
      <w:bookmarkStart w:id="17" w:name="_Toc15377204"/>
      <w:bookmarkStart w:id="18" w:name="_Toc15396602"/>
      <w:bookmarkStart w:id="19" w:name="_Toc7171"/>
      <w:r>
        <w:rPr>
          <w:rFonts w:hint="eastAsia" w:ascii="黑体" w:hAnsi="黑体" w:eastAsia="黑体"/>
          <w:b/>
          <w:bCs w:val="0"/>
          <w:color w:val="auto"/>
          <w:highlight w:val="none"/>
        </w:rPr>
        <w:t xml:space="preserve">第二部分 </w:t>
      </w:r>
      <w:r>
        <w:rPr>
          <w:rFonts w:hint="eastAsia" w:ascii="黑体" w:hAnsi="黑体" w:eastAsia="黑体"/>
          <w:b/>
          <w:bCs w:val="0"/>
          <w:color w:val="auto"/>
          <w:highlight w:val="none"/>
          <w:lang w:val="en-US" w:eastAsia="zh-CN"/>
        </w:rPr>
        <w:t>2021年度</w:t>
      </w:r>
      <w:r>
        <w:rPr>
          <w:rStyle w:val="28"/>
          <w:rFonts w:hint="eastAsia" w:ascii="黑体" w:hAnsi="黑体" w:eastAsia="黑体"/>
          <w:b/>
          <w:bCs w:val="0"/>
          <w:color w:val="auto"/>
          <w:highlight w:val="none"/>
          <w:lang w:eastAsia="zh-CN"/>
        </w:rPr>
        <w:t>单位</w:t>
      </w:r>
      <w:r>
        <w:rPr>
          <w:rStyle w:val="28"/>
          <w:rFonts w:hint="eastAsia" w:ascii="黑体" w:hAnsi="黑体" w:eastAsia="黑体"/>
          <w:b/>
          <w:bCs w:val="0"/>
          <w:color w:val="auto"/>
          <w:highlight w:val="none"/>
        </w:rPr>
        <w:t>决算情况说明</w:t>
      </w:r>
      <w:bookmarkEnd w:id="17"/>
      <w:bookmarkEnd w:id="18"/>
      <w:bookmarkEnd w:id="19"/>
    </w:p>
    <w:p w14:paraId="1BA3FDF0">
      <w:pPr>
        <w:rPr>
          <w:color w:val="auto"/>
          <w:highlight w:val="none"/>
        </w:rPr>
      </w:pPr>
    </w:p>
    <w:p w14:paraId="40FFAFEC">
      <w:pPr>
        <w:pStyle w:val="27"/>
        <w:numPr>
          <w:ilvl w:val="0"/>
          <w:numId w:val="1"/>
        </w:numPr>
        <w:spacing w:line="600" w:lineRule="exact"/>
        <w:ind w:firstLineChars="0"/>
        <w:outlineLvl w:val="1"/>
        <w:rPr>
          <w:rStyle w:val="29"/>
          <w:rFonts w:ascii="黑体" w:hAnsi="黑体" w:eastAsia="黑体"/>
          <w:b w:val="0"/>
          <w:color w:val="auto"/>
          <w:highlight w:val="none"/>
        </w:rPr>
      </w:pPr>
      <w:bookmarkStart w:id="20" w:name="_Toc15396603"/>
      <w:bookmarkStart w:id="21" w:name="_Toc15377205"/>
      <w:bookmarkStart w:id="22" w:name="_Toc267"/>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0"/>
      <w:bookmarkEnd w:id="21"/>
      <w:bookmarkEnd w:id="22"/>
    </w:p>
    <w:p w14:paraId="0BC00A44">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1472.05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1472.05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入增加</w:t>
      </w:r>
      <w:r>
        <w:rPr>
          <w:rFonts w:hint="eastAsia" w:ascii="仿宋" w:hAnsi="仿宋" w:eastAsia="仿宋"/>
          <w:color w:val="auto"/>
          <w:sz w:val="32"/>
          <w:szCs w:val="32"/>
          <w:highlight w:val="none"/>
          <w:lang w:val="en-US" w:eastAsia="zh-CN"/>
        </w:rPr>
        <w:t>404.69万元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37.92</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404.69万元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37.92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2021年派驻纪检组人员编制纳入纪委统一核算管理，2021年人员增加34人。导致人员经费和日常公用经费一并增加。</w:t>
      </w:r>
    </w:p>
    <w:p w14:paraId="5E154379">
      <w:pPr>
        <w:pStyle w:val="2"/>
        <w:jc w:val="center"/>
        <w:rPr>
          <w:rFonts w:hint="eastAsia" w:ascii="仿宋" w:hAnsi="仿宋" w:eastAsia="仿宋"/>
          <w:color w:val="auto"/>
          <w:sz w:val="32"/>
          <w:szCs w:val="32"/>
          <w:highlight w:val="red"/>
          <w:lang w:val="en-US" w:eastAsia="zh-CN"/>
        </w:rPr>
      </w:pPr>
      <w:r>
        <w:drawing>
          <wp:inline distT="0" distB="0" distL="114300" distR="114300">
            <wp:extent cx="4522470" cy="2743200"/>
            <wp:effectExtent l="0" t="0" r="1143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4522470" cy="2743200"/>
                    </a:xfrm>
                    <a:prstGeom prst="rect">
                      <a:avLst/>
                    </a:prstGeom>
                    <a:noFill/>
                    <a:ln>
                      <a:noFill/>
                    </a:ln>
                  </pic:spPr>
                </pic:pic>
              </a:graphicData>
            </a:graphic>
          </wp:inline>
        </w:drawing>
      </w:r>
    </w:p>
    <w:p w14:paraId="17880FF2">
      <w:pPr>
        <w:pStyle w:val="27"/>
        <w:numPr>
          <w:ilvl w:val="0"/>
          <w:numId w:val="1"/>
        </w:numPr>
        <w:spacing w:line="600" w:lineRule="exact"/>
        <w:ind w:firstLineChars="0"/>
        <w:outlineLvl w:val="1"/>
        <w:rPr>
          <w:rStyle w:val="29"/>
          <w:rFonts w:ascii="黑体" w:hAnsi="黑体" w:eastAsia="黑体"/>
          <w:b w:val="0"/>
          <w:color w:val="auto"/>
          <w:highlight w:val="none"/>
        </w:rPr>
      </w:pPr>
      <w:bookmarkStart w:id="23" w:name="_Toc16348"/>
      <w:bookmarkStart w:id="24" w:name="_Toc15396604"/>
      <w:bookmarkStart w:id="25" w:name="_Toc15377206"/>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3"/>
      <w:bookmarkEnd w:id="24"/>
      <w:bookmarkEnd w:id="25"/>
    </w:p>
    <w:p w14:paraId="0D700BBA">
      <w:pPr>
        <w:bidi w:val="0"/>
        <w:rPr>
          <w:rFonts w:hint="eastAsia"/>
        </w:rPr>
      </w:pPr>
      <w:r>
        <w:t>20</w:t>
      </w:r>
      <w:r>
        <w:rPr>
          <w:rFonts w:hint="eastAsia"/>
          <w:lang w:val="en-US" w:eastAsia="zh-CN"/>
        </w:rPr>
        <w:t>21</w:t>
      </w:r>
      <w:r>
        <w:rPr>
          <w:rFonts w:hint="eastAsia"/>
        </w:rPr>
        <w:t>年本年收入合计</w:t>
      </w:r>
      <w:r>
        <w:rPr>
          <w:rFonts w:hint="eastAsia"/>
          <w:lang w:val="en-US" w:eastAsia="zh-CN"/>
        </w:rPr>
        <w:t>1451.28</w:t>
      </w:r>
      <w:r>
        <w:rPr>
          <w:rFonts w:hint="eastAsia"/>
        </w:rPr>
        <w:t>万元，其中：一般公共预算财政拨款收入</w:t>
      </w:r>
      <w:r>
        <w:rPr>
          <w:rFonts w:hint="eastAsia"/>
          <w:lang w:val="en-US" w:eastAsia="zh-CN"/>
        </w:rPr>
        <w:t>1451.28</w:t>
      </w:r>
      <w:r>
        <w:rPr>
          <w:rFonts w:hint="eastAsia"/>
        </w:rPr>
        <w:t>万元，占</w:t>
      </w:r>
      <w:r>
        <w:rPr>
          <w:rFonts w:hint="eastAsia"/>
          <w:lang w:val="en-US" w:eastAsia="zh-CN"/>
        </w:rPr>
        <w:t>100</w:t>
      </w:r>
      <w:r>
        <w:t>%</w:t>
      </w:r>
      <w:r>
        <w:rPr>
          <w:rFonts w:hint="eastAsia"/>
        </w:rPr>
        <w:t>；</w:t>
      </w:r>
    </w:p>
    <w:p w14:paraId="61E86433">
      <w:pPr>
        <w:spacing w:line="600" w:lineRule="exact"/>
        <w:ind w:firstLine="640" w:firstLineChars="200"/>
        <w:rPr>
          <w:rFonts w:ascii="仿宋" w:hAnsi="仿宋" w:eastAsia="仿宋"/>
          <w:color w:val="auto"/>
          <w:sz w:val="32"/>
          <w:szCs w:val="32"/>
          <w:highlight w:val="red"/>
        </w:rPr>
      </w:pPr>
    </w:p>
    <w:p w14:paraId="03CEABBA">
      <w:pPr>
        <w:pStyle w:val="2"/>
        <w:jc w:val="center"/>
        <w:rPr>
          <w:highlight w:val="red"/>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F6B00A">
      <w:pPr>
        <w:pStyle w:val="27"/>
        <w:numPr>
          <w:ilvl w:val="0"/>
          <w:numId w:val="1"/>
        </w:numPr>
        <w:spacing w:line="600" w:lineRule="exact"/>
        <w:ind w:firstLineChars="0"/>
        <w:outlineLvl w:val="1"/>
        <w:rPr>
          <w:rStyle w:val="29"/>
          <w:rFonts w:ascii="黑体" w:hAnsi="黑体" w:eastAsia="黑体"/>
          <w:b w:val="0"/>
          <w:color w:val="auto"/>
          <w:highlight w:val="none"/>
        </w:rPr>
      </w:pPr>
      <w:bookmarkStart w:id="26" w:name="_Toc15377207"/>
      <w:bookmarkStart w:id="27" w:name="_Toc22302"/>
      <w:bookmarkStart w:id="28" w:name="_Toc15396605"/>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6"/>
      <w:bookmarkEnd w:id="27"/>
      <w:bookmarkEnd w:id="28"/>
    </w:p>
    <w:p w14:paraId="15B9E678">
      <w:pPr>
        <w:bidi w:val="0"/>
      </w:pPr>
      <w:r>
        <w:t>20</w:t>
      </w:r>
      <w:r>
        <w:rPr>
          <w:rFonts w:hint="eastAsia"/>
          <w:lang w:val="en-US" w:eastAsia="zh-CN"/>
        </w:rPr>
        <w:t>21</w:t>
      </w:r>
      <w:r>
        <w:rPr>
          <w:rFonts w:hint="eastAsia"/>
        </w:rPr>
        <w:t>年本年支出合计</w:t>
      </w:r>
      <w:r>
        <w:rPr>
          <w:rFonts w:hint="eastAsia"/>
          <w:lang w:val="en-US" w:eastAsia="zh-CN"/>
        </w:rPr>
        <w:t>1284.97</w:t>
      </w:r>
      <w:r>
        <w:rPr>
          <w:rFonts w:hint="eastAsia"/>
        </w:rPr>
        <w:t>万元，其中：基本支出</w:t>
      </w:r>
      <w:r>
        <w:rPr>
          <w:rFonts w:hint="eastAsia"/>
          <w:lang w:val="en-US" w:eastAsia="zh-CN"/>
        </w:rPr>
        <w:t>1284.97</w:t>
      </w:r>
      <w:r>
        <w:rPr>
          <w:rFonts w:hint="eastAsia"/>
        </w:rPr>
        <w:t>万元，占</w:t>
      </w:r>
      <w:r>
        <w:rPr>
          <w:rFonts w:hint="eastAsia"/>
          <w:lang w:val="en-US" w:eastAsia="zh-CN"/>
        </w:rPr>
        <w:t>100</w:t>
      </w:r>
      <w:r>
        <w:t>%</w:t>
      </w:r>
      <w:r>
        <w:rPr>
          <w:rFonts w:hint="eastAsia"/>
        </w:rPr>
        <w:t>。</w:t>
      </w:r>
    </w:p>
    <w:p w14:paraId="2FCAF29C">
      <w:pPr>
        <w:spacing w:line="240" w:lineRule="auto"/>
        <w:jc w:val="center"/>
        <w:rPr>
          <w:rFonts w:ascii="仿宋_GB2312" w:eastAsia="仿宋_GB2312"/>
          <w:color w:val="auto"/>
          <w:sz w:val="32"/>
          <w:szCs w:val="32"/>
          <w:highlight w:val="none"/>
        </w:rP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B0CF24">
      <w:pPr>
        <w:spacing w:line="600" w:lineRule="exact"/>
        <w:ind w:firstLine="640" w:firstLineChars="200"/>
        <w:outlineLvl w:val="1"/>
        <w:rPr>
          <w:rStyle w:val="29"/>
          <w:rFonts w:ascii="黑体" w:hAnsi="黑体" w:eastAsia="黑体"/>
          <w:b w:val="0"/>
          <w:color w:val="auto"/>
          <w:highlight w:val="none"/>
        </w:rPr>
      </w:pPr>
      <w:bookmarkStart w:id="29" w:name="_Toc32229"/>
      <w:bookmarkStart w:id="30" w:name="_Toc15377208"/>
      <w:bookmarkStart w:id="31"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9"/>
      <w:bookmarkEnd w:id="30"/>
      <w:bookmarkEnd w:id="31"/>
    </w:p>
    <w:p w14:paraId="06CF0968">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入总计</w:t>
      </w:r>
      <w:r>
        <w:rPr>
          <w:rFonts w:hint="eastAsia" w:ascii="仿宋" w:hAnsi="仿宋" w:eastAsia="仿宋"/>
          <w:color w:val="auto"/>
          <w:sz w:val="32"/>
          <w:szCs w:val="32"/>
          <w:highlight w:val="none"/>
          <w:lang w:val="en-US" w:eastAsia="zh-CN"/>
        </w:rPr>
        <w:t>1472.05万元</w:t>
      </w:r>
      <w:r>
        <w:rPr>
          <w:rFonts w:hint="eastAsia" w:ascii="仿宋" w:hAnsi="仿宋" w:eastAsia="仿宋"/>
          <w:color w:val="auto"/>
          <w:sz w:val="32"/>
          <w:szCs w:val="32"/>
          <w:highlight w:val="none"/>
        </w:rPr>
        <w:t>、财政拨款支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1472.05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eastAsia="zh-CN"/>
        </w:rPr>
        <w:t>入增加</w:t>
      </w:r>
      <w:r>
        <w:rPr>
          <w:rFonts w:hint="eastAsia" w:ascii="仿宋" w:hAnsi="仿宋" w:eastAsia="仿宋"/>
          <w:color w:val="auto"/>
          <w:sz w:val="32"/>
          <w:szCs w:val="32"/>
          <w:highlight w:val="none"/>
          <w:lang w:val="en-US" w:eastAsia="zh-CN"/>
        </w:rPr>
        <w:t>404.69万元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37.92</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财政拨款支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404.69万元、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37.92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2021年派驻纪检组人员编制纳入纪委统一核算管理，2021年人员增加34人。导致人员经费和日常公用经费一并增加。</w:t>
      </w:r>
    </w:p>
    <w:p w14:paraId="3A8508CD">
      <w:pPr>
        <w:spacing w:line="240" w:lineRule="auto"/>
        <w:ind w:firstLine="640"/>
      </w:pPr>
      <w:r>
        <w:drawing>
          <wp:inline distT="0" distB="0" distL="114300" distR="114300">
            <wp:extent cx="4522470" cy="2743200"/>
            <wp:effectExtent l="0" t="0" r="1143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4522470" cy="2743200"/>
                    </a:xfrm>
                    <a:prstGeom prst="rect">
                      <a:avLst/>
                    </a:prstGeom>
                    <a:noFill/>
                    <a:ln>
                      <a:noFill/>
                    </a:ln>
                  </pic:spPr>
                </pic:pic>
              </a:graphicData>
            </a:graphic>
          </wp:inline>
        </w:drawing>
      </w:r>
    </w:p>
    <w:p w14:paraId="72F92E9A">
      <w:pPr>
        <w:spacing w:line="600" w:lineRule="exact"/>
        <w:ind w:firstLine="640" w:firstLineChars="200"/>
        <w:outlineLvl w:val="1"/>
        <w:rPr>
          <w:rStyle w:val="29"/>
          <w:rFonts w:ascii="黑体" w:hAnsi="黑体" w:eastAsia="黑体"/>
          <w:b w:val="0"/>
          <w:color w:val="auto"/>
          <w:highlight w:val="none"/>
        </w:rPr>
      </w:pPr>
      <w:bookmarkStart w:id="32" w:name="_Toc15396607"/>
      <w:bookmarkStart w:id="33" w:name="_Toc15377209"/>
      <w:bookmarkStart w:id="34" w:name="_Toc19674"/>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2"/>
      <w:bookmarkEnd w:id="33"/>
      <w:bookmarkEnd w:id="34"/>
    </w:p>
    <w:p w14:paraId="6A08BFE9">
      <w:pPr>
        <w:spacing w:line="600" w:lineRule="exact"/>
        <w:ind w:firstLine="643" w:firstLineChars="200"/>
        <w:outlineLvl w:val="2"/>
        <w:rPr>
          <w:rFonts w:ascii="仿宋" w:hAnsi="仿宋" w:eastAsia="仿宋"/>
          <w:b/>
          <w:color w:val="auto"/>
          <w:sz w:val="32"/>
          <w:szCs w:val="32"/>
          <w:highlight w:val="none"/>
        </w:rPr>
      </w:pPr>
      <w:bookmarkStart w:id="35" w:name="_Toc15377210"/>
      <w:r>
        <w:rPr>
          <w:rFonts w:hint="eastAsia" w:ascii="仿宋" w:hAnsi="仿宋" w:eastAsia="仿宋"/>
          <w:b/>
          <w:color w:val="auto"/>
          <w:sz w:val="32"/>
          <w:szCs w:val="32"/>
          <w:highlight w:val="none"/>
        </w:rPr>
        <w:t>（一）一般公共预算财政拨款支出决算总体情况</w:t>
      </w:r>
      <w:bookmarkEnd w:id="35"/>
    </w:p>
    <w:p w14:paraId="1081F492">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1284.97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238.38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22.78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2020年目标奖年末未发放成功、专案费未支付。导致办理决算时结转结余。</w:t>
      </w:r>
    </w:p>
    <w:p w14:paraId="4AD9FFAE">
      <w:pPr>
        <w:spacing w:line="240" w:lineRule="auto"/>
        <w:jc w:val="center"/>
        <w:rPr>
          <w:rFonts w:ascii="仿宋" w:hAnsi="仿宋" w:eastAsia="仿宋"/>
          <w:color w:val="auto"/>
          <w:sz w:val="32"/>
          <w:szCs w:val="32"/>
          <w:highlight w:val="none"/>
        </w:rPr>
      </w:pPr>
      <w:r>
        <w:drawing>
          <wp:inline distT="0" distB="0" distL="114300" distR="114300">
            <wp:extent cx="4521835" cy="2759710"/>
            <wp:effectExtent l="0" t="0" r="12065" b="254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9"/>
                    <a:stretch>
                      <a:fillRect/>
                    </a:stretch>
                  </pic:blipFill>
                  <pic:spPr>
                    <a:xfrm>
                      <a:off x="0" y="0"/>
                      <a:ext cx="4521835" cy="2759710"/>
                    </a:xfrm>
                    <a:prstGeom prst="rect">
                      <a:avLst/>
                    </a:prstGeom>
                    <a:noFill/>
                    <a:ln>
                      <a:noFill/>
                    </a:ln>
                  </pic:spPr>
                </pic:pic>
              </a:graphicData>
            </a:graphic>
          </wp:inline>
        </w:drawing>
      </w:r>
    </w:p>
    <w:p w14:paraId="5C53B780">
      <w:pPr>
        <w:spacing w:line="600" w:lineRule="exact"/>
        <w:ind w:firstLine="643" w:firstLineChars="200"/>
        <w:outlineLvl w:val="2"/>
        <w:rPr>
          <w:rFonts w:ascii="仿宋" w:hAnsi="仿宋" w:eastAsia="仿宋"/>
          <w:b/>
          <w:color w:val="auto"/>
          <w:sz w:val="32"/>
          <w:szCs w:val="32"/>
          <w:highlight w:val="none"/>
        </w:rPr>
      </w:pPr>
      <w:bookmarkStart w:id="36" w:name="_Toc15377211"/>
      <w:r>
        <w:rPr>
          <w:rFonts w:hint="eastAsia" w:ascii="仿宋" w:hAnsi="仿宋" w:eastAsia="仿宋"/>
          <w:b/>
          <w:color w:val="auto"/>
          <w:sz w:val="32"/>
          <w:szCs w:val="32"/>
          <w:highlight w:val="none"/>
        </w:rPr>
        <w:t>（二）一般公共预算财政拨款支出决算结构情况</w:t>
      </w:r>
      <w:bookmarkEnd w:id="36"/>
    </w:p>
    <w:p w14:paraId="59B6A961">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1284.97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1073.96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83.92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41.83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3.26</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85.26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6.64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4EECBB4">
      <w:pPr>
        <w:spacing w:line="240" w:lineRule="auto"/>
        <w:jc w:val="center"/>
        <w:rPr>
          <w:rFonts w:ascii="仿宋" w:hAnsi="仿宋" w:eastAsia="仿宋"/>
          <w:color w:val="auto"/>
          <w:sz w:val="32"/>
          <w:szCs w:val="32"/>
          <w:highlight w:val="none"/>
        </w:rPr>
      </w:pPr>
      <w:r>
        <w:drawing>
          <wp:inline distT="0" distB="0" distL="114300" distR="114300">
            <wp:extent cx="4610100" cy="2809875"/>
            <wp:effectExtent l="0" t="0" r="0"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4610100" cy="2809875"/>
                    </a:xfrm>
                    <a:prstGeom prst="rect">
                      <a:avLst/>
                    </a:prstGeom>
                    <a:noFill/>
                    <a:ln>
                      <a:noFill/>
                    </a:ln>
                  </pic:spPr>
                </pic:pic>
              </a:graphicData>
            </a:graphic>
          </wp:inline>
        </w:drawing>
      </w:r>
    </w:p>
    <w:p w14:paraId="6D2F0021">
      <w:pPr>
        <w:spacing w:line="600" w:lineRule="exact"/>
        <w:ind w:firstLine="643" w:firstLineChars="200"/>
        <w:outlineLvl w:val="2"/>
        <w:rPr>
          <w:rFonts w:ascii="仿宋" w:hAnsi="仿宋" w:eastAsia="仿宋"/>
          <w:b/>
          <w:color w:val="auto"/>
          <w:sz w:val="32"/>
          <w:szCs w:val="32"/>
          <w:highlight w:val="none"/>
        </w:rPr>
      </w:pPr>
      <w:bookmarkStart w:id="37" w:name="_Toc15377212"/>
      <w:r>
        <w:rPr>
          <w:rFonts w:hint="eastAsia" w:ascii="仿宋" w:hAnsi="仿宋" w:eastAsia="仿宋"/>
          <w:b/>
          <w:color w:val="auto"/>
          <w:sz w:val="32"/>
          <w:szCs w:val="32"/>
          <w:highlight w:val="none"/>
        </w:rPr>
        <w:t>（三）一般公共预算财政拨款支出决算具体情况</w:t>
      </w:r>
      <w:bookmarkEnd w:id="37"/>
    </w:p>
    <w:p w14:paraId="24C95124">
      <w:pPr>
        <w:spacing w:line="600" w:lineRule="exact"/>
        <w:ind w:firstLine="643" w:firstLineChars="200"/>
        <w:outlineLvl w:val="2"/>
        <w:rPr>
          <w:rFonts w:ascii="仿宋" w:hAnsi="仿宋" w:eastAsia="仿宋"/>
          <w:color w:val="auto"/>
          <w:sz w:val="32"/>
          <w:szCs w:val="32"/>
          <w:highlight w:val="none"/>
        </w:rPr>
      </w:pPr>
      <w:bookmarkStart w:id="38" w:name="_Toc15377444"/>
      <w:bookmarkStart w:id="39" w:name="_Toc15378460"/>
      <w:bookmarkStart w:id="40"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1284.97万元</w:t>
      </w:r>
      <w:r>
        <w:rPr>
          <w:rFonts w:hint="eastAsia" w:ascii="仿宋" w:hAnsi="仿宋" w:eastAsia="仿宋"/>
          <w:color w:val="auto"/>
          <w:sz w:val="32"/>
          <w:szCs w:val="32"/>
          <w:highlight w:val="none"/>
        </w:rPr>
        <w:t>，</w:t>
      </w:r>
      <w:r>
        <w:rPr>
          <w:rStyle w:val="19"/>
          <w:rFonts w:hint="eastAsia" w:ascii="仿宋" w:hAnsi="仿宋" w:eastAsia="仿宋"/>
          <w:bCs/>
          <w:color w:val="auto"/>
          <w:sz w:val="32"/>
          <w:szCs w:val="32"/>
          <w:highlight w:val="none"/>
        </w:rPr>
        <w:t>完成预算</w:t>
      </w:r>
      <w:r>
        <w:rPr>
          <w:rStyle w:val="19"/>
          <w:rFonts w:hint="eastAsia" w:ascii="仿宋" w:hAnsi="仿宋" w:eastAsia="仿宋"/>
          <w:bCs/>
          <w:color w:val="auto"/>
          <w:sz w:val="32"/>
          <w:szCs w:val="32"/>
          <w:highlight w:val="none"/>
          <w:lang w:val="en-US" w:eastAsia="zh-CN"/>
        </w:rPr>
        <w:t>88.54</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。其中：</w:t>
      </w:r>
      <w:bookmarkEnd w:id="38"/>
      <w:bookmarkEnd w:id="39"/>
      <w:bookmarkEnd w:id="40"/>
    </w:p>
    <w:p w14:paraId="4895CADC">
      <w:pPr>
        <w:spacing w:line="600" w:lineRule="exact"/>
        <w:ind w:firstLine="643" w:firstLineChars="200"/>
        <w:rPr>
          <w:rStyle w:val="19"/>
          <w:rFonts w:ascii="仿宋" w:hAnsi="仿宋" w:eastAsia="仿宋"/>
          <w:bCs/>
          <w:color w:val="auto"/>
          <w:sz w:val="32"/>
          <w:szCs w:val="32"/>
          <w:highlight w:val="none"/>
        </w:rPr>
      </w:pPr>
      <w:r>
        <w:rPr>
          <w:rStyle w:val="19"/>
          <w:rFonts w:ascii="仿宋" w:hAnsi="仿宋" w:eastAsia="仿宋"/>
          <w:bCs/>
          <w:color w:val="auto"/>
          <w:sz w:val="32"/>
          <w:szCs w:val="32"/>
          <w:highlight w:val="none"/>
        </w:rPr>
        <w:t>1.</w:t>
      </w:r>
      <w:r>
        <w:rPr>
          <w:rStyle w:val="19"/>
          <w:rFonts w:hint="eastAsia" w:ascii="仿宋" w:hAnsi="仿宋" w:eastAsia="仿宋"/>
          <w:bCs/>
          <w:color w:val="auto"/>
          <w:sz w:val="32"/>
          <w:szCs w:val="32"/>
          <w:highlight w:val="none"/>
        </w:rPr>
        <w:t>一般公共服务（类）</w:t>
      </w:r>
      <w:r>
        <w:rPr>
          <w:rStyle w:val="19"/>
          <w:rFonts w:hint="eastAsia" w:ascii="仿宋" w:hAnsi="仿宋" w:eastAsia="仿宋"/>
          <w:bCs/>
          <w:color w:val="auto"/>
          <w:sz w:val="32"/>
          <w:szCs w:val="32"/>
          <w:highlight w:val="none"/>
          <w:lang w:eastAsia="zh-CN"/>
        </w:rPr>
        <w:t>纪检监察事务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行政运行</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1008</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88.54</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，决算数小于预算数的主要原因是</w:t>
      </w:r>
      <w:r>
        <w:rPr>
          <w:rStyle w:val="19"/>
          <w:rFonts w:hint="eastAsia" w:ascii="仿宋" w:hAnsi="仿宋" w:eastAsia="仿宋"/>
          <w:b w:val="0"/>
          <w:bCs/>
          <w:color w:val="auto"/>
          <w:sz w:val="32"/>
          <w:szCs w:val="32"/>
          <w:highlight w:val="none"/>
          <w:lang w:val="en-US" w:eastAsia="zh-CN"/>
        </w:rPr>
        <w:t>2020年目标奖部分未支付成功和专案费未支付</w:t>
      </w:r>
      <w:r>
        <w:rPr>
          <w:rStyle w:val="19"/>
          <w:rFonts w:hint="eastAsia" w:ascii="仿宋" w:hAnsi="仿宋" w:eastAsia="仿宋"/>
          <w:b w:val="0"/>
          <w:bCs/>
          <w:color w:val="auto"/>
          <w:sz w:val="32"/>
          <w:szCs w:val="32"/>
          <w:highlight w:val="none"/>
        </w:rPr>
        <w:t>。</w:t>
      </w:r>
    </w:p>
    <w:p w14:paraId="1133CCFE">
      <w:pPr>
        <w:spacing w:line="600" w:lineRule="exact"/>
        <w:ind w:firstLine="643" w:firstLineChars="200"/>
        <w:rPr>
          <w:rFonts w:ascii="仿宋" w:hAnsi="仿宋" w:eastAsia="仿宋"/>
          <w:b/>
          <w:color w:val="auto"/>
          <w:sz w:val="32"/>
          <w:szCs w:val="32"/>
          <w:highlight w:val="none"/>
        </w:rPr>
      </w:pPr>
      <w:r>
        <w:rPr>
          <w:rStyle w:val="19"/>
          <w:rFonts w:ascii="仿宋" w:hAnsi="仿宋" w:eastAsia="仿宋"/>
          <w:bCs/>
          <w:color w:val="auto"/>
          <w:sz w:val="32"/>
          <w:szCs w:val="32"/>
          <w:highlight w:val="none"/>
        </w:rPr>
        <w:t>2.</w:t>
      </w:r>
      <w:r>
        <w:rPr>
          <w:rStyle w:val="19"/>
          <w:rFonts w:hint="eastAsia" w:ascii="仿宋" w:hAnsi="仿宋" w:eastAsia="仿宋"/>
          <w:bCs/>
          <w:color w:val="auto"/>
          <w:sz w:val="32"/>
          <w:szCs w:val="32"/>
          <w:highlight w:val="none"/>
        </w:rPr>
        <w:t>一般公共服务（类）</w:t>
      </w:r>
      <w:r>
        <w:rPr>
          <w:rStyle w:val="19"/>
          <w:rFonts w:hint="eastAsia" w:ascii="仿宋" w:hAnsi="仿宋" w:eastAsia="仿宋"/>
          <w:bCs/>
          <w:color w:val="auto"/>
          <w:sz w:val="32"/>
          <w:szCs w:val="32"/>
          <w:highlight w:val="none"/>
          <w:lang w:eastAsia="zh-CN"/>
        </w:rPr>
        <w:t>纪检监察事务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事业运行</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65.96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w:t>
      </w:r>
      <w:r>
        <w:rPr>
          <w:rStyle w:val="19"/>
          <w:rFonts w:hint="eastAsia" w:ascii="仿宋" w:hAnsi="仿宋" w:eastAsia="仿宋"/>
          <w:b w:val="0"/>
          <w:bCs/>
          <w:color w:val="auto"/>
          <w:sz w:val="32"/>
          <w:szCs w:val="32"/>
          <w:highlight w:val="none"/>
          <w:lang w:eastAsia="zh-CN"/>
        </w:rPr>
        <w:t>等于</w:t>
      </w:r>
      <w:r>
        <w:rPr>
          <w:rStyle w:val="19"/>
          <w:rFonts w:hint="eastAsia" w:ascii="仿宋" w:hAnsi="仿宋" w:eastAsia="仿宋"/>
          <w:b w:val="0"/>
          <w:bCs/>
          <w:color w:val="auto"/>
          <w:sz w:val="32"/>
          <w:szCs w:val="32"/>
          <w:highlight w:val="none"/>
        </w:rPr>
        <w:t>预算数。</w:t>
      </w:r>
    </w:p>
    <w:p w14:paraId="231D9F01">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highlight w:val="none"/>
          <w:lang w:val="en-US" w:eastAsia="zh-CN"/>
        </w:rPr>
        <w:t>3</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社会保障和就业（类）</w:t>
      </w:r>
      <w:r>
        <w:rPr>
          <w:rStyle w:val="19"/>
          <w:rFonts w:hint="eastAsia" w:ascii="仿宋" w:hAnsi="仿宋" w:eastAsia="仿宋"/>
          <w:bCs/>
          <w:color w:val="auto"/>
          <w:sz w:val="32"/>
          <w:szCs w:val="32"/>
          <w:highlight w:val="none"/>
          <w:lang w:eastAsia="zh-CN"/>
        </w:rPr>
        <w:t>行政事业单位养老支出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机关事业单位基本养老保险缴费支出</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81.02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p>
    <w:p w14:paraId="0FDD15D1">
      <w:pPr>
        <w:spacing w:line="600" w:lineRule="exact"/>
        <w:ind w:firstLine="420" w:firstLineChars="200"/>
        <w:rPr>
          <w:rFonts w:hint="default" w:eastAsia="仿宋"/>
          <w:lang w:val="en-US" w:eastAsia="zh-CN"/>
        </w:rPr>
      </w:pPr>
      <w:r>
        <w:rPr>
          <w:rFonts w:hint="eastAsia"/>
          <w:lang w:val="en-US" w:eastAsia="zh-CN"/>
        </w:rPr>
        <w:t xml:space="preserve">  </w:t>
      </w:r>
      <w:r>
        <w:rPr>
          <w:rStyle w:val="19"/>
          <w:rFonts w:hint="eastAsia" w:ascii="仿宋" w:hAnsi="仿宋" w:eastAsia="仿宋"/>
          <w:bCs/>
          <w:color w:val="auto"/>
          <w:sz w:val="32"/>
          <w:szCs w:val="32"/>
          <w:highlight w:val="none"/>
          <w:lang w:val="en-US" w:eastAsia="zh-CN"/>
        </w:rPr>
        <w:t>4</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社会保障和就业（类）</w:t>
      </w:r>
      <w:r>
        <w:rPr>
          <w:rStyle w:val="19"/>
          <w:rFonts w:hint="eastAsia" w:ascii="仿宋" w:hAnsi="仿宋" w:eastAsia="仿宋"/>
          <w:bCs/>
          <w:color w:val="auto"/>
          <w:sz w:val="32"/>
          <w:szCs w:val="32"/>
          <w:highlight w:val="none"/>
          <w:lang w:eastAsia="zh-CN"/>
        </w:rPr>
        <w:t>其他社会保障和就业支出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其他社会保障和就业支出</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2.9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p>
    <w:p w14:paraId="5A93F51B">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highlight w:val="none"/>
          <w:lang w:val="en-US" w:eastAsia="zh-CN"/>
        </w:rPr>
        <w:t>5</w:t>
      </w:r>
      <w:r>
        <w:rPr>
          <w:rStyle w:val="19"/>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eastAsia="zh-CN"/>
        </w:rPr>
        <w:t>行政事业单位医疗</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行政单位医疗</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36.27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p>
    <w:p w14:paraId="0BDEB565">
      <w:pPr>
        <w:spacing w:line="600" w:lineRule="exact"/>
        <w:rPr>
          <w:rStyle w:val="19"/>
          <w:rFonts w:hint="eastAsia" w:ascii="仿宋" w:hAnsi="仿宋" w:eastAsia="仿宋"/>
          <w:b w:val="0"/>
          <w:bCs/>
          <w:color w:val="auto"/>
          <w:sz w:val="32"/>
          <w:szCs w:val="32"/>
          <w:highlight w:val="none"/>
        </w:rPr>
      </w:pPr>
      <w:r>
        <w:rPr>
          <w:rFonts w:hint="eastAsia"/>
          <w:lang w:val="en-US" w:eastAsia="zh-CN"/>
        </w:rPr>
        <w:t xml:space="preserve">     </w:t>
      </w:r>
      <w:r>
        <w:rPr>
          <w:rStyle w:val="19"/>
          <w:rFonts w:hint="eastAsia" w:ascii="仿宋" w:hAnsi="仿宋" w:eastAsia="仿宋"/>
          <w:bCs/>
          <w:color w:val="auto"/>
          <w:sz w:val="32"/>
          <w:szCs w:val="32"/>
          <w:highlight w:val="none"/>
          <w:lang w:val="en-US" w:eastAsia="zh-CN"/>
        </w:rPr>
        <w:t>6</w:t>
      </w:r>
      <w:r>
        <w:rPr>
          <w:rStyle w:val="19"/>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eastAsia="zh-CN"/>
        </w:rPr>
        <w:t>行政事业单位医疗</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事业单位医疗</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5.56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p>
    <w:p w14:paraId="372F9A20">
      <w:pPr>
        <w:spacing w:line="600" w:lineRule="exact"/>
        <w:ind w:firstLine="422" w:firstLineChars="200"/>
        <w:rPr>
          <w:rFonts w:ascii="仿宋" w:hAnsi="仿宋" w:eastAsia="仿宋"/>
          <w:b/>
          <w:color w:val="auto"/>
          <w:sz w:val="32"/>
          <w:szCs w:val="32"/>
          <w:highlight w:val="none"/>
        </w:rPr>
      </w:pPr>
      <w:r>
        <w:rPr>
          <w:rFonts w:hint="eastAsia"/>
          <w:b/>
          <w:bCs/>
          <w:lang w:val="en-US" w:eastAsia="zh-CN"/>
        </w:rPr>
        <w:t xml:space="preserve"> </w:t>
      </w:r>
      <w:r>
        <w:rPr>
          <w:rFonts w:hint="eastAsia"/>
          <w:b/>
          <w:bCs/>
          <w:sz w:val="32"/>
          <w:szCs w:val="32"/>
          <w:lang w:val="en-US" w:eastAsia="zh-CN"/>
        </w:rPr>
        <w:t>7</w:t>
      </w:r>
      <w:r>
        <w:rPr>
          <w:rFonts w:hint="eastAsia"/>
          <w:b/>
          <w:bCs/>
          <w:lang w:val="en-US" w:eastAsia="zh-CN"/>
        </w:rPr>
        <w:t>.</w:t>
      </w:r>
      <w:r>
        <w:rPr>
          <w:rFonts w:hint="eastAsia"/>
          <w:b/>
          <w:bCs/>
          <w:sz w:val="32"/>
          <w:szCs w:val="32"/>
          <w:lang w:val="en-US" w:eastAsia="zh-CN"/>
        </w:rPr>
        <w:t>住房保障</w:t>
      </w:r>
      <w:r>
        <w:rPr>
          <w:rStyle w:val="19"/>
          <w:rFonts w:hint="eastAsia" w:ascii="仿宋" w:hAnsi="仿宋" w:eastAsia="仿宋"/>
          <w:b/>
          <w:bCs/>
          <w:color w:val="auto"/>
          <w:sz w:val="32"/>
          <w:szCs w:val="32"/>
          <w:highlight w:val="none"/>
        </w:rPr>
        <w:t>（</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eastAsia="zh-CN"/>
        </w:rPr>
        <w:t>住房改革支出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住房公积金</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85.26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p>
    <w:p w14:paraId="380C0EF2">
      <w:pPr>
        <w:tabs>
          <w:tab w:val="right" w:pos="8306"/>
        </w:tabs>
        <w:spacing w:line="600" w:lineRule="exact"/>
        <w:ind w:firstLine="640"/>
        <w:outlineLvl w:val="1"/>
        <w:rPr>
          <w:rStyle w:val="29"/>
          <w:color w:val="auto"/>
          <w:highlight w:val="none"/>
        </w:rPr>
      </w:pPr>
      <w:bookmarkStart w:id="41" w:name="_Toc15377214"/>
      <w:bookmarkStart w:id="42" w:name="_Toc15396608"/>
      <w:bookmarkStart w:id="43" w:name="_Toc1518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41"/>
      <w:bookmarkEnd w:id="42"/>
      <w:bookmarkEnd w:id="43"/>
      <w:r>
        <w:rPr>
          <w:rStyle w:val="29"/>
          <w:rFonts w:ascii="黑体" w:hAnsi="黑体" w:eastAsia="黑体"/>
          <w:b w:val="0"/>
          <w:color w:val="auto"/>
          <w:highlight w:val="none"/>
        </w:rPr>
        <w:tab/>
      </w:r>
    </w:p>
    <w:p w14:paraId="60AA2B26">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1284.97</w:t>
      </w:r>
      <w:r>
        <w:rPr>
          <w:rFonts w:hint="eastAsia" w:ascii="仿宋" w:hAnsi="仿宋" w:eastAsia="仿宋"/>
          <w:color w:val="auto"/>
          <w:sz w:val="32"/>
          <w:szCs w:val="32"/>
          <w:highlight w:val="none"/>
        </w:rPr>
        <w:t>万元，其中：</w:t>
      </w:r>
    </w:p>
    <w:p w14:paraId="18B5AB44">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917.60</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277.50万元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221.03万元</w:t>
      </w:r>
      <w:r>
        <w:rPr>
          <w:rFonts w:hint="eastAsia" w:ascii="仿宋" w:hAnsi="仿宋" w:eastAsia="仿宋"/>
          <w:color w:val="auto"/>
          <w:sz w:val="32"/>
          <w:szCs w:val="32"/>
          <w:highlight w:val="none"/>
        </w:rPr>
        <w:t>、奖金</w:t>
      </w:r>
      <w:r>
        <w:rPr>
          <w:rFonts w:hint="eastAsia" w:ascii="仿宋" w:hAnsi="仿宋" w:eastAsia="仿宋"/>
          <w:color w:val="auto"/>
          <w:sz w:val="32"/>
          <w:szCs w:val="32"/>
          <w:highlight w:val="none"/>
          <w:lang w:val="en-US" w:eastAsia="zh-CN"/>
        </w:rPr>
        <w:t>20.44万元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27.91万元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81.02万元</w:t>
      </w:r>
      <w:r>
        <w:rPr>
          <w:rFonts w:hint="eastAsia" w:ascii="仿宋" w:hAnsi="仿宋" w:eastAsia="仿宋"/>
          <w:color w:val="auto"/>
          <w:sz w:val="32"/>
          <w:szCs w:val="32"/>
          <w:highlight w:val="none"/>
        </w:rPr>
        <w:t>、机关事业单位基本</w:t>
      </w:r>
      <w:r>
        <w:rPr>
          <w:rFonts w:hint="eastAsia" w:ascii="仿宋" w:hAnsi="仿宋" w:eastAsia="仿宋"/>
          <w:color w:val="auto"/>
          <w:sz w:val="32"/>
          <w:szCs w:val="32"/>
          <w:highlight w:val="none"/>
          <w:lang w:eastAsia="zh-CN"/>
        </w:rPr>
        <w:t>医疗</w:t>
      </w:r>
      <w:r>
        <w:rPr>
          <w:rFonts w:hint="eastAsia" w:ascii="仿宋" w:hAnsi="仿宋" w:eastAsia="仿宋"/>
          <w:color w:val="auto"/>
          <w:sz w:val="32"/>
          <w:szCs w:val="32"/>
          <w:highlight w:val="none"/>
        </w:rPr>
        <w:t>保险缴费</w:t>
      </w:r>
      <w:r>
        <w:rPr>
          <w:rFonts w:hint="eastAsia" w:ascii="仿宋" w:hAnsi="仿宋" w:eastAsia="仿宋"/>
          <w:color w:val="auto"/>
          <w:sz w:val="32"/>
          <w:szCs w:val="32"/>
          <w:highlight w:val="none"/>
          <w:lang w:val="en-US" w:eastAsia="zh-CN"/>
        </w:rPr>
        <w:t>41.63万元</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3.1万元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150万元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85.26万元</w:t>
      </w:r>
      <w:r>
        <w:rPr>
          <w:rFonts w:hint="eastAsia" w:ascii="仿宋" w:hAnsi="仿宋" w:eastAsia="仿宋"/>
          <w:color w:val="auto"/>
          <w:sz w:val="32"/>
          <w:szCs w:val="32"/>
          <w:highlight w:val="none"/>
        </w:rPr>
        <w:t>、其他对个人和家庭的补助支出</w:t>
      </w:r>
      <w:r>
        <w:rPr>
          <w:rFonts w:hint="eastAsia" w:ascii="仿宋" w:hAnsi="仿宋" w:eastAsia="仿宋"/>
          <w:color w:val="auto"/>
          <w:sz w:val="32"/>
          <w:szCs w:val="32"/>
          <w:highlight w:val="none"/>
          <w:lang w:val="en-US" w:eastAsia="zh-CN"/>
        </w:rPr>
        <w:t>9.71万元</w:t>
      </w:r>
      <w:r>
        <w:rPr>
          <w:rFonts w:hint="eastAsia" w:ascii="仿宋" w:hAnsi="仿宋" w:eastAsia="仿宋"/>
          <w:color w:val="auto"/>
          <w:sz w:val="32"/>
          <w:szCs w:val="32"/>
          <w:highlight w:val="none"/>
        </w:rPr>
        <w:t>。</w:t>
      </w:r>
    </w:p>
    <w:p w14:paraId="2C873ABA">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367.37</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37.45万元</w:t>
      </w:r>
      <w:r>
        <w:rPr>
          <w:rFonts w:hint="eastAsia" w:ascii="仿宋" w:hAnsi="仿宋" w:eastAsia="仿宋"/>
          <w:color w:val="auto"/>
          <w:sz w:val="32"/>
          <w:szCs w:val="32"/>
          <w:highlight w:val="none"/>
        </w:rPr>
        <w:t>、印刷费</w:t>
      </w:r>
      <w:r>
        <w:rPr>
          <w:rFonts w:hint="eastAsia" w:ascii="仿宋" w:hAnsi="仿宋" w:eastAsia="仿宋"/>
          <w:color w:val="auto"/>
          <w:sz w:val="32"/>
          <w:szCs w:val="32"/>
          <w:highlight w:val="none"/>
          <w:lang w:val="en-US" w:eastAsia="zh-CN"/>
        </w:rPr>
        <w:t>29.30万元</w:t>
      </w:r>
      <w:r>
        <w:rPr>
          <w:rFonts w:hint="eastAsia" w:ascii="仿宋" w:hAnsi="仿宋" w:eastAsia="仿宋"/>
          <w:color w:val="auto"/>
          <w:sz w:val="32"/>
          <w:szCs w:val="32"/>
          <w:highlight w:val="none"/>
        </w:rPr>
        <w:t>、手续费</w:t>
      </w:r>
      <w:r>
        <w:rPr>
          <w:rFonts w:hint="eastAsia" w:ascii="仿宋" w:hAnsi="仿宋" w:eastAsia="仿宋"/>
          <w:color w:val="auto"/>
          <w:sz w:val="32"/>
          <w:szCs w:val="32"/>
          <w:highlight w:val="none"/>
          <w:lang w:val="en-US" w:eastAsia="zh-CN"/>
        </w:rPr>
        <w:t>0.13万元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2万元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113.35万元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9.5万元</w:t>
      </w:r>
      <w:r>
        <w:rPr>
          <w:rFonts w:hint="eastAsia" w:ascii="仿宋" w:hAnsi="仿宋" w:eastAsia="仿宋"/>
          <w:color w:val="auto"/>
          <w:sz w:val="32"/>
          <w:szCs w:val="32"/>
          <w:highlight w:val="none"/>
        </w:rPr>
        <w:t>、会议费</w:t>
      </w:r>
      <w:r>
        <w:rPr>
          <w:rFonts w:hint="eastAsia" w:ascii="仿宋" w:hAnsi="仿宋" w:eastAsia="仿宋"/>
          <w:color w:val="auto"/>
          <w:sz w:val="32"/>
          <w:szCs w:val="32"/>
          <w:highlight w:val="none"/>
          <w:lang w:val="en-US" w:eastAsia="zh-CN"/>
        </w:rPr>
        <w:t>20.28万元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24.59万元</w:t>
      </w:r>
      <w:r>
        <w:rPr>
          <w:rFonts w:hint="eastAsia" w:ascii="仿宋" w:hAnsi="仿宋" w:eastAsia="仿宋"/>
          <w:color w:val="auto"/>
          <w:sz w:val="32"/>
          <w:szCs w:val="32"/>
          <w:highlight w:val="none"/>
        </w:rPr>
        <w:t>、公务接待费</w:t>
      </w:r>
      <w:r>
        <w:rPr>
          <w:rFonts w:hint="eastAsia" w:ascii="仿宋" w:hAnsi="仿宋" w:eastAsia="仿宋"/>
          <w:color w:val="auto"/>
          <w:sz w:val="32"/>
          <w:szCs w:val="32"/>
          <w:highlight w:val="none"/>
          <w:lang w:val="en-US" w:eastAsia="zh-CN"/>
        </w:rPr>
        <w:t>13万元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14.45万元</w:t>
      </w:r>
      <w:r>
        <w:rPr>
          <w:rFonts w:hint="eastAsia" w:ascii="仿宋" w:hAnsi="仿宋" w:eastAsia="仿宋"/>
          <w:color w:val="auto"/>
          <w:sz w:val="32"/>
          <w:szCs w:val="32"/>
          <w:highlight w:val="none"/>
        </w:rPr>
        <w:t>、福利费、公务用车运行维护费</w:t>
      </w:r>
      <w:r>
        <w:rPr>
          <w:rFonts w:hint="eastAsia" w:ascii="仿宋" w:hAnsi="仿宋" w:eastAsia="仿宋"/>
          <w:color w:val="auto"/>
          <w:sz w:val="32"/>
          <w:szCs w:val="32"/>
          <w:highlight w:val="none"/>
          <w:lang w:val="en-US" w:eastAsia="zh-CN"/>
        </w:rPr>
        <w:t>17.98万元</w:t>
      </w:r>
      <w:r>
        <w:rPr>
          <w:rFonts w:hint="eastAsia" w:ascii="仿宋" w:hAnsi="仿宋" w:eastAsia="仿宋"/>
          <w:color w:val="auto"/>
          <w:sz w:val="32"/>
          <w:szCs w:val="32"/>
          <w:highlight w:val="none"/>
        </w:rPr>
        <w:t>、其他交通费</w:t>
      </w:r>
      <w:r>
        <w:rPr>
          <w:rFonts w:hint="eastAsia" w:ascii="仿宋" w:hAnsi="仿宋" w:eastAsia="仿宋"/>
          <w:color w:val="auto"/>
          <w:sz w:val="32"/>
          <w:szCs w:val="32"/>
          <w:highlight w:val="none"/>
          <w:lang w:eastAsia="zh-CN"/>
        </w:rPr>
        <w:t>用</w:t>
      </w:r>
      <w:r>
        <w:rPr>
          <w:rFonts w:hint="eastAsia" w:ascii="仿宋" w:hAnsi="仿宋" w:eastAsia="仿宋"/>
          <w:color w:val="auto"/>
          <w:sz w:val="32"/>
          <w:szCs w:val="32"/>
          <w:highlight w:val="none"/>
          <w:lang w:val="en-US" w:eastAsia="zh-CN"/>
        </w:rPr>
        <w:t>50.32万元</w:t>
      </w:r>
      <w:r>
        <w:rPr>
          <w:rFonts w:hint="eastAsia" w:ascii="仿宋" w:hAnsi="仿宋" w:eastAsia="仿宋"/>
          <w:color w:val="auto"/>
          <w:sz w:val="32"/>
          <w:szCs w:val="32"/>
          <w:highlight w:val="none"/>
        </w:rPr>
        <w:t>、办公设备购置</w:t>
      </w:r>
      <w:r>
        <w:rPr>
          <w:rFonts w:hint="eastAsia" w:ascii="仿宋" w:hAnsi="仿宋" w:eastAsia="仿宋"/>
          <w:color w:val="auto"/>
          <w:sz w:val="32"/>
          <w:szCs w:val="32"/>
          <w:highlight w:val="none"/>
          <w:lang w:val="en-US" w:eastAsia="zh-CN"/>
        </w:rPr>
        <w:t>35.02万元</w:t>
      </w:r>
      <w:r>
        <w:rPr>
          <w:rFonts w:hint="eastAsia" w:ascii="仿宋" w:hAnsi="仿宋" w:eastAsia="仿宋"/>
          <w:color w:val="auto"/>
          <w:sz w:val="32"/>
          <w:szCs w:val="32"/>
          <w:highlight w:val="none"/>
        </w:rPr>
        <w:t>。</w:t>
      </w:r>
    </w:p>
    <w:p w14:paraId="7383D181">
      <w:pPr>
        <w:spacing w:line="600" w:lineRule="exact"/>
        <w:ind w:firstLine="640"/>
        <w:outlineLvl w:val="1"/>
        <w:rPr>
          <w:rStyle w:val="29"/>
          <w:rFonts w:ascii="黑体" w:hAnsi="黑体" w:eastAsia="黑体"/>
          <w:b w:val="0"/>
          <w:color w:val="auto"/>
          <w:highlight w:val="none"/>
        </w:rPr>
      </w:pPr>
      <w:bookmarkStart w:id="44" w:name="_Toc15396609"/>
      <w:bookmarkStart w:id="45" w:name="_Toc15377215"/>
      <w:bookmarkStart w:id="46" w:name="_Toc11848"/>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44"/>
      <w:bookmarkEnd w:id="45"/>
      <w:bookmarkEnd w:id="46"/>
    </w:p>
    <w:p w14:paraId="503CBCA1">
      <w:pPr>
        <w:bidi w:val="0"/>
      </w:pPr>
      <w:bookmarkStart w:id="47" w:name="_Toc15377216"/>
      <w:r>
        <w:rPr>
          <w:rFonts w:hint="eastAsia"/>
        </w:rPr>
        <w:t>（一）“三公”经费财政拨款支出决算总体情况说明</w:t>
      </w:r>
      <w:bookmarkEnd w:id="47"/>
    </w:p>
    <w:p w14:paraId="61FBEE80">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30.98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98.73</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eastAsia="zh-CN"/>
        </w:rPr>
        <w:t>严格控制执法执勤车辆运行成本和压缩公务接待批次</w:t>
      </w:r>
      <w:r>
        <w:rPr>
          <w:rFonts w:hint="eastAsia" w:ascii="仿宋" w:hAnsi="仿宋" w:eastAsia="仿宋"/>
          <w:color w:val="auto"/>
          <w:sz w:val="32"/>
          <w:szCs w:val="32"/>
          <w:highlight w:val="none"/>
        </w:rPr>
        <w:t>。</w:t>
      </w:r>
    </w:p>
    <w:p w14:paraId="54348FD2">
      <w:pPr>
        <w:spacing w:line="600" w:lineRule="exact"/>
        <w:ind w:firstLine="640"/>
        <w:outlineLvl w:val="2"/>
        <w:rPr>
          <w:rFonts w:ascii="仿宋" w:hAnsi="仿宋" w:eastAsia="仿宋"/>
          <w:b/>
          <w:color w:val="auto"/>
          <w:sz w:val="32"/>
          <w:szCs w:val="32"/>
          <w:highlight w:val="none"/>
        </w:rPr>
      </w:pPr>
      <w:bookmarkStart w:id="48" w:name="_Toc15377217"/>
      <w:r>
        <w:rPr>
          <w:rFonts w:hint="eastAsia" w:ascii="仿宋" w:hAnsi="仿宋" w:eastAsia="仿宋"/>
          <w:b/>
          <w:color w:val="auto"/>
          <w:sz w:val="32"/>
          <w:szCs w:val="32"/>
          <w:highlight w:val="none"/>
        </w:rPr>
        <w:t>（二）“三公”经费财政拨款支出决算具体情况说明</w:t>
      </w:r>
      <w:bookmarkEnd w:id="48"/>
    </w:p>
    <w:p w14:paraId="0AE5A8BE">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17.98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58.04</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41.96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042E2F16">
      <w:pPr>
        <w:pStyle w:val="2"/>
        <w:jc w:val="center"/>
      </w:pPr>
      <w:r>
        <w:drawing>
          <wp:inline distT="0" distB="0" distL="114300" distR="114300">
            <wp:extent cx="4581525" cy="271462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11"/>
                    <a:stretch>
                      <a:fillRect/>
                    </a:stretch>
                  </pic:blipFill>
                  <pic:spPr>
                    <a:xfrm>
                      <a:off x="0" y="0"/>
                      <a:ext cx="4581525" cy="2714625"/>
                    </a:xfrm>
                    <a:prstGeom prst="rect">
                      <a:avLst/>
                    </a:prstGeom>
                    <a:noFill/>
                    <a:ln>
                      <a:noFill/>
                    </a:ln>
                  </pic:spPr>
                </pic:pic>
              </a:graphicData>
            </a:graphic>
          </wp:inline>
        </w:drawing>
      </w:r>
      <w:bookmarkStart w:id="97" w:name="_GoBack"/>
      <w:bookmarkEnd w:id="97"/>
    </w:p>
    <w:p w14:paraId="1CFDE327">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Times New Roman" w:eastAsia="仿宋_GB2312" w:cs="Times New Roman"/>
          <w:color w:val="auto"/>
          <w:sz w:val="32"/>
          <w:szCs w:val="32"/>
          <w:highlight w:val="none"/>
          <w:lang w:val="en-US" w:eastAsia="zh-CN"/>
        </w:rPr>
        <w:t>年初未安排预算。</w:t>
      </w:r>
      <w:r>
        <w:rPr>
          <w:rFonts w:hint="eastAsia" w:ascii="仿宋_GB2312" w:eastAsia="仿宋_GB2312"/>
          <w:color w:val="auto"/>
          <w:sz w:val="32"/>
          <w:szCs w:val="32"/>
          <w:highlight w:val="none"/>
        </w:rPr>
        <w:t>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无变化</w:t>
      </w:r>
      <w:r>
        <w:rPr>
          <w:rFonts w:hint="eastAsia" w:ascii="仿宋_GB2312" w:eastAsia="仿宋_GB2312"/>
          <w:color w:val="auto"/>
          <w:sz w:val="32"/>
          <w:szCs w:val="32"/>
          <w:highlight w:val="none"/>
        </w:rPr>
        <w:t>。</w:t>
      </w:r>
    </w:p>
    <w:p w14:paraId="51911933">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17.98</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99.89</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24.5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57.67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2020年政府采购执法执勤车1辆</w:t>
      </w:r>
      <w:r>
        <w:rPr>
          <w:rFonts w:hint="eastAsia" w:ascii="仿宋_GB2312" w:eastAsia="仿宋_GB2312"/>
          <w:color w:val="auto"/>
          <w:sz w:val="32"/>
          <w:szCs w:val="32"/>
          <w:highlight w:val="none"/>
        </w:rPr>
        <w:t>。</w:t>
      </w:r>
    </w:p>
    <w:p w14:paraId="26208467">
      <w:pPr>
        <w:pageBreakBefore w:val="0"/>
        <w:kinsoku/>
        <w:wordWrap/>
        <w:overflowPunct/>
        <w:topLinePunct w:val="0"/>
        <w:bidi w:val="0"/>
        <w:snapToGrid/>
        <w:spacing w:line="576"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在公务用车制度改革后，不允许单位购买公务用车。因公出差向机关事务局申请公务用车，公务用车有保障。</w:t>
      </w:r>
    </w:p>
    <w:p w14:paraId="0F925C58">
      <w:pPr>
        <w:spacing w:line="600" w:lineRule="exact"/>
        <w:ind w:firstLine="640"/>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17.98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纪检监察的信访调查、线索核查和查办案件</w:t>
      </w:r>
      <w:r>
        <w:rPr>
          <w:rFonts w:hint="eastAsia" w:ascii="仿宋_GB2312" w:eastAsia="仿宋_GB2312"/>
          <w:color w:val="auto"/>
          <w:sz w:val="32"/>
          <w:szCs w:val="32"/>
          <w:highlight w:val="none"/>
        </w:rPr>
        <w:t>等所需的</w:t>
      </w:r>
      <w:r>
        <w:rPr>
          <w:rFonts w:hint="eastAsia" w:ascii="仿宋_GB2312" w:eastAsia="仿宋_GB2312"/>
          <w:color w:val="auto"/>
          <w:sz w:val="32"/>
          <w:szCs w:val="32"/>
          <w:highlight w:val="none"/>
          <w:lang w:eastAsia="zh-CN"/>
        </w:rPr>
        <w:t>执法执勤</w:t>
      </w:r>
      <w:r>
        <w:rPr>
          <w:rFonts w:hint="eastAsia" w:ascii="仿宋_GB2312" w:eastAsia="仿宋_GB2312"/>
          <w:color w:val="auto"/>
          <w:sz w:val="32"/>
          <w:szCs w:val="32"/>
          <w:highlight w:val="none"/>
        </w:rPr>
        <w:t>车燃料费、维修费、</w:t>
      </w:r>
      <w:r>
        <w:rPr>
          <w:rFonts w:hint="eastAsia" w:ascii="仿宋_GB2312" w:eastAsia="仿宋_GB2312"/>
          <w:color w:val="auto"/>
          <w:sz w:val="32"/>
          <w:szCs w:val="32"/>
          <w:highlight w:val="none"/>
          <w:lang w:eastAsia="zh-CN"/>
        </w:rPr>
        <w:t>洗车费、</w:t>
      </w:r>
      <w:r>
        <w:rPr>
          <w:rFonts w:hint="eastAsia" w:ascii="仿宋_GB2312" w:eastAsia="仿宋_GB2312"/>
          <w:color w:val="auto"/>
          <w:sz w:val="32"/>
          <w:szCs w:val="32"/>
          <w:highlight w:val="none"/>
        </w:rPr>
        <w:t>过路过桥费、保险费支出。</w:t>
      </w:r>
    </w:p>
    <w:p w14:paraId="7D5420F8">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97.16</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0.42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000000"/>
          <w:sz w:val="32"/>
          <w:szCs w:val="32"/>
          <w:lang w:eastAsia="zh-CN"/>
        </w:rPr>
        <w:t>加强财务管理</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严格管控公务接待，严禁超范围超标准接待</w:t>
      </w:r>
      <w:r>
        <w:rPr>
          <w:rFonts w:hint="eastAsia" w:ascii="仿宋_GB2312" w:eastAsia="仿宋_GB2312"/>
          <w:color w:val="auto"/>
          <w:sz w:val="32"/>
          <w:szCs w:val="32"/>
          <w:highlight w:val="none"/>
        </w:rPr>
        <w:t>。</w:t>
      </w:r>
    </w:p>
    <w:p w14:paraId="677DE027">
      <w:pPr>
        <w:spacing w:line="600" w:lineRule="exact"/>
        <w:ind w:firstLine="640"/>
        <w:rPr>
          <w:rFonts w:hint="eastAsia" w:ascii="仿宋" w:hAnsi="仿宋" w:eastAsia="仿宋" w:cs="Times New Roman"/>
          <w:b/>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13</w:t>
      </w:r>
      <w:r>
        <w:rPr>
          <w:rFonts w:hint="eastAsia" w:ascii="仿宋_GB2312" w:eastAsia="仿宋_GB2312"/>
          <w:color w:val="auto"/>
          <w:sz w:val="32"/>
          <w:szCs w:val="32"/>
          <w:highlight w:val="none"/>
        </w:rPr>
        <w:t>万元，主要用于</w:t>
      </w:r>
      <w:r>
        <w:rPr>
          <w:rFonts w:hint="eastAsia" w:ascii="仿宋_GB2312" w:eastAsia="仿宋_GB2312"/>
          <w:color w:val="000000"/>
          <w:sz w:val="32"/>
          <w:szCs w:val="32"/>
        </w:rPr>
        <w:t>纪检监察事务、行政运行、案件查办</w:t>
      </w:r>
      <w:r>
        <w:rPr>
          <w:rFonts w:hint="eastAsia" w:ascii="仿宋_GB2312" w:eastAsia="仿宋_GB2312"/>
          <w:color w:val="000000"/>
          <w:sz w:val="32"/>
          <w:szCs w:val="32"/>
          <w:lang w:eastAsia="zh-CN"/>
        </w:rPr>
        <w:t>，巡察工作</w:t>
      </w:r>
      <w:r>
        <w:rPr>
          <w:rFonts w:hint="eastAsia" w:ascii="仿宋_GB2312" w:eastAsia="仿宋_GB2312"/>
          <w:color w:val="000000"/>
          <w:sz w:val="32"/>
          <w:szCs w:val="32"/>
        </w:rPr>
        <w:t>等的业务活动</w:t>
      </w:r>
      <w:r>
        <w:rPr>
          <w:rFonts w:hint="eastAsia" w:ascii="仿宋_GB2312" w:eastAsia="仿宋_GB2312"/>
          <w:color w:val="000000"/>
          <w:sz w:val="32"/>
          <w:szCs w:val="32"/>
          <w:lang w:eastAsia="zh-CN"/>
        </w:rPr>
        <w:t>公务接待</w:t>
      </w:r>
      <w:r>
        <w:rPr>
          <w:rFonts w:hint="eastAsia" w:ascii="仿宋_GB2312" w:eastAsia="仿宋_GB2312"/>
          <w:color w:val="000000"/>
          <w:sz w:val="32"/>
          <w:szCs w:val="32"/>
        </w:rPr>
        <w:t>费</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189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865</w:t>
      </w:r>
      <w:r>
        <w:rPr>
          <w:rFonts w:hint="eastAsia" w:ascii="仿宋_GB2312" w:eastAsia="仿宋_GB2312"/>
          <w:color w:val="auto"/>
          <w:sz w:val="32"/>
          <w:szCs w:val="32"/>
          <w:highlight w:val="none"/>
        </w:rPr>
        <w:t>人次（不包括陪同人员），共计</w:t>
      </w:r>
      <w:r>
        <w:rPr>
          <w:rFonts w:hint="eastAsia" w:ascii="仿宋" w:hAnsi="仿宋" w:eastAsia="仿宋" w:cs="Times New Roman"/>
          <w:b/>
          <w:color w:val="auto"/>
          <w:sz w:val="32"/>
          <w:szCs w:val="32"/>
          <w:highlight w:val="none"/>
        </w:rPr>
        <w:t>支出</w:t>
      </w:r>
      <w:r>
        <w:rPr>
          <w:rFonts w:hint="eastAsia" w:ascii="仿宋" w:hAnsi="仿宋" w:eastAsia="仿宋" w:cs="Times New Roman"/>
          <w:b/>
          <w:color w:val="auto"/>
          <w:sz w:val="32"/>
          <w:szCs w:val="32"/>
          <w:highlight w:val="none"/>
          <w:lang w:val="en-US" w:eastAsia="zh-CN"/>
        </w:rPr>
        <w:t>13</w:t>
      </w:r>
      <w:r>
        <w:rPr>
          <w:rFonts w:hint="eastAsia" w:ascii="仿宋" w:hAnsi="仿宋" w:eastAsia="仿宋" w:cs="Times New Roman"/>
          <w:b/>
          <w:color w:val="auto"/>
          <w:sz w:val="32"/>
          <w:szCs w:val="32"/>
          <w:highlight w:val="none"/>
        </w:rPr>
        <w:t>万元。</w:t>
      </w:r>
    </w:p>
    <w:p w14:paraId="44C2B61E">
      <w:pPr>
        <w:spacing w:line="600" w:lineRule="exact"/>
        <w:ind w:firstLine="64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外事接待支出0万元，外事接待0批次，0人，共计支出0万元，</w:t>
      </w:r>
      <w:bookmarkStart w:id="49" w:name="_Toc15396610"/>
      <w:bookmarkStart w:id="50" w:name="_Toc15377218"/>
    </w:p>
    <w:p w14:paraId="42907F1E">
      <w:pPr>
        <w:spacing w:line="600" w:lineRule="exact"/>
        <w:ind w:firstLine="640"/>
        <w:outlineLvl w:val="1"/>
        <w:rPr>
          <w:rStyle w:val="29"/>
          <w:rFonts w:ascii="黑体" w:hAnsi="黑体" w:eastAsia="黑体"/>
          <w:color w:val="auto"/>
          <w:highlight w:val="none"/>
        </w:rPr>
      </w:pPr>
      <w:bookmarkStart w:id="51" w:name="_Toc26864"/>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49"/>
      <w:bookmarkEnd w:id="50"/>
      <w:bookmarkEnd w:id="51"/>
    </w:p>
    <w:p w14:paraId="30B9AB9D">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0E6D174">
      <w:pPr>
        <w:numPr>
          <w:ilvl w:val="0"/>
          <w:numId w:val="2"/>
        </w:numPr>
        <w:spacing w:line="600" w:lineRule="exact"/>
        <w:ind w:firstLine="640"/>
        <w:outlineLvl w:val="1"/>
        <w:rPr>
          <w:rStyle w:val="29"/>
          <w:rFonts w:ascii="黑体" w:hAnsi="黑体" w:eastAsia="黑体"/>
          <w:b w:val="0"/>
          <w:color w:val="auto"/>
          <w:highlight w:val="none"/>
        </w:rPr>
      </w:pPr>
      <w:bookmarkStart w:id="52" w:name="_Toc21085"/>
      <w:bookmarkStart w:id="53" w:name="_Toc15377219"/>
      <w:bookmarkStart w:id="54" w:name="_Toc15396611"/>
      <w:r>
        <w:rPr>
          <w:rStyle w:val="29"/>
          <w:rFonts w:hint="eastAsia" w:ascii="黑体" w:hAnsi="黑体" w:eastAsia="黑体"/>
          <w:b w:val="0"/>
          <w:color w:val="auto"/>
          <w:highlight w:val="none"/>
        </w:rPr>
        <w:t>国有资本经营预算支出决算情况说明</w:t>
      </w:r>
      <w:bookmarkEnd w:id="52"/>
      <w:bookmarkEnd w:id="53"/>
      <w:bookmarkEnd w:id="54"/>
    </w:p>
    <w:p w14:paraId="0B42FEBE">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8D69807">
      <w:pPr>
        <w:numPr>
          <w:ilvl w:val="0"/>
          <w:numId w:val="2"/>
        </w:numPr>
        <w:spacing w:line="600" w:lineRule="exact"/>
        <w:ind w:firstLine="640"/>
        <w:outlineLvl w:val="1"/>
        <w:rPr>
          <w:rStyle w:val="29"/>
          <w:rFonts w:hint="eastAsia" w:ascii="黑体" w:hAnsi="黑体" w:eastAsia="黑体"/>
          <w:b w:val="0"/>
          <w:color w:val="auto"/>
          <w:highlight w:val="none"/>
        </w:rPr>
      </w:pPr>
      <w:bookmarkStart w:id="55" w:name="_Toc3613"/>
      <w:bookmarkStart w:id="56" w:name="_Toc15396612"/>
      <w:bookmarkStart w:id="57" w:name="_Toc15377221"/>
      <w:r>
        <w:rPr>
          <w:rStyle w:val="29"/>
          <w:rFonts w:hint="eastAsia" w:ascii="黑体" w:hAnsi="黑体" w:eastAsia="黑体"/>
          <w:b w:val="0"/>
          <w:color w:val="auto"/>
          <w:highlight w:val="none"/>
          <w:lang w:val="en-US" w:eastAsia="zh-CN"/>
        </w:rPr>
        <w:t>预算绩效管理情况</w:t>
      </w:r>
      <w:bookmarkEnd w:id="55"/>
    </w:p>
    <w:p w14:paraId="108BB5E0">
      <w:pPr>
        <w:spacing w:line="580" w:lineRule="exact"/>
        <w:ind w:firstLine="640" w:firstLineChars="200"/>
        <w:rPr>
          <w:rFonts w:hint="eastAsia"/>
          <w:color w:val="auto"/>
        </w:rPr>
      </w:pPr>
      <w:r>
        <w:rPr>
          <w:rFonts w:hint="eastAsia" w:ascii="仿宋_GB2312" w:hAnsi="仿宋_GB2312" w:eastAsia="仿宋_GB2312" w:cs="仿宋_GB2312"/>
          <w:color w:val="auto"/>
          <w:sz w:val="32"/>
          <w:szCs w:val="32"/>
          <w:highlight w:val="none"/>
        </w:rPr>
        <w:t>根据预算绩效管理要求，</w:t>
      </w:r>
      <w:r>
        <w:rPr>
          <w:rFonts w:hint="eastAsia" w:ascii="仿宋_GB2312" w:hAnsi="仿宋_GB2312" w:eastAsia="仿宋_GB2312" w:cs="仿宋_GB2312"/>
          <w:color w:val="auto"/>
          <w:sz w:val="32"/>
          <w:szCs w:val="32"/>
          <w:highlight w:val="none"/>
          <w:lang w:eastAsia="zh-CN"/>
        </w:rPr>
        <w:t>区纪委对十三个项目开展了绩效管理，</w:t>
      </w:r>
      <w:r>
        <w:rPr>
          <w:rFonts w:hint="eastAsia" w:ascii="仿宋_GB2312" w:hAnsi="仿宋_GB2312" w:eastAsia="仿宋_GB2312" w:cs="仿宋_GB2312"/>
          <w:color w:val="auto"/>
          <w:sz w:val="32"/>
          <w:szCs w:val="32"/>
          <w:highlight w:val="none"/>
        </w:rPr>
        <w:t>按照《广元市昭化区人民政府办公室关于印发&lt;广元市昭化区财政预算绩效管理实施细则&gt;的通知》(昭府办函[2018]118号)绩效评价指标体系</w:t>
      </w:r>
      <w:r>
        <w:rPr>
          <w:rFonts w:hint="eastAsia" w:ascii="仿宋_GB2312" w:hAnsi="仿宋_GB2312" w:eastAsia="仿宋_GB2312" w:cs="仿宋_GB2312"/>
          <w:color w:val="auto"/>
          <w:sz w:val="32"/>
          <w:szCs w:val="32"/>
          <w:highlight w:val="none"/>
          <w:lang w:eastAsia="zh-CN"/>
        </w:rPr>
        <w:t>对执纪执法车辆</w:t>
      </w:r>
      <w:r>
        <w:rPr>
          <w:rFonts w:hint="eastAsia" w:ascii="仿宋_GB2312" w:hAnsi="仿宋_GB2312" w:eastAsia="仿宋_GB2312" w:cs="仿宋_GB2312"/>
          <w:color w:val="auto"/>
          <w:sz w:val="32"/>
          <w:szCs w:val="32"/>
          <w:highlight w:val="none"/>
        </w:rPr>
        <w:t>开展绩效自评</w:t>
      </w:r>
      <w:r>
        <w:rPr>
          <w:rFonts w:hint="eastAsia" w:ascii="仿宋_GB2312" w:hAnsi="仿宋_GB2312" w:eastAsia="仿宋_GB2312" w:cs="仿宋_GB2312"/>
          <w:color w:val="auto"/>
          <w:sz w:val="32"/>
          <w:szCs w:val="32"/>
          <w:highlight w:val="none"/>
          <w:lang w:eastAsia="zh-CN"/>
        </w:rPr>
        <w:t>。详见第四部分附件。</w:t>
      </w:r>
    </w:p>
    <w:p w14:paraId="7F898A05">
      <w:pPr>
        <w:numPr>
          <w:ilvl w:val="0"/>
          <w:numId w:val="2"/>
        </w:numPr>
        <w:spacing w:line="600" w:lineRule="exact"/>
        <w:ind w:firstLine="640"/>
        <w:outlineLvl w:val="1"/>
        <w:rPr>
          <w:rStyle w:val="29"/>
          <w:rFonts w:hint="eastAsia" w:ascii="黑体" w:hAnsi="黑体" w:eastAsia="黑体"/>
          <w:b w:val="0"/>
          <w:color w:val="auto"/>
          <w:highlight w:val="none"/>
        </w:rPr>
      </w:pPr>
      <w:bookmarkStart w:id="58" w:name="_Toc26170"/>
      <w:r>
        <w:rPr>
          <w:rStyle w:val="29"/>
          <w:rFonts w:hint="eastAsia" w:ascii="黑体" w:hAnsi="黑体" w:eastAsia="黑体"/>
          <w:b w:val="0"/>
          <w:color w:val="auto"/>
          <w:highlight w:val="none"/>
        </w:rPr>
        <w:t>其他重要事项的情况说明</w:t>
      </w:r>
      <w:bookmarkEnd w:id="56"/>
      <w:bookmarkEnd w:id="57"/>
      <w:bookmarkEnd w:id="58"/>
    </w:p>
    <w:p w14:paraId="1716A998">
      <w:pPr>
        <w:spacing w:line="600" w:lineRule="exact"/>
        <w:ind w:firstLine="643" w:firstLineChars="200"/>
        <w:outlineLvl w:val="2"/>
        <w:rPr>
          <w:rFonts w:ascii="仿宋" w:hAnsi="仿宋" w:eastAsia="仿宋"/>
          <w:color w:val="auto"/>
          <w:sz w:val="32"/>
          <w:szCs w:val="32"/>
          <w:highlight w:val="none"/>
        </w:rPr>
      </w:pPr>
      <w:bookmarkStart w:id="59" w:name="_Toc15377222"/>
      <w:r>
        <w:rPr>
          <w:rFonts w:hint="eastAsia" w:ascii="仿宋" w:hAnsi="仿宋" w:eastAsia="仿宋"/>
          <w:b/>
          <w:color w:val="auto"/>
          <w:sz w:val="32"/>
          <w:szCs w:val="32"/>
          <w:highlight w:val="none"/>
        </w:rPr>
        <w:t>（一）机关运行经费支出情况</w:t>
      </w:r>
      <w:bookmarkEnd w:id="59"/>
    </w:p>
    <w:p w14:paraId="43F22A84">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纪委</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367.37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68.83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15.78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2021年机关运行经费中的查办案件费和2020年目标奖未支付。</w:t>
      </w:r>
    </w:p>
    <w:p w14:paraId="2F3D3129">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0" w:name="_Toc15377223"/>
      <w:r>
        <w:rPr>
          <w:rFonts w:hint="eastAsia" w:ascii="仿宋" w:hAnsi="仿宋" w:eastAsia="仿宋"/>
          <w:b/>
          <w:color w:val="auto"/>
          <w:sz w:val="32"/>
          <w:szCs w:val="32"/>
          <w:highlight w:val="none"/>
        </w:rPr>
        <w:t>（二）政府采购支出情况</w:t>
      </w:r>
      <w:bookmarkEnd w:id="60"/>
    </w:p>
    <w:p w14:paraId="26C2B860">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纪委</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5677C73">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1" w:name="_Toc15377224"/>
      <w:r>
        <w:rPr>
          <w:rFonts w:hint="eastAsia" w:ascii="仿宋" w:hAnsi="仿宋" w:eastAsia="仿宋"/>
          <w:b/>
          <w:color w:val="auto"/>
          <w:sz w:val="32"/>
          <w:szCs w:val="32"/>
          <w:highlight w:val="none"/>
        </w:rPr>
        <w:t>（三）国有资产占有使用情况</w:t>
      </w:r>
      <w:bookmarkEnd w:id="61"/>
    </w:p>
    <w:p w14:paraId="0A385501">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纪委</w:t>
      </w:r>
      <w:r>
        <w:rPr>
          <w:rFonts w:hint="eastAsia" w:ascii="仿宋_GB2312" w:eastAsia="仿宋_GB2312"/>
          <w:color w:val="auto"/>
          <w:sz w:val="32"/>
          <w:szCs w:val="32"/>
          <w:highlight w:val="none"/>
        </w:rPr>
        <w:t>共有</w:t>
      </w:r>
      <w:r>
        <w:rPr>
          <w:rFonts w:hint="eastAsia" w:ascii="仿宋_GB2312" w:eastAsia="仿宋_GB2312"/>
          <w:color w:val="auto"/>
          <w:sz w:val="32"/>
          <w:szCs w:val="32"/>
          <w:highlight w:val="none"/>
          <w:lang w:eastAsia="zh-CN"/>
        </w:rPr>
        <w:t>执纪执法</w:t>
      </w:r>
      <w:r>
        <w:rPr>
          <w:rFonts w:hint="eastAsia" w:ascii="仿宋_GB2312" w:eastAsia="仿宋_GB2312"/>
          <w:color w:val="auto"/>
          <w:sz w:val="32"/>
          <w:szCs w:val="32"/>
          <w:highlight w:val="none"/>
        </w:rPr>
        <w:t>车辆</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执纪执法</w:t>
      </w:r>
      <w:r>
        <w:rPr>
          <w:rFonts w:hint="eastAsia" w:ascii="仿宋_GB2312" w:eastAsia="仿宋_GB2312"/>
          <w:color w:val="auto"/>
          <w:sz w:val="32"/>
          <w:szCs w:val="32"/>
          <w:highlight w:val="none"/>
        </w:rPr>
        <w:t>用车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主要是用于</w:t>
      </w:r>
      <w:r>
        <w:rPr>
          <w:rFonts w:hint="eastAsia" w:ascii="仿宋_GB2312" w:eastAsia="仿宋_GB2312"/>
          <w:color w:val="auto"/>
          <w:sz w:val="32"/>
          <w:szCs w:val="32"/>
          <w:highlight w:val="none"/>
          <w:lang w:eastAsia="zh-CN"/>
        </w:rPr>
        <w:t>纪检监察事务的信访调查、线索核查和案件查办</w:t>
      </w:r>
      <w:r>
        <w:rPr>
          <w:rFonts w:hint="eastAsia" w:ascii="仿宋_GB2312" w:eastAsia="仿宋_GB2312"/>
          <w:color w:val="auto"/>
          <w:sz w:val="32"/>
          <w:szCs w:val="32"/>
          <w:highlight w:val="none"/>
        </w:rPr>
        <w:t>。</w:t>
      </w:r>
    </w:p>
    <w:p w14:paraId="62C2F857">
      <w:pPr>
        <w:pStyle w:val="6"/>
        <w:rPr>
          <w:highlight w:val="yellow"/>
        </w:rPr>
      </w:pPr>
    </w:p>
    <w:p w14:paraId="11A53589">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1D9100EC">
      <w:pPr>
        <w:numPr>
          <w:ilvl w:val="0"/>
          <w:numId w:val="3"/>
        </w:numPr>
        <w:spacing w:line="600" w:lineRule="exact"/>
        <w:ind w:firstLine="663" w:firstLineChars="150"/>
        <w:jc w:val="center"/>
        <w:outlineLvl w:val="0"/>
        <w:rPr>
          <w:rStyle w:val="28"/>
          <w:rFonts w:ascii="黑体" w:hAnsi="黑体" w:eastAsia="黑体"/>
          <w:b/>
          <w:bCs/>
          <w:color w:val="auto"/>
          <w:highlight w:val="none"/>
        </w:rPr>
      </w:pPr>
      <w:bookmarkStart w:id="62" w:name="_Toc15377225"/>
      <w:bookmarkStart w:id="63" w:name="_Toc15396613"/>
      <w:bookmarkStart w:id="64" w:name="_Toc8568"/>
      <w:r>
        <w:rPr>
          <w:rFonts w:hint="eastAsia" w:ascii="黑体" w:hAnsi="黑体" w:eastAsia="黑体"/>
          <w:b/>
          <w:bCs/>
          <w:color w:val="auto"/>
          <w:sz w:val="44"/>
          <w:szCs w:val="44"/>
          <w:highlight w:val="none"/>
        </w:rPr>
        <w:t>名</w:t>
      </w:r>
      <w:r>
        <w:rPr>
          <w:rStyle w:val="28"/>
          <w:rFonts w:hint="eastAsia" w:ascii="黑体" w:hAnsi="黑体" w:eastAsia="黑体"/>
          <w:b/>
          <w:bCs/>
          <w:color w:val="auto"/>
          <w:highlight w:val="none"/>
        </w:rPr>
        <w:t>词解释</w:t>
      </w:r>
      <w:bookmarkEnd w:id="62"/>
      <w:bookmarkEnd w:id="63"/>
      <w:bookmarkEnd w:id="64"/>
    </w:p>
    <w:p w14:paraId="2220F3FB">
      <w:pPr>
        <w:spacing w:line="600" w:lineRule="exact"/>
        <w:jc w:val="left"/>
        <w:rPr>
          <w:rFonts w:ascii="宋体"/>
          <w:b/>
          <w:color w:val="auto"/>
          <w:sz w:val="44"/>
          <w:szCs w:val="44"/>
          <w:highlight w:val="none"/>
        </w:rPr>
      </w:pPr>
    </w:p>
    <w:p w14:paraId="3B87E5D7">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14:paraId="6F38ABC3">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 xml:space="preserve">.年初结转和结余：指以前年度尚未完成、结转到本年按有关规定继续使用的资金。 </w:t>
      </w:r>
    </w:p>
    <w:p w14:paraId="49FFD66A">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14:paraId="2D8D61FE">
      <w:pPr>
        <w:pStyle w:val="15"/>
        <w:widowControl/>
        <w:spacing w:before="120" w:line="600" w:lineRule="atLeast"/>
        <w:ind w:firstLine="640" w:firstLineChars="200"/>
        <w:rPr>
          <w:rFonts w:hint="eastAsia" w:ascii="仿宋_GB2312"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4.一般公共服务（类）纪检监察事务（款）行政运行（项）：反映行政单位(包括实行公务员管理的事业单位)的基本支出。</w:t>
      </w:r>
    </w:p>
    <w:p w14:paraId="6A49620E">
      <w:pPr>
        <w:pStyle w:val="15"/>
        <w:widowControl/>
        <w:spacing w:before="120" w:line="600" w:lineRule="atLeast"/>
        <w:ind w:firstLine="640" w:firstLineChars="200"/>
        <w:rPr>
          <w:rFonts w:hint="eastAsia" w:ascii="仿宋_GB2312"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5.一般公共服务（类）纪检监察事务（款）事业运行（项）：反映事业单位的基本支出,不包括行政单位(包括实行公务员管理的事业单位)后勤服务中心,医务室等附属事业单位.。</w:t>
      </w:r>
    </w:p>
    <w:p w14:paraId="24DC6CD0">
      <w:pPr>
        <w:pStyle w:val="15"/>
        <w:widowControl/>
        <w:spacing w:before="120" w:line="600" w:lineRule="atLeast"/>
        <w:ind w:firstLine="320" w:firstLineChars="100"/>
        <w:rPr>
          <w:rFonts w:hint="eastAsia" w:ascii="仿宋_GB2312"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6.一般公共服务（类）纪检监察事务（款）其他纪检监察事务支出（项）：反映除上述项目以外其他纪检监察事务方面的支出.</w:t>
      </w:r>
    </w:p>
    <w:p w14:paraId="6AC40179">
      <w:pPr>
        <w:pStyle w:val="15"/>
        <w:widowControl/>
        <w:spacing w:before="120" w:line="600" w:lineRule="atLeast"/>
        <w:ind w:firstLine="320" w:firstLineChars="100"/>
        <w:rPr>
          <w:rFonts w:hint="eastAsia" w:ascii="仿宋_GB2312"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7.社会保障和就业（类）行政事业单位养老支出（款）机关事业单位基本养老保险缴费支出（项）：指部门实施养老保险制度由单位缴纳的养老保险费的支出。</w:t>
      </w:r>
    </w:p>
    <w:p w14:paraId="65F7CF8D">
      <w:pPr>
        <w:pStyle w:val="15"/>
        <w:widowControl/>
        <w:spacing w:before="120" w:line="600" w:lineRule="atLeast"/>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　</w:t>
      </w:r>
      <w:r>
        <w:rPr>
          <w:rFonts w:hint="eastAsia" w:ascii="仿宋_GB2312" w:eastAsia="仿宋_GB2312" w:cs="仿宋"/>
          <w:color w:val="000000"/>
          <w:kern w:val="0"/>
          <w:sz w:val="32"/>
          <w:szCs w:val="32"/>
          <w:lang w:val="en-US" w:eastAsia="zh-CN" w:bidi="ar-SA"/>
        </w:rPr>
        <w:t>8</w:t>
      </w:r>
      <w:r>
        <w:rPr>
          <w:rFonts w:hint="eastAsia" w:ascii="仿宋_GB2312" w:hAnsi="Times New Roman" w:eastAsia="仿宋_GB2312" w:cs="仿宋"/>
          <w:color w:val="000000"/>
          <w:kern w:val="0"/>
          <w:sz w:val="32"/>
          <w:szCs w:val="32"/>
          <w:lang w:val="en-US" w:eastAsia="zh-CN" w:bidi="ar-SA"/>
        </w:rPr>
        <w:t>.社会保障和就业（类）行政事业单位养老支出（款）机关事业单位职业年金缴费支出（项）：指部门实施养老保险制度由单位缴纳的职业年金的支出。</w:t>
      </w:r>
    </w:p>
    <w:p w14:paraId="69FEA404">
      <w:pPr>
        <w:pStyle w:val="15"/>
        <w:widowControl/>
        <w:spacing w:before="120" w:line="600" w:lineRule="atLeast"/>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　</w:t>
      </w:r>
      <w:r>
        <w:rPr>
          <w:rFonts w:hint="eastAsia" w:ascii="仿宋_GB2312" w:eastAsia="仿宋_GB2312" w:cs="仿宋"/>
          <w:color w:val="000000"/>
          <w:kern w:val="0"/>
          <w:sz w:val="32"/>
          <w:szCs w:val="32"/>
          <w:lang w:val="en-US" w:eastAsia="zh-CN" w:bidi="ar-SA"/>
        </w:rPr>
        <w:t>9</w:t>
      </w:r>
      <w:r>
        <w:rPr>
          <w:rFonts w:hint="eastAsia" w:ascii="仿宋_GB2312" w:hAnsi="Times New Roman" w:eastAsia="仿宋_GB2312" w:cs="仿宋"/>
          <w:color w:val="000000"/>
          <w:kern w:val="0"/>
          <w:sz w:val="32"/>
          <w:szCs w:val="32"/>
          <w:lang w:val="en-US" w:eastAsia="zh-CN" w:bidi="ar-SA"/>
        </w:rPr>
        <w:t>.卫生健康（类）行政事业单位医疗（款）行政单位医疗（项）：指厅机关及参公管理事业单位用于单位应缴纳基本医疗保险支出。</w:t>
      </w:r>
    </w:p>
    <w:p w14:paraId="03D66C9E">
      <w:pPr>
        <w:pStyle w:val="15"/>
        <w:widowControl/>
        <w:spacing w:before="120" w:line="600" w:lineRule="atLeast"/>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　</w:t>
      </w:r>
      <w:r>
        <w:rPr>
          <w:rFonts w:hint="eastAsia" w:ascii="仿宋_GB2312" w:eastAsia="仿宋_GB2312" w:cs="仿宋"/>
          <w:color w:val="000000"/>
          <w:kern w:val="0"/>
          <w:sz w:val="32"/>
          <w:szCs w:val="32"/>
          <w:lang w:val="en-US" w:eastAsia="zh-CN" w:bidi="ar-SA"/>
        </w:rPr>
        <w:t>10</w:t>
      </w:r>
      <w:r>
        <w:rPr>
          <w:rFonts w:hint="eastAsia" w:ascii="仿宋_GB2312" w:hAnsi="Times New Roman" w:eastAsia="仿宋_GB2312" w:cs="仿宋"/>
          <w:color w:val="000000"/>
          <w:kern w:val="0"/>
          <w:sz w:val="32"/>
          <w:szCs w:val="32"/>
          <w:lang w:val="en-US" w:eastAsia="zh-CN" w:bidi="ar-SA"/>
        </w:rPr>
        <w:t>.卫生健康（类）行政事业单位医疗（款）公务员医疗补助（项）：指厅机关及参公管理事业单位用于集中缴纳公务员医疗补助支出。</w:t>
      </w:r>
    </w:p>
    <w:p w14:paraId="1EC052B3">
      <w:pPr>
        <w:pStyle w:val="15"/>
        <w:widowControl/>
        <w:spacing w:before="120" w:line="600" w:lineRule="atLeast"/>
        <w:ind w:firstLine="320" w:firstLineChars="1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1</w:t>
      </w:r>
      <w:r>
        <w:rPr>
          <w:rFonts w:hint="eastAsia" w:ascii="仿宋_GB2312" w:eastAsia="仿宋_GB2312" w:cs="仿宋"/>
          <w:color w:val="000000"/>
          <w:kern w:val="0"/>
          <w:sz w:val="32"/>
          <w:szCs w:val="32"/>
          <w:lang w:val="en-US" w:eastAsia="zh-CN" w:bidi="ar-SA"/>
        </w:rPr>
        <w:t>1</w:t>
      </w:r>
      <w:r>
        <w:rPr>
          <w:rFonts w:hint="eastAsia" w:ascii="仿宋_GB2312" w:hAnsi="Times New Roman" w:eastAsia="仿宋_GB2312" w:cs="仿宋"/>
          <w:color w:val="000000"/>
          <w:kern w:val="0"/>
          <w:sz w:val="32"/>
          <w:szCs w:val="32"/>
          <w:lang w:val="en-US" w:eastAsia="zh-CN" w:bidi="ar-SA"/>
        </w:rPr>
        <w:t>.住房保障（类）住房改革支出（款）住房公积金（项）：指按照《住房公积金管理条例》的规定，由单位及其在职职工缴存的长期住房储金。</w:t>
      </w:r>
    </w:p>
    <w:p w14:paraId="02E3BCF5">
      <w:pPr>
        <w:pStyle w:val="15"/>
        <w:widowControl/>
        <w:spacing w:before="120" w:line="600" w:lineRule="atLeast"/>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　</w:t>
      </w:r>
      <w:r>
        <w:rPr>
          <w:rFonts w:hint="eastAsia" w:ascii="仿宋_GB2312" w:eastAsia="仿宋_GB2312" w:cs="仿宋"/>
          <w:color w:val="000000"/>
          <w:kern w:val="0"/>
          <w:sz w:val="32"/>
          <w:szCs w:val="32"/>
          <w:lang w:val="en-US" w:eastAsia="zh-CN" w:bidi="ar-SA"/>
        </w:rPr>
        <w:t>12</w:t>
      </w:r>
      <w:r>
        <w:rPr>
          <w:rFonts w:hint="eastAsia" w:ascii="仿宋_GB2312" w:hAnsi="Times New Roman" w:eastAsia="仿宋_GB2312" w:cs="仿宋"/>
          <w:color w:val="000000"/>
          <w:kern w:val="0"/>
          <w:sz w:val="32"/>
          <w:szCs w:val="32"/>
          <w:lang w:val="en-US" w:eastAsia="zh-CN" w:bidi="ar-SA"/>
        </w:rPr>
        <w:t>.住房保障（类）住房改革支出（款）购房补贴（项）：指按房改政策规定的标准，向符合条件职工发放的用于购买住房的补贴。</w:t>
      </w:r>
    </w:p>
    <w:p w14:paraId="4528C46D">
      <w:pPr>
        <w:pStyle w:val="15"/>
        <w:widowControl/>
        <w:spacing w:before="120" w:line="600" w:lineRule="atLeast"/>
        <w:ind w:firstLine="320" w:firstLineChars="100"/>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13</w:t>
      </w:r>
      <w:r>
        <w:rPr>
          <w:rFonts w:hint="eastAsia" w:ascii="仿宋_GB2312" w:hAnsi="Times New Roman" w:eastAsia="仿宋_GB2312" w:cs="仿宋"/>
          <w:color w:val="000000"/>
          <w:kern w:val="0"/>
          <w:sz w:val="32"/>
          <w:szCs w:val="32"/>
          <w:lang w:val="en-US" w:eastAsia="zh-CN" w:bidi="ar-SA"/>
        </w:rPr>
        <w:t>.基本支出：指为保障机构正常运转、完成日常工作任务而发生的人员支出和公用支出。</w:t>
      </w:r>
    </w:p>
    <w:p w14:paraId="79FCC7F4">
      <w:pPr>
        <w:pStyle w:val="15"/>
        <w:widowControl/>
        <w:spacing w:before="120" w:line="600" w:lineRule="atLeast"/>
        <w:ind w:firstLine="320" w:firstLineChars="100"/>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14</w:t>
      </w:r>
      <w:r>
        <w:rPr>
          <w:rFonts w:hint="eastAsia" w:ascii="仿宋_GB2312" w:hAnsi="Times New Roman" w:eastAsia="仿宋_GB2312" w:cs="仿宋"/>
          <w:color w:val="000000"/>
          <w:kern w:val="0"/>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5E59C56">
      <w:pPr>
        <w:pStyle w:val="15"/>
        <w:widowControl/>
        <w:spacing w:before="120" w:line="600" w:lineRule="atLeast"/>
        <w:ind w:firstLine="320" w:firstLineChars="100"/>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15</w:t>
      </w:r>
      <w:r>
        <w:rPr>
          <w:rFonts w:hint="eastAsia" w:ascii="仿宋_GB2312" w:hAnsi="Times New Roman" w:eastAsia="仿宋_GB2312" w:cs="仿宋"/>
          <w:color w:val="000000"/>
          <w:kern w:val="0"/>
          <w:sz w:val="32"/>
          <w:szCs w:val="32"/>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436F5C">
      <w:pPr>
        <w:pStyle w:val="15"/>
        <w:widowControl/>
        <w:spacing w:before="120" w:line="600" w:lineRule="atLeast"/>
        <w:rPr>
          <w:rFonts w:hint="eastAsia" w:ascii="仿宋_GB2312" w:hAnsi="Times New Roman" w:eastAsia="仿宋_GB2312" w:cs="仿宋"/>
          <w:color w:val="000000"/>
          <w:kern w:val="0"/>
          <w:sz w:val="32"/>
          <w:szCs w:val="32"/>
          <w:lang w:val="en-US" w:eastAsia="zh-CN" w:bidi="ar-SA"/>
        </w:rPr>
      </w:pPr>
      <w:bookmarkStart w:id="65" w:name="_Toc15377226"/>
      <w:bookmarkStart w:id="66" w:name="_Toc15396618"/>
    </w:p>
    <w:p w14:paraId="557A690E">
      <w:pPr>
        <w:spacing w:line="600" w:lineRule="exact"/>
        <w:jc w:val="center"/>
        <w:outlineLvl w:val="9"/>
        <w:rPr>
          <w:rFonts w:hint="eastAsia" w:ascii="黑体" w:hAnsi="黑体" w:eastAsia="黑体"/>
          <w:color w:val="auto"/>
          <w:sz w:val="44"/>
          <w:szCs w:val="44"/>
          <w:highlight w:val="none"/>
        </w:rPr>
      </w:pPr>
    </w:p>
    <w:p w14:paraId="2FE4E8EC">
      <w:pPr>
        <w:pStyle w:val="2"/>
        <w:rPr>
          <w:rFonts w:hint="eastAsia" w:ascii="黑体" w:hAnsi="黑体" w:eastAsia="黑体"/>
          <w:color w:val="auto"/>
          <w:sz w:val="44"/>
          <w:szCs w:val="44"/>
          <w:highlight w:val="none"/>
        </w:rPr>
      </w:pPr>
    </w:p>
    <w:p w14:paraId="0315FE34">
      <w:pPr>
        <w:spacing w:line="600" w:lineRule="exact"/>
        <w:jc w:val="center"/>
        <w:outlineLvl w:val="0"/>
        <w:rPr>
          <w:rFonts w:hint="eastAsia" w:ascii="黑体" w:hAnsi="黑体" w:eastAsia="黑体"/>
          <w:b/>
          <w:bCs/>
          <w:color w:val="auto"/>
          <w:sz w:val="44"/>
          <w:szCs w:val="44"/>
          <w:highlight w:val="none"/>
        </w:rPr>
      </w:pPr>
      <w:bookmarkStart w:id="67" w:name="_Toc15396614"/>
    </w:p>
    <w:p w14:paraId="6B34D5A5">
      <w:pPr>
        <w:spacing w:line="600" w:lineRule="exact"/>
        <w:jc w:val="center"/>
        <w:outlineLvl w:val="0"/>
        <w:rPr>
          <w:rFonts w:hint="eastAsia" w:ascii="黑体" w:hAnsi="黑体" w:eastAsia="黑体"/>
          <w:b/>
          <w:bCs/>
          <w:color w:val="auto"/>
          <w:sz w:val="44"/>
          <w:szCs w:val="44"/>
          <w:highlight w:val="none"/>
        </w:rPr>
      </w:pPr>
    </w:p>
    <w:p w14:paraId="428F5218">
      <w:pPr>
        <w:spacing w:line="600" w:lineRule="exact"/>
        <w:jc w:val="center"/>
        <w:outlineLvl w:val="0"/>
        <w:rPr>
          <w:rFonts w:hint="eastAsia" w:ascii="黑体" w:hAnsi="黑体" w:eastAsia="黑体"/>
          <w:b/>
          <w:bCs/>
          <w:color w:val="auto"/>
          <w:sz w:val="44"/>
          <w:szCs w:val="44"/>
          <w:highlight w:val="none"/>
        </w:rPr>
      </w:pPr>
    </w:p>
    <w:p w14:paraId="3E7FE1EC">
      <w:pPr>
        <w:spacing w:line="600" w:lineRule="exact"/>
        <w:jc w:val="center"/>
        <w:outlineLvl w:val="0"/>
        <w:rPr>
          <w:rFonts w:hint="eastAsia" w:ascii="黑体" w:hAnsi="黑体" w:eastAsia="黑体"/>
          <w:b/>
          <w:bCs/>
          <w:color w:val="auto"/>
          <w:sz w:val="44"/>
          <w:szCs w:val="44"/>
          <w:highlight w:val="none"/>
        </w:rPr>
      </w:pPr>
    </w:p>
    <w:p w14:paraId="6A18E8B8">
      <w:pPr>
        <w:spacing w:line="600" w:lineRule="exact"/>
        <w:jc w:val="center"/>
        <w:outlineLvl w:val="0"/>
        <w:rPr>
          <w:rFonts w:hint="eastAsia" w:ascii="黑体" w:hAnsi="黑体" w:eastAsia="黑体"/>
          <w:b/>
          <w:bCs/>
          <w:color w:val="auto"/>
          <w:sz w:val="44"/>
          <w:szCs w:val="44"/>
          <w:highlight w:val="none"/>
        </w:rPr>
      </w:pPr>
    </w:p>
    <w:p w14:paraId="2EEA70E5">
      <w:pPr>
        <w:spacing w:line="600" w:lineRule="exact"/>
        <w:jc w:val="center"/>
        <w:outlineLvl w:val="0"/>
        <w:rPr>
          <w:rFonts w:hint="eastAsia" w:ascii="黑体" w:hAnsi="黑体" w:eastAsia="黑体"/>
          <w:b/>
          <w:bCs/>
          <w:color w:val="auto"/>
          <w:sz w:val="44"/>
          <w:szCs w:val="44"/>
          <w:highlight w:val="none"/>
        </w:rPr>
      </w:pPr>
    </w:p>
    <w:p w14:paraId="29539939">
      <w:pPr>
        <w:spacing w:line="600" w:lineRule="exact"/>
        <w:jc w:val="center"/>
        <w:outlineLvl w:val="0"/>
        <w:rPr>
          <w:rFonts w:hint="eastAsia" w:ascii="黑体" w:hAnsi="黑体" w:eastAsia="黑体"/>
          <w:b/>
          <w:bCs/>
          <w:color w:val="auto"/>
          <w:sz w:val="44"/>
          <w:szCs w:val="44"/>
          <w:highlight w:val="none"/>
        </w:rPr>
      </w:pPr>
    </w:p>
    <w:p w14:paraId="7B0C31B9">
      <w:pPr>
        <w:spacing w:line="600" w:lineRule="exact"/>
        <w:jc w:val="center"/>
        <w:outlineLvl w:val="0"/>
        <w:rPr>
          <w:rFonts w:hint="eastAsia" w:ascii="黑体" w:hAnsi="黑体" w:eastAsia="黑体"/>
          <w:b/>
          <w:bCs/>
          <w:color w:val="auto"/>
          <w:sz w:val="44"/>
          <w:szCs w:val="44"/>
          <w:highlight w:val="none"/>
        </w:rPr>
      </w:pPr>
    </w:p>
    <w:p w14:paraId="049D58E8">
      <w:pPr>
        <w:spacing w:line="600" w:lineRule="exact"/>
        <w:jc w:val="center"/>
        <w:outlineLvl w:val="0"/>
        <w:rPr>
          <w:rFonts w:hint="eastAsia" w:ascii="黑体" w:hAnsi="黑体" w:eastAsia="黑体"/>
          <w:b/>
          <w:bCs/>
          <w:color w:val="auto"/>
          <w:sz w:val="44"/>
          <w:szCs w:val="44"/>
          <w:highlight w:val="none"/>
        </w:rPr>
      </w:pPr>
    </w:p>
    <w:p w14:paraId="2AC226A1">
      <w:pPr>
        <w:spacing w:line="600" w:lineRule="exact"/>
        <w:jc w:val="center"/>
        <w:outlineLvl w:val="0"/>
        <w:rPr>
          <w:rStyle w:val="28"/>
          <w:rFonts w:ascii="黑体" w:hAnsi="黑体" w:eastAsia="黑体"/>
          <w:b/>
          <w:bCs/>
          <w:color w:val="auto"/>
          <w:highlight w:val="none"/>
        </w:rPr>
      </w:pPr>
      <w:bookmarkStart w:id="68" w:name="_Toc13289"/>
      <w:r>
        <w:rPr>
          <w:rFonts w:hint="eastAsia" w:ascii="黑体" w:hAnsi="黑体" w:eastAsia="黑体"/>
          <w:b/>
          <w:bCs/>
          <w:color w:val="auto"/>
          <w:sz w:val="44"/>
          <w:szCs w:val="44"/>
          <w:highlight w:val="none"/>
        </w:rPr>
        <w:t>第</w:t>
      </w:r>
      <w:r>
        <w:rPr>
          <w:rStyle w:val="28"/>
          <w:rFonts w:hint="eastAsia" w:ascii="黑体" w:hAnsi="黑体" w:eastAsia="黑体"/>
          <w:b/>
          <w:bCs/>
          <w:color w:val="auto"/>
          <w:highlight w:val="none"/>
        </w:rPr>
        <w:t>四部分 附件</w:t>
      </w:r>
      <w:bookmarkEnd w:id="67"/>
      <w:bookmarkEnd w:id="68"/>
    </w:p>
    <w:tbl>
      <w:tblPr>
        <w:tblStyle w:val="17"/>
        <w:tblpPr w:leftFromText="180" w:rightFromText="180" w:vertAnchor="text" w:horzAnchor="page" w:tblpX="1270" w:tblpY="588"/>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14:paraId="6AFA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0D7179C5">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14:paraId="7B20B3B0">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14:paraId="39BD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E1C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BCD88">
            <w:pPr>
              <w:keepNext w:val="0"/>
              <w:keepLines w:val="0"/>
              <w:pageBreakBefore w:val="0"/>
              <w:widowControl/>
              <w:suppressLineNumbers w:val="0"/>
              <w:kinsoku/>
              <w:wordWrap/>
              <w:overflowPunct/>
              <w:topLinePunct w:val="0"/>
              <w:autoSpaceDE/>
              <w:autoSpaceDN/>
              <w:bidi w:val="0"/>
              <w:adjustRightInd/>
              <w:snapToGrid/>
              <w:spacing w:line="320" w:lineRule="exact"/>
              <w:ind w:firstLine="960" w:firstLineChars="400"/>
              <w:jc w:val="both"/>
              <w:textAlignment w:val="center"/>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222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81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17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区纪委</w:t>
            </w:r>
          </w:p>
        </w:tc>
      </w:tr>
      <w:tr w14:paraId="3639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6"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EC0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项目预算</w:t>
            </w:r>
          </w:p>
          <w:p w14:paraId="51718A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执行情况</w:t>
            </w:r>
          </w:p>
          <w:p w14:paraId="2AA266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98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00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18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06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2A3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18</w:t>
            </w:r>
          </w:p>
        </w:tc>
      </w:tr>
      <w:tr w14:paraId="1863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30"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4C14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FC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其中：</w:t>
            </w:r>
          </w:p>
          <w:p w14:paraId="7120FE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5A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18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E4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其中：</w:t>
            </w:r>
          </w:p>
          <w:p w14:paraId="764BBA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202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18</w:t>
            </w:r>
          </w:p>
        </w:tc>
      </w:tr>
      <w:tr w14:paraId="21EB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80"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6F84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41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FB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CD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72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0</w:t>
            </w:r>
          </w:p>
        </w:tc>
      </w:tr>
      <w:tr w14:paraId="40B9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20"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4D6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年度总体目标</w:t>
            </w:r>
          </w:p>
          <w:p w14:paraId="539559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8E3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1F8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目标实际完成情况</w:t>
            </w:r>
          </w:p>
        </w:tc>
      </w:tr>
      <w:tr w14:paraId="67E0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17DE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0E46C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sz w:val="21"/>
                <w:szCs w:val="21"/>
                <w:u w:val="none"/>
              </w:rPr>
              <w:t>严格申报用车派车审批手续,控制车辆费用,杜绝跑空趟和浪费车辆资源.尽可能</w:t>
            </w:r>
            <w:r>
              <w:rPr>
                <w:rFonts w:hint="eastAsia" w:asciiTheme="majorEastAsia" w:hAnsiTheme="majorEastAsia" w:eastAsiaTheme="majorEastAsia" w:cstheme="majorEastAsia"/>
                <w:i w:val="0"/>
                <w:color w:val="auto"/>
                <w:sz w:val="21"/>
                <w:szCs w:val="21"/>
                <w:u w:val="none"/>
                <w:lang w:val="en-US" w:eastAsia="zh-CN"/>
              </w:rPr>
              <w:t>地</w:t>
            </w:r>
            <w:r>
              <w:rPr>
                <w:rFonts w:hint="eastAsia" w:asciiTheme="majorEastAsia" w:hAnsiTheme="majorEastAsia" w:eastAsiaTheme="majorEastAsia" w:cstheme="majorEastAsia"/>
                <w:i w:val="0"/>
                <w:color w:val="auto"/>
                <w:sz w:val="21"/>
                <w:szCs w:val="21"/>
                <w:u w:val="none"/>
              </w:rPr>
              <w:t>整合用车信息,统一调配车辆。</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DEAE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18"/>
                <w:szCs w:val="18"/>
                <w:u w:val="none"/>
                <w:lang w:eastAsia="zh-CN"/>
              </w:rPr>
              <w:t>全年严格按照年度既定目标。统一申请，统筹调配人员和车辆，安全、有效</w:t>
            </w:r>
            <w:r>
              <w:rPr>
                <w:rFonts w:hint="eastAsia" w:asciiTheme="majorEastAsia" w:hAnsiTheme="majorEastAsia" w:eastAsiaTheme="majorEastAsia" w:cstheme="majorEastAsia"/>
                <w:i w:val="0"/>
                <w:color w:val="auto"/>
                <w:sz w:val="18"/>
                <w:szCs w:val="18"/>
                <w:u w:val="none"/>
                <w:lang w:val="en-US" w:eastAsia="zh-CN"/>
              </w:rPr>
              <w:t>地</w:t>
            </w:r>
            <w:r>
              <w:rPr>
                <w:rFonts w:hint="eastAsia" w:asciiTheme="majorEastAsia" w:hAnsiTheme="majorEastAsia" w:eastAsiaTheme="majorEastAsia" w:cstheme="majorEastAsia"/>
                <w:i w:val="0"/>
                <w:color w:val="auto"/>
                <w:sz w:val="18"/>
                <w:szCs w:val="18"/>
                <w:u w:val="none"/>
                <w:lang w:eastAsia="zh-CN"/>
              </w:rPr>
              <w:t>保障了纪委监委的执纪执法工作开展</w:t>
            </w:r>
            <w:r>
              <w:rPr>
                <w:rFonts w:hint="eastAsia" w:asciiTheme="majorEastAsia" w:hAnsiTheme="majorEastAsia" w:eastAsiaTheme="majorEastAsia" w:cstheme="majorEastAsia"/>
                <w:i w:val="0"/>
                <w:color w:val="auto"/>
                <w:sz w:val="24"/>
                <w:szCs w:val="24"/>
                <w:u w:val="none"/>
                <w:lang w:eastAsia="zh-CN"/>
              </w:rPr>
              <w:t>。</w:t>
            </w:r>
          </w:p>
        </w:tc>
      </w:tr>
      <w:tr w14:paraId="6301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5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1A8341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59B53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一级</w:t>
            </w:r>
          </w:p>
          <w:p w14:paraId="75C3F4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93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二级</w:t>
            </w:r>
          </w:p>
          <w:p w14:paraId="3EB97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35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三级</w:t>
            </w:r>
          </w:p>
          <w:p w14:paraId="4F54A1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AF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1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实际完成指标值</w:t>
            </w:r>
          </w:p>
        </w:tc>
      </w:tr>
      <w:tr w14:paraId="40FF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40" w:hRule="atLeast"/>
        </w:trPr>
        <w:tc>
          <w:tcPr>
            <w:tcW w:w="1977" w:type="dxa"/>
            <w:vMerge w:val="continue"/>
            <w:tcBorders>
              <w:left w:val="single" w:color="000000" w:sz="4" w:space="0"/>
              <w:right w:val="single" w:color="000000" w:sz="4" w:space="0"/>
            </w:tcBorders>
            <w:shd w:val="clear" w:color="auto" w:fill="auto"/>
            <w:vAlign w:val="center"/>
          </w:tcPr>
          <w:p w14:paraId="52562F5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BD5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完成</w:t>
            </w:r>
          </w:p>
          <w:p w14:paraId="349834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66D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6F70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维护执纪执法车辆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B52C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3辆</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B009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3辆</w:t>
            </w:r>
          </w:p>
        </w:tc>
      </w:tr>
      <w:tr w14:paraId="58C4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60" w:hRule="atLeast"/>
        </w:trPr>
        <w:tc>
          <w:tcPr>
            <w:tcW w:w="1977" w:type="dxa"/>
            <w:vMerge w:val="continue"/>
            <w:tcBorders>
              <w:left w:val="single" w:color="000000" w:sz="4" w:space="0"/>
              <w:right w:val="single" w:color="000000" w:sz="4" w:space="0"/>
            </w:tcBorders>
            <w:shd w:val="clear" w:color="auto" w:fill="auto"/>
            <w:vAlign w:val="center"/>
          </w:tcPr>
          <w:p w14:paraId="2F03DEB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6F2C24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CD6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1F1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执纪执法车正常使用率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9E4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96%以上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E3C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100%</w:t>
            </w:r>
          </w:p>
        </w:tc>
      </w:tr>
      <w:tr w14:paraId="0C7D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70359CFF">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12BE34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740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F2C0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服务时限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9F4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2021年全年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9A0F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2021年全年</w:t>
            </w:r>
          </w:p>
        </w:tc>
      </w:tr>
      <w:tr w14:paraId="2219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358A469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84772E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B3F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B7F6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资金成本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1D8F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18万元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197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17.98万元</w:t>
            </w:r>
          </w:p>
        </w:tc>
      </w:tr>
      <w:tr w14:paraId="40CC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808E5B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9EB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效益</w:t>
            </w:r>
          </w:p>
          <w:p w14:paraId="4B4EE7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895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B2B7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是否有效减少车辆维护费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C54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2946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w:t>
            </w:r>
          </w:p>
        </w:tc>
      </w:tr>
      <w:tr w14:paraId="393F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2C5DB9D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4530D9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453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CEF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是否优化车辆使用形象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86EA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218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w:t>
            </w:r>
          </w:p>
        </w:tc>
      </w:tr>
      <w:tr w14:paraId="6B54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1D36CB2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2D04F4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F5F7CA">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9A8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是否节能使用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6B0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3B3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w:t>
            </w:r>
          </w:p>
        </w:tc>
      </w:tr>
      <w:tr w14:paraId="6D47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62FE479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9FB597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6193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CA37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是否保障公务工作有效开展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070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1B74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是</w:t>
            </w:r>
          </w:p>
        </w:tc>
      </w:tr>
      <w:tr w14:paraId="36F3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4B6AC4DF">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i w:val="0"/>
                <w:color w:val="auto"/>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AF2A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满意</w:t>
            </w:r>
          </w:p>
          <w:p w14:paraId="332205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E13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满意度</w:t>
            </w:r>
          </w:p>
          <w:p w14:paraId="1A7BA6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8FD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用车人员满意度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C64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95%以上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1F67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Theme="majorEastAsia" w:hAnsiTheme="majorEastAsia" w:eastAsiaTheme="majorEastAsia" w:cstheme="majorEastAsia"/>
                <w:i w:val="0"/>
                <w:color w:val="auto"/>
                <w:sz w:val="24"/>
                <w:szCs w:val="24"/>
                <w:u w:val="none"/>
                <w:lang w:val="en-US" w:eastAsia="zh-CN"/>
              </w:rPr>
            </w:pPr>
            <w:r>
              <w:rPr>
                <w:rFonts w:hint="eastAsia" w:asciiTheme="majorEastAsia" w:hAnsiTheme="majorEastAsia" w:eastAsiaTheme="majorEastAsia" w:cstheme="majorEastAsia"/>
                <w:i w:val="0"/>
                <w:color w:val="auto"/>
                <w:sz w:val="24"/>
                <w:szCs w:val="24"/>
                <w:u w:val="none"/>
                <w:lang w:val="en-US" w:eastAsia="zh-CN"/>
              </w:rPr>
              <w:t>98%</w:t>
            </w:r>
          </w:p>
        </w:tc>
      </w:tr>
    </w:tbl>
    <w:p w14:paraId="50293E12">
      <w:pPr>
        <w:spacing w:line="600" w:lineRule="exact"/>
        <w:jc w:val="center"/>
        <w:outlineLvl w:val="9"/>
        <w:rPr>
          <w:rFonts w:hint="eastAsia" w:ascii="黑体" w:hAnsi="黑体" w:eastAsia="黑体"/>
          <w:color w:val="auto"/>
          <w:sz w:val="24"/>
          <w:szCs w:val="24"/>
          <w:highlight w:val="none"/>
        </w:rPr>
      </w:pPr>
    </w:p>
    <w:p w14:paraId="410D618F">
      <w:pPr>
        <w:spacing w:line="600" w:lineRule="exact"/>
        <w:jc w:val="center"/>
        <w:outlineLvl w:val="9"/>
        <w:rPr>
          <w:rFonts w:hint="eastAsia" w:ascii="黑体" w:hAnsi="黑体" w:eastAsia="黑体"/>
          <w:color w:val="auto"/>
          <w:sz w:val="44"/>
          <w:szCs w:val="44"/>
          <w:highlight w:val="none"/>
        </w:rPr>
      </w:pPr>
    </w:p>
    <w:p w14:paraId="25AA7B39">
      <w:pPr>
        <w:spacing w:line="600" w:lineRule="exact"/>
        <w:jc w:val="center"/>
        <w:outlineLvl w:val="0"/>
        <w:rPr>
          <w:rFonts w:hint="eastAsia" w:ascii="仿宋" w:hAnsi="仿宋" w:eastAsia="仿宋"/>
          <w:b/>
          <w:bCs/>
          <w:color w:val="auto"/>
          <w:highlight w:val="none"/>
        </w:rPr>
      </w:pPr>
      <w:bookmarkStart w:id="69" w:name="_Toc17222"/>
      <w:r>
        <w:rPr>
          <w:rFonts w:hint="eastAsia" w:ascii="黑体" w:hAnsi="黑体" w:eastAsia="黑体"/>
          <w:b/>
          <w:bCs/>
          <w:color w:val="auto"/>
          <w:sz w:val="44"/>
          <w:szCs w:val="44"/>
          <w:highlight w:val="none"/>
        </w:rPr>
        <w:t>第</w:t>
      </w:r>
      <w:r>
        <w:rPr>
          <w:rFonts w:hint="eastAsia" w:ascii="黑体" w:hAnsi="黑体" w:eastAsia="黑体"/>
          <w:b/>
          <w:bCs/>
          <w:color w:val="auto"/>
          <w:sz w:val="44"/>
          <w:szCs w:val="44"/>
          <w:highlight w:val="none"/>
          <w:lang w:eastAsia="zh-CN"/>
        </w:rPr>
        <w:t>五</w:t>
      </w:r>
      <w:r>
        <w:rPr>
          <w:rStyle w:val="28"/>
          <w:rFonts w:hint="eastAsia" w:ascii="黑体" w:hAnsi="黑体" w:eastAsia="黑体"/>
          <w:b/>
          <w:bCs/>
          <w:color w:val="auto"/>
          <w:highlight w:val="none"/>
        </w:rPr>
        <w:t>部分 附表</w:t>
      </w:r>
      <w:bookmarkEnd w:id="65"/>
      <w:bookmarkEnd w:id="66"/>
      <w:bookmarkEnd w:id="69"/>
      <w:bookmarkStart w:id="70" w:name="_Toc15396619"/>
    </w:p>
    <w:p w14:paraId="20E12528">
      <w:pPr>
        <w:pStyle w:val="4"/>
        <w:rPr>
          <w:rFonts w:ascii="仿宋" w:hAnsi="仿宋" w:eastAsia="仿宋"/>
          <w:color w:val="auto"/>
          <w:highlight w:val="none"/>
        </w:rPr>
      </w:pPr>
      <w:bookmarkStart w:id="71" w:name="_Toc18323"/>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70"/>
      <w:bookmarkEnd w:id="71"/>
    </w:p>
    <w:p w14:paraId="773E3F69">
      <w:pPr>
        <w:pStyle w:val="4"/>
        <w:rPr>
          <w:rFonts w:ascii="仿宋" w:hAnsi="仿宋" w:eastAsia="仿宋"/>
          <w:color w:val="auto"/>
          <w:highlight w:val="none"/>
        </w:rPr>
      </w:pPr>
      <w:bookmarkStart w:id="72" w:name="_Toc20528"/>
      <w:bookmarkStart w:id="73"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72"/>
      <w:bookmarkEnd w:id="73"/>
    </w:p>
    <w:p w14:paraId="0BD6927B">
      <w:pPr>
        <w:pStyle w:val="4"/>
        <w:rPr>
          <w:rFonts w:ascii="仿宋" w:hAnsi="仿宋" w:eastAsia="仿宋"/>
          <w:color w:val="auto"/>
          <w:highlight w:val="none"/>
        </w:rPr>
      </w:pPr>
      <w:bookmarkStart w:id="74" w:name="_Toc15396621"/>
      <w:bookmarkStart w:id="75" w:name="_Toc12218"/>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74"/>
      <w:bookmarkEnd w:id="75"/>
    </w:p>
    <w:p w14:paraId="047B7DDD">
      <w:pPr>
        <w:pStyle w:val="4"/>
        <w:rPr>
          <w:rFonts w:ascii="仿宋" w:hAnsi="仿宋" w:eastAsia="仿宋"/>
          <w:b w:val="0"/>
          <w:color w:val="auto"/>
          <w:highlight w:val="none"/>
        </w:rPr>
      </w:pPr>
      <w:bookmarkStart w:id="76" w:name="_Toc14128"/>
      <w:bookmarkStart w:id="77"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76"/>
      <w:bookmarkEnd w:id="77"/>
    </w:p>
    <w:p w14:paraId="7FA2BBF1">
      <w:pPr>
        <w:pStyle w:val="4"/>
        <w:rPr>
          <w:rStyle w:val="29"/>
          <w:rFonts w:ascii="仿宋" w:hAnsi="仿宋" w:eastAsia="仿宋"/>
          <w:b w:val="0"/>
          <w:bCs w:val="0"/>
          <w:color w:val="auto"/>
          <w:highlight w:val="none"/>
        </w:rPr>
      </w:pPr>
      <w:bookmarkStart w:id="78" w:name="_Toc14339"/>
      <w:bookmarkStart w:id="79"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78"/>
      <w:bookmarkEnd w:id="79"/>
      <w:bookmarkStart w:id="80" w:name="_Toc15396624"/>
    </w:p>
    <w:p w14:paraId="4E91D157">
      <w:pPr>
        <w:pStyle w:val="4"/>
        <w:rPr>
          <w:rFonts w:ascii="仿宋" w:hAnsi="仿宋" w:eastAsia="仿宋"/>
          <w:color w:val="auto"/>
          <w:highlight w:val="none"/>
        </w:rPr>
      </w:pPr>
      <w:bookmarkStart w:id="81" w:name="_Toc5018"/>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80"/>
      <w:bookmarkEnd w:id="81"/>
    </w:p>
    <w:p w14:paraId="0E5EF6E0">
      <w:pPr>
        <w:pStyle w:val="4"/>
        <w:rPr>
          <w:rFonts w:ascii="仿宋" w:hAnsi="仿宋" w:eastAsia="仿宋"/>
          <w:color w:val="auto"/>
          <w:highlight w:val="none"/>
        </w:rPr>
      </w:pPr>
      <w:bookmarkStart w:id="82" w:name="_Toc15396625"/>
      <w:bookmarkStart w:id="83" w:name="_Toc15250"/>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82"/>
      <w:bookmarkEnd w:id="83"/>
    </w:p>
    <w:p w14:paraId="0AD87BF5">
      <w:pPr>
        <w:pStyle w:val="4"/>
        <w:rPr>
          <w:rFonts w:ascii="仿宋" w:hAnsi="仿宋" w:eastAsia="仿宋"/>
          <w:color w:val="auto"/>
          <w:highlight w:val="none"/>
        </w:rPr>
      </w:pPr>
      <w:bookmarkStart w:id="84" w:name="_Toc21663"/>
      <w:bookmarkStart w:id="85"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84"/>
      <w:bookmarkEnd w:id="85"/>
    </w:p>
    <w:p w14:paraId="55A49437">
      <w:pPr>
        <w:pStyle w:val="4"/>
        <w:rPr>
          <w:rFonts w:ascii="仿宋" w:hAnsi="仿宋" w:eastAsia="仿宋"/>
          <w:color w:val="auto"/>
          <w:highlight w:val="none"/>
        </w:rPr>
      </w:pPr>
      <w:bookmarkStart w:id="86" w:name="_Toc15396627"/>
      <w:bookmarkStart w:id="87" w:name="_Toc21258"/>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86"/>
      <w:bookmarkEnd w:id="87"/>
    </w:p>
    <w:p w14:paraId="39627C23">
      <w:pPr>
        <w:pStyle w:val="4"/>
        <w:rPr>
          <w:rFonts w:ascii="仿宋" w:hAnsi="仿宋" w:eastAsia="仿宋"/>
          <w:color w:val="auto"/>
          <w:highlight w:val="none"/>
        </w:rPr>
      </w:pPr>
      <w:bookmarkStart w:id="88" w:name="_Toc15396628"/>
      <w:bookmarkStart w:id="89" w:name="_Toc17858"/>
      <w:r>
        <w:rPr>
          <w:rStyle w:val="29"/>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般公共预算财政拨款“三公”经费支出决算表</w:t>
      </w:r>
      <w:bookmarkEnd w:id="88"/>
      <w:bookmarkEnd w:id="89"/>
    </w:p>
    <w:p w14:paraId="1167E7D8">
      <w:pPr>
        <w:pStyle w:val="4"/>
        <w:rPr>
          <w:rFonts w:ascii="仿宋" w:hAnsi="仿宋" w:eastAsia="仿宋"/>
          <w:color w:val="auto"/>
          <w:highlight w:val="none"/>
        </w:rPr>
      </w:pPr>
      <w:bookmarkStart w:id="90" w:name="_Toc15396629"/>
      <w:bookmarkStart w:id="91" w:name="_Toc931"/>
      <w:r>
        <w:rPr>
          <w:rStyle w:val="29"/>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90"/>
      <w:bookmarkEnd w:id="91"/>
    </w:p>
    <w:p w14:paraId="2EEC06C3">
      <w:pPr>
        <w:pStyle w:val="4"/>
        <w:rPr>
          <w:rFonts w:ascii="仿宋" w:hAnsi="仿宋" w:eastAsia="仿宋"/>
          <w:color w:val="auto"/>
          <w:highlight w:val="none"/>
        </w:rPr>
      </w:pPr>
      <w:bookmarkStart w:id="92" w:name="_Toc10258"/>
      <w:bookmarkStart w:id="93" w:name="_Toc15396630"/>
      <w:r>
        <w:rPr>
          <w:rStyle w:val="29"/>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府性基金预算财政拨款“三公”经费支出决算表</w:t>
      </w:r>
      <w:bookmarkEnd w:id="92"/>
      <w:bookmarkEnd w:id="93"/>
    </w:p>
    <w:p w14:paraId="4C597EA7">
      <w:pPr>
        <w:pStyle w:val="4"/>
        <w:rPr>
          <w:rStyle w:val="29"/>
          <w:rFonts w:hint="eastAsia" w:ascii="仿宋" w:hAnsi="仿宋" w:eastAsia="仿宋"/>
          <w:b w:val="0"/>
          <w:bCs w:val="0"/>
          <w:color w:val="auto"/>
          <w:highlight w:val="none"/>
        </w:rPr>
      </w:pPr>
      <w:bookmarkStart w:id="94" w:name="_Toc15396631"/>
      <w:bookmarkStart w:id="95" w:name="_Toc2"/>
      <w:r>
        <w:rPr>
          <w:rStyle w:val="29"/>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94"/>
      <w:bookmarkEnd w:id="95"/>
    </w:p>
    <w:p w14:paraId="24883017">
      <w:pPr>
        <w:rPr>
          <w:rFonts w:hint="eastAsia" w:eastAsia="仿宋"/>
          <w:color w:val="auto"/>
          <w:highlight w:val="none"/>
          <w:lang w:eastAsia="zh-CN"/>
        </w:rPr>
      </w:pPr>
      <w:bookmarkStart w:id="96" w:name="_Toc18988"/>
      <w:r>
        <w:rPr>
          <w:rStyle w:val="29"/>
          <w:rFonts w:hint="eastAsia" w:ascii="仿宋" w:hAnsi="仿宋" w:eastAsia="仿宋"/>
          <w:b w:val="0"/>
          <w:bCs w:val="0"/>
          <w:color w:val="auto"/>
          <w:highlight w:val="none"/>
          <w:lang w:eastAsia="zh-CN"/>
        </w:rPr>
        <w:t>十四、国有资本经营预算财政拨款支出决算表</w:t>
      </w:r>
      <w:bookmarkEnd w:id="9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4DBC7A-DC46-4420-95BB-2252F43B01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3EBFAFAD-52F8-40C6-9A52-E217C0587A94}"/>
  </w:font>
  <w:font w:name="仿宋">
    <w:panose1 w:val="02010609060101010101"/>
    <w:charset w:val="86"/>
    <w:family w:val="auto"/>
    <w:pitch w:val="default"/>
    <w:sig w:usb0="800002BF" w:usb1="38CF7CFA" w:usb2="00000016" w:usb3="00000000" w:csb0="00040001" w:csb1="00000000"/>
    <w:embedRegular r:id="rId3" w:fontKey="{C2F62248-ED3D-4953-9933-989462D9AAFC}"/>
  </w:font>
  <w:font w:name="仿宋_GB2312">
    <w:altName w:val="仿宋"/>
    <w:panose1 w:val="02010609030101010101"/>
    <w:charset w:val="86"/>
    <w:family w:val="modern"/>
    <w:pitch w:val="default"/>
    <w:sig w:usb0="00000000" w:usb1="00000000" w:usb2="00000000" w:usb3="00000000" w:csb0="00040000" w:csb1="00000000"/>
    <w:embedRegular r:id="rId4" w:fontKey="{76E3B084-7491-4B48-9FDD-3AA69BCA18AC}"/>
  </w:font>
  <w:font w:name="方正小标宋简体">
    <w:panose1 w:val="02000000000000000000"/>
    <w:charset w:val="86"/>
    <w:family w:val="script"/>
    <w:pitch w:val="default"/>
    <w:sig w:usb0="00000001" w:usb1="08000000" w:usb2="00000000" w:usb3="00000000" w:csb0="00040000" w:csb1="00000000"/>
    <w:embedRegular r:id="rId5" w:fontKey="{E2C9B8B2-3106-4ED0-9725-CAF35CCBAD43}"/>
  </w:font>
  <w:font w:name="方正舒体">
    <w:panose1 w:val="02010601030101010101"/>
    <w:charset w:val="86"/>
    <w:family w:val="auto"/>
    <w:pitch w:val="default"/>
    <w:sig w:usb0="00000003" w:usb1="080E0000" w:usb2="00000000" w:usb3="00000000" w:csb0="00040000" w:csb1="00000000"/>
    <w:embedRegular r:id="rId6" w:fontKey="{5818FEF9-7D5B-43FA-84D1-F7F64D9EB9B3}"/>
  </w:font>
  <w:font w:name="楷体_GB2312">
    <w:panose1 w:val="02010609030101010101"/>
    <w:charset w:val="86"/>
    <w:family w:val="auto"/>
    <w:pitch w:val="default"/>
    <w:sig w:usb0="00000001" w:usb1="080E0000" w:usb2="00000000" w:usb3="00000000" w:csb0="00040000" w:csb1="00000000"/>
    <w:embedRegular r:id="rId7" w:fontKey="{C0814DB2-2BB5-4BD5-8E66-F850A5BA74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BB4321D">
        <w:pPr>
          <w:pStyle w:val="10"/>
          <w:jc w:val="center"/>
        </w:pPr>
        <w:r>
          <w:fldChar w:fldCharType="begin"/>
        </w:r>
        <w:r>
          <w:instrText xml:space="preserve">PAGE   \* MERGEFORMAT</w:instrText>
        </w:r>
        <w:r>
          <w:fldChar w:fldCharType="separate"/>
        </w:r>
        <w:r>
          <w:rPr>
            <w:lang w:val="zh-CN"/>
          </w:rPr>
          <w:t>8</w:t>
        </w:r>
        <w:r>
          <w:fldChar w:fldCharType="end"/>
        </w:r>
      </w:p>
    </w:sdtContent>
  </w:sdt>
  <w:p w14:paraId="5D9D012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A8B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74A86"/>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4A4CF0"/>
    <w:rsid w:val="074C3881"/>
    <w:rsid w:val="08667448"/>
    <w:rsid w:val="0A2032A3"/>
    <w:rsid w:val="0B8A37D8"/>
    <w:rsid w:val="0EAA1EED"/>
    <w:rsid w:val="10C055FF"/>
    <w:rsid w:val="118107EC"/>
    <w:rsid w:val="11A91980"/>
    <w:rsid w:val="11DD6519"/>
    <w:rsid w:val="16BB723D"/>
    <w:rsid w:val="16D80F7D"/>
    <w:rsid w:val="17822C77"/>
    <w:rsid w:val="18015F3F"/>
    <w:rsid w:val="1B181423"/>
    <w:rsid w:val="1B4A1286"/>
    <w:rsid w:val="1BE8440E"/>
    <w:rsid w:val="1C620319"/>
    <w:rsid w:val="1D155CEE"/>
    <w:rsid w:val="20F57F95"/>
    <w:rsid w:val="240371BF"/>
    <w:rsid w:val="24705B29"/>
    <w:rsid w:val="253520F0"/>
    <w:rsid w:val="25C741E6"/>
    <w:rsid w:val="27842671"/>
    <w:rsid w:val="29FD04D3"/>
    <w:rsid w:val="2ABE7A3E"/>
    <w:rsid w:val="2E654A9D"/>
    <w:rsid w:val="2EFA178C"/>
    <w:rsid w:val="30B46D73"/>
    <w:rsid w:val="319F7F4E"/>
    <w:rsid w:val="32AF6EB2"/>
    <w:rsid w:val="33431736"/>
    <w:rsid w:val="397C551E"/>
    <w:rsid w:val="39AE70AB"/>
    <w:rsid w:val="3B015392"/>
    <w:rsid w:val="3C0C0783"/>
    <w:rsid w:val="3E2131A8"/>
    <w:rsid w:val="3E2E5C69"/>
    <w:rsid w:val="3F795B0E"/>
    <w:rsid w:val="3F9F3A96"/>
    <w:rsid w:val="43C0427E"/>
    <w:rsid w:val="47AD3607"/>
    <w:rsid w:val="493C27E9"/>
    <w:rsid w:val="494E2F92"/>
    <w:rsid w:val="496F39ED"/>
    <w:rsid w:val="499757E0"/>
    <w:rsid w:val="49FF41D3"/>
    <w:rsid w:val="4A003601"/>
    <w:rsid w:val="4A185DC8"/>
    <w:rsid w:val="4A360BD4"/>
    <w:rsid w:val="4BE068DB"/>
    <w:rsid w:val="4BF6002B"/>
    <w:rsid w:val="4C7841AD"/>
    <w:rsid w:val="4E2C0B78"/>
    <w:rsid w:val="4ECE2238"/>
    <w:rsid w:val="4EE50F55"/>
    <w:rsid w:val="50796D45"/>
    <w:rsid w:val="51DB4B86"/>
    <w:rsid w:val="55333C3E"/>
    <w:rsid w:val="572D5D2C"/>
    <w:rsid w:val="5AE239FB"/>
    <w:rsid w:val="5D580C63"/>
    <w:rsid w:val="5E67412C"/>
    <w:rsid w:val="5E881EF8"/>
    <w:rsid w:val="5E8A7146"/>
    <w:rsid w:val="64CA39A1"/>
    <w:rsid w:val="6C4A05C8"/>
    <w:rsid w:val="6DD85912"/>
    <w:rsid w:val="71345273"/>
    <w:rsid w:val="71C759B8"/>
    <w:rsid w:val="71CF62F2"/>
    <w:rsid w:val="724C2C1D"/>
    <w:rsid w:val="72734D90"/>
    <w:rsid w:val="72DE2B1B"/>
    <w:rsid w:val="74E366CA"/>
    <w:rsid w:val="768E28D3"/>
    <w:rsid w:val="76FD7CE4"/>
    <w:rsid w:val="783B64DF"/>
    <w:rsid w:val="79E7B28D"/>
    <w:rsid w:val="7BF02FB1"/>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99"/>
    <w:pPr>
      <w:ind w:firstLine="630"/>
      <w:jc w:val="left"/>
    </w:pPr>
    <w:rPr>
      <w:rFonts w:eastAsia="黑体"/>
      <w:sz w:val="3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semiHidden/>
    <w:qFormat/>
    <w:uiPriority w:val="99"/>
    <w:pPr>
      <w:ind w:left="200"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Body Text First Indent 2"/>
    <w:basedOn w:val="7"/>
    <w:qFormat/>
    <w:uiPriority w:val="99"/>
    <w:pPr>
      <w:spacing w:after="120"/>
      <w:ind w:left="420" w:leftChars="200" w:firstLine="42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styleId="27">
    <w:name w:val="List Paragraph"/>
    <w:basedOn w:val="1"/>
    <w:qFormat/>
    <w:uiPriority w:val="34"/>
    <w:pPr>
      <w:ind w:firstLine="420" w:firstLineChars="200"/>
    </w:pPr>
  </w:style>
  <w:style w:type="character" w:customStyle="1" w:styleId="28">
    <w:name w:val="标题 1 Char"/>
    <w:basedOn w:val="18"/>
    <w:link w:val="3"/>
    <w:qFormat/>
    <w:uiPriority w:val="9"/>
    <w:rPr>
      <w:rFonts w:ascii="Times New Roman" w:hAnsi="Times New Roman"/>
      <w:b/>
      <w:bCs/>
      <w:kern w:val="44"/>
      <w:sz w:val="44"/>
      <w:szCs w:val="44"/>
    </w:rPr>
  </w:style>
  <w:style w:type="character" w:customStyle="1" w:styleId="29">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8"/>
    <w:link w:val="9"/>
    <w:semiHidden/>
    <w:qFormat/>
    <w:uiPriority w:val="99"/>
    <w:rPr>
      <w:rFonts w:ascii="Times New Roman" w:hAnsi="Times New Roman"/>
      <w:kern w:val="2"/>
      <w:sz w:val="18"/>
      <w:szCs w:val="18"/>
    </w:rPr>
  </w:style>
  <w:style w:type="character" w:customStyle="1" w:styleId="32">
    <w:name w:val="标题 3 Char"/>
    <w:basedOn w:val="18"/>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0456;&#20851;&#34920;&#2668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0456;&#20851;&#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[相关表格.xlsx]Sheet1!$J$1</c:f>
              <c:strCache>
                <c:ptCount val="1"/>
                <c:pt idx="0">
                  <c:v>收入</c:v>
                </c:pt>
              </c:strCache>
            </c:strRef>
          </c:tx>
          <c:spPr>
            <a:scene3d>
              <a:camera prst="orthographicFront"/>
              <a:lightRig rig="threePt" dir="t"/>
            </a:scene3d>
            <a:sp3d contourW="25400"/>
          </c:spPr>
          <c:explosion val="0"/>
          <c:dPt>
            <c:idx val="0"/>
            <c:bubble3D val="0"/>
            <c:spPr>
              <a:solidFill>
                <a:schemeClr val="accent6"/>
              </a:solidFill>
              <a:ln w="25400">
                <a:solidFill>
                  <a:schemeClr val="lt1"/>
                </a:solidFill>
              </a:ln>
              <a:effectLst/>
              <a:scene3d>
                <a:camera prst="orthographicFront"/>
                <a:lightRig rig="threePt" dir="t"/>
              </a:scene3d>
              <a:sp3d contourW="25400"/>
            </c:spPr>
          </c:dPt>
          <c:dLbls>
            <c:dLbl>
              <c:idx val="0"/>
              <c:layout>
                <c:manualLayout>
                  <c:x val="0.00165802356089087"/>
                  <c:y val="-0.2909672597401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[相关表格.xlsx]Sheet1!$I$2</c:f>
              <c:strCache>
                <c:ptCount val="1"/>
                <c:pt idx="0">
                  <c:v>一般公共预算财政拨款收入</c:v>
                </c:pt>
              </c:strCache>
            </c:strRef>
          </c:cat>
          <c:val>
            <c:numRef>
              <c:f>[相关表格.xlsx]Sheet1!$J$2</c:f>
              <c:numCache>
                <c:formatCode>General</c:formatCode>
                <c:ptCount val="1"/>
                <c:pt idx="0">
                  <c:v>1451.28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0" cap="flat" cmpd="sng" algn="ctr">
      <a:solidFill>
        <a:schemeClr val="tx1"/>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[相关表格.xlsx]Sheet1!$R$1</c:f>
              <c:strCache>
                <c:ptCount val="1"/>
                <c:pt idx="0">
                  <c:v>支出</c:v>
                </c:pt>
              </c:strCache>
            </c:strRef>
          </c:tx>
          <c:spPr>
            <a:scene3d>
              <a:camera prst="orthographicFront"/>
              <a:lightRig rig="threePt" dir="t"/>
            </a:scene3d>
            <a:sp3d contourW="25400"/>
          </c:spPr>
          <c:explosion val="0"/>
          <c:dPt>
            <c:idx val="0"/>
            <c:bubble3D val="0"/>
            <c:spPr>
              <a:solidFill>
                <a:schemeClr val="accent3"/>
              </a:solidFill>
              <a:ln w="25400">
                <a:solidFill>
                  <a:schemeClr val="lt1"/>
                </a:solidFill>
              </a:ln>
              <a:effectLst/>
              <a:scene3d>
                <a:camera prst="orthographicFront"/>
                <a:lightRig rig="threePt" dir="t"/>
              </a:scene3d>
              <a:sp3d contourW="25400"/>
            </c:spPr>
          </c:dPt>
          <c:dLbls>
            <c:dLbl>
              <c:idx val="0"/>
              <c:layout>
                <c:manualLayout>
                  <c:x val="0.00165802356089087"/>
                  <c:y val="-0.2909672597401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[相关表格.xlsx]Sheet1!$Q$2</c:f>
              <c:strCache>
                <c:ptCount val="1"/>
                <c:pt idx="0">
                  <c:v>基本支出</c:v>
                </c:pt>
              </c:strCache>
            </c:strRef>
          </c:cat>
          <c:val>
            <c:numRef>
              <c:f>[相关表格.xlsx]Sheet1!$R$2</c:f>
              <c:numCache>
                <c:formatCode>General</c:formatCode>
                <c:ptCount val="1"/>
                <c:pt idx="0">
                  <c:v>1284.97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0" cap="flat" cmpd="sng" algn="ctr">
      <a:solidFill>
        <a:schemeClr val="tx1"/>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8315</Words>
  <Characters>8996</Characters>
  <Lines>61</Lines>
  <Paragraphs>17</Paragraphs>
  <TotalTime>1</TotalTime>
  <ScaleCrop>false</ScaleCrop>
  <LinksUpToDate>false</LinksUpToDate>
  <CharactersWithSpaces>9130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昭化融媒体</cp:lastModifiedBy>
  <cp:lastPrinted>2022-08-06T02:23:00Z</cp:lastPrinted>
  <dcterms:modified xsi:type="dcterms:W3CDTF">2024-09-03T01:46:03Z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7C7A224D42DF4F4F8145E8D3A19027FE_13</vt:lpwstr>
  </property>
</Properties>
</file>