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4DBF97F">
      <w:pPr>
        <w:snapToGrid w:val="0"/>
        <w:spacing w:beforeLines="0" w:afterLines="0" w:line="1000" w:lineRule="exact"/>
        <w:jc w:val="center"/>
        <w:outlineLvl w:val="0"/>
        <w:rPr>
          <w:rFonts w:hint="eastAsia" w:ascii="方正小标宋简体" w:hAnsi="方正小标宋简体" w:eastAsia="方正小标宋简体"/>
          <w:color w:val="000000" w:themeColor="text1"/>
          <w:kern w:val="2"/>
          <w:sz w:val="72"/>
          <w:szCs w:val="24"/>
          <w:lang w:val="zh-CN"/>
          <w14:textFill>
            <w14:solidFill>
              <w14:schemeClr w14:val="tx1"/>
            </w14:solidFill>
          </w14:textFill>
        </w:rPr>
      </w:pPr>
    </w:p>
    <w:p w14:paraId="5ADEE9E9">
      <w:pPr>
        <w:snapToGrid w:val="0"/>
        <w:spacing w:beforeLines="0" w:afterLines="0" w:line="1000" w:lineRule="exact"/>
        <w:jc w:val="center"/>
        <w:outlineLvl w:val="0"/>
        <w:rPr>
          <w:rFonts w:hint="eastAsia" w:ascii="方正小标宋简体" w:hAnsi="方正小标宋简体" w:eastAsia="方正小标宋简体"/>
          <w:color w:val="000000" w:themeColor="text1"/>
          <w:kern w:val="2"/>
          <w:sz w:val="72"/>
          <w:szCs w:val="24"/>
          <w:lang w:val="zh-CN"/>
          <w14:textFill>
            <w14:solidFill>
              <w14:schemeClr w14:val="tx1"/>
            </w14:solidFill>
          </w14:textFill>
        </w:rPr>
      </w:pPr>
    </w:p>
    <w:p w14:paraId="7A610BD0">
      <w:pPr>
        <w:snapToGrid w:val="0"/>
        <w:spacing w:beforeLines="0" w:afterLines="0" w:line="1000" w:lineRule="exact"/>
        <w:jc w:val="center"/>
        <w:outlineLvl w:val="0"/>
        <w:rPr>
          <w:rFonts w:hint="eastAsia" w:ascii="方正小标宋简体" w:hAnsi="方正小标宋简体" w:eastAsia="方正小标宋简体" w:cs="方正小标宋简体"/>
          <w:color w:val="000000" w:themeColor="text1"/>
          <w:spacing w:val="17"/>
          <w:sz w:val="52"/>
          <w:szCs w:val="52"/>
          <w:lang w:val="zh-CN"/>
          <w14:textFill>
            <w14:solidFill>
              <w14:schemeClr w14:val="tx1"/>
            </w14:solidFill>
          </w14:textFill>
        </w:rPr>
      </w:pPr>
      <w:r>
        <w:rPr>
          <w:rFonts w:hint="eastAsia" w:ascii="Times New Roman" w:hAnsi="Times New Roman" w:eastAsia="方正小标宋简体" w:cs="方正小标宋简体"/>
          <w:color w:val="000000" w:themeColor="text1"/>
          <w:spacing w:val="17"/>
          <w:sz w:val="52"/>
          <w:szCs w:val="52"/>
          <w:lang w:val="zh-CN"/>
          <w14:textFill>
            <w14:solidFill>
              <w14:schemeClr w14:val="tx1"/>
            </w14:solidFill>
          </w14:textFill>
        </w:rPr>
        <w:t>2023</w:t>
      </w:r>
      <w:r>
        <w:rPr>
          <w:rFonts w:hint="eastAsia" w:ascii="方正小标宋简体" w:hAnsi="方正小标宋简体" w:eastAsia="方正小标宋简体" w:cs="方正小标宋简体"/>
          <w:color w:val="000000" w:themeColor="text1"/>
          <w:spacing w:val="17"/>
          <w:sz w:val="52"/>
          <w:szCs w:val="52"/>
          <w:lang w:val="zh-CN"/>
          <w14:textFill>
            <w14:solidFill>
              <w14:schemeClr w14:val="tx1"/>
            </w14:solidFill>
          </w14:textFill>
        </w:rPr>
        <w:t>年度</w:t>
      </w:r>
    </w:p>
    <w:p w14:paraId="325FC354">
      <w:pPr>
        <w:snapToGrid w:val="0"/>
        <w:spacing w:beforeLines="0" w:afterLines="0" w:line="1000" w:lineRule="exact"/>
        <w:jc w:val="center"/>
        <w:outlineLvl w:val="0"/>
        <w:rPr>
          <w:rFonts w:hint="eastAsia" w:ascii="方正小标宋简体" w:hAnsi="方正小标宋简体" w:eastAsia="方正小标宋简体" w:cs="方正小标宋简体"/>
          <w:color w:val="000000" w:themeColor="text1"/>
          <w:spacing w:val="17"/>
          <w:sz w:val="52"/>
          <w:szCs w:val="52"/>
          <w14:textFill>
            <w14:solidFill>
              <w14:schemeClr w14:val="tx1"/>
            </w14:solidFill>
          </w14:textFill>
        </w:rPr>
      </w:pPr>
      <w:r>
        <w:rPr>
          <w:rFonts w:hint="eastAsia" w:ascii="方正小标宋简体" w:hAnsi="方正小标宋简体" w:eastAsia="方正小标宋简体" w:cs="方正小标宋简体"/>
          <w:color w:val="000000" w:themeColor="text1"/>
          <w:spacing w:val="17"/>
          <w:sz w:val="52"/>
          <w:szCs w:val="52"/>
          <w14:textFill>
            <w14:solidFill>
              <w14:schemeClr w14:val="tx1"/>
            </w14:solidFill>
          </w14:textFill>
        </w:rPr>
        <w:t>中共广元市昭化区委群众工作局</w:t>
      </w:r>
    </w:p>
    <w:p w14:paraId="3B061CD7">
      <w:pPr>
        <w:snapToGrid w:val="0"/>
        <w:spacing w:beforeLines="0" w:afterLines="0" w:line="1000" w:lineRule="exact"/>
        <w:jc w:val="center"/>
        <w:outlineLvl w:val="0"/>
        <w:rPr>
          <w:rFonts w:hint="eastAsia" w:ascii="方正小标宋简体" w:hAnsi="方正小标宋简体" w:eastAsia="方正小标宋简体" w:cs="方正小标宋简体"/>
          <w:color w:val="000000" w:themeColor="text1"/>
          <w:spacing w:val="17"/>
          <w:sz w:val="52"/>
          <w:szCs w:val="52"/>
          <w:lang w:val="zh-CN"/>
          <w14:textFill>
            <w14:solidFill>
              <w14:schemeClr w14:val="tx1"/>
            </w14:solidFill>
          </w14:textFill>
        </w:rPr>
      </w:pPr>
      <w:r>
        <w:rPr>
          <w:rFonts w:hint="eastAsia" w:ascii="方正小标宋简体" w:hAnsi="方正小标宋简体" w:eastAsia="方正小标宋简体" w:cs="方正小标宋简体"/>
          <w:color w:val="000000" w:themeColor="text1"/>
          <w:spacing w:val="17"/>
          <w:sz w:val="52"/>
          <w:szCs w:val="52"/>
          <w:lang w:val="zh-CN"/>
          <w14:textFill>
            <w14:solidFill>
              <w14:schemeClr w14:val="tx1"/>
            </w14:solidFill>
          </w14:textFill>
        </w:rPr>
        <w:t>部门决算</w:t>
      </w:r>
    </w:p>
    <w:p w14:paraId="489BFC4A">
      <w:pPr>
        <w:spacing w:line="360" w:lineRule="auto"/>
        <w:jc w:val="center"/>
        <w:rPr>
          <w:rFonts w:hint="eastAsia" w:ascii="黑体" w:hAnsi="黑体" w:eastAsia="黑体"/>
          <w:color w:val="000000" w:themeColor="text1"/>
          <w:kern w:val="2"/>
          <w:sz w:val="72"/>
          <w:szCs w:val="24"/>
          <w:lang w:val="zh-CN"/>
          <w14:textFill>
            <w14:solidFill>
              <w14:schemeClr w14:val="tx1"/>
            </w14:solidFill>
          </w14:textFill>
        </w:rPr>
      </w:pPr>
    </w:p>
    <w:p w14:paraId="70AF5AEF">
      <w:pPr>
        <w:pStyle w:val="2"/>
        <w:spacing w:before="72"/>
        <w:rPr>
          <w:rFonts w:hint="eastAsia"/>
          <w:color w:val="000000" w:themeColor="text1"/>
          <w:sz w:val="30"/>
          <w:szCs w:val="24"/>
          <w:lang w:val="zh-CN"/>
          <w14:textFill>
            <w14:solidFill>
              <w14:schemeClr w14:val="tx1"/>
            </w14:solidFill>
          </w14:textFill>
        </w:rPr>
      </w:pPr>
    </w:p>
    <w:p w14:paraId="11171CC9">
      <w:pPr>
        <w:keepNext/>
        <w:keepLines/>
        <w:pageBreakBefore/>
        <w:widowControl w:val="0"/>
        <w:kinsoku/>
        <w:wordWrap/>
        <w:overflowPunct/>
        <w:topLinePunct w:val="0"/>
        <w:autoSpaceDE w:val="0"/>
        <w:autoSpaceDN w:val="0"/>
        <w:bidi w:val="0"/>
        <w:adjustRightInd w:val="0"/>
        <w:snapToGrid/>
        <w:spacing w:line="600" w:lineRule="exact"/>
        <w:jc w:val="center"/>
        <w:textAlignment w:val="auto"/>
        <w:rPr>
          <w:rFonts w:hint="eastAsia" w:ascii="方正小标宋简体" w:hAnsi="方正小标宋简体" w:eastAsia="方正小标宋简体" w:cs="方正小标宋简体"/>
          <w:color w:val="000000" w:themeColor="text1"/>
          <w:kern w:val="2"/>
          <w:sz w:val="44"/>
          <w:szCs w:val="44"/>
          <w:lang w:val="zh-CN"/>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44"/>
          <w:szCs w:val="44"/>
          <w:lang w:val="zh-CN"/>
          <w14:textFill>
            <w14:solidFill>
              <w14:schemeClr w14:val="tx1"/>
            </w14:solidFill>
          </w14:textFill>
        </w:rPr>
        <w:t xml:space="preserve">目  </w:t>
      </w:r>
      <w:r>
        <w:rPr>
          <w:rFonts w:hint="eastAsia" w:ascii="方正小标宋简体" w:hAnsi="方正小标宋简体" w:eastAsia="方正小标宋简体" w:cs="方正小标宋简体"/>
          <w:color w:val="000000" w:themeColor="text1"/>
          <w:kern w:val="2"/>
          <w:sz w:val="44"/>
          <w:szCs w:val="44"/>
          <w:lang w:val="en-US" w:eastAsia="zh-CN"/>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kern w:val="2"/>
          <w:sz w:val="44"/>
          <w:szCs w:val="44"/>
          <w:lang w:val="zh-CN"/>
          <w14:textFill>
            <w14:solidFill>
              <w14:schemeClr w14:val="tx1"/>
            </w14:solidFill>
          </w14:textFill>
        </w:rPr>
        <w:t xml:space="preserve"> 录</w:t>
      </w:r>
    </w:p>
    <w:p w14:paraId="59D9627D">
      <w:pPr>
        <w:keepNext w:val="0"/>
        <w:keepLines w:val="0"/>
        <w:pageBreakBefore w:val="0"/>
        <w:widowControl w:val="0"/>
        <w:kinsoku/>
        <w:wordWrap/>
        <w:overflowPunct/>
        <w:topLinePunct w:val="0"/>
        <w:autoSpaceDE w:val="0"/>
        <w:autoSpaceDN w:val="0"/>
        <w:bidi w:val="0"/>
        <w:adjustRightInd w:val="0"/>
        <w:snapToGrid/>
        <w:spacing w:before="0" w:after="0" w:line="420" w:lineRule="exact"/>
        <w:jc w:val="center"/>
        <w:textAlignment w:val="auto"/>
        <w:rPr>
          <w:rFonts w:hint="eastAsia" w:ascii="楷体_GB2312" w:eastAsia="楷体_GB2312"/>
          <w:color w:val="000000" w:themeColor="text1"/>
          <w:sz w:val="32"/>
          <w:szCs w:val="32"/>
          <w14:textFill>
            <w14:solidFill>
              <w14:schemeClr w14:val="tx1"/>
            </w14:solidFill>
          </w14:textFill>
        </w:rPr>
      </w:pPr>
    </w:p>
    <w:p w14:paraId="72FF2C90">
      <w:pPr>
        <w:keepNext w:val="0"/>
        <w:keepLines w:val="0"/>
        <w:pageBreakBefore w:val="0"/>
        <w:widowControl w:val="0"/>
        <w:kinsoku/>
        <w:wordWrap/>
        <w:overflowPunct/>
        <w:topLinePunct w:val="0"/>
        <w:autoSpaceDE w:val="0"/>
        <w:autoSpaceDN w:val="0"/>
        <w:bidi w:val="0"/>
        <w:adjustRightInd w:val="0"/>
        <w:snapToGrid/>
        <w:spacing w:before="0" w:after="0" w:line="500" w:lineRule="exact"/>
        <w:jc w:val="center"/>
        <w:textAlignment w:val="auto"/>
        <w:rPr>
          <w:rFonts w:hint="eastAsia" w:ascii="仿宋_GB2312" w:eastAsia="仿宋_GB2312"/>
          <w:color w:val="000000" w:themeColor="text1"/>
          <w:sz w:val="32"/>
          <w:szCs w:val="32"/>
          <w14:textFill>
            <w14:solidFill>
              <w14:schemeClr w14:val="tx1"/>
            </w14:solidFill>
          </w14:textFill>
        </w:rPr>
      </w:pPr>
    </w:p>
    <w:p w14:paraId="2D161898">
      <w:pPr>
        <w:widowControl w:val="0"/>
        <w:tabs>
          <w:tab w:val="right" w:leader="dot" w:pos="8505"/>
        </w:tabs>
        <w:kinsoku/>
        <w:wordWrap/>
        <w:overflowPunct/>
        <w:topLinePunct w:val="0"/>
        <w:autoSpaceDE w:val="0"/>
        <w:autoSpaceDN w:val="0"/>
        <w:bidi w:val="0"/>
        <w:adjustRightInd w:val="0"/>
        <w:snapToGrid/>
        <w:spacing w:line="600" w:lineRule="exact"/>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第一部分 部门概况</w:t>
      </w:r>
      <w:r>
        <w:rPr>
          <w:rFonts w:hint="eastAsia" w:ascii="黑体" w:hAnsi="黑体" w:eastAsia="黑体" w:cs="黑体"/>
          <w:color w:val="000000" w:themeColor="text1"/>
          <w:sz w:val="32"/>
          <w:szCs w:val="32"/>
          <w14:textFill>
            <w14:solidFill>
              <w14:schemeClr w14:val="tx1"/>
            </w14:solidFill>
          </w14:textFill>
        </w:rPr>
        <w:tab/>
      </w:r>
      <w:r>
        <w:rPr>
          <w:rFonts w:hint="eastAsia" w:ascii="Times New Roman" w:eastAsia="黑体" w:cs="Times New Roman"/>
          <w:color w:val="000000" w:themeColor="text1"/>
          <w:sz w:val="32"/>
          <w:szCs w:val="32"/>
          <w:lang w:val="en-US" w:eastAsia="zh-CN"/>
          <w14:textFill>
            <w14:solidFill>
              <w14:schemeClr w14:val="tx1"/>
            </w14:solidFill>
          </w14:textFill>
        </w:rPr>
        <w:t>4</w:t>
      </w:r>
    </w:p>
    <w:p w14:paraId="7184A670">
      <w:pPr>
        <w:widowControl w:val="0"/>
        <w:tabs>
          <w:tab w:val="right" w:leader="dot" w:pos="8505"/>
        </w:tabs>
        <w:kinsoku/>
        <w:wordWrap/>
        <w:overflowPunct/>
        <w:topLinePunct w:val="0"/>
        <w:autoSpaceDE w:val="0"/>
        <w:autoSpaceDN w:val="0"/>
        <w:bidi w:val="0"/>
        <w:adjustRightInd w:val="0"/>
        <w:snapToGrid/>
        <w:spacing w:line="600" w:lineRule="exact"/>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一、部门职责</w:t>
      </w:r>
      <w:r>
        <w:rPr>
          <w:rFonts w:hint="eastAsia" w:ascii="楷体_GB2312" w:hAnsi="楷体_GB2312" w:eastAsia="楷体_GB2312" w:cs="楷体_GB2312"/>
          <w:color w:val="000000" w:themeColor="text1"/>
          <w:sz w:val="32"/>
          <w:szCs w:val="32"/>
          <w14:textFill>
            <w14:solidFill>
              <w14:schemeClr w14:val="tx1"/>
            </w14:solidFill>
          </w14:textFill>
        </w:rPr>
        <w:tab/>
      </w:r>
      <w:r>
        <w:rPr>
          <w:rFonts w:hint="eastAsia" w:ascii="Times New Roman" w:eastAsia="楷体_GB2312" w:cs="Times New Roman"/>
          <w:color w:val="000000" w:themeColor="text1"/>
          <w:sz w:val="32"/>
          <w:szCs w:val="32"/>
          <w:lang w:val="en-US" w:eastAsia="zh-CN"/>
          <w14:textFill>
            <w14:solidFill>
              <w14:schemeClr w14:val="tx1"/>
            </w14:solidFill>
          </w14:textFill>
        </w:rPr>
        <w:t>4</w:t>
      </w:r>
    </w:p>
    <w:p w14:paraId="0E75081E">
      <w:pPr>
        <w:widowControl w:val="0"/>
        <w:tabs>
          <w:tab w:val="right" w:leader="dot" w:pos="8505"/>
        </w:tabs>
        <w:kinsoku/>
        <w:wordWrap/>
        <w:overflowPunct/>
        <w:topLinePunct w:val="0"/>
        <w:autoSpaceDE w:val="0"/>
        <w:autoSpaceDN w:val="0"/>
        <w:bidi w:val="0"/>
        <w:adjustRightInd w:val="0"/>
        <w:snapToGrid/>
        <w:spacing w:line="600" w:lineRule="exact"/>
        <w:textAlignment w:val="auto"/>
        <w:rPr>
          <w:rFonts w:hint="default"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二、机构设置</w:t>
      </w:r>
      <w:r>
        <w:rPr>
          <w:rFonts w:hint="eastAsia" w:ascii="楷体_GB2312" w:hAnsi="楷体_GB2312" w:eastAsia="楷体_GB2312" w:cs="楷体_GB2312"/>
          <w:color w:val="000000" w:themeColor="text1"/>
          <w:sz w:val="32"/>
          <w:szCs w:val="32"/>
          <w14:textFill>
            <w14:solidFill>
              <w14:schemeClr w14:val="tx1"/>
            </w14:solidFill>
          </w14:textFill>
        </w:rPr>
        <w:tab/>
      </w:r>
      <w:r>
        <w:rPr>
          <w:rFonts w:hint="eastAsia" w:ascii="Times New Roman" w:eastAsia="楷体_GB2312" w:cs="Times New Roman"/>
          <w:color w:val="000000" w:themeColor="text1"/>
          <w:sz w:val="32"/>
          <w:szCs w:val="32"/>
          <w:lang w:val="en-US" w:eastAsia="zh-CN"/>
          <w14:textFill>
            <w14:solidFill>
              <w14:schemeClr w14:val="tx1"/>
            </w14:solidFill>
          </w14:textFill>
        </w:rPr>
        <w:t>11</w:t>
      </w:r>
    </w:p>
    <w:p w14:paraId="2BCB4E9B">
      <w:pPr>
        <w:widowControl w:val="0"/>
        <w:tabs>
          <w:tab w:val="right" w:leader="dot" w:pos="8505"/>
        </w:tabs>
        <w:kinsoku/>
        <w:wordWrap/>
        <w:overflowPunct/>
        <w:topLinePunct w:val="0"/>
        <w:autoSpaceDE w:val="0"/>
        <w:autoSpaceDN w:val="0"/>
        <w:bidi w:val="0"/>
        <w:adjustRightInd w:val="0"/>
        <w:snapToGrid/>
        <w:spacing w:line="600" w:lineRule="exac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第二部分 2023年度部门决算情况说明</w:t>
      </w:r>
      <w:r>
        <w:rPr>
          <w:rFonts w:hint="eastAsia" w:ascii="黑体" w:hAnsi="黑体" w:eastAsia="黑体" w:cs="黑体"/>
          <w:color w:val="000000" w:themeColor="text1"/>
          <w:sz w:val="32"/>
          <w:szCs w:val="32"/>
          <w14:textFill>
            <w14:solidFill>
              <w14:schemeClr w14:val="tx1"/>
            </w14:solidFill>
          </w14:textFill>
        </w:rPr>
        <w:tab/>
      </w:r>
      <w:r>
        <w:rPr>
          <w:rFonts w:hint="eastAsia" w:ascii="黑体" w:hAnsi="黑体" w:eastAsia="黑体" w:cs="黑体"/>
          <w:color w:val="000000" w:themeColor="text1"/>
          <w:sz w:val="32"/>
          <w:szCs w:val="32"/>
          <w:lang w:val="en-US" w:eastAsia="zh-CN"/>
          <w14:textFill>
            <w14:solidFill>
              <w14:schemeClr w14:val="tx1"/>
            </w14:solidFill>
          </w14:textFill>
        </w:rPr>
        <w:t>1</w:t>
      </w:r>
      <w:r>
        <w:rPr>
          <w:rFonts w:hint="default" w:ascii="Times New Roman" w:hAnsi="Times New Roman" w:eastAsia="黑体" w:cs="Times New Roman"/>
          <w:color w:val="000000" w:themeColor="text1"/>
          <w:sz w:val="32"/>
          <w:szCs w:val="32"/>
          <w14:textFill>
            <w14:solidFill>
              <w14:schemeClr w14:val="tx1"/>
            </w14:solidFill>
          </w14:textFill>
        </w:rPr>
        <w:t>2</w:t>
      </w:r>
    </w:p>
    <w:p w14:paraId="6296345B">
      <w:pPr>
        <w:widowControl w:val="0"/>
        <w:tabs>
          <w:tab w:val="right" w:leader="dot" w:pos="8505"/>
        </w:tabs>
        <w:kinsoku/>
        <w:wordWrap/>
        <w:overflowPunct/>
        <w:topLinePunct w:val="0"/>
        <w:autoSpaceDE w:val="0"/>
        <w:autoSpaceDN w:val="0"/>
        <w:bidi w:val="0"/>
        <w:adjustRightInd w:val="0"/>
        <w:snapToGrid/>
        <w:spacing w:line="600" w:lineRule="exact"/>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一、收入支出决算总体情况说明</w:t>
      </w:r>
      <w:r>
        <w:rPr>
          <w:rFonts w:hint="eastAsia" w:ascii="楷体_GB2312" w:hAnsi="楷体_GB2312" w:eastAsia="楷体_GB2312" w:cs="楷体_GB2312"/>
          <w:color w:val="000000" w:themeColor="text1"/>
          <w:sz w:val="32"/>
          <w:szCs w:val="32"/>
          <w14:textFill>
            <w14:solidFill>
              <w14:schemeClr w14:val="tx1"/>
            </w14:solidFill>
          </w14:textFill>
        </w:rPr>
        <w:tab/>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1</w:t>
      </w:r>
      <w:r>
        <w:rPr>
          <w:rFonts w:hint="default" w:ascii="Times New Roman" w:hAnsi="Times New Roman" w:eastAsia="楷体_GB2312" w:cs="Times New Roman"/>
          <w:color w:val="000000" w:themeColor="text1"/>
          <w:sz w:val="32"/>
          <w:szCs w:val="32"/>
          <w14:textFill>
            <w14:solidFill>
              <w14:schemeClr w14:val="tx1"/>
            </w14:solidFill>
          </w14:textFill>
        </w:rPr>
        <w:t>2</w:t>
      </w:r>
    </w:p>
    <w:p w14:paraId="4BCE50C3">
      <w:pPr>
        <w:widowControl w:val="0"/>
        <w:tabs>
          <w:tab w:val="right" w:leader="dot" w:pos="8505"/>
        </w:tabs>
        <w:kinsoku/>
        <w:wordWrap/>
        <w:overflowPunct/>
        <w:topLinePunct w:val="0"/>
        <w:autoSpaceDE w:val="0"/>
        <w:autoSpaceDN w:val="0"/>
        <w:bidi w:val="0"/>
        <w:adjustRightInd w:val="0"/>
        <w:snapToGrid/>
        <w:spacing w:line="600" w:lineRule="exact"/>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二、收入决算情况说明</w:t>
      </w:r>
      <w:r>
        <w:rPr>
          <w:rFonts w:hint="eastAsia" w:ascii="楷体_GB2312" w:hAnsi="楷体_GB2312" w:eastAsia="楷体_GB2312" w:cs="楷体_GB2312"/>
          <w:color w:val="000000" w:themeColor="text1"/>
          <w:sz w:val="32"/>
          <w:szCs w:val="32"/>
          <w14:textFill>
            <w14:solidFill>
              <w14:schemeClr w14:val="tx1"/>
            </w14:solidFill>
          </w14:textFill>
        </w:rPr>
        <w:tab/>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1</w:t>
      </w:r>
      <w:r>
        <w:rPr>
          <w:rFonts w:hint="default" w:ascii="Times New Roman" w:hAnsi="Times New Roman" w:eastAsia="楷体_GB2312" w:cs="Times New Roman"/>
          <w:color w:val="000000" w:themeColor="text1"/>
          <w:sz w:val="32"/>
          <w:szCs w:val="32"/>
          <w14:textFill>
            <w14:solidFill>
              <w14:schemeClr w14:val="tx1"/>
            </w14:solidFill>
          </w14:textFill>
        </w:rPr>
        <w:t>2</w:t>
      </w:r>
    </w:p>
    <w:p w14:paraId="28B6CBF6">
      <w:pPr>
        <w:widowControl w:val="0"/>
        <w:tabs>
          <w:tab w:val="right" w:leader="dot" w:pos="8505"/>
        </w:tabs>
        <w:kinsoku/>
        <w:wordWrap/>
        <w:overflowPunct/>
        <w:topLinePunct w:val="0"/>
        <w:autoSpaceDE w:val="0"/>
        <w:autoSpaceDN w:val="0"/>
        <w:bidi w:val="0"/>
        <w:adjustRightInd w:val="0"/>
        <w:snapToGrid/>
        <w:spacing w:line="600" w:lineRule="exact"/>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三、支出决算情况说明</w:t>
      </w:r>
      <w:r>
        <w:rPr>
          <w:rFonts w:hint="eastAsia" w:ascii="楷体_GB2312" w:hAnsi="楷体_GB2312" w:eastAsia="楷体_GB2312" w:cs="楷体_GB2312"/>
          <w:color w:val="000000" w:themeColor="text1"/>
          <w:sz w:val="32"/>
          <w:szCs w:val="32"/>
          <w14:textFill>
            <w14:solidFill>
              <w14:schemeClr w14:val="tx1"/>
            </w14:solidFill>
          </w14:textFill>
        </w:rPr>
        <w:tab/>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1</w:t>
      </w:r>
      <w:r>
        <w:rPr>
          <w:rFonts w:hint="default" w:ascii="Times New Roman" w:hAnsi="Times New Roman" w:eastAsia="楷体_GB2312" w:cs="Times New Roman"/>
          <w:color w:val="000000" w:themeColor="text1"/>
          <w:sz w:val="32"/>
          <w:szCs w:val="32"/>
          <w14:textFill>
            <w14:solidFill>
              <w14:schemeClr w14:val="tx1"/>
            </w14:solidFill>
          </w14:textFill>
        </w:rPr>
        <w:t>3</w:t>
      </w:r>
    </w:p>
    <w:p w14:paraId="6BDAC1DA">
      <w:pPr>
        <w:widowControl w:val="0"/>
        <w:tabs>
          <w:tab w:val="right" w:leader="dot" w:pos="8505"/>
        </w:tabs>
        <w:kinsoku/>
        <w:wordWrap/>
        <w:overflowPunct/>
        <w:topLinePunct w:val="0"/>
        <w:autoSpaceDE w:val="0"/>
        <w:autoSpaceDN w:val="0"/>
        <w:bidi w:val="0"/>
        <w:adjustRightInd w:val="0"/>
        <w:snapToGrid/>
        <w:spacing w:line="600" w:lineRule="exact"/>
        <w:textAlignment w:val="auto"/>
        <w:rPr>
          <w:rFonts w:hint="default"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四、财政拨款收入支出决算总体情况说明</w:t>
      </w:r>
      <w:r>
        <w:rPr>
          <w:rFonts w:hint="eastAsia" w:ascii="楷体_GB2312" w:hAnsi="楷体_GB2312" w:eastAsia="楷体_GB2312" w:cs="楷体_GB2312"/>
          <w:color w:val="000000" w:themeColor="text1"/>
          <w:sz w:val="32"/>
          <w:szCs w:val="32"/>
          <w14:textFill>
            <w14:solidFill>
              <w14:schemeClr w14:val="tx1"/>
            </w14:solidFill>
          </w14:textFill>
        </w:rPr>
        <w:tab/>
      </w:r>
      <w:r>
        <w:rPr>
          <w:rFonts w:hint="eastAsia" w:ascii="Times New Roman" w:eastAsia="楷体_GB2312" w:cs="Times New Roman"/>
          <w:color w:val="000000" w:themeColor="text1"/>
          <w:sz w:val="32"/>
          <w:szCs w:val="32"/>
          <w:lang w:val="en-US" w:eastAsia="zh-CN"/>
          <w14:textFill>
            <w14:solidFill>
              <w14:schemeClr w14:val="tx1"/>
            </w14:solidFill>
          </w14:textFill>
        </w:rPr>
        <w:t>14</w:t>
      </w:r>
    </w:p>
    <w:p w14:paraId="25603737">
      <w:pPr>
        <w:widowControl w:val="0"/>
        <w:tabs>
          <w:tab w:val="right" w:leader="dot" w:pos="8505"/>
        </w:tabs>
        <w:kinsoku/>
        <w:wordWrap/>
        <w:overflowPunct/>
        <w:topLinePunct w:val="0"/>
        <w:autoSpaceDE w:val="0"/>
        <w:autoSpaceDN w:val="0"/>
        <w:bidi w:val="0"/>
        <w:adjustRightInd w:val="0"/>
        <w:snapToGrid/>
        <w:spacing w:line="600" w:lineRule="exact"/>
        <w:textAlignment w:val="auto"/>
        <w:rPr>
          <w:rFonts w:hint="default"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五、一般公共预算财政拨款支出决算情况说明</w:t>
      </w:r>
      <w:r>
        <w:rPr>
          <w:rFonts w:hint="eastAsia" w:ascii="楷体_GB2312" w:hAnsi="楷体_GB2312" w:eastAsia="楷体_GB2312" w:cs="楷体_GB2312"/>
          <w:color w:val="000000" w:themeColor="text1"/>
          <w:sz w:val="32"/>
          <w:szCs w:val="32"/>
          <w14:textFill>
            <w14:solidFill>
              <w14:schemeClr w14:val="tx1"/>
            </w14:solidFill>
          </w14:textFill>
        </w:rPr>
        <w:tab/>
      </w:r>
      <w:r>
        <w:rPr>
          <w:rFonts w:hint="eastAsia" w:ascii="Times New Roman" w:eastAsia="楷体_GB2312" w:cs="Times New Roman"/>
          <w:color w:val="000000" w:themeColor="text1"/>
          <w:sz w:val="32"/>
          <w:szCs w:val="32"/>
          <w:lang w:val="en-US" w:eastAsia="zh-CN"/>
          <w14:textFill>
            <w14:solidFill>
              <w14:schemeClr w14:val="tx1"/>
            </w14:solidFill>
          </w14:textFill>
        </w:rPr>
        <w:t>14</w:t>
      </w:r>
    </w:p>
    <w:p w14:paraId="0CD84080">
      <w:pPr>
        <w:widowControl w:val="0"/>
        <w:tabs>
          <w:tab w:val="right" w:leader="dot" w:pos="8505"/>
        </w:tabs>
        <w:kinsoku/>
        <w:wordWrap/>
        <w:overflowPunct/>
        <w:topLinePunct w:val="0"/>
        <w:autoSpaceDE w:val="0"/>
        <w:autoSpaceDN w:val="0"/>
        <w:bidi w:val="0"/>
        <w:adjustRightInd w:val="0"/>
        <w:snapToGrid/>
        <w:spacing w:line="600" w:lineRule="exact"/>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六、一般公共预算财政拨款基本支出决算情况说明</w:t>
      </w:r>
      <w:r>
        <w:rPr>
          <w:rFonts w:hint="eastAsia" w:ascii="楷体_GB2312" w:hAnsi="楷体_GB2312" w:eastAsia="楷体_GB2312" w:cs="楷体_GB2312"/>
          <w:color w:val="000000" w:themeColor="text1"/>
          <w:sz w:val="32"/>
          <w:szCs w:val="32"/>
          <w14:textFill>
            <w14:solidFill>
              <w14:schemeClr w14:val="tx1"/>
            </w14:solidFill>
          </w14:textFill>
        </w:rPr>
        <w:tab/>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1</w:t>
      </w:r>
      <w:r>
        <w:rPr>
          <w:rFonts w:hint="default" w:ascii="Times New Roman" w:hAnsi="Times New Roman" w:eastAsia="楷体_GB2312" w:cs="Times New Roman"/>
          <w:color w:val="000000" w:themeColor="text1"/>
          <w:sz w:val="32"/>
          <w:szCs w:val="32"/>
          <w14:textFill>
            <w14:solidFill>
              <w14:schemeClr w14:val="tx1"/>
            </w14:solidFill>
          </w14:textFill>
        </w:rPr>
        <w:t>6</w:t>
      </w:r>
    </w:p>
    <w:p w14:paraId="491DC625">
      <w:pPr>
        <w:widowControl w:val="0"/>
        <w:tabs>
          <w:tab w:val="right" w:leader="dot" w:pos="8505"/>
        </w:tabs>
        <w:kinsoku/>
        <w:wordWrap/>
        <w:overflowPunct/>
        <w:topLinePunct w:val="0"/>
        <w:autoSpaceDE w:val="0"/>
        <w:autoSpaceDN w:val="0"/>
        <w:bidi w:val="0"/>
        <w:adjustRightInd w:val="0"/>
        <w:snapToGrid/>
        <w:spacing w:line="600" w:lineRule="exact"/>
        <w:textAlignment w:val="auto"/>
        <w:rPr>
          <w:rFonts w:hint="default"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七、财政拨款“三公”经费支出决算情况说明</w:t>
      </w:r>
      <w:r>
        <w:rPr>
          <w:rFonts w:hint="eastAsia" w:ascii="楷体_GB2312" w:hAnsi="楷体_GB2312" w:eastAsia="楷体_GB2312" w:cs="楷体_GB2312"/>
          <w:color w:val="000000" w:themeColor="text1"/>
          <w:sz w:val="32"/>
          <w:szCs w:val="32"/>
          <w14:textFill>
            <w14:solidFill>
              <w14:schemeClr w14:val="tx1"/>
            </w14:solidFill>
          </w14:textFill>
        </w:rPr>
        <w:tab/>
      </w:r>
      <w:r>
        <w:rPr>
          <w:rFonts w:hint="eastAsia" w:ascii="Times New Roman" w:eastAsia="楷体_GB2312" w:cs="Times New Roman"/>
          <w:color w:val="000000" w:themeColor="text1"/>
          <w:sz w:val="32"/>
          <w:szCs w:val="32"/>
          <w:lang w:val="en-US" w:eastAsia="zh-CN"/>
          <w14:textFill>
            <w14:solidFill>
              <w14:schemeClr w14:val="tx1"/>
            </w14:solidFill>
          </w14:textFill>
        </w:rPr>
        <w:t>17</w:t>
      </w:r>
    </w:p>
    <w:p w14:paraId="4729EC58">
      <w:pPr>
        <w:widowControl w:val="0"/>
        <w:tabs>
          <w:tab w:val="right" w:leader="dot" w:pos="8505"/>
        </w:tabs>
        <w:kinsoku/>
        <w:wordWrap/>
        <w:overflowPunct/>
        <w:topLinePunct w:val="0"/>
        <w:autoSpaceDE w:val="0"/>
        <w:autoSpaceDN w:val="0"/>
        <w:bidi w:val="0"/>
        <w:adjustRightInd w:val="0"/>
        <w:snapToGrid/>
        <w:spacing w:line="600" w:lineRule="exact"/>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八、政府性基金预算支出决算情况说明</w:t>
      </w:r>
      <w:r>
        <w:rPr>
          <w:rFonts w:hint="eastAsia" w:ascii="楷体_GB2312" w:hAnsi="楷体_GB2312" w:eastAsia="楷体_GB2312" w:cs="楷体_GB2312"/>
          <w:color w:val="000000" w:themeColor="text1"/>
          <w:sz w:val="32"/>
          <w:szCs w:val="32"/>
          <w14:textFill>
            <w14:solidFill>
              <w14:schemeClr w14:val="tx1"/>
            </w14:solidFill>
          </w14:textFill>
        </w:rPr>
        <w:tab/>
      </w:r>
      <w:r>
        <w:rPr>
          <w:rFonts w:hint="default" w:ascii="Times New Roman" w:hAnsi="Times New Roman" w:eastAsia="楷体_GB2312" w:cs="Times New Roman"/>
          <w:color w:val="000000" w:themeColor="text1"/>
          <w:sz w:val="32"/>
          <w:szCs w:val="32"/>
          <w14:textFill>
            <w14:solidFill>
              <w14:schemeClr w14:val="tx1"/>
            </w14:solidFill>
          </w14:textFill>
        </w:rPr>
        <w:t>1</w:t>
      </w:r>
      <w:r>
        <w:rPr>
          <w:rFonts w:hint="eastAsia" w:ascii="Times New Roman" w:eastAsia="楷体_GB2312" w:cs="Times New Roman"/>
          <w:color w:val="000000" w:themeColor="text1"/>
          <w:sz w:val="32"/>
          <w:szCs w:val="32"/>
          <w:lang w:val="en-US" w:eastAsia="zh-CN"/>
          <w14:textFill>
            <w14:solidFill>
              <w14:schemeClr w14:val="tx1"/>
            </w14:solidFill>
          </w14:textFill>
        </w:rPr>
        <w:t>9</w:t>
      </w:r>
    </w:p>
    <w:p w14:paraId="1513E6E4">
      <w:pPr>
        <w:widowControl w:val="0"/>
        <w:tabs>
          <w:tab w:val="right" w:leader="dot" w:pos="8505"/>
        </w:tabs>
        <w:kinsoku/>
        <w:wordWrap/>
        <w:overflowPunct/>
        <w:topLinePunct w:val="0"/>
        <w:autoSpaceDE w:val="0"/>
        <w:autoSpaceDN w:val="0"/>
        <w:bidi w:val="0"/>
        <w:adjustRightInd w:val="0"/>
        <w:snapToGrid/>
        <w:spacing w:line="600" w:lineRule="exact"/>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九、国有资本经营预算支出决算情况说明</w:t>
      </w:r>
      <w:r>
        <w:rPr>
          <w:rFonts w:hint="eastAsia" w:ascii="楷体_GB2312" w:hAnsi="楷体_GB2312" w:eastAsia="楷体_GB2312" w:cs="楷体_GB2312"/>
          <w:color w:val="000000" w:themeColor="text1"/>
          <w:sz w:val="32"/>
          <w:szCs w:val="32"/>
          <w14:textFill>
            <w14:solidFill>
              <w14:schemeClr w14:val="tx1"/>
            </w14:solidFill>
          </w14:textFill>
        </w:rPr>
        <w:tab/>
      </w:r>
      <w:r>
        <w:rPr>
          <w:rFonts w:hint="default" w:ascii="Times New Roman" w:hAnsi="Times New Roman" w:eastAsia="楷体_GB2312" w:cs="Times New Roman"/>
          <w:color w:val="000000" w:themeColor="text1"/>
          <w:sz w:val="32"/>
          <w:szCs w:val="32"/>
          <w14:textFill>
            <w14:solidFill>
              <w14:schemeClr w14:val="tx1"/>
            </w14:solidFill>
          </w14:textFill>
        </w:rPr>
        <w:t>1</w:t>
      </w:r>
      <w:r>
        <w:rPr>
          <w:rFonts w:hint="eastAsia" w:ascii="Times New Roman" w:eastAsia="楷体_GB2312" w:cs="Times New Roman"/>
          <w:color w:val="000000" w:themeColor="text1"/>
          <w:sz w:val="32"/>
          <w:szCs w:val="32"/>
          <w:lang w:val="en-US" w:eastAsia="zh-CN"/>
          <w14:textFill>
            <w14:solidFill>
              <w14:schemeClr w14:val="tx1"/>
            </w14:solidFill>
          </w14:textFill>
        </w:rPr>
        <w:t>9</w:t>
      </w:r>
    </w:p>
    <w:p w14:paraId="78CA1D57">
      <w:pPr>
        <w:widowControl w:val="0"/>
        <w:tabs>
          <w:tab w:val="right" w:leader="dot" w:pos="8505"/>
        </w:tabs>
        <w:kinsoku/>
        <w:wordWrap/>
        <w:overflowPunct/>
        <w:topLinePunct w:val="0"/>
        <w:autoSpaceDE w:val="0"/>
        <w:autoSpaceDN w:val="0"/>
        <w:bidi w:val="0"/>
        <w:adjustRightInd w:val="0"/>
        <w:snapToGrid/>
        <w:spacing w:line="600" w:lineRule="exact"/>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十、其他重要事项的情况说明</w:t>
      </w:r>
      <w:r>
        <w:rPr>
          <w:rFonts w:hint="eastAsia" w:ascii="楷体_GB2312" w:hAnsi="楷体_GB2312" w:eastAsia="楷体_GB2312" w:cs="楷体_GB2312"/>
          <w:color w:val="000000" w:themeColor="text1"/>
          <w:sz w:val="32"/>
          <w:szCs w:val="32"/>
          <w14:textFill>
            <w14:solidFill>
              <w14:schemeClr w14:val="tx1"/>
            </w14:solidFill>
          </w14:textFill>
        </w:rPr>
        <w:tab/>
      </w:r>
      <w:r>
        <w:rPr>
          <w:rFonts w:hint="default" w:ascii="Times New Roman" w:hAnsi="Times New Roman" w:eastAsia="楷体_GB2312" w:cs="Times New Roman"/>
          <w:color w:val="000000" w:themeColor="text1"/>
          <w:sz w:val="32"/>
          <w:szCs w:val="32"/>
          <w14:textFill>
            <w14:solidFill>
              <w14:schemeClr w14:val="tx1"/>
            </w14:solidFill>
          </w14:textFill>
        </w:rPr>
        <w:t>1</w:t>
      </w:r>
      <w:r>
        <w:rPr>
          <w:rFonts w:hint="eastAsia" w:ascii="Times New Roman" w:eastAsia="楷体_GB2312" w:cs="Times New Roman"/>
          <w:color w:val="000000" w:themeColor="text1"/>
          <w:sz w:val="32"/>
          <w:szCs w:val="32"/>
          <w:lang w:val="en-US" w:eastAsia="zh-CN"/>
          <w14:textFill>
            <w14:solidFill>
              <w14:schemeClr w14:val="tx1"/>
            </w14:solidFill>
          </w14:textFill>
        </w:rPr>
        <w:t>9</w:t>
      </w:r>
    </w:p>
    <w:p w14:paraId="49972E33">
      <w:pPr>
        <w:widowControl w:val="0"/>
        <w:tabs>
          <w:tab w:val="right" w:leader="dot" w:pos="8505"/>
        </w:tabs>
        <w:kinsoku/>
        <w:wordWrap/>
        <w:overflowPunct/>
        <w:topLinePunct w:val="0"/>
        <w:autoSpaceDE w:val="0"/>
        <w:autoSpaceDN w:val="0"/>
        <w:bidi w:val="0"/>
        <w:adjustRightInd w:val="0"/>
        <w:snapToGrid/>
        <w:spacing w:line="600" w:lineRule="exact"/>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第三部分 名词解释</w:t>
      </w:r>
      <w:r>
        <w:rPr>
          <w:rFonts w:hint="eastAsia" w:ascii="黑体" w:hAnsi="黑体" w:eastAsia="黑体" w:cs="黑体"/>
          <w:color w:val="000000" w:themeColor="text1"/>
          <w:sz w:val="32"/>
          <w:szCs w:val="32"/>
          <w14:textFill>
            <w14:solidFill>
              <w14:schemeClr w14:val="tx1"/>
            </w14:solidFill>
          </w14:textFill>
        </w:rPr>
        <w:tab/>
      </w:r>
      <w:r>
        <w:rPr>
          <w:rFonts w:hint="eastAsia" w:ascii="Times New Roman" w:eastAsia="黑体" w:cs="Times New Roman"/>
          <w:color w:val="000000" w:themeColor="text1"/>
          <w:sz w:val="32"/>
          <w:szCs w:val="32"/>
          <w:lang w:val="en-US" w:eastAsia="zh-CN"/>
          <w14:textFill>
            <w14:solidFill>
              <w14:schemeClr w14:val="tx1"/>
            </w14:solidFill>
          </w14:textFill>
        </w:rPr>
        <w:t>21</w:t>
      </w:r>
    </w:p>
    <w:p w14:paraId="38F6FB7F">
      <w:pPr>
        <w:widowControl w:val="0"/>
        <w:tabs>
          <w:tab w:val="right" w:leader="dot" w:pos="8505"/>
        </w:tabs>
        <w:kinsoku/>
        <w:wordWrap/>
        <w:overflowPunct/>
        <w:topLinePunct w:val="0"/>
        <w:autoSpaceDE w:val="0"/>
        <w:autoSpaceDN w:val="0"/>
        <w:bidi w:val="0"/>
        <w:adjustRightInd w:val="0"/>
        <w:snapToGrid/>
        <w:spacing w:line="600" w:lineRule="exact"/>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第四部分 附件</w:t>
      </w:r>
      <w:r>
        <w:rPr>
          <w:rFonts w:hint="eastAsia" w:ascii="黑体" w:hAnsi="黑体" w:eastAsia="黑体" w:cs="黑体"/>
          <w:color w:val="000000" w:themeColor="text1"/>
          <w:sz w:val="32"/>
          <w:szCs w:val="32"/>
          <w14:textFill>
            <w14:solidFill>
              <w14:schemeClr w14:val="tx1"/>
            </w14:solidFill>
          </w14:textFill>
        </w:rPr>
        <w:tab/>
      </w:r>
      <w:r>
        <w:rPr>
          <w:rFonts w:hint="eastAsia" w:ascii="Times New Roman" w:eastAsia="黑体" w:cs="Times New Roman"/>
          <w:color w:val="000000" w:themeColor="text1"/>
          <w:sz w:val="32"/>
          <w:szCs w:val="32"/>
          <w:lang w:val="en-US" w:eastAsia="zh-CN"/>
          <w14:textFill>
            <w14:solidFill>
              <w14:schemeClr w14:val="tx1"/>
            </w14:solidFill>
          </w14:textFill>
        </w:rPr>
        <w:t>23</w:t>
      </w:r>
    </w:p>
    <w:p w14:paraId="18E478E4">
      <w:pPr>
        <w:widowControl w:val="0"/>
        <w:tabs>
          <w:tab w:val="right" w:leader="dot" w:pos="8505"/>
        </w:tabs>
        <w:kinsoku/>
        <w:wordWrap/>
        <w:overflowPunct/>
        <w:topLinePunct w:val="0"/>
        <w:autoSpaceDE w:val="0"/>
        <w:autoSpaceDN w:val="0"/>
        <w:bidi w:val="0"/>
        <w:adjustRightInd w:val="0"/>
        <w:snapToGrid/>
        <w:spacing w:line="600" w:lineRule="exact"/>
        <w:textAlignment w:val="auto"/>
        <w:rPr>
          <w:rFonts w:hint="default"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附件1</w:t>
      </w:r>
      <w:r>
        <w:rPr>
          <w:rFonts w:hint="eastAsia" w:ascii="楷体_GB2312" w:hAnsi="楷体_GB2312" w:eastAsia="楷体_GB2312" w:cs="楷体_GB2312"/>
          <w:color w:val="000000" w:themeColor="text1"/>
          <w:sz w:val="32"/>
          <w:szCs w:val="32"/>
          <w14:textFill>
            <w14:solidFill>
              <w14:schemeClr w14:val="tx1"/>
            </w14:solidFill>
          </w14:textFill>
        </w:rPr>
        <w:tab/>
      </w:r>
      <w:r>
        <w:rPr>
          <w:rFonts w:hint="eastAsia" w:ascii="Times New Roman" w:eastAsia="楷体_GB2312" w:cs="Times New Roman"/>
          <w:color w:val="000000" w:themeColor="text1"/>
          <w:sz w:val="32"/>
          <w:szCs w:val="32"/>
          <w:lang w:val="en-US" w:eastAsia="zh-CN"/>
          <w14:textFill>
            <w14:solidFill>
              <w14:schemeClr w14:val="tx1"/>
            </w14:solidFill>
          </w14:textFill>
        </w:rPr>
        <w:t>30</w:t>
      </w:r>
    </w:p>
    <w:p w14:paraId="3A609E78">
      <w:pPr>
        <w:widowControl w:val="0"/>
        <w:tabs>
          <w:tab w:val="right" w:leader="dot" w:pos="8505"/>
        </w:tabs>
        <w:kinsoku/>
        <w:wordWrap/>
        <w:overflowPunct/>
        <w:topLinePunct w:val="0"/>
        <w:autoSpaceDE w:val="0"/>
        <w:autoSpaceDN w:val="0"/>
        <w:bidi w:val="0"/>
        <w:adjustRightInd w:val="0"/>
        <w:snapToGrid/>
        <w:spacing w:line="600" w:lineRule="exact"/>
        <w:textAlignment w:val="auto"/>
        <w:rPr>
          <w:rFonts w:hint="default"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附件2</w:t>
      </w:r>
      <w:r>
        <w:rPr>
          <w:rFonts w:hint="eastAsia" w:ascii="楷体_GB2312" w:hAnsi="楷体_GB2312" w:eastAsia="楷体_GB2312" w:cs="楷体_GB2312"/>
          <w:color w:val="000000" w:themeColor="text1"/>
          <w:sz w:val="32"/>
          <w:szCs w:val="32"/>
          <w14:textFill>
            <w14:solidFill>
              <w14:schemeClr w14:val="tx1"/>
            </w14:solidFill>
          </w14:textFill>
        </w:rPr>
        <w:tab/>
      </w:r>
      <w:r>
        <w:rPr>
          <w:rFonts w:hint="eastAsia" w:ascii="Times New Roman" w:eastAsia="楷体_GB2312" w:cs="Times New Roman"/>
          <w:color w:val="000000" w:themeColor="text1"/>
          <w:sz w:val="32"/>
          <w:szCs w:val="32"/>
          <w:lang w:val="en-US" w:eastAsia="zh-CN"/>
          <w14:textFill>
            <w14:solidFill>
              <w14:schemeClr w14:val="tx1"/>
            </w14:solidFill>
          </w14:textFill>
        </w:rPr>
        <w:t>30</w:t>
      </w:r>
    </w:p>
    <w:p w14:paraId="305329A4">
      <w:pPr>
        <w:widowControl w:val="0"/>
        <w:tabs>
          <w:tab w:val="right" w:leader="dot" w:pos="8505"/>
        </w:tabs>
        <w:kinsoku/>
        <w:wordWrap/>
        <w:overflowPunct/>
        <w:topLinePunct w:val="0"/>
        <w:autoSpaceDE w:val="0"/>
        <w:autoSpaceDN w:val="0"/>
        <w:bidi w:val="0"/>
        <w:adjustRightInd w:val="0"/>
        <w:snapToGrid/>
        <w:spacing w:line="600" w:lineRule="exact"/>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第五部分 附表</w:t>
      </w:r>
      <w:r>
        <w:rPr>
          <w:rFonts w:hint="eastAsia" w:ascii="黑体" w:hAnsi="黑体" w:eastAsia="黑体" w:cs="黑体"/>
          <w:color w:val="000000" w:themeColor="text1"/>
          <w:sz w:val="32"/>
          <w:szCs w:val="32"/>
          <w14:textFill>
            <w14:solidFill>
              <w14:schemeClr w14:val="tx1"/>
            </w14:solidFill>
          </w14:textFill>
        </w:rPr>
        <w:tab/>
      </w:r>
      <w:r>
        <w:rPr>
          <w:rFonts w:hint="eastAsia" w:ascii="Times New Roman" w:eastAsia="黑体" w:cs="Times New Roman"/>
          <w:color w:val="000000" w:themeColor="text1"/>
          <w:sz w:val="32"/>
          <w:szCs w:val="32"/>
          <w:lang w:val="en-US" w:eastAsia="zh-CN"/>
          <w14:textFill>
            <w14:solidFill>
              <w14:schemeClr w14:val="tx1"/>
            </w14:solidFill>
          </w14:textFill>
        </w:rPr>
        <w:t>40</w:t>
      </w:r>
    </w:p>
    <w:p w14:paraId="035C2E6A">
      <w:pPr>
        <w:widowControl w:val="0"/>
        <w:tabs>
          <w:tab w:val="right" w:leader="dot" w:pos="8505"/>
        </w:tabs>
        <w:kinsoku/>
        <w:wordWrap/>
        <w:overflowPunct/>
        <w:topLinePunct w:val="0"/>
        <w:autoSpaceDE w:val="0"/>
        <w:autoSpaceDN w:val="0"/>
        <w:bidi w:val="0"/>
        <w:adjustRightInd w:val="0"/>
        <w:snapToGrid/>
        <w:spacing w:line="600" w:lineRule="exact"/>
        <w:textAlignment w:val="auto"/>
        <w:rPr>
          <w:rFonts w:hint="default" w:ascii="黑体" w:hAnsi="黑体" w:eastAsia="楷体_GB2312" w:cs="黑体"/>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一、收入支出决算总表</w:t>
      </w:r>
      <w:r>
        <w:rPr>
          <w:rFonts w:hint="eastAsia" w:ascii="楷体_GB2312" w:hAnsi="楷体_GB2312" w:eastAsia="楷体_GB2312" w:cs="楷体_GB2312"/>
          <w:color w:val="000000" w:themeColor="text1"/>
          <w:sz w:val="32"/>
          <w:szCs w:val="32"/>
          <w14:textFill>
            <w14:solidFill>
              <w14:schemeClr w14:val="tx1"/>
            </w14:solidFill>
          </w14:textFill>
        </w:rPr>
        <w:tab/>
      </w:r>
      <w:r>
        <w:rPr>
          <w:rFonts w:hint="eastAsia" w:ascii="Times New Roman" w:eastAsia="楷体_GB2312" w:cs="Times New Roman"/>
          <w:color w:val="000000" w:themeColor="text1"/>
          <w:sz w:val="32"/>
          <w:szCs w:val="32"/>
          <w:lang w:val="en-US" w:eastAsia="zh-CN"/>
          <w14:textFill>
            <w14:solidFill>
              <w14:schemeClr w14:val="tx1"/>
            </w14:solidFill>
          </w14:textFill>
        </w:rPr>
        <w:t>40</w:t>
      </w:r>
    </w:p>
    <w:p w14:paraId="3B3EA79B">
      <w:pPr>
        <w:widowControl w:val="0"/>
        <w:tabs>
          <w:tab w:val="right" w:leader="dot" w:pos="8505"/>
        </w:tabs>
        <w:kinsoku/>
        <w:wordWrap/>
        <w:overflowPunct/>
        <w:topLinePunct w:val="0"/>
        <w:autoSpaceDE w:val="0"/>
        <w:autoSpaceDN w:val="0"/>
        <w:bidi w:val="0"/>
        <w:adjustRightInd w:val="0"/>
        <w:snapToGrid/>
        <w:spacing w:line="600" w:lineRule="exact"/>
        <w:textAlignment w:val="auto"/>
        <w:rPr>
          <w:rFonts w:hint="default"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二、收入决算表</w:t>
      </w:r>
      <w:r>
        <w:rPr>
          <w:rFonts w:hint="eastAsia" w:ascii="楷体_GB2312" w:hAnsi="楷体_GB2312" w:eastAsia="楷体_GB2312" w:cs="楷体_GB2312"/>
          <w:color w:val="000000" w:themeColor="text1"/>
          <w:sz w:val="32"/>
          <w:szCs w:val="32"/>
          <w14:textFill>
            <w14:solidFill>
              <w14:schemeClr w14:val="tx1"/>
            </w14:solidFill>
          </w14:textFill>
        </w:rPr>
        <w:tab/>
      </w:r>
      <w:r>
        <w:rPr>
          <w:rFonts w:hint="eastAsia" w:ascii="Times New Roman" w:eastAsia="楷体_GB2312" w:cs="Times New Roman"/>
          <w:color w:val="000000" w:themeColor="text1"/>
          <w:sz w:val="32"/>
          <w:szCs w:val="32"/>
          <w:lang w:val="en-US" w:eastAsia="zh-CN"/>
          <w14:textFill>
            <w14:solidFill>
              <w14:schemeClr w14:val="tx1"/>
            </w14:solidFill>
          </w14:textFill>
        </w:rPr>
        <w:t>40</w:t>
      </w:r>
    </w:p>
    <w:p w14:paraId="1C739E5A">
      <w:pPr>
        <w:widowControl w:val="0"/>
        <w:tabs>
          <w:tab w:val="right" w:leader="dot" w:pos="8505"/>
        </w:tabs>
        <w:kinsoku/>
        <w:wordWrap/>
        <w:overflowPunct/>
        <w:topLinePunct w:val="0"/>
        <w:autoSpaceDE w:val="0"/>
        <w:autoSpaceDN w:val="0"/>
        <w:bidi w:val="0"/>
        <w:adjustRightInd w:val="0"/>
        <w:snapToGrid/>
        <w:spacing w:line="600" w:lineRule="exact"/>
        <w:textAlignment w:val="auto"/>
        <w:rPr>
          <w:rFonts w:hint="default"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三、支出决算表</w:t>
      </w:r>
      <w:r>
        <w:rPr>
          <w:rFonts w:hint="eastAsia" w:ascii="楷体_GB2312" w:hAnsi="楷体_GB2312" w:eastAsia="楷体_GB2312" w:cs="楷体_GB2312"/>
          <w:color w:val="000000" w:themeColor="text1"/>
          <w:sz w:val="32"/>
          <w:szCs w:val="32"/>
          <w14:textFill>
            <w14:solidFill>
              <w14:schemeClr w14:val="tx1"/>
            </w14:solidFill>
          </w14:textFill>
        </w:rPr>
        <w:tab/>
      </w:r>
      <w:r>
        <w:rPr>
          <w:rFonts w:hint="eastAsia" w:ascii="Times New Roman" w:eastAsia="楷体_GB2312" w:cs="Times New Roman"/>
          <w:color w:val="000000" w:themeColor="text1"/>
          <w:sz w:val="32"/>
          <w:szCs w:val="32"/>
          <w:lang w:val="en-US" w:eastAsia="zh-CN"/>
          <w14:textFill>
            <w14:solidFill>
              <w14:schemeClr w14:val="tx1"/>
            </w14:solidFill>
          </w14:textFill>
        </w:rPr>
        <w:t>40</w:t>
      </w:r>
    </w:p>
    <w:p w14:paraId="7206DE31">
      <w:pPr>
        <w:widowControl w:val="0"/>
        <w:tabs>
          <w:tab w:val="right" w:leader="dot" w:pos="8505"/>
        </w:tabs>
        <w:kinsoku/>
        <w:wordWrap/>
        <w:overflowPunct/>
        <w:topLinePunct w:val="0"/>
        <w:autoSpaceDE w:val="0"/>
        <w:autoSpaceDN w:val="0"/>
        <w:bidi w:val="0"/>
        <w:adjustRightInd w:val="0"/>
        <w:snapToGrid/>
        <w:spacing w:line="600" w:lineRule="exact"/>
        <w:textAlignment w:val="auto"/>
        <w:rPr>
          <w:rFonts w:hint="default"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四、财政拨款收入支出决算总表</w:t>
      </w:r>
      <w:r>
        <w:rPr>
          <w:rFonts w:hint="eastAsia" w:ascii="楷体_GB2312" w:hAnsi="楷体_GB2312" w:eastAsia="楷体_GB2312" w:cs="楷体_GB2312"/>
          <w:color w:val="000000" w:themeColor="text1"/>
          <w:sz w:val="32"/>
          <w:szCs w:val="32"/>
          <w14:textFill>
            <w14:solidFill>
              <w14:schemeClr w14:val="tx1"/>
            </w14:solidFill>
          </w14:textFill>
        </w:rPr>
        <w:tab/>
      </w:r>
      <w:r>
        <w:rPr>
          <w:rFonts w:hint="eastAsia" w:ascii="Times New Roman" w:eastAsia="楷体_GB2312" w:cs="Times New Roman"/>
          <w:color w:val="000000" w:themeColor="text1"/>
          <w:sz w:val="32"/>
          <w:szCs w:val="32"/>
          <w:lang w:val="en-US" w:eastAsia="zh-CN"/>
          <w14:textFill>
            <w14:solidFill>
              <w14:schemeClr w14:val="tx1"/>
            </w14:solidFill>
          </w14:textFill>
        </w:rPr>
        <w:t>40</w:t>
      </w:r>
    </w:p>
    <w:p w14:paraId="64DDBFBA">
      <w:pPr>
        <w:widowControl w:val="0"/>
        <w:tabs>
          <w:tab w:val="right" w:leader="dot" w:pos="8505"/>
        </w:tabs>
        <w:kinsoku/>
        <w:wordWrap/>
        <w:overflowPunct/>
        <w:topLinePunct w:val="0"/>
        <w:autoSpaceDE w:val="0"/>
        <w:autoSpaceDN w:val="0"/>
        <w:bidi w:val="0"/>
        <w:adjustRightInd w:val="0"/>
        <w:snapToGrid/>
        <w:spacing w:line="600" w:lineRule="exact"/>
        <w:textAlignment w:val="auto"/>
        <w:rPr>
          <w:rFonts w:hint="default"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五、财政拨款支出决算明细表</w:t>
      </w:r>
      <w:r>
        <w:rPr>
          <w:rFonts w:hint="eastAsia" w:ascii="楷体_GB2312" w:hAnsi="楷体_GB2312" w:eastAsia="楷体_GB2312" w:cs="楷体_GB2312"/>
          <w:color w:val="000000" w:themeColor="text1"/>
          <w:sz w:val="32"/>
          <w:szCs w:val="32"/>
          <w14:textFill>
            <w14:solidFill>
              <w14:schemeClr w14:val="tx1"/>
            </w14:solidFill>
          </w14:textFill>
        </w:rPr>
        <w:tab/>
      </w:r>
      <w:r>
        <w:rPr>
          <w:rFonts w:hint="eastAsia" w:ascii="Times New Roman" w:eastAsia="楷体_GB2312" w:cs="Times New Roman"/>
          <w:color w:val="000000" w:themeColor="text1"/>
          <w:sz w:val="32"/>
          <w:szCs w:val="32"/>
          <w:lang w:val="en-US" w:eastAsia="zh-CN"/>
          <w14:textFill>
            <w14:solidFill>
              <w14:schemeClr w14:val="tx1"/>
            </w14:solidFill>
          </w14:textFill>
        </w:rPr>
        <w:t>40</w:t>
      </w:r>
    </w:p>
    <w:p w14:paraId="3F4FEFF7">
      <w:pPr>
        <w:widowControl w:val="0"/>
        <w:tabs>
          <w:tab w:val="right" w:leader="dot" w:pos="8505"/>
        </w:tabs>
        <w:kinsoku/>
        <w:wordWrap/>
        <w:overflowPunct/>
        <w:topLinePunct w:val="0"/>
        <w:autoSpaceDE w:val="0"/>
        <w:autoSpaceDN w:val="0"/>
        <w:bidi w:val="0"/>
        <w:adjustRightInd w:val="0"/>
        <w:snapToGrid/>
        <w:spacing w:line="600" w:lineRule="exact"/>
        <w:textAlignment w:val="auto"/>
        <w:rPr>
          <w:rFonts w:hint="default"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六、一般公共预算财政拨款支出决算表</w:t>
      </w:r>
      <w:r>
        <w:rPr>
          <w:rFonts w:hint="eastAsia" w:ascii="楷体_GB2312" w:hAnsi="楷体_GB2312" w:eastAsia="楷体_GB2312" w:cs="楷体_GB2312"/>
          <w:color w:val="000000" w:themeColor="text1"/>
          <w:sz w:val="32"/>
          <w:szCs w:val="32"/>
          <w14:textFill>
            <w14:solidFill>
              <w14:schemeClr w14:val="tx1"/>
            </w14:solidFill>
          </w14:textFill>
        </w:rPr>
        <w:tab/>
      </w:r>
      <w:r>
        <w:rPr>
          <w:rFonts w:hint="eastAsia" w:ascii="Times New Roman" w:eastAsia="楷体_GB2312" w:cs="Times New Roman"/>
          <w:color w:val="000000" w:themeColor="text1"/>
          <w:sz w:val="32"/>
          <w:szCs w:val="32"/>
          <w:lang w:val="en-US" w:eastAsia="zh-CN"/>
          <w14:textFill>
            <w14:solidFill>
              <w14:schemeClr w14:val="tx1"/>
            </w14:solidFill>
          </w14:textFill>
        </w:rPr>
        <w:t>40</w:t>
      </w:r>
    </w:p>
    <w:p w14:paraId="6D5A80A3">
      <w:pPr>
        <w:widowControl w:val="0"/>
        <w:tabs>
          <w:tab w:val="right" w:leader="dot" w:pos="8505"/>
        </w:tabs>
        <w:kinsoku/>
        <w:wordWrap/>
        <w:overflowPunct/>
        <w:topLinePunct w:val="0"/>
        <w:autoSpaceDE w:val="0"/>
        <w:autoSpaceDN w:val="0"/>
        <w:bidi w:val="0"/>
        <w:adjustRightInd w:val="0"/>
        <w:snapToGrid/>
        <w:spacing w:line="600" w:lineRule="exact"/>
        <w:textAlignment w:val="auto"/>
        <w:rPr>
          <w:rFonts w:hint="default"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七、一般公共预算财政拨款支出决算明细表</w:t>
      </w:r>
      <w:r>
        <w:rPr>
          <w:rFonts w:hint="eastAsia" w:ascii="楷体_GB2312" w:hAnsi="楷体_GB2312" w:eastAsia="楷体_GB2312" w:cs="楷体_GB2312"/>
          <w:color w:val="000000" w:themeColor="text1"/>
          <w:sz w:val="32"/>
          <w:szCs w:val="32"/>
          <w14:textFill>
            <w14:solidFill>
              <w14:schemeClr w14:val="tx1"/>
            </w14:solidFill>
          </w14:textFill>
        </w:rPr>
        <w:tab/>
      </w:r>
      <w:r>
        <w:rPr>
          <w:rFonts w:hint="eastAsia" w:ascii="Times New Roman" w:eastAsia="楷体_GB2312" w:cs="Times New Roman"/>
          <w:color w:val="000000" w:themeColor="text1"/>
          <w:sz w:val="32"/>
          <w:szCs w:val="32"/>
          <w:lang w:val="en-US" w:eastAsia="zh-CN"/>
          <w14:textFill>
            <w14:solidFill>
              <w14:schemeClr w14:val="tx1"/>
            </w14:solidFill>
          </w14:textFill>
        </w:rPr>
        <w:t>40</w:t>
      </w:r>
    </w:p>
    <w:p w14:paraId="70CC01F7">
      <w:pPr>
        <w:widowControl w:val="0"/>
        <w:tabs>
          <w:tab w:val="right" w:leader="dot" w:pos="8505"/>
        </w:tabs>
        <w:kinsoku/>
        <w:wordWrap/>
        <w:overflowPunct/>
        <w:topLinePunct w:val="0"/>
        <w:autoSpaceDE w:val="0"/>
        <w:autoSpaceDN w:val="0"/>
        <w:bidi w:val="0"/>
        <w:adjustRightInd w:val="0"/>
        <w:snapToGrid/>
        <w:spacing w:line="600" w:lineRule="exact"/>
        <w:textAlignment w:val="auto"/>
        <w:rPr>
          <w:rFonts w:hint="default"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八、一般公共预算财政拨款基本支出决算表</w:t>
      </w:r>
      <w:r>
        <w:rPr>
          <w:rFonts w:hint="eastAsia" w:ascii="楷体_GB2312" w:hAnsi="楷体_GB2312" w:eastAsia="楷体_GB2312" w:cs="楷体_GB2312"/>
          <w:color w:val="000000" w:themeColor="text1"/>
          <w:sz w:val="32"/>
          <w:szCs w:val="32"/>
          <w14:textFill>
            <w14:solidFill>
              <w14:schemeClr w14:val="tx1"/>
            </w14:solidFill>
          </w14:textFill>
        </w:rPr>
        <w:tab/>
      </w:r>
      <w:r>
        <w:rPr>
          <w:rFonts w:hint="eastAsia" w:ascii="Times New Roman" w:eastAsia="楷体_GB2312" w:cs="Times New Roman"/>
          <w:color w:val="000000" w:themeColor="text1"/>
          <w:sz w:val="32"/>
          <w:szCs w:val="32"/>
          <w:lang w:val="en-US" w:eastAsia="zh-CN"/>
          <w14:textFill>
            <w14:solidFill>
              <w14:schemeClr w14:val="tx1"/>
            </w14:solidFill>
          </w14:textFill>
        </w:rPr>
        <w:t>40</w:t>
      </w:r>
    </w:p>
    <w:p w14:paraId="372B90F5">
      <w:pPr>
        <w:widowControl w:val="0"/>
        <w:tabs>
          <w:tab w:val="right" w:leader="dot" w:pos="8505"/>
        </w:tabs>
        <w:kinsoku/>
        <w:wordWrap/>
        <w:overflowPunct/>
        <w:topLinePunct w:val="0"/>
        <w:autoSpaceDE w:val="0"/>
        <w:autoSpaceDN w:val="0"/>
        <w:bidi w:val="0"/>
        <w:adjustRightInd w:val="0"/>
        <w:snapToGrid/>
        <w:spacing w:line="600" w:lineRule="exact"/>
        <w:textAlignment w:val="auto"/>
        <w:rPr>
          <w:rFonts w:hint="default"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九、一般公共预算财政拨款项目支出决算表</w:t>
      </w:r>
      <w:r>
        <w:rPr>
          <w:rFonts w:hint="eastAsia" w:ascii="楷体_GB2312" w:hAnsi="楷体_GB2312" w:eastAsia="楷体_GB2312" w:cs="楷体_GB2312"/>
          <w:color w:val="000000" w:themeColor="text1"/>
          <w:sz w:val="32"/>
          <w:szCs w:val="32"/>
          <w14:textFill>
            <w14:solidFill>
              <w14:schemeClr w14:val="tx1"/>
            </w14:solidFill>
          </w14:textFill>
        </w:rPr>
        <w:tab/>
      </w:r>
      <w:r>
        <w:rPr>
          <w:rFonts w:hint="eastAsia" w:ascii="Times New Roman" w:eastAsia="楷体_GB2312" w:cs="Times New Roman"/>
          <w:color w:val="000000" w:themeColor="text1"/>
          <w:sz w:val="32"/>
          <w:szCs w:val="32"/>
          <w:lang w:val="en-US" w:eastAsia="zh-CN"/>
          <w14:textFill>
            <w14:solidFill>
              <w14:schemeClr w14:val="tx1"/>
            </w14:solidFill>
          </w14:textFill>
        </w:rPr>
        <w:t>40</w:t>
      </w:r>
    </w:p>
    <w:p w14:paraId="3C00CB2F">
      <w:pPr>
        <w:widowControl w:val="0"/>
        <w:tabs>
          <w:tab w:val="right" w:leader="dot" w:pos="8505"/>
        </w:tabs>
        <w:kinsoku/>
        <w:wordWrap/>
        <w:overflowPunct/>
        <w:topLinePunct w:val="0"/>
        <w:autoSpaceDE w:val="0"/>
        <w:autoSpaceDN w:val="0"/>
        <w:bidi w:val="0"/>
        <w:adjustRightInd w:val="0"/>
        <w:snapToGrid/>
        <w:spacing w:line="600" w:lineRule="exact"/>
        <w:textAlignment w:val="auto"/>
        <w:rPr>
          <w:rFonts w:hint="default"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十、政府性基金预算财政拨款收入支出决算表</w:t>
      </w:r>
      <w:r>
        <w:rPr>
          <w:rFonts w:hint="eastAsia" w:ascii="楷体_GB2312" w:hAnsi="楷体_GB2312" w:eastAsia="楷体_GB2312" w:cs="楷体_GB2312"/>
          <w:color w:val="000000" w:themeColor="text1"/>
          <w:sz w:val="32"/>
          <w:szCs w:val="32"/>
          <w14:textFill>
            <w14:solidFill>
              <w14:schemeClr w14:val="tx1"/>
            </w14:solidFill>
          </w14:textFill>
        </w:rPr>
        <w:tab/>
      </w:r>
      <w:r>
        <w:rPr>
          <w:rFonts w:hint="eastAsia" w:ascii="Times New Roman" w:eastAsia="楷体_GB2312" w:cs="Times New Roman"/>
          <w:color w:val="000000" w:themeColor="text1"/>
          <w:sz w:val="32"/>
          <w:szCs w:val="32"/>
          <w:lang w:val="en-US" w:eastAsia="zh-CN"/>
          <w14:textFill>
            <w14:solidFill>
              <w14:schemeClr w14:val="tx1"/>
            </w14:solidFill>
          </w14:textFill>
        </w:rPr>
        <w:t>40</w:t>
      </w:r>
    </w:p>
    <w:p w14:paraId="14D22586">
      <w:pPr>
        <w:widowControl w:val="0"/>
        <w:tabs>
          <w:tab w:val="right" w:leader="dot" w:pos="8505"/>
        </w:tabs>
        <w:kinsoku/>
        <w:wordWrap/>
        <w:overflowPunct/>
        <w:topLinePunct w:val="0"/>
        <w:autoSpaceDE w:val="0"/>
        <w:autoSpaceDN w:val="0"/>
        <w:bidi w:val="0"/>
        <w:adjustRightInd w:val="0"/>
        <w:snapToGrid/>
        <w:spacing w:line="600" w:lineRule="exact"/>
        <w:textAlignment w:val="auto"/>
        <w:rPr>
          <w:rFonts w:hint="default"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十一、国有资本经营预算财政拨款收入支出决算表</w:t>
      </w:r>
      <w:r>
        <w:rPr>
          <w:rFonts w:hint="eastAsia" w:ascii="楷体_GB2312" w:hAnsi="楷体_GB2312" w:eastAsia="楷体_GB2312" w:cs="楷体_GB2312"/>
          <w:color w:val="000000" w:themeColor="text1"/>
          <w:sz w:val="32"/>
          <w:szCs w:val="32"/>
          <w14:textFill>
            <w14:solidFill>
              <w14:schemeClr w14:val="tx1"/>
            </w14:solidFill>
          </w14:textFill>
        </w:rPr>
        <w:tab/>
      </w:r>
      <w:r>
        <w:rPr>
          <w:rFonts w:hint="eastAsia" w:ascii="Times New Roman" w:eastAsia="楷体_GB2312" w:cs="Times New Roman"/>
          <w:color w:val="000000" w:themeColor="text1"/>
          <w:sz w:val="32"/>
          <w:szCs w:val="32"/>
          <w:lang w:val="en-US" w:eastAsia="zh-CN"/>
          <w14:textFill>
            <w14:solidFill>
              <w14:schemeClr w14:val="tx1"/>
            </w14:solidFill>
          </w14:textFill>
        </w:rPr>
        <w:t>40</w:t>
      </w:r>
    </w:p>
    <w:p w14:paraId="62F620EF">
      <w:pPr>
        <w:widowControl w:val="0"/>
        <w:tabs>
          <w:tab w:val="right" w:leader="dot" w:pos="8505"/>
        </w:tabs>
        <w:kinsoku/>
        <w:wordWrap/>
        <w:overflowPunct/>
        <w:topLinePunct w:val="0"/>
        <w:autoSpaceDE w:val="0"/>
        <w:autoSpaceDN w:val="0"/>
        <w:bidi w:val="0"/>
        <w:adjustRightInd w:val="0"/>
        <w:snapToGrid/>
        <w:spacing w:line="600" w:lineRule="exact"/>
        <w:textAlignment w:val="auto"/>
        <w:rPr>
          <w:rFonts w:hint="default"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十二、国有资本经营预算财政拨款支出决算表</w:t>
      </w:r>
      <w:r>
        <w:rPr>
          <w:rFonts w:hint="eastAsia" w:ascii="楷体_GB2312" w:hAnsi="楷体_GB2312" w:eastAsia="楷体_GB2312" w:cs="楷体_GB2312"/>
          <w:color w:val="000000" w:themeColor="text1"/>
          <w:sz w:val="32"/>
          <w:szCs w:val="32"/>
          <w14:textFill>
            <w14:solidFill>
              <w14:schemeClr w14:val="tx1"/>
            </w14:solidFill>
          </w14:textFill>
        </w:rPr>
        <w:tab/>
      </w:r>
      <w:r>
        <w:rPr>
          <w:rFonts w:hint="eastAsia" w:ascii="Times New Roman" w:eastAsia="楷体_GB2312" w:cs="Times New Roman"/>
          <w:color w:val="000000" w:themeColor="text1"/>
          <w:sz w:val="32"/>
          <w:szCs w:val="32"/>
          <w:lang w:val="en-US" w:eastAsia="zh-CN"/>
          <w14:textFill>
            <w14:solidFill>
              <w14:schemeClr w14:val="tx1"/>
            </w14:solidFill>
          </w14:textFill>
        </w:rPr>
        <w:t>40</w:t>
      </w:r>
    </w:p>
    <w:p w14:paraId="54E0D4C9">
      <w:pPr>
        <w:widowControl w:val="0"/>
        <w:tabs>
          <w:tab w:val="right" w:leader="dot" w:pos="8505"/>
        </w:tabs>
        <w:kinsoku/>
        <w:wordWrap/>
        <w:overflowPunct/>
        <w:topLinePunct w:val="0"/>
        <w:autoSpaceDE w:val="0"/>
        <w:autoSpaceDN w:val="0"/>
        <w:bidi w:val="0"/>
        <w:adjustRightInd w:val="0"/>
        <w:snapToGrid/>
        <w:spacing w:line="600" w:lineRule="exact"/>
        <w:textAlignment w:val="auto"/>
        <w:rPr>
          <w:rFonts w:hint="default"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十三、财政拨款“三公”经费支出决算表</w:t>
      </w:r>
      <w:r>
        <w:rPr>
          <w:rFonts w:hint="eastAsia" w:ascii="楷体_GB2312" w:hAnsi="楷体_GB2312" w:eastAsia="楷体_GB2312" w:cs="楷体_GB2312"/>
          <w:color w:val="000000" w:themeColor="text1"/>
          <w:sz w:val="32"/>
          <w:szCs w:val="32"/>
          <w14:textFill>
            <w14:solidFill>
              <w14:schemeClr w14:val="tx1"/>
            </w14:solidFill>
          </w14:textFill>
        </w:rPr>
        <w:tab/>
      </w:r>
      <w:r>
        <w:rPr>
          <w:rFonts w:hint="eastAsia" w:ascii="Times New Roman" w:eastAsia="楷体_GB2312" w:cs="Times New Roman"/>
          <w:color w:val="000000" w:themeColor="text1"/>
          <w:sz w:val="32"/>
          <w:szCs w:val="32"/>
          <w:lang w:val="en-US" w:eastAsia="zh-CN"/>
          <w14:textFill>
            <w14:solidFill>
              <w14:schemeClr w14:val="tx1"/>
            </w14:solidFill>
          </w14:textFill>
        </w:rPr>
        <w:t>40</w:t>
      </w:r>
    </w:p>
    <w:p w14:paraId="68CBDD7B">
      <w:pPr>
        <w:rPr>
          <w:rFonts w:hint="default" w:ascii="Times New Roman"/>
          <w:color w:val="000000" w:themeColor="text1"/>
          <w:sz w:val="24"/>
          <w:szCs w:val="24"/>
          <w14:textFill>
            <w14:solidFill>
              <w14:schemeClr w14:val="tx1"/>
            </w14:solidFill>
          </w14:textFill>
        </w:rPr>
      </w:pPr>
    </w:p>
    <w:p w14:paraId="7E682D0D">
      <w:pPr>
        <w:pStyle w:val="2"/>
        <w:spacing w:before="72"/>
        <w:rPr>
          <w:rFonts w:hint="eastAsia"/>
          <w:color w:val="000000" w:themeColor="text1"/>
          <w:sz w:val="30"/>
          <w:szCs w:val="24"/>
          <w14:textFill>
            <w14:solidFill>
              <w14:schemeClr w14:val="tx1"/>
            </w14:solidFill>
          </w14:textFill>
        </w:rPr>
        <w:sectPr>
          <w:footerReference r:id="rId3" w:type="default"/>
          <w:pgSz w:w="12240" w:h="15840"/>
          <w:pgMar w:top="2098" w:right="1474" w:bottom="1984" w:left="1587" w:header="850" w:footer="1587" w:gutter="0"/>
          <w:lnNumType w:countBy="0" w:distance="360"/>
          <w:pgNumType w:fmt="decimal"/>
          <w:cols w:space="0" w:num="1"/>
          <w:rtlGutter w:val="0"/>
          <w:docGrid w:linePitch="0" w:charSpace="0"/>
        </w:sectPr>
      </w:pPr>
    </w:p>
    <w:p w14:paraId="2AEB37CF">
      <w:pPr>
        <w:pStyle w:val="3"/>
        <w:keepNext/>
        <w:keepLines/>
        <w:pageBreakBefore/>
        <w:widowControl w:val="0"/>
        <w:kinsoku/>
        <w:wordWrap/>
        <w:bidi w:val="0"/>
        <w:snapToGrid/>
        <w:spacing w:line="576" w:lineRule="exact"/>
        <w:jc w:val="center"/>
        <w:textAlignment w:val="auto"/>
        <w:rPr>
          <w:rFonts w:hint="eastAsia" w:ascii="方正小标宋简体" w:hAnsi="方正小标宋简体" w:eastAsia="方正小标宋简体" w:cs="方正小标宋简体"/>
          <w:b/>
          <w:color w:val="000000" w:themeColor="text1"/>
          <w:kern w:val="44"/>
          <w:sz w:val="44"/>
          <w:szCs w:val="24"/>
          <w14:textFill>
            <w14:solidFill>
              <w14:schemeClr w14:val="tx1"/>
            </w14:solidFill>
          </w14:textFill>
        </w:rPr>
      </w:pPr>
      <w:r>
        <w:rPr>
          <w:rFonts w:hint="eastAsia" w:ascii="方正小标宋简体" w:hAnsi="方正小标宋简体" w:eastAsia="方正小标宋简体" w:cs="方正小标宋简体"/>
          <w:color w:val="000000" w:themeColor="text1"/>
          <w:kern w:val="44"/>
          <w:sz w:val="44"/>
          <w:szCs w:val="24"/>
          <w14:textFill>
            <w14:solidFill>
              <w14:schemeClr w14:val="tx1"/>
            </w14:solidFill>
          </w14:textFill>
        </w:rPr>
        <w:t>第一部分 部门概况</w:t>
      </w:r>
    </w:p>
    <w:p w14:paraId="458118DC">
      <w:pPr>
        <w:pStyle w:val="4"/>
        <w:keepNext/>
        <w:keepLines/>
        <w:widowControl w:val="0"/>
        <w:kinsoku/>
        <w:wordWrap/>
        <w:bidi w:val="0"/>
        <w:snapToGrid/>
        <w:spacing w:line="576" w:lineRule="exact"/>
        <w:ind w:firstLine="640"/>
        <w:jc w:val="both"/>
        <w:textAlignment w:val="auto"/>
        <w:rPr>
          <w:rFonts w:hint="eastAsia" w:ascii="黑体" w:hAnsi="黑体" w:eastAsia="黑体"/>
          <w:color w:val="000000" w:themeColor="text1"/>
          <w:kern w:val="2"/>
          <w:sz w:val="32"/>
          <w:szCs w:val="24"/>
          <w14:textFill>
            <w14:solidFill>
              <w14:schemeClr w14:val="tx1"/>
            </w14:solidFill>
          </w14:textFill>
        </w:rPr>
      </w:pPr>
    </w:p>
    <w:p w14:paraId="5A738CA7">
      <w:pPr>
        <w:pStyle w:val="4"/>
        <w:keepNext/>
        <w:keepLines/>
        <w:widowControl w:val="0"/>
        <w:kinsoku/>
        <w:wordWrap/>
        <w:bidi w:val="0"/>
        <w:snapToGrid/>
        <w:spacing w:line="576" w:lineRule="exact"/>
        <w:ind w:firstLine="640"/>
        <w:jc w:val="both"/>
        <w:textAlignment w:val="auto"/>
        <w:rPr>
          <w:rFonts w:hint="eastAsia" w:ascii="黑体" w:hAnsi="黑体" w:eastAsia="黑体"/>
          <w:color w:val="000000" w:themeColor="text1"/>
          <w:kern w:val="2"/>
          <w:sz w:val="32"/>
          <w:szCs w:val="24"/>
          <w14:textFill>
            <w14:solidFill>
              <w14:schemeClr w14:val="tx1"/>
            </w14:solidFill>
          </w14:textFill>
        </w:rPr>
      </w:pPr>
      <w:r>
        <w:rPr>
          <w:rFonts w:hint="eastAsia" w:ascii="黑体" w:hAnsi="黑体" w:eastAsia="黑体"/>
          <w:color w:val="000000" w:themeColor="text1"/>
          <w:kern w:val="2"/>
          <w:sz w:val="32"/>
          <w:szCs w:val="24"/>
          <w14:textFill>
            <w14:solidFill>
              <w14:schemeClr w14:val="tx1"/>
            </w14:solidFill>
          </w14:textFill>
        </w:rPr>
        <w:t>一、部门职责</w:t>
      </w:r>
    </w:p>
    <w:p w14:paraId="57C6983A">
      <w:pPr>
        <w:widowControl w:val="0"/>
        <w:kinsoku/>
        <w:wordWrap/>
        <w:bidi w:val="0"/>
        <w:snapToGrid/>
        <w:spacing w:line="576" w:lineRule="exact"/>
        <w:ind w:firstLine="640"/>
        <w:jc w:val="both"/>
        <w:textAlignment w:val="auto"/>
        <w:rPr>
          <w:rFonts w:hint="eastAsia" w:ascii="楷体_GB2312" w:hAnsi="楷体_GB2312" w:eastAsia="楷体_GB2312" w:cs="楷体_GB2312"/>
          <w:color w:val="000000" w:themeColor="text1"/>
          <w:sz w:val="32"/>
          <w:szCs w:val="24"/>
          <w14:textFill>
            <w14:solidFill>
              <w14:schemeClr w14:val="tx1"/>
            </w14:solidFill>
          </w14:textFill>
        </w:rPr>
      </w:pPr>
      <w:r>
        <w:rPr>
          <w:rFonts w:hint="eastAsia" w:ascii="楷体_GB2312" w:hAnsi="楷体_GB2312" w:eastAsia="楷体_GB2312" w:cs="楷体_GB2312"/>
          <w:color w:val="000000" w:themeColor="text1"/>
          <w:kern w:val="2"/>
          <w:sz w:val="32"/>
          <w:szCs w:val="24"/>
          <w14:textFill>
            <w14:solidFill>
              <w14:schemeClr w14:val="tx1"/>
            </w14:solidFill>
          </w14:textFill>
        </w:rPr>
        <w:t>（一）主要职能。</w:t>
      </w:r>
    </w:p>
    <w:p w14:paraId="3BB2C151">
      <w:pPr>
        <w:widowControl w:val="0"/>
        <w:numPr>
          <w:ilvl w:val="0"/>
          <w:numId w:val="0"/>
        </w:numPr>
        <w:kinsoku/>
        <w:wordWrap/>
        <w:overflowPunct w:val="0"/>
        <w:autoSpaceDE/>
        <w:autoSpaceDN/>
        <w:bidi w:val="0"/>
        <w:adjustRightInd/>
        <w:snapToGrid/>
        <w:spacing w:line="576" w:lineRule="exact"/>
        <w:ind w:firstLine="640" w:firstLineChars="200"/>
        <w:jc w:val="both"/>
        <w:textAlignment w:val="auto"/>
        <w:rPr>
          <w:rStyle w:val="19"/>
          <w:rFonts w:hint="eastAsia" w:ascii="仿宋_GB2312" w:hAnsi="仿宋_GB2312" w:eastAsia="仿宋_GB2312" w:cs="仿宋_GB2312"/>
          <w:color w:val="000000" w:themeColor="text1"/>
          <w:sz w:val="32"/>
          <w:szCs w:val="32"/>
          <w14:textFill>
            <w14:solidFill>
              <w14:schemeClr w14:val="tx1"/>
            </w14:solidFill>
          </w14:textFill>
        </w:rPr>
      </w:pPr>
      <w:r>
        <w:rPr>
          <w:rStyle w:val="19"/>
          <w:rFonts w:hint="eastAsia" w:ascii="Times New Roman" w:hAnsi="Times New Roman" w:eastAsia="仿宋_GB2312" w:cs="仿宋_GB2312"/>
          <w:color w:val="000000" w:themeColor="text1"/>
          <w:sz w:val="32"/>
          <w:szCs w:val="32"/>
          <w14:textFill>
            <w14:solidFill>
              <w14:schemeClr w14:val="tx1"/>
            </w14:solidFill>
          </w14:textFill>
        </w:rPr>
        <w:t>1</w:t>
      </w:r>
      <w:r>
        <w:rPr>
          <w:rStyle w:val="19"/>
          <w:rFonts w:hint="eastAsia" w:ascii="仿宋_GB2312" w:hAnsi="仿宋_GB2312" w:eastAsia="仿宋_GB2312" w:cs="仿宋_GB2312"/>
          <w:color w:val="000000" w:themeColor="text1"/>
          <w:sz w:val="32"/>
          <w:szCs w:val="32"/>
          <w14:textFill>
            <w14:solidFill>
              <w14:schemeClr w14:val="tx1"/>
            </w14:solidFill>
          </w14:textFill>
        </w:rPr>
        <w:t>.负责处理区内给省、市、区领导的来信，接待群众来访，接听区长热线电话，并处理反映的有关问题；及时准确地向区委、区政府领导反映来信来访中提出的重要建议、意见和问题；综合分析信访信息，调查研究，提出制定有关政策的建议。</w:t>
      </w:r>
    </w:p>
    <w:p w14:paraId="2DF87A8E">
      <w:pPr>
        <w:widowControl w:val="0"/>
        <w:numPr>
          <w:ilvl w:val="0"/>
          <w:numId w:val="0"/>
        </w:numPr>
        <w:kinsoku/>
        <w:wordWrap/>
        <w:overflowPunct w:val="0"/>
        <w:autoSpaceDE/>
        <w:autoSpaceDN/>
        <w:bidi w:val="0"/>
        <w:adjustRightInd/>
        <w:snapToGrid/>
        <w:spacing w:line="576" w:lineRule="exact"/>
        <w:ind w:firstLine="640" w:firstLineChars="200"/>
        <w:jc w:val="both"/>
        <w:textAlignment w:val="auto"/>
        <w:rPr>
          <w:rStyle w:val="19"/>
          <w:rFonts w:hint="eastAsia" w:ascii="仿宋_GB2312" w:hAnsi="仿宋_GB2312" w:eastAsia="仿宋_GB2312" w:cs="仿宋_GB2312"/>
          <w:color w:val="000000" w:themeColor="text1"/>
          <w:sz w:val="32"/>
          <w:szCs w:val="32"/>
          <w14:textFill>
            <w14:solidFill>
              <w14:schemeClr w14:val="tx1"/>
            </w14:solidFill>
          </w14:textFill>
        </w:rPr>
      </w:pPr>
      <w:r>
        <w:rPr>
          <w:rStyle w:val="19"/>
          <w:rFonts w:hint="eastAsia" w:ascii="Times New Roman" w:hAnsi="Times New Roman" w:eastAsia="仿宋_GB2312" w:cs="仿宋_GB2312"/>
          <w:color w:val="000000" w:themeColor="text1"/>
          <w:sz w:val="32"/>
          <w:szCs w:val="32"/>
          <w14:textFill>
            <w14:solidFill>
              <w14:schemeClr w14:val="tx1"/>
            </w14:solidFill>
          </w14:textFill>
        </w:rPr>
        <w:t>2</w:t>
      </w:r>
      <w:r>
        <w:rPr>
          <w:rStyle w:val="19"/>
          <w:rFonts w:hint="eastAsia" w:ascii="仿宋_GB2312" w:hAnsi="仿宋_GB2312" w:eastAsia="仿宋_GB2312" w:cs="仿宋_GB2312"/>
          <w:color w:val="000000" w:themeColor="text1"/>
          <w:sz w:val="32"/>
          <w:szCs w:val="32"/>
          <w14:textFill>
            <w14:solidFill>
              <w14:schemeClr w14:val="tx1"/>
            </w14:solidFill>
          </w14:textFill>
        </w:rPr>
        <w:t>.承办党中央、国务院，省委、省政府，市委、市政府领导同志交办的群众工作和信访事项，督促检查领导同志对有关群众工作和信访批示的落实情况；向各乡镇和部门交办群众工作和信访事项，督促检查重要的群众信访事项的处理和落实；负责群众工作和信访案件的复查复核工作。</w:t>
      </w:r>
    </w:p>
    <w:p w14:paraId="7BE030A1">
      <w:pPr>
        <w:widowControl w:val="0"/>
        <w:numPr>
          <w:ilvl w:val="0"/>
          <w:numId w:val="0"/>
        </w:numPr>
        <w:kinsoku/>
        <w:wordWrap/>
        <w:overflowPunct w:val="0"/>
        <w:autoSpaceDE/>
        <w:autoSpaceDN/>
        <w:bidi w:val="0"/>
        <w:adjustRightInd/>
        <w:snapToGrid/>
        <w:spacing w:line="576" w:lineRule="exact"/>
        <w:ind w:firstLine="640" w:firstLineChars="200"/>
        <w:jc w:val="both"/>
        <w:textAlignment w:val="auto"/>
        <w:rPr>
          <w:rStyle w:val="19"/>
          <w:rFonts w:hint="eastAsia" w:ascii="仿宋_GB2312" w:hAnsi="仿宋_GB2312" w:eastAsia="仿宋_GB2312" w:cs="仿宋_GB2312"/>
          <w:color w:val="000000" w:themeColor="text1"/>
          <w:sz w:val="32"/>
          <w:szCs w:val="32"/>
          <w14:textFill>
            <w14:solidFill>
              <w14:schemeClr w14:val="tx1"/>
            </w14:solidFill>
          </w14:textFill>
        </w:rPr>
      </w:pPr>
      <w:r>
        <w:rPr>
          <w:rStyle w:val="19"/>
          <w:rFonts w:hint="eastAsia" w:ascii="Times New Roman" w:hAnsi="Times New Roman" w:eastAsia="仿宋_GB2312" w:cs="仿宋_GB2312"/>
          <w:color w:val="000000" w:themeColor="text1"/>
          <w:sz w:val="32"/>
          <w:szCs w:val="32"/>
          <w14:textFill>
            <w14:solidFill>
              <w14:schemeClr w14:val="tx1"/>
            </w14:solidFill>
          </w14:textFill>
        </w:rPr>
        <w:t>3</w:t>
      </w:r>
      <w:r>
        <w:rPr>
          <w:rStyle w:val="19"/>
          <w:rFonts w:hint="eastAsia" w:ascii="仿宋_GB2312" w:hAnsi="仿宋_GB2312" w:eastAsia="仿宋_GB2312" w:cs="仿宋_GB2312"/>
          <w:color w:val="000000" w:themeColor="text1"/>
          <w:sz w:val="32"/>
          <w:szCs w:val="32"/>
          <w14:textFill>
            <w14:solidFill>
              <w14:schemeClr w14:val="tx1"/>
            </w14:solidFill>
          </w14:textFill>
        </w:rPr>
        <w:t>.协调处理跨县区和部门的重要群众工作和信访问题，协调处理群众集体到省委、省政府、市委、市政府上访和突发性群体事件。</w:t>
      </w:r>
    </w:p>
    <w:p w14:paraId="263DC8E4">
      <w:pPr>
        <w:widowControl w:val="0"/>
        <w:numPr>
          <w:ilvl w:val="0"/>
          <w:numId w:val="0"/>
        </w:numPr>
        <w:kinsoku/>
        <w:wordWrap/>
        <w:overflowPunct w:val="0"/>
        <w:autoSpaceDE/>
        <w:autoSpaceDN/>
        <w:bidi w:val="0"/>
        <w:adjustRightInd/>
        <w:snapToGrid/>
        <w:spacing w:line="576" w:lineRule="exact"/>
        <w:ind w:firstLine="640" w:firstLineChars="200"/>
        <w:jc w:val="both"/>
        <w:textAlignment w:val="auto"/>
        <w:rPr>
          <w:rStyle w:val="19"/>
          <w:rFonts w:hint="eastAsia" w:ascii="仿宋_GB2312" w:hAnsi="仿宋_GB2312" w:eastAsia="仿宋_GB2312" w:cs="仿宋_GB2312"/>
          <w:color w:val="000000" w:themeColor="text1"/>
          <w:sz w:val="32"/>
          <w:szCs w:val="32"/>
          <w14:textFill>
            <w14:solidFill>
              <w14:schemeClr w14:val="tx1"/>
            </w14:solidFill>
          </w14:textFill>
        </w:rPr>
      </w:pPr>
      <w:r>
        <w:rPr>
          <w:rStyle w:val="19"/>
          <w:rFonts w:hint="eastAsia" w:ascii="Times New Roman" w:hAnsi="Times New Roman" w:eastAsia="仿宋_GB2312" w:cs="仿宋_GB2312"/>
          <w:color w:val="000000" w:themeColor="text1"/>
          <w:sz w:val="32"/>
          <w:szCs w:val="32"/>
          <w14:textFill>
            <w14:solidFill>
              <w14:schemeClr w14:val="tx1"/>
            </w14:solidFill>
          </w14:textFill>
        </w:rPr>
        <w:t>4</w:t>
      </w:r>
      <w:r>
        <w:rPr>
          <w:rStyle w:val="19"/>
          <w:rFonts w:hint="eastAsia" w:ascii="仿宋_GB2312" w:hAnsi="仿宋_GB2312" w:eastAsia="仿宋_GB2312" w:cs="仿宋_GB2312"/>
          <w:color w:val="000000" w:themeColor="text1"/>
          <w:sz w:val="32"/>
          <w:szCs w:val="32"/>
          <w14:textFill>
            <w14:solidFill>
              <w14:schemeClr w14:val="tx1"/>
            </w14:solidFill>
          </w14:textFill>
        </w:rPr>
        <w:t>.检查、指导、协调全区群众和信访工作，负责全区信访信息系统的建设；研究起草全区群众信访工作规范性文件，总结推广各地各部门群众信访工作的经验，提出加强和改进群众信访工作的意见和建议，通报重大群众信访问题及事件。</w:t>
      </w:r>
    </w:p>
    <w:p w14:paraId="7FBF1299">
      <w:pPr>
        <w:widowControl w:val="0"/>
        <w:numPr>
          <w:ilvl w:val="0"/>
          <w:numId w:val="0"/>
        </w:numPr>
        <w:kinsoku/>
        <w:wordWrap/>
        <w:overflowPunct w:val="0"/>
        <w:autoSpaceDE/>
        <w:autoSpaceDN/>
        <w:bidi w:val="0"/>
        <w:adjustRightInd/>
        <w:snapToGrid/>
        <w:spacing w:line="576" w:lineRule="exact"/>
        <w:ind w:firstLine="640" w:firstLineChars="200"/>
        <w:jc w:val="both"/>
        <w:textAlignment w:val="auto"/>
        <w:rPr>
          <w:rStyle w:val="19"/>
          <w:rFonts w:hint="eastAsia" w:ascii="仿宋_GB2312" w:hAnsi="仿宋_GB2312" w:eastAsia="仿宋_GB2312" w:cs="仿宋_GB2312"/>
          <w:color w:val="000000" w:themeColor="text1"/>
          <w:sz w:val="32"/>
          <w:szCs w:val="32"/>
          <w14:textFill>
            <w14:solidFill>
              <w14:schemeClr w14:val="tx1"/>
            </w14:solidFill>
          </w14:textFill>
        </w:rPr>
      </w:pPr>
      <w:r>
        <w:rPr>
          <w:rStyle w:val="19"/>
          <w:rFonts w:hint="eastAsia" w:ascii="Times New Roman" w:hAnsi="Times New Roman" w:eastAsia="仿宋_GB2312" w:cs="仿宋_GB2312"/>
          <w:color w:val="000000" w:themeColor="text1"/>
          <w:sz w:val="32"/>
          <w:szCs w:val="32"/>
          <w14:textFill>
            <w14:solidFill>
              <w14:schemeClr w14:val="tx1"/>
            </w14:solidFill>
          </w14:textFill>
        </w:rPr>
        <w:t>5</w:t>
      </w:r>
      <w:r>
        <w:rPr>
          <w:rStyle w:val="19"/>
          <w:rFonts w:hint="eastAsia" w:ascii="仿宋_GB2312" w:hAnsi="仿宋_GB2312" w:eastAsia="仿宋_GB2312" w:cs="仿宋_GB2312"/>
          <w:color w:val="000000" w:themeColor="text1"/>
          <w:sz w:val="32"/>
          <w:szCs w:val="32"/>
          <w14:textFill>
            <w14:solidFill>
              <w14:schemeClr w14:val="tx1"/>
            </w14:solidFill>
          </w14:textFill>
        </w:rPr>
        <w:t>.保证信访渠道畅通，负责协调区领导接待群众来访和包案处理信访案件，负责联系区党代表、区人大代表和区政协委员定期参与接待群众来访工作。</w:t>
      </w:r>
    </w:p>
    <w:p w14:paraId="76BB3FA2">
      <w:pPr>
        <w:widowControl w:val="0"/>
        <w:numPr>
          <w:ilvl w:val="0"/>
          <w:numId w:val="0"/>
        </w:numPr>
        <w:kinsoku/>
        <w:wordWrap/>
        <w:overflowPunct w:val="0"/>
        <w:autoSpaceDE/>
        <w:autoSpaceDN/>
        <w:bidi w:val="0"/>
        <w:adjustRightInd/>
        <w:snapToGrid/>
        <w:spacing w:line="576" w:lineRule="exact"/>
        <w:ind w:firstLine="640" w:firstLineChars="200"/>
        <w:jc w:val="both"/>
        <w:textAlignment w:val="auto"/>
        <w:rPr>
          <w:rStyle w:val="19"/>
          <w:rFonts w:hint="eastAsia" w:ascii="仿宋_GB2312" w:hAnsi="仿宋_GB2312" w:eastAsia="仿宋_GB2312" w:cs="仿宋_GB2312"/>
          <w:color w:val="000000" w:themeColor="text1"/>
          <w:sz w:val="32"/>
          <w:szCs w:val="32"/>
          <w14:textFill>
            <w14:solidFill>
              <w14:schemeClr w14:val="tx1"/>
            </w14:solidFill>
          </w14:textFill>
        </w:rPr>
      </w:pPr>
      <w:r>
        <w:rPr>
          <w:rStyle w:val="19"/>
          <w:rFonts w:hint="eastAsia" w:ascii="Times New Roman" w:hAnsi="Times New Roman" w:eastAsia="仿宋_GB2312" w:cs="仿宋_GB2312"/>
          <w:color w:val="000000" w:themeColor="text1"/>
          <w:sz w:val="32"/>
          <w:szCs w:val="32"/>
          <w14:textFill>
            <w14:solidFill>
              <w14:schemeClr w14:val="tx1"/>
            </w14:solidFill>
          </w14:textFill>
        </w:rPr>
        <w:t>6</w:t>
      </w:r>
      <w:r>
        <w:rPr>
          <w:rStyle w:val="19"/>
          <w:rFonts w:hint="eastAsia" w:ascii="仿宋_GB2312" w:hAnsi="仿宋_GB2312" w:eastAsia="仿宋_GB2312" w:cs="仿宋_GB2312"/>
          <w:color w:val="000000" w:themeColor="text1"/>
          <w:sz w:val="32"/>
          <w:szCs w:val="32"/>
          <w14:textFill>
            <w14:solidFill>
              <w14:schemeClr w14:val="tx1"/>
            </w14:solidFill>
          </w14:textFill>
        </w:rPr>
        <w:t>.协调处理赴京、到省、到市非正常上访工作。</w:t>
      </w:r>
    </w:p>
    <w:p w14:paraId="11D9CD16">
      <w:pPr>
        <w:widowControl w:val="0"/>
        <w:numPr>
          <w:ilvl w:val="0"/>
          <w:numId w:val="0"/>
        </w:numPr>
        <w:kinsoku/>
        <w:wordWrap/>
        <w:overflowPunct w:val="0"/>
        <w:autoSpaceDE/>
        <w:autoSpaceDN/>
        <w:bidi w:val="0"/>
        <w:adjustRightInd/>
        <w:snapToGrid/>
        <w:spacing w:line="576" w:lineRule="exact"/>
        <w:ind w:firstLine="596" w:firstLineChars="200"/>
        <w:jc w:val="both"/>
        <w:textAlignment w:val="auto"/>
        <w:rPr>
          <w:rStyle w:val="19"/>
          <w:rFonts w:hint="eastAsia" w:ascii="仿宋_GB2312" w:hAnsi="仿宋_GB2312" w:eastAsia="仿宋_GB2312" w:cs="仿宋_GB2312"/>
          <w:color w:val="000000" w:themeColor="text1"/>
          <w:spacing w:val="-11"/>
          <w:sz w:val="32"/>
          <w:szCs w:val="32"/>
          <w14:textFill>
            <w14:solidFill>
              <w14:schemeClr w14:val="tx1"/>
            </w14:solidFill>
          </w14:textFill>
        </w:rPr>
      </w:pPr>
      <w:r>
        <w:rPr>
          <w:rStyle w:val="19"/>
          <w:rFonts w:hint="eastAsia" w:ascii="Times New Roman" w:hAnsi="Times New Roman" w:eastAsia="仿宋_GB2312" w:cs="仿宋_GB2312"/>
          <w:color w:val="000000" w:themeColor="text1"/>
          <w:spacing w:val="-11"/>
          <w:sz w:val="32"/>
          <w:szCs w:val="32"/>
          <w14:textFill>
            <w14:solidFill>
              <w14:schemeClr w14:val="tx1"/>
            </w14:solidFill>
          </w14:textFill>
        </w:rPr>
        <w:t>7</w:t>
      </w:r>
      <w:r>
        <w:rPr>
          <w:rStyle w:val="19"/>
          <w:rFonts w:hint="eastAsia" w:ascii="仿宋_GB2312" w:hAnsi="仿宋_GB2312" w:eastAsia="仿宋_GB2312" w:cs="仿宋_GB2312"/>
          <w:color w:val="000000" w:themeColor="text1"/>
          <w:spacing w:val="-11"/>
          <w:sz w:val="32"/>
          <w:szCs w:val="32"/>
          <w14:textFill>
            <w14:solidFill>
              <w14:schemeClr w14:val="tx1"/>
            </w14:solidFill>
          </w14:textFill>
        </w:rPr>
        <w:t>.负责处理全区信访工作联席会议综合协调和日常性工作。</w:t>
      </w:r>
    </w:p>
    <w:p w14:paraId="4099B713">
      <w:pPr>
        <w:widowControl w:val="0"/>
        <w:numPr>
          <w:ilvl w:val="0"/>
          <w:numId w:val="0"/>
        </w:numPr>
        <w:kinsoku/>
        <w:wordWrap/>
        <w:overflowPunct w:val="0"/>
        <w:autoSpaceDE/>
        <w:autoSpaceDN/>
        <w:bidi w:val="0"/>
        <w:adjustRightInd/>
        <w:snapToGrid/>
        <w:spacing w:line="576" w:lineRule="exact"/>
        <w:ind w:firstLine="640" w:firstLineChars="200"/>
        <w:jc w:val="both"/>
        <w:textAlignment w:val="auto"/>
        <w:rPr>
          <w:rStyle w:val="19"/>
          <w:rFonts w:hint="eastAsia" w:ascii="仿宋_GB2312" w:hAnsi="仿宋_GB2312" w:eastAsia="仿宋_GB2312" w:cs="仿宋_GB2312"/>
          <w:color w:val="000000" w:themeColor="text1"/>
          <w:sz w:val="32"/>
          <w:szCs w:val="32"/>
          <w14:textFill>
            <w14:solidFill>
              <w14:schemeClr w14:val="tx1"/>
            </w14:solidFill>
          </w14:textFill>
        </w:rPr>
      </w:pPr>
      <w:r>
        <w:rPr>
          <w:rStyle w:val="19"/>
          <w:rFonts w:hint="eastAsia" w:ascii="Times New Roman" w:hAnsi="Times New Roman" w:eastAsia="仿宋_GB2312" w:cs="仿宋_GB2312"/>
          <w:color w:val="000000" w:themeColor="text1"/>
          <w:sz w:val="32"/>
          <w:szCs w:val="32"/>
          <w14:textFill>
            <w14:solidFill>
              <w14:schemeClr w14:val="tx1"/>
            </w14:solidFill>
          </w14:textFill>
        </w:rPr>
        <w:t>8</w:t>
      </w:r>
      <w:r>
        <w:rPr>
          <w:rStyle w:val="19"/>
          <w:rFonts w:hint="eastAsia" w:ascii="仿宋_GB2312" w:hAnsi="仿宋_GB2312" w:eastAsia="仿宋_GB2312" w:cs="仿宋_GB2312"/>
          <w:color w:val="000000" w:themeColor="text1"/>
          <w:sz w:val="32"/>
          <w:szCs w:val="32"/>
          <w14:textFill>
            <w14:solidFill>
              <w14:schemeClr w14:val="tx1"/>
            </w14:solidFill>
          </w14:textFill>
        </w:rPr>
        <w:t>.负责区群众来访接待中心建设和日常管理工作。</w:t>
      </w:r>
    </w:p>
    <w:p w14:paraId="6D40B350">
      <w:pPr>
        <w:keepNext/>
        <w:keepLines/>
        <w:widowControl w:val="0"/>
        <w:kinsoku/>
        <w:wordWrap/>
        <w:bidi w:val="0"/>
        <w:snapToGrid/>
        <w:spacing w:line="576" w:lineRule="exact"/>
        <w:ind w:firstLine="640"/>
        <w:jc w:val="both"/>
        <w:textAlignment w:val="auto"/>
        <w:rPr>
          <w:rStyle w:val="19"/>
          <w:rFonts w:hint="eastAsia" w:ascii="仿宋_GB2312" w:hAnsi="仿宋_GB2312" w:eastAsia="仿宋_GB2312" w:cs="仿宋_GB2312"/>
          <w:color w:val="000000" w:themeColor="text1"/>
          <w:sz w:val="32"/>
          <w:szCs w:val="32"/>
          <w14:textFill>
            <w14:solidFill>
              <w14:schemeClr w14:val="tx1"/>
            </w14:solidFill>
          </w14:textFill>
        </w:rPr>
      </w:pPr>
      <w:r>
        <w:rPr>
          <w:rStyle w:val="19"/>
          <w:rFonts w:hint="eastAsia" w:ascii="Times New Roman" w:hAnsi="Times New Roman" w:eastAsia="仿宋_GB2312" w:cs="仿宋_GB2312"/>
          <w:color w:val="000000" w:themeColor="text1"/>
          <w:sz w:val="32"/>
          <w:szCs w:val="32"/>
          <w14:textFill>
            <w14:solidFill>
              <w14:schemeClr w14:val="tx1"/>
            </w14:solidFill>
          </w14:textFill>
        </w:rPr>
        <w:t>9</w:t>
      </w:r>
      <w:r>
        <w:rPr>
          <w:rStyle w:val="19"/>
          <w:rFonts w:hint="eastAsia" w:ascii="仿宋_GB2312" w:hAnsi="仿宋_GB2312" w:eastAsia="仿宋_GB2312" w:cs="仿宋_GB2312"/>
          <w:color w:val="000000" w:themeColor="text1"/>
          <w:sz w:val="32"/>
          <w:szCs w:val="32"/>
          <w14:textFill>
            <w14:solidFill>
              <w14:schemeClr w14:val="tx1"/>
            </w14:solidFill>
          </w14:textFill>
        </w:rPr>
        <w:t>.承办区委、区政府交办的其他事项。</w:t>
      </w:r>
    </w:p>
    <w:p w14:paraId="2D6D7328">
      <w:pPr>
        <w:widowControl w:val="0"/>
        <w:kinsoku/>
        <w:wordWrap/>
        <w:overflowPunct w:val="0"/>
        <w:topLinePunct/>
        <w:bidi w:val="0"/>
        <w:snapToGrid/>
        <w:spacing w:line="576" w:lineRule="exact"/>
        <w:ind w:firstLine="640" w:firstLineChars="200"/>
        <w:jc w:val="both"/>
        <w:textAlignment w:val="auto"/>
        <w:rPr>
          <w:rFonts w:hint="eastAsia" w:ascii="楷体_GB2312" w:hAnsi="楷体_GB2312" w:eastAsia="楷体_GB2312" w:cs="楷体_GB2312"/>
          <w:color w:val="000000" w:themeColor="text1"/>
          <w:sz w:val="32"/>
          <w:szCs w:val="24"/>
          <w14:textFill>
            <w14:solidFill>
              <w14:schemeClr w14:val="tx1"/>
            </w14:solidFill>
          </w14:textFill>
        </w:rPr>
      </w:pPr>
      <w:r>
        <w:rPr>
          <w:rFonts w:hint="eastAsia" w:ascii="楷体_GB2312" w:hAnsi="楷体_GB2312" w:eastAsia="楷体_GB2312" w:cs="楷体_GB2312"/>
          <w:color w:val="000000" w:themeColor="text1"/>
          <w:sz w:val="32"/>
          <w:szCs w:val="24"/>
          <w14:textFill>
            <w14:solidFill>
              <w14:schemeClr w14:val="tx1"/>
            </w14:solidFill>
          </w14:textFill>
        </w:rPr>
        <w:t>（二）</w:t>
      </w:r>
      <w:r>
        <w:rPr>
          <w:rFonts w:hint="eastAsia" w:ascii="Times New Roman" w:hAnsi="Times New Roman" w:eastAsia="楷体_GB2312" w:cs="楷体_GB2312"/>
          <w:color w:val="000000" w:themeColor="text1"/>
          <w:sz w:val="32"/>
          <w:szCs w:val="24"/>
          <w14:textFill>
            <w14:solidFill>
              <w14:schemeClr w14:val="tx1"/>
            </w14:solidFill>
          </w14:textFill>
        </w:rPr>
        <w:t>2023</w:t>
      </w:r>
      <w:r>
        <w:rPr>
          <w:rFonts w:hint="eastAsia" w:ascii="楷体_GB2312" w:hAnsi="楷体_GB2312" w:eastAsia="楷体_GB2312" w:cs="楷体_GB2312"/>
          <w:color w:val="000000" w:themeColor="text1"/>
          <w:sz w:val="32"/>
          <w:szCs w:val="24"/>
          <w14:textFill>
            <w14:solidFill>
              <w14:schemeClr w14:val="tx1"/>
            </w14:solidFill>
          </w14:textFill>
        </w:rPr>
        <w:t>年重点工作完成情况。</w:t>
      </w:r>
    </w:p>
    <w:p w14:paraId="7258F37B">
      <w:pPr>
        <w:pStyle w:val="8"/>
        <w:widowControl w:val="0"/>
        <w:numPr>
          <w:ilvl w:val="0"/>
          <w:numId w:val="0"/>
        </w:numPr>
        <w:kinsoku/>
        <w:wordWrap/>
        <w:autoSpaceDE/>
        <w:autoSpaceDN/>
        <w:bidi w:val="0"/>
        <w:adjustRightInd/>
        <w:snapToGrid/>
        <w:spacing w:after="0" w:line="576" w:lineRule="exact"/>
        <w:ind w:leftChars="0" w:firstLine="640"/>
        <w:jc w:val="both"/>
        <w:textAlignment w:val="auto"/>
        <w:rPr>
          <w:rFonts w:hint="default" w:ascii="Times New Roman" w:hAnsi="Times New Roman" w:eastAsia="仿宋_GB2312" w:cs="Times New Roman"/>
          <w:color w:val="000000" w:themeColor="text1"/>
          <w:kern w:val="2"/>
          <w:sz w:val="32"/>
          <w:szCs w:val="32"/>
          <w14:textFill>
            <w14:solidFill>
              <w14:schemeClr w14:val="tx1"/>
            </w14:solidFill>
          </w14:textFill>
        </w:rPr>
      </w:pPr>
      <w:r>
        <w:rPr>
          <w:rFonts w:hint="default" w:ascii="Times New Roman" w:hAnsi="Times New Roman" w:eastAsia="Times New Roman"/>
          <w:color w:val="000000" w:themeColor="text1"/>
          <w:kern w:val="2"/>
          <w:sz w:val="32"/>
          <w:szCs w:val="32"/>
          <w14:textFill>
            <w14:solidFill>
              <w14:schemeClr w14:val="tx1"/>
            </w14:solidFill>
          </w14:textFill>
        </w:rPr>
        <w:t>2023</w:t>
      </w:r>
      <w:r>
        <w:rPr>
          <w:rFonts w:hint="eastAsia" w:eastAsia="仿宋_GB2312"/>
          <w:color w:val="000000" w:themeColor="text1"/>
          <w:kern w:val="2"/>
          <w:sz w:val="32"/>
          <w:szCs w:val="32"/>
          <w14:textFill>
            <w14:solidFill>
              <w14:schemeClr w14:val="tx1"/>
            </w14:solidFill>
          </w14:textFill>
        </w:rPr>
        <w:t>年信访总量</w:t>
      </w:r>
      <w:r>
        <w:rPr>
          <w:rFonts w:hint="eastAsia" w:ascii="Times New Roman" w:hAnsi="Times New Roman" w:eastAsia="仿宋_GB2312"/>
          <w:color w:val="000000" w:themeColor="text1"/>
          <w:kern w:val="2"/>
          <w:sz w:val="32"/>
          <w:szCs w:val="32"/>
          <w14:textFill>
            <w14:solidFill>
              <w14:schemeClr w14:val="tx1"/>
            </w14:solidFill>
          </w14:textFill>
        </w:rPr>
        <w:t>589</w:t>
      </w:r>
      <w:r>
        <w:rPr>
          <w:rFonts w:hint="eastAsia" w:eastAsia="仿宋_GB2312"/>
          <w:color w:val="000000" w:themeColor="text1"/>
          <w:kern w:val="2"/>
          <w:sz w:val="32"/>
          <w:szCs w:val="32"/>
          <w14:textFill>
            <w14:solidFill>
              <w14:schemeClr w14:val="tx1"/>
            </w14:solidFill>
          </w14:textFill>
        </w:rPr>
        <w:t>批</w:t>
      </w:r>
      <w:r>
        <w:rPr>
          <w:rFonts w:hint="eastAsia" w:ascii="Times New Roman" w:hAnsi="Times New Roman" w:eastAsia="仿宋_GB2312"/>
          <w:color w:val="000000" w:themeColor="text1"/>
          <w:kern w:val="2"/>
          <w:sz w:val="32"/>
          <w:szCs w:val="32"/>
          <w14:textFill>
            <w14:solidFill>
              <w14:schemeClr w14:val="tx1"/>
            </w14:solidFill>
          </w14:textFill>
        </w:rPr>
        <w:t>1040</w:t>
      </w:r>
      <w:r>
        <w:rPr>
          <w:rFonts w:hint="eastAsia" w:eastAsia="仿宋_GB2312"/>
          <w:color w:val="000000" w:themeColor="text1"/>
          <w:kern w:val="2"/>
          <w:sz w:val="32"/>
          <w:szCs w:val="32"/>
          <w14:textFill>
            <w14:solidFill>
              <w14:schemeClr w14:val="tx1"/>
            </w14:solidFill>
          </w14:textFill>
        </w:rPr>
        <w:t>人次，同比批次下降</w:t>
      </w:r>
      <w:r>
        <w:rPr>
          <w:rFonts w:hint="eastAsia" w:ascii="Times New Roman" w:hAnsi="Times New Roman" w:eastAsia="仿宋_GB2312"/>
          <w:color w:val="000000" w:themeColor="text1"/>
          <w:kern w:val="2"/>
          <w:sz w:val="32"/>
          <w:szCs w:val="32"/>
          <w14:textFill>
            <w14:solidFill>
              <w14:schemeClr w14:val="tx1"/>
            </w14:solidFill>
          </w14:textFill>
        </w:rPr>
        <w:t>16</w:t>
      </w:r>
      <w:r>
        <w:rPr>
          <w:rFonts w:hint="eastAsia" w:eastAsia="仿宋_GB2312"/>
          <w:color w:val="000000" w:themeColor="text1"/>
          <w:kern w:val="2"/>
          <w:sz w:val="32"/>
          <w:szCs w:val="32"/>
          <w14:textFill>
            <w14:solidFill>
              <w14:schemeClr w14:val="tx1"/>
            </w14:solidFill>
          </w14:textFill>
        </w:rPr>
        <w:t>.</w:t>
      </w:r>
      <w:r>
        <w:rPr>
          <w:rFonts w:hint="eastAsia" w:ascii="Times New Roman" w:hAnsi="Times New Roman" w:eastAsia="仿宋_GB2312"/>
          <w:color w:val="000000" w:themeColor="text1"/>
          <w:kern w:val="2"/>
          <w:sz w:val="32"/>
          <w:szCs w:val="32"/>
          <w14:textFill>
            <w14:solidFill>
              <w14:schemeClr w14:val="tx1"/>
            </w14:solidFill>
          </w14:textFill>
        </w:rPr>
        <w:t>1</w:t>
      </w:r>
      <w:r>
        <w:rPr>
          <w:rFonts w:hint="eastAsia" w:eastAsia="仿宋_GB2312"/>
          <w:color w:val="000000" w:themeColor="text1"/>
          <w:kern w:val="2"/>
          <w:sz w:val="32"/>
          <w:szCs w:val="32"/>
          <w14:textFill>
            <w14:solidFill>
              <w14:schemeClr w14:val="tx1"/>
            </w14:solidFill>
          </w14:textFill>
        </w:rPr>
        <w:t>%、人次下降</w:t>
      </w:r>
      <w:r>
        <w:rPr>
          <w:rFonts w:hint="eastAsia" w:ascii="Times New Roman" w:hAnsi="Times New Roman" w:eastAsia="仿宋_GB2312"/>
          <w:color w:val="000000" w:themeColor="text1"/>
          <w:kern w:val="2"/>
          <w:sz w:val="32"/>
          <w:szCs w:val="32"/>
          <w14:textFill>
            <w14:solidFill>
              <w14:schemeClr w14:val="tx1"/>
            </w14:solidFill>
          </w14:textFill>
        </w:rPr>
        <w:t>15</w:t>
      </w:r>
      <w:r>
        <w:rPr>
          <w:rFonts w:hint="eastAsia" w:eastAsia="仿宋_GB2312"/>
          <w:color w:val="000000" w:themeColor="text1"/>
          <w:kern w:val="2"/>
          <w:sz w:val="32"/>
          <w:szCs w:val="32"/>
          <w14:textFill>
            <w14:solidFill>
              <w14:schemeClr w14:val="tx1"/>
            </w14:solidFill>
          </w14:textFill>
        </w:rPr>
        <w:t>.</w:t>
      </w:r>
      <w:r>
        <w:rPr>
          <w:rFonts w:hint="eastAsia" w:ascii="Times New Roman" w:hAnsi="Times New Roman" w:eastAsia="仿宋_GB2312"/>
          <w:color w:val="000000" w:themeColor="text1"/>
          <w:kern w:val="2"/>
          <w:sz w:val="32"/>
          <w:szCs w:val="32"/>
          <w14:textFill>
            <w14:solidFill>
              <w14:schemeClr w14:val="tx1"/>
            </w14:solidFill>
          </w14:textFill>
        </w:rPr>
        <w:t>2</w:t>
      </w:r>
      <w:r>
        <w:rPr>
          <w:rFonts w:hint="eastAsia" w:eastAsia="仿宋_GB2312"/>
          <w:color w:val="000000" w:themeColor="text1"/>
          <w:kern w:val="2"/>
          <w:sz w:val="32"/>
          <w:szCs w:val="32"/>
          <w14:textFill>
            <w14:solidFill>
              <w14:schemeClr w14:val="tx1"/>
            </w14:solidFill>
          </w14:textFill>
        </w:rPr>
        <w:t>%。走访</w:t>
      </w:r>
      <w:r>
        <w:rPr>
          <w:rFonts w:hint="eastAsia" w:ascii="Times New Roman" w:hAnsi="Times New Roman" w:eastAsia="仿宋_GB2312"/>
          <w:color w:val="000000" w:themeColor="text1"/>
          <w:kern w:val="2"/>
          <w:sz w:val="32"/>
          <w:szCs w:val="32"/>
          <w14:textFill>
            <w14:solidFill>
              <w14:schemeClr w14:val="tx1"/>
            </w14:solidFill>
          </w14:textFill>
        </w:rPr>
        <w:t>305</w:t>
      </w:r>
      <w:r>
        <w:rPr>
          <w:rFonts w:hint="eastAsia" w:eastAsia="仿宋_GB2312"/>
          <w:color w:val="000000" w:themeColor="text1"/>
          <w:kern w:val="2"/>
          <w:sz w:val="32"/>
          <w:szCs w:val="32"/>
          <w14:textFill>
            <w14:solidFill>
              <w14:schemeClr w14:val="tx1"/>
            </w14:solidFill>
          </w14:textFill>
        </w:rPr>
        <w:t>批</w:t>
      </w:r>
      <w:r>
        <w:rPr>
          <w:rFonts w:hint="eastAsia" w:ascii="Times New Roman" w:hAnsi="Times New Roman" w:eastAsia="仿宋_GB2312"/>
          <w:color w:val="000000" w:themeColor="text1"/>
          <w:kern w:val="2"/>
          <w:sz w:val="32"/>
          <w:szCs w:val="32"/>
          <w14:textFill>
            <w14:solidFill>
              <w14:schemeClr w14:val="tx1"/>
            </w14:solidFill>
          </w14:textFill>
        </w:rPr>
        <w:t>756</w:t>
      </w:r>
      <w:r>
        <w:rPr>
          <w:rFonts w:hint="eastAsia" w:eastAsia="仿宋_GB2312"/>
          <w:color w:val="000000" w:themeColor="text1"/>
          <w:kern w:val="2"/>
          <w:sz w:val="32"/>
          <w:szCs w:val="32"/>
          <w14:textFill>
            <w14:solidFill>
              <w14:schemeClr w14:val="tx1"/>
            </w14:solidFill>
          </w14:textFill>
        </w:rPr>
        <w:t>人次，同比批次下降</w:t>
      </w:r>
      <w:r>
        <w:rPr>
          <w:rFonts w:hint="eastAsia" w:ascii="Times New Roman" w:hAnsi="Times New Roman" w:eastAsia="仿宋_GB2312"/>
          <w:color w:val="000000" w:themeColor="text1"/>
          <w:kern w:val="2"/>
          <w:sz w:val="32"/>
          <w:szCs w:val="32"/>
          <w14:textFill>
            <w14:solidFill>
              <w14:schemeClr w14:val="tx1"/>
            </w14:solidFill>
          </w14:textFill>
        </w:rPr>
        <w:t>17</w:t>
      </w:r>
      <w:r>
        <w:rPr>
          <w:rFonts w:hint="eastAsia" w:eastAsia="仿宋_GB2312"/>
          <w:color w:val="000000" w:themeColor="text1"/>
          <w:kern w:val="2"/>
          <w:sz w:val="32"/>
          <w:szCs w:val="32"/>
          <w14:textFill>
            <w14:solidFill>
              <w14:schemeClr w14:val="tx1"/>
            </w14:solidFill>
          </w14:textFill>
        </w:rPr>
        <w:t>.</w:t>
      </w:r>
      <w:r>
        <w:rPr>
          <w:rFonts w:hint="eastAsia" w:ascii="Times New Roman" w:hAnsi="Times New Roman" w:eastAsia="仿宋_GB2312"/>
          <w:color w:val="000000" w:themeColor="text1"/>
          <w:kern w:val="2"/>
          <w:sz w:val="32"/>
          <w:szCs w:val="32"/>
          <w14:textFill>
            <w14:solidFill>
              <w14:schemeClr w14:val="tx1"/>
            </w14:solidFill>
          </w14:textFill>
        </w:rPr>
        <w:t>3</w:t>
      </w:r>
      <w:r>
        <w:rPr>
          <w:rFonts w:hint="eastAsia" w:eastAsia="仿宋_GB2312"/>
          <w:color w:val="000000" w:themeColor="text1"/>
          <w:kern w:val="2"/>
          <w:sz w:val="32"/>
          <w:szCs w:val="32"/>
          <w14:textFill>
            <w14:solidFill>
              <w14:schemeClr w14:val="tx1"/>
            </w14:solidFill>
          </w14:textFill>
        </w:rPr>
        <w:t>%、人次下降</w:t>
      </w:r>
      <w:r>
        <w:rPr>
          <w:rFonts w:hint="eastAsia" w:ascii="Times New Roman" w:hAnsi="Times New Roman" w:eastAsia="仿宋_GB2312"/>
          <w:color w:val="000000" w:themeColor="text1"/>
          <w:kern w:val="2"/>
          <w:sz w:val="32"/>
          <w:szCs w:val="32"/>
          <w14:textFill>
            <w14:solidFill>
              <w14:schemeClr w14:val="tx1"/>
            </w14:solidFill>
          </w14:textFill>
        </w:rPr>
        <w:t>15</w:t>
      </w:r>
      <w:r>
        <w:rPr>
          <w:rFonts w:hint="eastAsia" w:eastAsia="仿宋_GB2312"/>
          <w:color w:val="000000" w:themeColor="text1"/>
          <w:kern w:val="2"/>
          <w:sz w:val="32"/>
          <w:szCs w:val="32"/>
          <w14:textFill>
            <w14:solidFill>
              <w14:schemeClr w14:val="tx1"/>
            </w14:solidFill>
          </w14:textFill>
        </w:rPr>
        <w:t>.</w:t>
      </w:r>
      <w:r>
        <w:rPr>
          <w:rFonts w:hint="eastAsia" w:ascii="Times New Roman" w:hAnsi="Times New Roman" w:eastAsia="仿宋_GB2312"/>
          <w:color w:val="000000" w:themeColor="text1"/>
          <w:kern w:val="2"/>
          <w:sz w:val="32"/>
          <w:szCs w:val="32"/>
          <w14:textFill>
            <w14:solidFill>
              <w14:schemeClr w14:val="tx1"/>
            </w14:solidFill>
          </w14:textFill>
        </w:rPr>
        <w:t>4</w:t>
      </w:r>
      <w:r>
        <w:rPr>
          <w:rFonts w:hint="eastAsia" w:eastAsia="仿宋_GB2312"/>
          <w:color w:val="000000" w:themeColor="text1"/>
          <w:kern w:val="2"/>
          <w:sz w:val="32"/>
          <w:szCs w:val="32"/>
          <w14:textFill>
            <w14:solidFill>
              <w14:schemeClr w14:val="tx1"/>
            </w14:solidFill>
          </w14:textFill>
        </w:rPr>
        <w:t>%（其中到区</w:t>
      </w:r>
      <w:r>
        <w:rPr>
          <w:rFonts w:hint="eastAsia" w:ascii="Times New Roman" w:hAnsi="Times New Roman" w:eastAsia="仿宋_GB2312"/>
          <w:color w:val="000000" w:themeColor="text1"/>
          <w:kern w:val="2"/>
          <w:sz w:val="32"/>
          <w:szCs w:val="32"/>
          <w14:textFill>
            <w14:solidFill>
              <w14:schemeClr w14:val="tx1"/>
            </w14:solidFill>
          </w14:textFill>
        </w:rPr>
        <w:t>220</w:t>
      </w:r>
      <w:r>
        <w:rPr>
          <w:rFonts w:hint="eastAsia" w:eastAsia="仿宋_GB2312"/>
          <w:color w:val="000000" w:themeColor="text1"/>
          <w:kern w:val="2"/>
          <w:sz w:val="32"/>
          <w:szCs w:val="32"/>
          <w14:textFill>
            <w14:solidFill>
              <w14:schemeClr w14:val="tx1"/>
            </w14:solidFill>
          </w14:textFill>
        </w:rPr>
        <w:t>批</w:t>
      </w:r>
      <w:r>
        <w:rPr>
          <w:rFonts w:hint="eastAsia" w:ascii="Times New Roman" w:hAnsi="Times New Roman" w:eastAsia="仿宋_GB2312"/>
          <w:color w:val="000000" w:themeColor="text1"/>
          <w:kern w:val="2"/>
          <w:sz w:val="32"/>
          <w:szCs w:val="32"/>
          <w14:textFill>
            <w14:solidFill>
              <w14:schemeClr w14:val="tx1"/>
            </w14:solidFill>
          </w14:textFill>
        </w:rPr>
        <w:t>631</w:t>
      </w:r>
      <w:r>
        <w:rPr>
          <w:rFonts w:hint="eastAsia" w:eastAsia="仿宋_GB2312"/>
          <w:color w:val="000000" w:themeColor="text1"/>
          <w:kern w:val="2"/>
          <w:sz w:val="32"/>
          <w:szCs w:val="32"/>
          <w14:textFill>
            <w14:solidFill>
              <w14:schemeClr w14:val="tx1"/>
            </w14:solidFill>
          </w14:textFill>
        </w:rPr>
        <w:t>人次、到市</w:t>
      </w:r>
      <w:r>
        <w:rPr>
          <w:rFonts w:hint="eastAsia" w:ascii="Times New Roman" w:hAnsi="Times New Roman" w:eastAsia="仿宋_GB2312"/>
          <w:color w:val="000000" w:themeColor="text1"/>
          <w:kern w:val="2"/>
          <w:sz w:val="32"/>
          <w:szCs w:val="32"/>
          <w14:textFill>
            <w14:solidFill>
              <w14:schemeClr w14:val="tx1"/>
            </w14:solidFill>
          </w14:textFill>
        </w:rPr>
        <w:t>64</w:t>
      </w:r>
      <w:r>
        <w:rPr>
          <w:rFonts w:hint="eastAsia" w:eastAsia="仿宋_GB2312"/>
          <w:color w:val="000000" w:themeColor="text1"/>
          <w:kern w:val="2"/>
          <w:sz w:val="32"/>
          <w:szCs w:val="32"/>
          <w14:textFill>
            <w14:solidFill>
              <w14:schemeClr w14:val="tx1"/>
            </w14:solidFill>
          </w14:textFill>
        </w:rPr>
        <w:t>批</w:t>
      </w:r>
      <w:r>
        <w:rPr>
          <w:rFonts w:hint="eastAsia" w:ascii="Times New Roman" w:hAnsi="Times New Roman" w:eastAsia="仿宋_GB2312"/>
          <w:color w:val="000000" w:themeColor="text1"/>
          <w:kern w:val="2"/>
          <w:sz w:val="32"/>
          <w:szCs w:val="32"/>
          <w14:textFill>
            <w14:solidFill>
              <w14:schemeClr w14:val="tx1"/>
            </w14:solidFill>
          </w14:textFill>
        </w:rPr>
        <w:t>102</w:t>
      </w:r>
      <w:r>
        <w:rPr>
          <w:rFonts w:hint="eastAsia" w:eastAsia="仿宋_GB2312"/>
          <w:color w:val="000000" w:themeColor="text1"/>
          <w:kern w:val="2"/>
          <w:sz w:val="32"/>
          <w:szCs w:val="32"/>
          <w14:textFill>
            <w14:solidFill>
              <w14:schemeClr w14:val="tx1"/>
            </w14:solidFill>
          </w14:textFill>
        </w:rPr>
        <w:t>人次、到省</w:t>
      </w:r>
      <w:r>
        <w:rPr>
          <w:rFonts w:hint="eastAsia" w:ascii="Times New Roman" w:hAnsi="Times New Roman" w:eastAsia="仿宋_GB2312"/>
          <w:color w:val="000000" w:themeColor="text1"/>
          <w:kern w:val="2"/>
          <w:sz w:val="32"/>
          <w:szCs w:val="32"/>
          <w14:textFill>
            <w14:solidFill>
              <w14:schemeClr w14:val="tx1"/>
            </w14:solidFill>
          </w14:textFill>
        </w:rPr>
        <w:t>15</w:t>
      </w:r>
      <w:r>
        <w:rPr>
          <w:rFonts w:hint="eastAsia" w:eastAsia="仿宋_GB2312"/>
          <w:color w:val="000000" w:themeColor="text1"/>
          <w:kern w:val="2"/>
          <w:sz w:val="32"/>
          <w:szCs w:val="32"/>
          <w14:textFill>
            <w14:solidFill>
              <w14:schemeClr w14:val="tx1"/>
            </w14:solidFill>
          </w14:textFill>
        </w:rPr>
        <w:t>批</w:t>
      </w:r>
      <w:r>
        <w:rPr>
          <w:rFonts w:hint="eastAsia" w:ascii="Times New Roman" w:hAnsi="Times New Roman" w:eastAsia="仿宋_GB2312"/>
          <w:color w:val="000000" w:themeColor="text1"/>
          <w:kern w:val="2"/>
          <w:sz w:val="32"/>
          <w:szCs w:val="32"/>
          <w14:textFill>
            <w14:solidFill>
              <w14:schemeClr w14:val="tx1"/>
            </w14:solidFill>
          </w14:textFill>
        </w:rPr>
        <w:t>17</w:t>
      </w:r>
      <w:r>
        <w:rPr>
          <w:rFonts w:hint="eastAsia" w:ascii="Times New Roman" w:hAnsi="Times New Roman" w:eastAsia="仿宋_GB2312" w:cs="Times New Roman"/>
          <w:color w:val="000000" w:themeColor="text1"/>
          <w:kern w:val="2"/>
          <w:sz w:val="32"/>
          <w:szCs w:val="32"/>
          <w14:textFill>
            <w14:solidFill>
              <w14:schemeClr w14:val="tx1"/>
            </w14:solidFill>
          </w14:textFill>
        </w:rPr>
        <w:t>人次、到京6批6人次，个访266批361人次、集访39批395人次）；书信49件，同比下降10.9%；网信235件，占来信总量的82.7%，同比下降15.5%。依法受理信访复查申请3件并按程序办结。重要节点均实现“三零”目标，全年未发生个人极端事件、未发生规模性群体性事件，未发生因信访问题处理不当引发的网络舆情事件。</w:t>
      </w:r>
    </w:p>
    <w:p w14:paraId="59830BD7">
      <w:pPr>
        <w:pStyle w:val="8"/>
        <w:widowControl w:val="0"/>
        <w:numPr>
          <w:ilvl w:val="0"/>
          <w:numId w:val="0"/>
        </w:numPr>
        <w:kinsoku/>
        <w:wordWrap/>
        <w:autoSpaceDE/>
        <w:autoSpaceDN/>
        <w:bidi w:val="0"/>
        <w:adjustRightInd/>
        <w:snapToGrid/>
        <w:spacing w:after="0" w:line="576" w:lineRule="exact"/>
        <w:ind w:leftChars="0" w:firstLine="640"/>
        <w:jc w:val="both"/>
        <w:textAlignment w:val="auto"/>
        <w:rPr>
          <w:rFonts w:hint="default" w:ascii="Times New Roman" w:hAnsi="Times New Roman" w:eastAsia="仿宋_GB2312" w:cs="Times New Roman"/>
          <w:color w:val="000000" w:themeColor="text1"/>
          <w:kern w:val="2"/>
          <w:sz w:val="32"/>
          <w:szCs w:val="32"/>
          <w14:textFill>
            <w14:solidFill>
              <w14:schemeClr w14:val="tx1"/>
            </w14:solidFill>
          </w14:textFill>
        </w:rPr>
      </w:pPr>
      <w:r>
        <w:rPr>
          <w:rFonts w:hint="eastAsia" w:ascii="Times New Roman" w:hAnsi="Times New Roman" w:eastAsia="仿宋_GB2312" w:cs="Times New Roman"/>
          <w:color w:val="000000" w:themeColor="text1"/>
          <w:kern w:val="2"/>
          <w:sz w:val="32"/>
          <w:szCs w:val="32"/>
          <w14:textFill>
            <w14:solidFill>
              <w14:schemeClr w14:val="tx1"/>
            </w14:solidFill>
          </w14:textFill>
        </w:rPr>
        <w:t>1、坚持党建引领，抓实信访工作主体责任。一是强化组织保障。区委区政府高度重视信访工作，把信访工作列入重要议事日程，切实加强对信访工作的领导。2023年，区委常委会、区政府常务会先后5次听取信访工作情况汇报，研究部署信访工作。进一步健全区信访工作联席会议，推动建立健全信访信息分析研判、重点信访工作协调推进、重大信访问题督办处理、联合督查等工作机制，全年召开全体成员会议4次、专题会议20余次，推动化解了昭化古城太守街沟渠污染、环湖旅游路占地保险购买、栖凤苑小区居民反映停水停电等一大批民生类突出问题。充分发挥信访部门“三项建议权”，以“四不两直”方式对全区12个镇和区级相关部门开展了3轮全覆盖督导检查，发出信访通报12期，信访维稳工作专报3期，协办函10份，有力促进了信访安全稳定工作的开展。二是不断深化政治机关建设。深入开展学习贯彻习近平新时代中国特色社会主义思想主题教育，认真学习领会党的二十大精神和习近平总书记来川来广视察重要指示精神，全面贯彻落实党的二十大对信访工作的安排部署，准确把握新时代信访工作面临的形势任务和总体要求，切实用党的创新理论武装头脑、指导实践、推动工作。三是深入学习贯彻《信访工作条例》。开展《条例》一周年集中宣传活动，将《条例》纳入党校（行政学院）教学、党员干部教育培训和各镇各部门党委（党组）中心组学习重要内容，全年组织信访业务培训2次，信访干部参训率达100%，全面提升群众依法理性表达诉求的意识和党员干部服务群众、攻克信访难题的水平。</w:t>
      </w:r>
    </w:p>
    <w:p w14:paraId="7FBA49BF">
      <w:pPr>
        <w:pStyle w:val="8"/>
        <w:widowControl w:val="0"/>
        <w:numPr>
          <w:ilvl w:val="0"/>
          <w:numId w:val="0"/>
        </w:numPr>
        <w:kinsoku/>
        <w:wordWrap/>
        <w:autoSpaceDE/>
        <w:autoSpaceDN/>
        <w:bidi w:val="0"/>
        <w:adjustRightInd/>
        <w:snapToGrid/>
        <w:spacing w:after="0" w:line="576" w:lineRule="exact"/>
        <w:ind w:leftChars="0" w:firstLine="640"/>
        <w:jc w:val="both"/>
        <w:textAlignment w:val="auto"/>
        <w:rPr>
          <w:rFonts w:hint="default" w:ascii="Times New Roman" w:hAnsi="Times New Roman" w:eastAsia="仿宋_GB2312" w:cs="Times New Roman"/>
          <w:color w:val="000000" w:themeColor="text1"/>
          <w:kern w:val="2"/>
          <w:sz w:val="32"/>
          <w:szCs w:val="32"/>
          <w14:textFill>
            <w14:solidFill>
              <w14:schemeClr w14:val="tx1"/>
            </w14:solidFill>
          </w14:textFill>
        </w:rPr>
      </w:pPr>
      <w:r>
        <w:rPr>
          <w:rFonts w:hint="eastAsia" w:ascii="Times New Roman" w:hAnsi="Times New Roman" w:eastAsia="仿宋_GB2312" w:cs="Times New Roman"/>
          <w:color w:val="000000" w:themeColor="text1"/>
          <w:kern w:val="2"/>
          <w:sz w:val="32"/>
          <w:szCs w:val="32"/>
          <w14:textFill>
            <w14:solidFill>
              <w14:schemeClr w14:val="tx1"/>
            </w14:solidFill>
          </w14:textFill>
        </w:rPr>
        <w:t>2、强化源头治理，夯实信访工作基层基础。一是健全镇信访工作联席会议机制。原则要求各镇每季度至少召开一次信访工作联席会议，编印发放《信访工作业务手册》，指导各镇信访工作联席会议建立健全《信访首办责任制度》《镇领导包案化解制度》等工作制度，有力推动各镇信访工作联席会议制度化、规范化建设和实体化运行。二是抓细重点信访矛盾排查落实。探索推进区、镇两级矛盾纠纷“一地办”工作，常态化开展矛盾纠纷“大排查大起底大化解”专项行动，坚持每月常态排查与敏感期专项排查、重点时段日排查相结合，逐案梳理落实化解、稳控责任人，强化信访事项研判会商、信访信息预警处置，努力把矛盾纠纷化解在基层、化解在萌芽状态。今年以来，排查信访突出问题和不稳定因素100余件，其中纳入县级领导包案化解35件，纳入区级重点人员管控45人。三是优化初信初访办理。对登记的初次信访事项快速响应，第一时间明确具体责任单位、责任领导以及信访部门包案督办人员，真正做到收件即转、接诉即办，综合运用法律、政策、经济、行政等手段和教育、调解、疏导等办法推动信访问题化解，全面提升信访事项办理质效。全年初次信访一次性化解率99.53%，纳入评价事项群众满意率99.8%，有效减少信访问题初转重和矛盾累积上行。</w:t>
      </w:r>
    </w:p>
    <w:p w14:paraId="25D07F15">
      <w:pPr>
        <w:pStyle w:val="8"/>
        <w:widowControl w:val="0"/>
        <w:numPr>
          <w:ilvl w:val="0"/>
          <w:numId w:val="0"/>
        </w:numPr>
        <w:kinsoku/>
        <w:wordWrap/>
        <w:autoSpaceDE/>
        <w:autoSpaceDN/>
        <w:bidi w:val="0"/>
        <w:adjustRightInd/>
        <w:snapToGrid/>
        <w:spacing w:after="0" w:line="576" w:lineRule="exact"/>
        <w:ind w:leftChars="0" w:firstLine="640"/>
        <w:jc w:val="both"/>
        <w:textAlignment w:val="auto"/>
        <w:rPr>
          <w:rFonts w:hint="default" w:ascii="Times New Roman" w:hAnsi="Times New Roman" w:eastAsia="仿宋_GB2312" w:cs="Times New Roman"/>
          <w:color w:val="000000" w:themeColor="text1"/>
          <w:kern w:val="2"/>
          <w:sz w:val="32"/>
          <w:szCs w:val="32"/>
          <w14:textFill>
            <w14:solidFill>
              <w14:schemeClr w14:val="tx1"/>
            </w14:solidFill>
          </w14:textFill>
        </w:rPr>
      </w:pPr>
      <w:r>
        <w:rPr>
          <w:rFonts w:hint="eastAsia" w:ascii="Times New Roman" w:hAnsi="Times New Roman" w:eastAsia="仿宋_GB2312" w:cs="Times New Roman"/>
          <w:color w:val="000000" w:themeColor="text1"/>
          <w:kern w:val="2"/>
          <w:sz w:val="32"/>
          <w:szCs w:val="32"/>
          <w14:textFill>
            <w14:solidFill>
              <w14:schemeClr w14:val="tx1"/>
            </w14:solidFill>
          </w14:textFill>
        </w:rPr>
        <w:t>3、注重多元化解，推进疑难积案控增减存。一是持续推进重复信访治理。深入开展“百案攻坚迎大运”专项行动，对全区重点信访事项和疑难复杂问题，提交区委常委会落实县级党政领导和责任单位“一把手”包案，以上率下提级协调化解。区信联办不定期发出工作督办函24份，12名县级党政领导采取现场接访、重点约访等方式，适时接谈信访群众，认真听取诉求，统筹调度相关部门和镇村研究制定化解方案，督促责任单位切实抓好方案的落实。今年中央信联办交办我区重复信访事项8件，化解率100%。二是有效治理重点领域、重点群体信访问题。充分发挥各镇信访工作联席会议机制作用，强化县级领导接访下访包案、党政领导干部示范引领、职能部门协调推动、问题属地化解稳控、社会力量联动参与，切实解决了王家金石园区欠款、原发展猕猴桃产业补助、三公村蔬菜精深加工项目欠款、升达林业欠薪欠款、王家棚改项目、城关砖厂噪音污染、蜀道植物园征地补偿等一大批群众反映强烈的突出问题；成功化解了杨某、刘某、母某琼、冯某林、蒲某荣、王某元等一批疑难信访问题；民办代课教师、退役军人、乡农电员等群体有效稳控在当地。三是深入开展到省进京走访专项治理。区委常委会会议、区信访工作联席会议先后3次专题研究部署我区到省进京走访治理工作。全年分批派出10余个工作组赴蓉、赴京开展应急劝返处置工作，圆满完成各级两会、成都大运会等重大活动期间信访安全保障任务，实现“三个不发生”工作目标。</w:t>
      </w:r>
      <w:r>
        <w:rPr>
          <w:rFonts w:hint="default" w:ascii="Times New Roman" w:hAnsi="Times New Roman" w:eastAsia="仿宋_GB2312" w:cs="Times New Roman"/>
          <w:color w:val="000000" w:themeColor="text1"/>
          <w:kern w:val="2"/>
          <w:sz w:val="32"/>
          <w:szCs w:val="32"/>
          <w14:textFill>
            <w14:solidFill>
              <w14:schemeClr w14:val="tx1"/>
            </w14:solidFill>
          </w14:textFill>
        </w:rPr>
        <w:t>10</w:t>
      </w:r>
      <w:r>
        <w:rPr>
          <w:rFonts w:hint="eastAsia" w:ascii="Times New Roman" w:hAnsi="Times New Roman" w:eastAsia="仿宋_GB2312" w:cs="Times New Roman"/>
          <w:color w:val="000000" w:themeColor="text1"/>
          <w:kern w:val="2"/>
          <w:sz w:val="32"/>
          <w:szCs w:val="32"/>
          <w14:textFill>
            <w14:solidFill>
              <w14:schemeClr w14:val="tx1"/>
            </w14:solidFill>
          </w14:textFill>
        </w:rPr>
        <w:t>月中下旬，区信联办会同区纪委监委机关、区委政法委采取听取汇报、专题座谈、查阅资料、电话抽查等方式，对全区各镇、区级重点部门开展到省进京走访以及综合目标专项督导检查。对交办的到省进京走访事项，一律实行提级办理，由责任单位“一把手”牵头，带头包案、主动研究，因人制宜、因案施策推动化解。</w:t>
      </w:r>
    </w:p>
    <w:p w14:paraId="41E14C81">
      <w:pPr>
        <w:pStyle w:val="8"/>
        <w:widowControl w:val="0"/>
        <w:numPr>
          <w:ilvl w:val="0"/>
          <w:numId w:val="0"/>
        </w:numPr>
        <w:kinsoku/>
        <w:wordWrap/>
        <w:autoSpaceDE/>
        <w:autoSpaceDN/>
        <w:bidi w:val="0"/>
        <w:adjustRightInd/>
        <w:snapToGrid/>
        <w:spacing w:after="0" w:line="576" w:lineRule="exact"/>
        <w:ind w:leftChars="0" w:firstLine="640"/>
        <w:jc w:val="both"/>
        <w:textAlignment w:val="auto"/>
        <w:rPr>
          <w:rFonts w:hint="default" w:ascii="Times New Roman" w:hAnsi="Times New Roman" w:eastAsia="仿宋_GB2312" w:cs="Times New Roman"/>
          <w:color w:val="000000" w:themeColor="text1"/>
          <w:kern w:val="2"/>
          <w:sz w:val="32"/>
          <w:szCs w:val="32"/>
          <w14:textFill>
            <w14:solidFill>
              <w14:schemeClr w14:val="tx1"/>
            </w14:solidFill>
          </w14:textFill>
        </w:rPr>
      </w:pPr>
      <w:r>
        <w:rPr>
          <w:rFonts w:hint="eastAsia" w:ascii="Times New Roman" w:hAnsi="Times New Roman" w:eastAsia="仿宋_GB2312" w:cs="Times New Roman"/>
          <w:color w:val="000000" w:themeColor="text1"/>
          <w:kern w:val="2"/>
          <w:sz w:val="32"/>
          <w:szCs w:val="32"/>
          <w14:textFill>
            <w14:solidFill>
              <w14:schemeClr w14:val="tx1"/>
            </w14:solidFill>
          </w14:textFill>
        </w:rPr>
        <w:t>4、完善制度机制，促进信访责任落地见效。一是严格执行领导干部接访下访制度。深入学习运用“浦江经验”，区委常委会专题传达学习《关于学习运用“浦江经验”进一步推动领导干部接访下访下基层解决信访问题的通知》《领导干部接访下访包案监督追责实施办法》等文件精神，区委群工局牵头落实“信访接待下基层”，发出工作提示函47份，县级领导干部每天轮流到区群众来访接待中心定点接访群众183批246人次，每月至少1天到分管行业、包联镇重点约访、带案下访，乡镇（街道）党政领导班子每周至少1天接访</w:t>
      </w:r>
      <w:r>
        <w:rPr>
          <w:rFonts w:hint="eastAsia" w:eastAsia="仿宋_GB2312" w:cs="Times New Roman"/>
          <w:color w:val="000000" w:themeColor="text1"/>
          <w:kern w:val="2"/>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2"/>
          <w:sz w:val="32"/>
          <w:szCs w:val="32"/>
          <w14:textFill>
            <w14:solidFill>
              <w14:schemeClr w14:val="tx1"/>
            </w14:solidFill>
          </w14:textFill>
        </w:rPr>
        <w:t>下访，倾听群众诉求、现场研究解决问题。二是创新优化信访事项办理业务流程。从及时沟通、当面对话、领导约谈、回访核查入手，探索推进事前听取诉求找准问题症结、事中落实“三到位”促进案结事了、事后及时回访推动“事心双解”的“三见面”制度。网格代办信访初见成效，在全区村能办基础上，推进了村级网格员代理信访模式，群众的信访问题在家门口得到了及时反映，按时反馈，进一步减少群众往</w:t>
      </w:r>
      <w:r>
        <w:rPr>
          <w:rFonts w:hint="eastAsia" w:ascii="Times New Roman" w:eastAsia="仿宋_GB2312"/>
          <w:color w:val="000000" w:themeColor="text1"/>
          <w:sz w:val="32"/>
          <w:szCs w:val="32"/>
          <w14:textFill>
            <w14:solidFill>
              <w14:schemeClr w14:val="tx1"/>
            </w14:solidFill>
          </w14:textFill>
        </w:rPr>
        <w:t>上跑、反复跑。三是健全信访监督衔接机制。联合区级相关部门建立健全群纪联动、信访巡察、干部监督联席会议等机制，通过提供信访工作考核情况、定期交流信访工作信息、报送重点领域信访举报分析材料等方式，将各镇、区级各部门贯彻落实信访工作责任制情况及时报纪检监察、巡察、组织部门掌握。今年以来，向区委巡察办提供了</w:t>
      </w:r>
      <w:r>
        <w:rPr>
          <w:rFonts w:hint="eastAsia" w:ascii="Times New Roman" w:hAnsi="Times New Roman" w:eastAsia="仿宋_GB2312"/>
          <w:color w:val="000000" w:themeColor="text1"/>
          <w:sz w:val="32"/>
          <w:szCs w:val="32"/>
          <w14:textFill>
            <w14:solidFill>
              <w14:schemeClr w14:val="tx1"/>
            </w14:solidFill>
          </w14:textFill>
        </w:rPr>
        <w:t>10</w:t>
      </w:r>
      <w:r>
        <w:rPr>
          <w:rFonts w:hint="eastAsia" w:ascii="Times New Roman" w:eastAsia="仿宋_GB2312"/>
          <w:color w:val="000000" w:themeColor="text1"/>
          <w:sz w:val="32"/>
          <w:szCs w:val="32"/>
          <w14:textFill>
            <w14:solidFill>
              <w14:schemeClr w14:val="tx1"/>
            </w14:solidFill>
          </w14:textFill>
        </w:rPr>
        <w:t>余个区直单位信访工作情况，并配合区委巡察办开展了信访领域专项巡察，配合区纪委监委机关排查群众反映城乡饮水困难信访举报线索</w:t>
      </w:r>
      <w:r>
        <w:rPr>
          <w:rFonts w:hint="eastAsia" w:ascii="Times New Roman" w:hAnsi="Times New Roman" w:eastAsia="仿宋_GB2312"/>
          <w:color w:val="000000" w:themeColor="text1"/>
          <w:sz w:val="32"/>
          <w:szCs w:val="32"/>
          <w14:textFill>
            <w14:solidFill>
              <w14:schemeClr w14:val="tx1"/>
            </w14:solidFill>
          </w14:textFill>
        </w:rPr>
        <w:t>28</w:t>
      </w:r>
      <w:r>
        <w:rPr>
          <w:rFonts w:hint="eastAsia" w:ascii="Times New Roman" w:eastAsia="仿宋_GB2312"/>
          <w:color w:val="000000" w:themeColor="text1"/>
          <w:sz w:val="32"/>
          <w:szCs w:val="32"/>
          <w14:textFill>
            <w14:solidFill>
              <w14:schemeClr w14:val="tx1"/>
            </w14:solidFill>
          </w14:textFill>
        </w:rPr>
        <w:t>条，向全区发出了依法履职</w:t>
      </w:r>
      <w:r>
        <w:rPr>
          <w:rFonts w:hint="eastAsia" w:ascii="Times New Roman" w:hAnsi="Times New Roman" w:eastAsia="仿宋_GB2312" w:cs="Times New Roman"/>
          <w:color w:val="000000" w:themeColor="text1"/>
          <w:kern w:val="2"/>
          <w:sz w:val="32"/>
          <w:szCs w:val="32"/>
          <w14:textFill>
            <w14:solidFill>
              <w14:schemeClr w14:val="tx1"/>
            </w14:solidFill>
          </w14:textFill>
        </w:rPr>
        <w:t>信访工作、落实信访工作责任制的重要信号。</w:t>
      </w:r>
    </w:p>
    <w:p w14:paraId="376FCED3">
      <w:pPr>
        <w:pStyle w:val="8"/>
        <w:widowControl w:val="0"/>
        <w:numPr>
          <w:ilvl w:val="0"/>
          <w:numId w:val="0"/>
        </w:numPr>
        <w:kinsoku/>
        <w:wordWrap/>
        <w:autoSpaceDE/>
        <w:autoSpaceDN/>
        <w:bidi w:val="0"/>
        <w:adjustRightInd/>
        <w:snapToGrid/>
        <w:spacing w:after="0" w:line="576" w:lineRule="exact"/>
        <w:ind w:leftChars="0" w:firstLine="640"/>
        <w:jc w:val="both"/>
        <w:textAlignment w:val="auto"/>
        <w:rPr>
          <w:rFonts w:hint="default" w:ascii="Times New Roman" w:eastAsia="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kern w:val="2"/>
          <w:sz w:val="32"/>
          <w:szCs w:val="32"/>
          <w14:textFill>
            <w14:solidFill>
              <w14:schemeClr w14:val="tx1"/>
            </w14:solidFill>
          </w14:textFill>
        </w:rPr>
        <w:t>5、紧密围绕中心，主动融入经济社会发展大局。一是做好党建和意识形态工作。今年以来，召开党建工作会议2次，党风廉政建设工作会议</w:t>
      </w:r>
      <w:r>
        <w:rPr>
          <w:rFonts w:hint="default" w:ascii="Times New Roman" w:hAnsi="Times New Roman" w:eastAsia="仿宋_GB2312" w:cs="Times New Roman"/>
          <w:color w:val="000000" w:themeColor="text1"/>
          <w:kern w:val="2"/>
          <w:sz w:val="32"/>
          <w:szCs w:val="32"/>
          <w14:textFill>
            <w14:solidFill>
              <w14:schemeClr w14:val="tx1"/>
            </w14:solidFill>
          </w14:textFill>
        </w:rPr>
        <w:t>4</w:t>
      </w:r>
      <w:r>
        <w:rPr>
          <w:rFonts w:hint="eastAsia" w:ascii="Times New Roman" w:hAnsi="Times New Roman" w:eastAsia="仿宋_GB2312" w:cs="Times New Roman"/>
          <w:color w:val="000000" w:themeColor="text1"/>
          <w:kern w:val="2"/>
          <w:sz w:val="32"/>
          <w:szCs w:val="32"/>
          <w14:textFill>
            <w14:solidFill>
              <w14:schemeClr w14:val="tx1"/>
            </w14:solidFill>
          </w14:textFill>
        </w:rPr>
        <w:t>次，开展主题党日活动12次、召开党员大会</w:t>
      </w:r>
      <w:r>
        <w:rPr>
          <w:rFonts w:hint="default" w:ascii="Times New Roman" w:hAnsi="Times New Roman" w:eastAsia="仿宋_GB2312" w:cs="Times New Roman"/>
          <w:color w:val="000000" w:themeColor="text1"/>
          <w:kern w:val="2"/>
          <w:sz w:val="32"/>
          <w:szCs w:val="32"/>
          <w14:textFill>
            <w14:solidFill>
              <w14:schemeClr w14:val="tx1"/>
            </w14:solidFill>
          </w14:textFill>
        </w:rPr>
        <w:t>5</w:t>
      </w:r>
      <w:r>
        <w:rPr>
          <w:rFonts w:hint="eastAsia" w:ascii="Times New Roman" w:hAnsi="Times New Roman" w:eastAsia="仿宋_GB2312" w:cs="Times New Roman"/>
          <w:color w:val="000000" w:themeColor="text1"/>
          <w:kern w:val="2"/>
          <w:sz w:val="32"/>
          <w:szCs w:val="32"/>
          <w14:textFill>
            <w14:solidFill>
              <w14:schemeClr w14:val="tx1"/>
            </w14:solidFill>
          </w14:textFill>
        </w:rPr>
        <w:t>次、党务知识培训2次，常态化开展</w:t>
      </w:r>
      <w:r>
        <w:rPr>
          <w:rFonts w:hint="default" w:ascii="Times New Roman" w:hAnsi="Times New Roman" w:eastAsia="仿宋_GB2312" w:cs="Times New Roman"/>
          <w:color w:val="000000" w:themeColor="text1"/>
          <w:kern w:val="2"/>
          <w:sz w:val="32"/>
          <w:szCs w:val="32"/>
          <w14:textFill>
            <w14:solidFill>
              <w14:schemeClr w14:val="tx1"/>
            </w14:solidFill>
          </w14:textFill>
        </w:rPr>
        <w:t>“</w:t>
      </w:r>
      <w:r>
        <w:rPr>
          <w:rFonts w:hint="eastAsia" w:ascii="Times New Roman" w:hAnsi="Times New Roman" w:eastAsia="仿宋_GB2312" w:cs="Times New Roman"/>
          <w:color w:val="000000" w:themeColor="text1"/>
          <w:kern w:val="2"/>
          <w:sz w:val="32"/>
          <w:szCs w:val="32"/>
          <w14:textFill>
            <w14:solidFill>
              <w14:schemeClr w14:val="tx1"/>
            </w14:solidFill>
          </w14:textFill>
        </w:rPr>
        <w:t>双报到”</w:t>
      </w:r>
      <w:r>
        <w:rPr>
          <w:rFonts w:hint="default" w:ascii="Times New Roman" w:hAnsi="Times New Roman" w:eastAsia="仿宋_GB2312" w:cs="Times New Roman"/>
          <w:color w:val="000000" w:themeColor="text1"/>
          <w:kern w:val="2"/>
          <w:sz w:val="32"/>
          <w:szCs w:val="32"/>
          <w14:textFill>
            <w14:solidFill>
              <w14:schemeClr w14:val="tx1"/>
            </w14:solidFill>
          </w14:textFill>
        </w:rPr>
        <w:t>“</w:t>
      </w:r>
      <w:r>
        <w:rPr>
          <w:rFonts w:hint="eastAsia" w:ascii="Times New Roman" w:hAnsi="Times New Roman" w:eastAsia="仿宋_GB2312" w:cs="Times New Roman"/>
          <w:color w:val="000000" w:themeColor="text1"/>
          <w:kern w:val="2"/>
          <w:sz w:val="32"/>
          <w:szCs w:val="32"/>
          <w14:textFill>
            <w14:solidFill>
              <w14:schemeClr w14:val="tx1"/>
            </w14:solidFill>
          </w14:textFill>
        </w:rPr>
        <w:t>红色星期六”志愿服务活动；组织理论学习中心组集中学</w:t>
      </w:r>
      <w:r>
        <w:rPr>
          <w:rFonts w:hint="eastAsia" w:ascii="Times New Roman" w:eastAsia="仿宋_GB2312"/>
          <w:color w:val="000000" w:themeColor="text1"/>
          <w:sz w:val="32"/>
          <w:szCs w:val="32"/>
          <w14:textFill>
            <w14:solidFill>
              <w14:schemeClr w14:val="tx1"/>
            </w14:solidFill>
          </w14:textFill>
        </w:rPr>
        <w:t>习研讨</w:t>
      </w:r>
      <w:r>
        <w:rPr>
          <w:rFonts w:hint="eastAsia" w:ascii="Times New Roman" w:hAnsi="Times New Roman" w:eastAsia="仿宋_GB2312"/>
          <w:color w:val="000000" w:themeColor="text1"/>
          <w:sz w:val="32"/>
          <w:szCs w:val="32"/>
          <w14:textFill>
            <w14:solidFill>
              <w14:schemeClr w14:val="tx1"/>
            </w14:solidFill>
          </w14:textFill>
        </w:rPr>
        <w:t>9</w:t>
      </w:r>
      <w:r>
        <w:rPr>
          <w:rFonts w:hint="eastAsia" w:ascii="Times New Roman" w:eastAsia="仿宋_GB2312"/>
          <w:color w:val="000000" w:themeColor="text1"/>
          <w:sz w:val="32"/>
          <w:szCs w:val="32"/>
          <w14:textFill>
            <w14:solidFill>
              <w14:schemeClr w14:val="tx1"/>
            </w14:solidFill>
          </w14:textFill>
        </w:rPr>
        <w:t>次，专题研究意识形态工作</w:t>
      </w:r>
      <w:r>
        <w:rPr>
          <w:rFonts w:hint="eastAsia" w:ascii="Times New Roman" w:hAnsi="Times New Roman" w:eastAsia="仿宋_GB2312"/>
          <w:color w:val="000000" w:themeColor="text1"/>
          <w:sz w:val="32"/>
          <w:szCs w:val="32"/>
          <w14:textFill>
            <w14:solidFill>
              <w14:schemeClr w14:val="tx1"/>
            </w14:solidFill>
          </w14:textFill>
        </w:rPr>
        <w:t>4</w:t>
      </w:r>
      <w:r>
        <w:rPr>
          <w:rFonts w:hint="eastAsia" w:ascii="Times New Roman" w:eastAsia="仿宋_GB2312"/>
          <w:color w:val="000000" w:themeColor="text1"/>
          <w:sz w:val="32"/>
          <w:szCs w:val="32"/>
          <w14:textFill>
            <w14:solidFill>
              <w14:schemeClr w14:val="tx1"/>
            </w14:solidFill>
          </w14:textFill>
        </w:rPr>
        <w:t>次。二是扎实开展联村帮扶工作。</w:t>
      </w:r>
      <w:r>
        <w:rPr>
          <w:rFonts w:hint="eastAsia" w:ascii="Times New Roman" w:eastAsia="仿宋_GB2312"/>
          <w:color w:val="000000" w:themeColor="text1"/>
          <w:kern w:val="2"/>
          <w:sz w:val="32"/>
          <w:szCs w:val="32"/>
          <w14:textFill>
            <w14:solidFill>
              <w14:schemeClr w14:val="tx1"/>
            </w14:solidFill>
          </w14:textFill>
        </w:rPr>
        <w:t>有序做好到期轮换工作，</w:t>
      </w:r>
      <w:r>
        <w:rPr>
          <w:rFonts w:hint="eastAsia" w:ascii="Times New Roman" w:eastAsia="仿宋_GB2312"/>
          <w:color w:val="000000" w:themeColor="text1"/>
          <w:sz w:val="32"/>
          <w:szCs w:val="32"/>
          <w14:textFill>
            <w14:solidFill>
              <w14:schemeClr w14:val="tx1"/>
            </w14:solidFill>
          </w14:textFill>
        </w:rPr>
        <w:t>全体干部职工</w:t>
      </w:r>
      <w:r>
        <w:rPr>
          <w:rStyle w:val="25"/>
          <w:rFonts w:hint="eastAsia" w:hAnsi="Times New Roman" w:eastAsia="仿宋_GB2312"/>
          <w:color w:val="000000" w:themeColor="text1"/>
          <w:sz w:val="32"/>
          <w:szCs w:val="24"/>
          <w14:textFill>
            <w14:solidFill>
              <w14:schemeClr w14:val="tx1"/>
            </w14:solidFill>
          </w14:textFill>
        </w:rPr>
        <w:t>帮扶联系射箭镇五房村（乡村振兴示范村）脱贫户</w:t>
      </w:r>
      <w:r>
        <w:rPr>
          <w:rStyle w:val="25"/>
          <w:rFonts w:hint="eastAsia" w:ascii="Times New Roman" w:hAnsi="Times New Roman" w:eastAsia="仿宋_GB2312"/>
          <w:color w:val="000000" w:themeColor="text1"/>
          <w:sz w:val="32"/>
          <w:szCs w:val="24"/>
          <w14:textFill>
            <w14:solidFill>
              <w14:schemeClr w14:val="tx1"/>
            </w14:solidFill>
          </w14:textFill>
        </w:rPr>
        <w:t>52</w:t>
      </w:r>
      <w:r>
        <w:rPr>
          <w:rStyle w:val="25"/>
          <w:rFonts w:hint="eastAsia" w:hAnsi="Times New Roman" w:eastAsia="仿宋_GB2312"/>
          <w:color w:val="000000" w:themeColor="text1"/>
          <w:sz w:val="32"/>
          <w:szCs w:val="24"/>
          <w14:textFill>
            <w14:solidFill>
              <w14:schemeClr w14:val="tx1"/>
            </w14:solidFill>
          </w14:textFill>
        </w:rPr>
        <w:t>户</w:t>
      </w:r>
      <w:r>
        <w:rPr>
          <w:rFonts w:hint="eastAsia" w:ascii="Times New Roman" w:eastAsia="仿宋_GB2312"/>
          <w:color w:val="000000" w:themeColor="text1"/>
          <w:sz w:val="32"/>
          <w:szCs w:val="32"/>
          <w14:textFill>
            <w14:solidFill>
              <w14:schemeClr w14:val="tx1"/>
            </w14:solidFill>
          </w14:textFill>
        </w:rPr>
        <w:t>。</w:t>
      </w:r>
      <w:r>
        <w:rPr>
          <w:rFonts w:hint="eastAsia" w:ascii="Times New Roman" w:eastAsia="仿宋_GB2312"/>
          <w:color w:val="000000" w:themeColor="text1"/>
          <w:kern w:val="2"/>
          <w:sz w:val="32"/>
          <w:szCs w:val="32"/>
          <w14:textFill>
            <w14:solidFill>
              <w14:schemeClr w14:val="tx1"/>
            </w14:solidFill>
          </w14:textFill>
        </w:rPr>
        <w:t>深入开展支部结对共建活动，</w:t>
      </w:r>
      <w:r>
        <w:rPr>
          <w:rFonts w:hint="eastAsia" w:ascii="Times New Roman" w:eastAsia="仿宋_GB2312"/>
          <w:color w:val="000000" w:themeColor="text1"/>
          <w:sz w:val="32"/>
          <w:szCs w:val="32"/>
          <w14:textFill>
            <w14:solidFill>
              <w14:schemeClr w14:val="tx1"/>
            </w14:solidFill>
          </w14:textFill>
        </w:rPr>
        <w:t>群工局党支部“七一”走访慰问五房村党总支退休党员</w:t>
      </w:r>
      <w:r>
        <w:rPr>
          <w:rFonts w:hint="eastAsia" w:ascii="Times New Roman" w:hAnsi="Times New Roman" w:eastAsia="仿宋_GB2312"/>
          <w:color w:val="000000" w:themeColor="text1"/>
          <w:sz w:val="32"/>
          <w:szCs w:val="32"/>
          <w14:textFill>
            <w14:solidFill>
              <w14:schemeClr w14:val="tx1"/>
            </w14:solidFill>
          </w14:textFill>
        </w:rPr>
        <w:t>3</w:t>
      </w:r>
      <w:r>
        <w:rPr>
          <w:rFonts w:hint="eastAsia" w:ascii="Times New Roman" w:eastAsia="仿宋_GB2312"/>
          <w:color w:val="000000" w:themeColor="text1"/>
          <w:sz w:val="32"/>
          <w:szCs w:val="32"/>
          <w14:textFill>
            <w14:solidFill>
              <w14:schemeClr w14:val="tx1"/>
            </w14:solidFill>
          </w14:textFill>
        </w:rPr>
        <w:t>人，到射箭小学开展教师节慰问活动，党支部书记到五房村党总支讲党课</w:t>
      </w:r>
      <w:r>
        <w:rPr>
          <w:rFonts w:hint="eastAsia" w:ascii="Times New Roman" w:hAnsi="Times New Roman" w:eastAsia="仿宋_GB2312"/>
          <w:color w:val="000000" w:themeColor="text1"/>
          <w:sz w:val="32"/>
          <w:szCs w:val="32"/>
          <w14:textFill>
            <w14:solidFill>
              <w14:schemeClr w14:val="tx1"/>
            </w14:solidFill>
          </w14:textFill>
        </w:rPr>
        <w:t>1</w:t>
      </w:r>
      <w:r>
        <w:rPr>
          <w:rFonts w:hint="eastAsia" w:ascii="Times New Roman" w:eastAsia="仿宋_GB2312"/>
          <w:color w:val="000000" w:themeColor="text1"/>
          <w:sz w:val="32"/>
          <w:szCs w:val="32"/>
          <w14:textFill>
            <w14:solidFill>
              <w14:schemeClr w14:val="tx1"/>
            </w14:solidFill>
          </w14:textFill>
        </w:rPr>
        <w:t>次，“第一书记”上党课</w:t>
      </w:r>
      <w:r>
        <w:rPr>
          <w:rFonts w:hint="eastAsia" w:ascii="Times New Roman" w:hAnsi="Times New Roman" w:eastAsia="仿宋_GB2312"/>
          <w:color w:val="000000" w:themeColor="text1"/>
          <w:sz w:val="32"/>
          <w:szCs w:val="32"/>
          <w14:textFill>
            <w14:solidFill>
              <w14:schemeClr w14:val="tx1"/>
            </w14:solidFill>
          </w14:textFill>
        </w:rPr>
        <w:t>3</w:t>
      </w:r>
      <w:r>
        <w:rPr>
          <w:rFonts w:hint="eastAsia" w:ascii="Times New Roman" w:eastAsia="仿宋_GB2312"/>
          <w:color w:val="000000" w:themeColor="text1"/>
          <w:sz w:val="32"/>
          <w:szCs w:val="32"/>
          <w14:textFill>
            <w14:solidFill>
              <w14:schemeClr w14:val="tx1"/>
            </w14:solidFill>
          </w14:textFill>
        </w:rPr>
        <w:t>次，组织党员干部到王坪烈士陵园、黄猫垭战斗遗址实地学习</w:t>
      </w:r>
      <w:r>
        <w:rPr>
          <w:rFonts w:hint="eastAsia" w:ascii="Times New Roman" w:hAnsi="Times New Roman" w:eastAsia="仿宋_GB2312"/>
          <w:color w:val="000000" w:themeColor="text1"/>
          <w:sz w:val="32"/>
          <w:szCs w:val="32"/>
          <w14:textFill>
            <w14:solidFill>
              <w14:schemeClr w14:val="tx1"/>
            </w14:solidFill>
          </w14:textFill>
        </w:rPr>
        <w:t>2</w:t>
      </w:r>
      <w:r>
        <w:rPr>
          <w:rFonts w:hint="eastAsia" w:ascii="Times New Roman" w:eastAsia="仿宋_GB2312"/>
          <w:color w:val="000000" w:themeColor="text1"/>
          <w:sz w:val="32"/>
          <w:szCs w:val="32"/>
          <w14:textFill>
            <w14:solidFill>
              <w14:schemeClr w14:val="tx1"/>
            </w14:solidFill>
          </w14:textFill>
        </w:rPr>
        <w:t>次。三是自觉践行总体国家安全观，深入学习贯彻习近平法治思想，认真开展平安建设、文明城市创建、双拥、普法、保密、财务等工作，自觉维护优化营商环境、生态环境、耕地保护等各项措施。</w:t>
      </w:r>
    </w:p>
    <w:p w14:paraId="0E3F644C">
      <w:pPr>
        <w:pStyle w:val="4"/>
        <w:keepNext/>
        <w:keepLines/>
        <w:widowControl w:val="0"/>
        <w:kinsoku/>
        <w:wordWrap/>
        <w:bidi w:val="0"/>
        <w:snapToGrid/>
        <w:spacing w:line="576" w:lineRule="exact"/>
        <w:ind w:firstLine="640"/>
        <w:jc w:val="both"/>
        <w:textAlignment w:val="auto"/>
        <w:rPr>
          <w:rFonts w:hint="default" w:ascii="Cambria" w:cs="Cambria"/>
          <w:color w:val="000000" w:themeColor="text1"/>
          <w:kern w:val="2"/>
          <w:sz w:val="32"/>
          <w:szCs w:val="24"/>
          <w14:textFill>
            <w14:solidFill>
              <w14:schemeClr w14:val="tx1"/>
            </w14:solidFill>
          </w14:textFill>
        </w:rPr>
      </w:pPr>
      <w:r>
        <w:rPr>
          <w:rFonts w:hint="eastAsia" w:ascii="黑体" w:hAnsi="黑体" w:eastAsia="黑体"/>
          <w:color w:val="000000" w:themeColor="text1"/>
          <w:kern w:val="2"/>
          <w:sz w:val="32"/>
          <w:szCs w:val="24"/>
          <w14:textFill>
            <w14:solidFill>
              <w14:schemeClr w14:val="tx1"/>
            </w14:solidFill>
          </w14:textFill>
        </w:rPr>
        <w:t>二、机构设置</w:t>
      </w:r>
    </w:p>
    <w:p w14:paraId="58C820B8">
      <w:pPr>
        <w:overflowPunct w:val="0"/>
        <w:topLinePunct/>
        <w:spacing w:beforeLines="0" w:afterLines="0" w:line="576" w:lineRule="exact"/>
        <w:ind w:firstLine="640" w:firstLineChars="200"/>
        <w:jc w:val="both"/>
        <w:rPr>
          <w:rFonts w:hint="eastAsia" w:ascii="方正小标宋简体" w:eastAsia="仿宋_GB2312"/>
          <w:color w:val="000000"/>
          <w:sz w:val="44"/>
          <w:szCs w:val="44"/>
          <w:lang w:eastAsia="zh-CN"/>
        </w:rPr>
      </w:pPr>
      <w:r>
        <w:rPr>
          <w:rFonts w:hint="eastAsia" w:ascii="仿宋_GB2312" w:hAnsi="仿宋_GB2312" w:eastAsia="仿宋_GB2312" w:cs="仿宋_GB2312"/>
          <w:color w:val="000000"/>
          <w:sz w:val="32"/>
          <w:szCs w:val="32"/>
        </w:rPr>
        <w:t>中共广元市昭化区委群众工作局</w:t>
      </w:r>
      <w:r>
        <w:rPr>
          <w:rFonts w:hint="eastAsia" w:ascii="仿宋_GB2312" w:hAnsi="仿宋_GB2312" w:eastAsia="仿宋_GB2312"/>
          <w:kern w:val="2"/>
          <w:sz w:val="32"/>
          <w:szCs w:val="24"/>
        </w:rPr>
        <w:t>属于</w:t>
      </w:r>
      <w:r>
        <w:rPr>
          <w:rFonts w:hint="eastAsia" w:ascii="仿宋_GB2312" w:hAnsi="仿宋_GB2312" w:eastAsia="仿宋_GB2312" w:cs="仿宋_GB2312"/>
          <w:color w:val="000000"/>
          <w:sz w:val="32"/>
          <w:szCs w:val="32"/>
        </w:rPr>
        <w:t>一级预算单位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下设</w:t>
      </w:r>
      <w:r>
        <w:rPr>
          <w:rFonts w:hint="eastAsia" w:ascii="Times New Roman" w:eastAsia="仿宋_GB2312" w:cs="仿宋_GB2312"/>
          <w:color w:val="000000"/>
          <w:sz w:val="32"/>
          <w:szCs w:val="32"/>
        </w:rPr>
        <w:t>3</w:t>
      </w:r>
      <w:r>
        <w:rPr>
          <w:rFonts w:hint="eastAsia" w:ascii="仿宋_GB2312" w:hAnsi="仿宋_GB2312" w:eastAsia="仿宋_GB2312" w:cs="仿宋_GB2312"/>
          <w:color w:val="000000"/>
          <w:sz w:val="32"/>
          <w:szCs w:val="32"/>
        </w:rPr>
        <w:t>个股室，分别是办公室、群众来访接待中心、督查督办复核股。</w:t>
      </w:r>
      <w:r>
        <w:rPr>
          <w:rFonts w:hint="eastAsia" w:ascii="仿宋_GB2312" w:hAnsi="仿宋_GB2312" w:eastAsia="仿宋_GB2312"/>
          <w:kern w:val="2"/>
          <w:sz w:val="32"/>
          <w:szCs w:val="24"/>
        </w:rPr>
        <w:t>下设独立编制机构</w:t>
      </w:r>
      <w:r>
        <w:rPr>
          <w:rFonts w:hint="eastAsia" w:ascii="仿宋_GB2312" w:hAnsi="仿宋_GB2312" w:eastAsia="仿宋_GB2312"/>
          <w:kern w:val="2"/>
          <w:sz w:val="32"/>
          <w:szCs w:val="24"/>
          <w:lang w:val="en-US" w:eastAsia="zh-CN"/>
        </w:rPr>
        <w:t>0</w:t>
      </w:r>
      <w:r>
        <w:rPr>
          <w:rFonts w:hint="eastAsia" w:ascii="仿宋_GB2312" w:hAnsi="仿宋_GB2312" w:eastAsia="仿宋_GB2312"/>
          <w:kern w:val="2"/>
          <w:sz w:val="32"/>
          <w:szCs w:val="24"/>
        </w:rPr>
        <w:t>个，其中行政机构</w:t>
      </w:r>
      <w:r>
        <w:rPr>
          <w:rFonts w:hint="eastAsia" w:ascii="仿宋_GB2312" w:hAnsi="仿宋_GB2312" w:eastAsia="仿宋_GB2312"/>
          <w:kern w:val="2"/>
          <w:sz w:val="32"/>
          <w:szCs w:val="24"/>
          <w:lang w:val="en-US" w:eastAsia="zh-CN"/>
        </w:rPr>
        <w:t>0</w:t>
      </w:r>
      <w:r>
        <w:rPr>
          <w:rFonts w:hint="eastAsia" w:ascii="仿宋_GB2312" w:hAnsi="仿宋_GB2312" w:eastAsia="仿宋_GB2312"/>
          <w:kern w:val="2"/>
          <w:sz w:val="32"/>
          <w:szCs w:val="24"/>
        </w:rPr>
        <w:t>个</w:t>
      </w:r>
      <w:r>
        <w:rPr>
          <w:rFonts w:hint="eastAsia" w:ascii="仿宋_GB2312" w:hAnsi="仿宋_GB2312" w:eastAsia="仿宋_GB2312"/>
          <w:kern w:val="2"/>
          <w:sz w:val="32"/>
          <w:szCs w:val="24"/>
          <w:lang w:eastAsia="zh-CN"/>
        </w:rPr>
        <w:t>。</w:t>
      </w:r>
      <w:r>
        <w:rPr>
          <w:rFonts w:hint="eastAsia" w:ascii="仿宋_GB2312" w:hAnsi="仿宋_GB2312" w:eastAsia="仿宋_GB2312"/>
          <w:kern w:val="2"/>
          <w:sz w:val="32"/>
          <w:szCs w:val="24"/>
        </w:rPr>
        <w:t>参照公务员法管理的事业机构</w:t>
      </w:r>
      <w:r>
        <w:rPr>
          <w:rFonts w:hint="eastAsia" w:ascii="仿宋_GB2312" w:hAnsi="仿宋_GB2312" w:eastAsia="仿宋_GB2312"/>
          <w:kern w:val="2"/>
          <w:sz w:val="32"/>
          <w:szCs w:val="24"/>
          <w:lang w:val="en-US" w:eastAsia="zh-CN"/>
        </w:rPr>
        <w:t>0</w:t>
      </w:r>
      <w:r>
        <w:rPr>
          <w:rFonts w:hint="eastAsia" w:ascii="仿宋_GB2312" w:hAnsi="仿宋_GB2312" w:eastAsia="仿宋_GB2312"/>
          <w:kern w:val="2"/>
          <w:sz w:val="32"/>
          <w:szCs w:val="24"/>
        </w:rPr>
        <w:t>个，其他事业机构</w:t>
      </w:r>
      <w:r>
        <w:rPr>
          <w:rFonts w:hint="eastAsia" w:ascii="仿宋_GB2312" w:hAnsi="仿宋_GB2312" w:eastAsia="仿宋_GB2312"/>
          <w:kern w:val="2"/>
          <w:sz w:val="32"/>
          <w:szCs w:val="24"/>
          <w:lang w:val="en-US" w:eastAsia="zh-CN"/>
        </w:rPr>
        <w:t>0</w:t>
      </w:r>
      <w:r>
        <w:rPr>
          <w:rFonts w:hint="eastAsia" w:ascii="仿宋_GB2312" w:hAnsi="仿宋_GB2312" w:eastAsia="仿宋_GB2312"/>
          <w:kern w:val="2"/>
          <w:sz w:val="32"/>
          <w:szCs w:val="24"/>
        </w:rPr>
        <w:t>个。</w:t>
      </w:r>
    </w:p>
    <w:p w14:paraId="0354E416">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highlight w:val="none"/>
          <w:lang w:val="en-US" w:eastAsia="zh-CN"/>
        </w:rPr>
      </w:pPr>
      <w:r>
        <w:rPr>
          <w:rFonts w:hint="eastAsia" w:ascii="仿宋_GB2312" w:hAnsi="仿宋_GB2312" w:eastAsia="仿宋_GB2312"/>
          <w:color w:val="000000"/>
          <w:sz w:val="32"/>
          <w:szCs w:val="24"/>
          <w:highlight w:val="none"/>
        </w:rPr>
        <w:t>纳入2023年度单位决算编制范围的</w:t>
      </w:r>
      <w:r>
        <w:rPr>
          <w:rFonts w:hint="eastAsia" w:ascii="仿宋_GB2312" w:hAnsi="仿宋_GB2312" w:eastAsia="仿宋_GB2312"/>
          <w:color w:val="000000"/>
          <w:sz w:val="32"/>
          <w:szCs w:val="24"/>
          <w:highlight w:val="none"/>
          <w:lang w:eastAsia="zh-CN"/>
        </w:rPr>
        <w:t>二级预算单位包括：无。</w:t>
      </w:r>
    </w:p>
    <w:p w14:paraId="3581E7B6">
      <w:pPr>
        <w:widowControl w:val="0"/>
        <w:kinsoku/>
        <w:wordWrap/>
        <w:bidi w:val="0"/>
        <w:snapToGrid/>
        <w:spacing w:line="576" w:lineRule="exact"/>
        <w:ind w:firstLine="640"/>
        <w:jc w:val="both"/>
        <w:textAlignment w:val="auto"/>
        <w:rPr>
          <w:rFonts w:hint="eastAsia" w:ascii="仿宋_GB2312" w:hAnsi="仿宋_GB2312" w:eastAsia="仿宋_GB2312"/>
          <w:color w:val="000000" w:themeColor="text1"/>
          <w:sz w:val="32"/>
          <w:szCs w:val="24"/>
          <w14:textFill>
            <w14:solidFill>
              <w14:schemeClr w14:val="tx1"/>
            </w14:solidFill>
          </w14:textFill>
        </w:rPr>
      </w:pPr>
      <w:r>
        <w:br w:type="page"/>
      </w:r>
    </w:p>
    <w:p w14:paraId="27060FD9">
      <w:pPr>
        <w:pStyle w:val="2"/>
        <w:widowControl w:val="0"/>
        <w:kinsoku/>
        <w:wordWrap/>
        <w:bidi w:val="0"/>
        <w:snapToGrid/>
        <w:spacing w:beforeLines="0" w:line="576" w:lineRule="exact"/>
        <w:textAlignment w:val="auto"/>
        <w:rPr>
          <w:rFonts w:hint="eastAsia"/>
          <w:color w:val="000000" w:themeColor="text1"/>
          <w:sz w:val="30"/>
          <w:szCs w:val="24"/>
          <w14:textFill>
            <w14:solidFill>
              <w14:schemeClr w14:val="tx1"/>
            </w14:solidFill>
          </w14:textFill>
        </w:rPr>
        <w:sectPr>
          <w:pgSz w:w="12240" w:h="15840"/>
          <w:pgMar w:top="2098" w:right="1474" w:bottom="1984" w:left="1587" w:header="850" w:footer="1587" w:gutter="0"/>
          <w:lnNumType w:countBy="0" w:distance="360"/>
          <w:pgNumType w:fmt="decimal"/>
          <w:cols w:space="0" w:num="1"/>
          <w:rtlGutter w:val="0"/>
          <w:docGrid w:linePitch="0" w:charSpace="0"/>
        </w:sectPr>
      </w:pPr>
    </w:p>
    <w:p w14:paraId="27F69747">
      <w:pPr>
        <w:keepNext/>
        <w:keepLines/>
        <w:pageBreakBefore/>
        <w:widowControl w:val="0"/>
        <w:kinsoku/>
        <w:wordWrap/>
        <w:bidi w:val="0"/>
        <w:snapToGrid/>
        <w:spacing w:line="600" w:lineRule="exact"/>
        <w:jc w:val="center"/>
        <w:textAlignment w:val="auto"/>
        <w:rPr>
          <w:rFonts w:hint="eastAsia" w:ascii="方正小标宋简体" w:hAnsi="方正小标宋简体" w:eastAsia="方正小标宋简体" w:cs="方正小标宋简体"/>
          <w:b w:val="0"/>
          <w:bCs/>
          <w:color w:val="000000" w:themeColor="text1"/>
          <w:kern w:val="2"/>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kern w:val="44"/>
          <w:sz w:val="44"/>
          <w:szCs w:val="44"/>
          <w14:textFill>
            <w14:solidFill>
              <w14:schemeClr w14:val="tx1"/>
            </w14:solidFill>
          </w14:textFill>
        </w:rPr>
        <w:t xml:space="preserve">第二部分  </w:t>
      </w:r>
      <w:r>
        <w:rPr>
          <w:rFonts w:hint="eastAsia" w:ascii="Times New Roman" w:hAnsi="Times New Roman" w:eastAsia="方正小标宋简体" w:cs="方正小标宋简体"/>
          <w:b w:val="0"/>
          <w:bCs/>
          <w:color w:val="000000" w:themeColor="text1"/>
          <w:kern w:val="44"/>
          <w:sz w:val="44"/>
          <w:szCs w:val="44"/>
          <w14:textFill>
            <w14:solidFill>
              <w14:schemeClr w14:val="tx1"/>
            </w14:solidFill>
          </w14:textFill>
        </w:rPr>
        <w:t>2023</w:t>
      </w:r>
      <w:r>
        <w:rPr>
          <w:rFonts w:hint="eastAsia" w:ascii="方正小标宋简体" w:hAnsi="方正小标宋简体" w:eastAsia="方正小标宋简体" w:cs="方正小标宋简体"/>
          <w:b w:val="0"/>
          <w:bCs/>
          <w:color w:val="000000" w:themeColor="text1"/>
          <w:kern w:val="44"/>
          <w:sz w:val="44"/>
          <w:szCs w:val="44"/>
          <w14:textFill>
            <w14:solidFill>
              <w14:schemeClr w14:val="tx1"/>
            </w14:solidFill>
          </w14:textFill>
        </w:rPr>
        <w:t>年度部门决算情况说明</w:t>
      </w:r>
    </w:p>
    <w:p w14:paraId="70959819">
      <w:pPr>
        <w:pStyle w:val="4"/>
        <w:widowControl w:val="0"/>
        <w:kinsoku/>
        <w:wordWrap/>
        <w:overflowPunct w:val="0"/>
        <w:topLinePunct/>
        <w:bidi w:val="0"/>
        <w:snapToGrid/>
        <w:spacing w:line="600" w:lineRule="exact"/>
        <w:ind w:firstLine="640" w:firstLineChars="200"/>
        <w:jc w:val="both"/>
        <w:textAlignment w:val="auto"/>
        <w:rPr>
          <w:rFonts w:hint="eastAsia" w:ascii="黑体" w:hAnsi="黑体" w:eastAsia="黑体"/>
          <w:color w:val="000000" w:themeColor="text1"/>
          <w:kern w:val="2"/>
          <w:sz w:val="32"/>
          <w:szCs w:val="24"/>
          <w14:textFill>
            <w14:solidFill>
              <w14:schemeClr w14:val="tx1"/>
            </w14:solidFill>
          </w14:textFill>
        </w:rPr>
      </w:pPr>
    </w:p>
    <w:p w14:paraId="7358A214">
      <w:pPr>
        <w:pStyle w:val="4"/>
        <w:keepNext w:val="0"/>
        <w:keepLines w:val="0"/>
        <w:pageBreakBefore w:val="0"/>
        <w:widowControl w:val="0"/>
        <w:kinsoku/>
        <w:wordWrap/>
        <w:overflowPunct w:val="0"/>
        <w:topLinePunct/>
        <w:bidi w:val="0"/>
        <w:snapToGrid/>
        <w:spacing w:line="600" w:lineRule="exact"/>
        <w:ind w:firstLine="640" w:firstLineChars="200"/>
        <w:jc w:val="both"/>
        <w:textAlignment w:val="auto"/>
        <w:rPr>
          <w:rFonts w:hint="eastAsia" w:ascii="黑体" w:hAnsi="黑体" w:eastAsia="黑体"/>
          <w:b w:val="0"/>
          <w:bCs w:val="0"/>
          <w:color w:val="000000" w:themeColor="text1"/>
          <w:kern w:val="2"/>
          <w:sz w:val="32"/>
          <w:szCs w:val="24"/>
          <w14:textFill>
            <w14:solidFill>
              <w14:schemeClr w14:val="tx1"/>
            </w14:solidFill>
          </w14:textFill>
        </w:rPr>
      </w:pPr>
      <w:r>
        <w:rPr>
          <w:rFonts w:hint="eastAsia" w:ascii="黑体" w:hAnsi="黑体" w:eastAsia="黑体"/>
          <w:b w:val="0"/>
          <w:bCs w:val="0"/>
          <w:color w:val="000000" w:themeColor="text1"/>
          <w:kern w:val="2"/>
          <w:sz w:val="32"/>
          <w:szCs w:val="24"/>
          <w14:textFill>
            <w14:solidFill>
              <w14:schemeClr w14:val="tx1"/>
            </w14:solidFill>
          </w14:textFill>
        </w:rPr>
        <w:t>一、收入支出决算总体情况说明</w:t>
      </w:r>
    </w:p>
    <w:p w14:paraId="5C50E2A1">
      <w:pPr>
        <w:keepNext w:val="0"/>
        <w:keepLines w:val="0"/>
        <w:pageBreakBefore w:val="0"/>
        <w:widowControl w:val="0"/>
        <w:numPr>
          <w:ilvl w:val="0"/>
          <w:numId w:val="0"/>
        </w:numPr>
        <w:kinsoku/>
        <w:wordWrap/>
        <w:overflow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Times New Roman" w:hAnsi="Times New Roman" w:eastAsia="仿宋_GB2312"/>
          <w:b w:val="0"/>
          <w:bCs w:val="0"/>
          <w:color w:val="000000" w:themeColor="text1"/>
          <w:kern w:val="2"/>
          <w:sz w:val="32"/>
          <w:szCs w:val="24"/>
          <w14:textFill>
            <w14:solidFill>
              <w14:schemeClr w14:val="tx1"/>
            </w14:solidFill>
          </w14:textFill>
        </w:rPr>
        <w:t>2023</w:t>
      </w:r>
      <w:r>
        <w:rPr>
          <w:rFonts w:hint="eastAsia" w:ascii="仿宋_GB2312" w:hAnsi="仿宋_GB2312" w:eastAsia="仿宋_GB2312"/>
          <w:b w:val="0"/>
          <w:bCs w:val="0"/>
          <w:color w:val="000000" w:themeColor="text1"/>
          <w:kern w:val="2"/>
          <w:sz w:val="32"/>
          <w:szCs w:val="24"/>
          <w14:textFill>
            <w14:solidFill>
              <w14:schemeClr w14:val="tx1"/>
            </w14:solidFill>
          </w14:textFill>
        </w:rPr>
        <w:t>年度收、支总计均为</w:t>
      </w:r>
      <w:r>
        <w:rPr>
          <w:rFonts w:hint="eastAsia" w:ascii="Times New Roman" w:hAnsi="Times New Roman" w:eastAsia="仿宋_GB2312"/>
          <w:b w:val="0"/>
          <w:bCs w:val="0"/>
          <w:color w:val="000000" w:themeColor="text1"/>
          <w:kern w:val="2"/>
          <w:sz w:val="32"/>
          <w:szCs w:val="24"/>
          <w14:textFill>
            <w14:solidFill>
              <w14:schemeClr w14:val="tx1"/>
            </w14:solidFill>
          </w14:textFill>
        </w:rPr>
        <w:t>223</w:t>
      </w:r>
      <w:r>
        <w:rPr>
          <w:rFonts w:hint="eastAsia" w:ascii="仿宋_GB2312" w:hAnsi="仿宋_GB2312" w:eastAsia="仿宋_GB2312"/>
          <w:b w:val="0"/>
          <w:bCs w:val="0"/>
          <w:color w:val="000000" w:themeColor="text1"/>
          <w:kern w:val="2"/>
          <w:sz w:val="32"/>
          <w:szCs w:val="24"/>
          <w14:textFill>
            <w14:solidFill>
              <w14:schemeClr w14:val="tx1"/>
            </w14:solidFill>
          </w14:textFill>
        </w:rPr>
        <w:t>.</w:t>
      </w:r>
      <w:r>
        <w:rPr>
          <w:rFonts w:hint="eastAsia" w:ascii="Times New Roman" w:hAnsi="Times New Roman" w:eastAsia="仿宋_GB2312"/>
          <w:b w:val="0"/>
          <w:bCs w:val="0"/>
          <w:color w:val="000000" w:themeColor="text1"/>
          <w:kern w:val="2"/>
          <w:sz w:val="32"/>
          <w:szCs w:val="24"/>
          <w14:textFill>
            <w14:solidFill>
              <w14:schemeClr w14:val="tx1"/>
            </w14:solidFill>
          </w14:textFill>
        </w:rPr>
        <w:t>06</w:t>
      </w:r>
      <w:r>
        <w:rPr>
          <w:rFonts w:hint="eastAsia" w:ascii="仿宋_GB2312" w:hAnsi="仿宋_GB2312" w:eastAsia="仿宋_GB2312"/>
          <w:b w:val="0"/>
          <w:bCs w:val="0"/>
          <w:color w:val="000000" w:themeColor="text1"/>
          <w:kern w:val="2"/>
          <w:sz w:val="32"/>
          <w:szCs w:val="24"/>
          <w14:textFill>
            <w14:solidFill>
              <w14:schemeClr w14:val="tx1"/>
            </w14:solidFill>
          </w14:textFill>
        </w:rPr>
        <w:t>万元。与</w:t>
      </w:r>
      <w:r>
        <w:rPr>
          <w:rFonts w:hint="eastAsia" w:ascii="Times New Roman" w:hAnsi="Times New Roman" w:eastAsia="仿宋_GB2312"/>
          <w:b w:val="0"/>
          <w:bCs w:val="0"/>
          <w:color w:val="000000" w:themeColor="text1"/>
          <w:kern w:val="2"/>
          <w:sz w:val="32"/>
          <w:szCs w:val="24"/>
          <w14:textFill>
            <w14:solidFill>
              <w14:schemeClr w14:val="tx1"/>
            </w14:solidFill>
          </w14:textFill>
        </w:rPr>
        <w:t>2022</w:t>
      </w:r>
      <w:r>
        <w:rPr>
          <w:rFonts w:hint="eastAsia" w:ascii="仿宋_GB2312" w:hAnsi="仿宋_GB2312" w:eastAsia="仿宋_GB2312"/>
          <w:b w:val="0"/>
          <w:bCs w:val="0"/>
          <w:color w:val="000000" w:themeColor="text1"/>
          <w:kern w:val="2"/>
          <w:sz w:val="32"/>
          <w:szCs w:val="24"/>
          <w14:textFill>
            <w14:solidFill>
              <w14:schemeClr w14:val="tx1"/>
            </w14:solidFill>
          </w14:textFill>
        </w:rPr>
        <w:t>年度相比，收、支总计各增加</w:t>
      </w:r>
      <w:r>
        <w:rPr>
          <w:rFonts w:hint="eastAsia" w:ascii="Times New Roman" w:hAnsi="Times New Roman" w:eastAsia="仿宋_GB2312"/>
          <w:b w:val="0"/>
          <w:bCs w:val="0"/>
          <w:color w:val="000000" w:themeColor="text1"/>
          <w:kern w:val="2"/>
          <w:sz w:val="32"/>
          <w:szCs w:val="24"/>
          <w14:textFill>
            <w14:solidFill>
              <w14:schemeClr w14:val="tx1"/>
            </w14:solidFill>
          </w14:textFill>
        </w:rPr>
        <w:t>27</w:t>
      </w:r>
      <w:r>
        <w:rPr>
          <w:rFonts w:hint="eastAsia" w:ascii="仿宋_GB2312" w:hAnsi="仿宋_GB2312" w:eastAsia="仿宋_GB2312"/>
          <w:b w:val="0"/>
          <w:bCs w:val="0"/>
          <w:color w:val="000000" w:themeColor="text1"/>
          <w:kern w:val="2"/>
          <w:sz w:val="32"/>
          <w:szCs w:val="24"/>
          <w14:textFill>
            <w14:solidFill>
              <w14:schemeClr w14:val="tx1"/>
            </w14:solidFill>
          </w14:textFill>
        </w:rPr>
        <w:t>.</w:t>
      </w:r>
      <w:r>
        <w:rPr>
          <w:rFonts w:hint="eastAsia" w:ascii="Times New Roman" w:hAnsi="Times New Roman" w:eastAsia="仿宋_GB2312"/>
          <w:b w:val="0"/>
          <w:bCs w:val="0"/>
          <w:color w:val="000000" w:themeColor="text1"/>
          <w:kern w:val="2"/>
          <w:sz w:val="32"/>
          <w:szCs w:val="24"/>
          <w14:textFill>
            <w14:solidFill>
              <w14:schemeClr w14:val="tx1"/>
            </w14:solidFill>
          </w14:textFill>
        </w:rPr>
        <w:t>42</w:t>
      </w:r>
      <w:r>
        <w:rPr>
          <w:rFonts w:hint="eastAsia" w:ascii="仿宋_GB2312" w:hAnsi="仿宋_GB2312" w:eastAsia="仿宋_GB2312"/>
          <w:b w:val="0"/>
          <w:bCs w:val="0"/>
          <w:color w:val="000000" w:themeColor="text1"/>
          <w:kern w:val="2"/>
          <w:sz w:val="32"/>
          <w:szCs w:val="24"/>
          <w14:textFill>
            <w14:solidFill>
              <w14:schemeClr w14:val="tx1"/>
            </w14:solidFill>
          </w14:textFill>
        </w:rPr>
        <w:t>万元，增长</w:t>
      </w:r>
      <w:r>
        <w:rPr>
          <w:rFonts w:hint="eastAsia" w:ascii="Times New Roman" w:hAnsi="Times New Roman" w:eastAsia="仿宋_GB2312"/>
          <w:b w:val="0"/>
          <w:bCs w:val="0"/>
          <w:color w:val="000000" w:themeColor="text1"/>
          <w:kern w:val="2"/>
          <w:sz w:val="32"/>
          <w:szCs w:val="24"/>
          <w14:textFill>
            <w14:solidFill>
              <w14:schemeClr w14:val="tx1"/>
            </w14:solidFill>
          </w14:textFill>
        </w:rPr>
        <w:t>14</w:t>
      </w:r>
      <w:r>
        <w:rPr>
          <w:rFonts w:hint="eastAsia" w:ascii="仿宋_GB2312" w:hAnsi="仿宋_GB2312" w:eastAsia="仿宋_GB2312"/>
          <w:b w:val="0"/>
          <w:bCs w:val="0"/>
          <w:color w:val="000000" w:themeColor="text1"/>
          <w:kern w:val="2"/>
          <w:sz w:val="32"/>
          <w:szCs w:val="24"/>
          <w14:textFill>
            <w14:solidFill>
              <w14:schemeClr w14:val="tx1"/>
            </w14:solidFill>
          </w14:textFill>
        </w:rPr>
        <w:t>%。主要变动原因</w:t>
      </w:r>
      <w:r>
        <w:rPr>
          <w:rFonts w:hint="eastAsia" w:ascii="仿宋_GB2312" w:hAnsi="仿宋_GB2312" w:eastAsia="仿宋_GB2312" w:cs="仿宋_GB2312"/>
          <w:b w:val="0"/>
          <w:bCs w:val="0"/>
          <w:color w:val="000000" w:themeColor="text1"/>
          <w:sz w:val="32"/>
          <w:szCs w:val="32"/>
          <w14:textFill>
            <w14:solidFill>
              <w14:schemeClr w14:val="tx1"/>
            </w14:solidFill>
          </w14:textFill>
        </w:rPr>
        <w:t>是人员调资变动。</w:t>
      </w:r>
    </w:p>
    <w:p w14:paraId="7838F22D">
      <w:pPr>
        <w:keepNext w:val="0"/>
        <w:keepLines w:val="0"/>
        <w:pageBreakBefore w:val="0"/>
        <w:widowControl w:val="0"/>
        <w:kinsoku/>
        <w:wordWrap/>
        <w:overflow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p w14:paraId="4B823AFB">
      <w:pPr>
        <w:pStyle w:val="8"/>
        <w:keepNext w:val="0"/>
        <w:keepLines w:val="0"/>
        <w:pageBreakBefore w:val="0"/>
        <w:widowControl w:val="0"/>
        <w:kinsoku/>
        <w:wordWrap/>
        <w:overflowPunct w:val="0"/>
        <w:topLinePunct w:val="0"/>
        <w:autoSpaceDE w:val="0"/>
        <w:autoSpaceDN w:val="0"/>
        <w:bidi w:val="0"/>
        <w:adjustRightInd w:val="0"/>
        <w:snapToGrid/>
        <w:spacing w:after="0" w:line="240" w:lineRule="auto"/>
        <w:ind w:left="0" w:leftChars="0" w:firstLine="480" w:firstLineChars="200"/>
        <w:jc w:val="both"/>
        <w:textAlignment w:val="auto"/>
        <w:rPr>
          <w:rFonts w:hint="eastAsia" w:eastAsia="宋体"/>
          <w:b w:val="0"/>
          <w:bCs w:val="0"/>
          <w:color w:val="000000" w:themeColor="text1"/>
          <w:sz w:val="24"/>
          <w:szCs w:val="32"/>
          <w:lang w:eastAsia="zh-CN"/>
          <w14:textFill>
            <w14:solidFill>
              <w14:schemeClr w14:val="tx1"/>
            </w14:solidFill>
          </w14:textFill>
        </w:rPr>
      </w:pPr>
      <w:r>
        <w:rPr>
          <w:rFonts w:hint="eastAsia" w:eastAsia="宋体"/>
          <w:b w:val="0"/>
          <w:bCs w:val="0"/>
          <w:color w:val="000000" w:themeColor="text1"/>
          <w:sz w:val="24"/>
          <w:szCs w:val="32"/>
          <w:lang w:eastAsia="zh-CN"/>
          <w14:textFill>
            <w14:solidFill>
              <w14:schemeClr w14:val="tx1"/>
            </w14:solidFill>
          </w14:textFill>
        </w:rPr>
        <w:drawing>
          <wp:inline distT="0" distB="0" distL="114300" distR="114300">
            <wp:extent cx="5342255" cy="3276600"/>
            <wp:effectExtent l="4445" t="4445" r="6350" b="14605"/>
            <wp:docPr id="2" name="图表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871711C">
      <w:pPr>
        <w:pStyle w:val="8"/>
        <w:keepNext w:val="0"/>
        <w:keepLines w:val="0"/>
        <w:pageBreakBefore w:val="0"/>
        <w:widowControl w:val="0"/>
        <w:kinsoku/>
        <w:wordWrap/>
        <w:overflowPunct w:val="0"/>
        <w:topLinePunct w:val="0"/>
        <w:autoSpaceDE w:val="0"/>
        <w:autoSpaceDN w:val="0"/>
        <w:bidi w:val="0"/>
        <w:adjustRightInd w:val="0"/>
        <w:snapToGrid/>
        <w:spacing w:after="0" w:line="300" w:lineRule="exact"/>
        <w:ind w:leftChars="0" w:firstLine="480" w:firstLineChars="200"/>
        <w:jc w:val="both"/>
        <w:textAlignment w:val="auto"/>
        <w:rPr>
          <w:rFonts w:hint="default" w:ascii="仿宋_GB2312" w:eastAsia="仿宋_GB2312"/>
          <w:b w:val="0"/>
          <w:bCs w:val="0"/>
          <w:color w:val="000000" w:themeColor="text1"/>
          <w:sz w:val="24"/>
          <w:szCs w:val="32"/>
          <w14:textFill>
            <w14:solidFill>
              <w14:schemeClr w14:val="tx1"/>
            </w14:solidFill>
          </w14:textFill>
        </w:rPr>
      </w:pPr>
    </w:p>
    <w:p w14:paraId="5BB48428">
      <w:pPr>
        <w:pStyle w:val="8"/>
        <w:keepNext w:val="0"/>
        <w:keepLines w:val="0"/>
        <w:pageBreakBefore w:val="0"/>
        <w:widowControl w:val="0"/>
        <w:kinsoku/>
        <w:wordWrap/>
        <w:overflowPunct w:val="0"/>
        <w:topLinePunct w:val="0"/>
        <w:autoSpaceDE w:val="0"/>
        <w:autoSpaceDN w:val="0"/>
        <w:bidi w:val="0"/>
        <w:adjustRightInd w:val="0"/>
        <w:snapToGrid/>
        <w:spacing w:after="0" w:line="600" w:lineRule="exact"/>
        <w:ind w:left="0" w:leftChars="0" w:firstLine="619" w:firstLineChars="258"/>
        <w:jc w:val="both"/>
        <w:textAlignment w:val="auto"/>
        <w:rPr>
          <w:rFonts w:hint="eastAsia" w:ascii="黑体" w:hAnsi="黑体" w:eastAsia="黑体"/>
          <w:b w:val="0"/>
          <w:bCs w:val="0"/>
          <w:color w:val="000000" w:themeColor="text1"/>
          <w:kern w:val="2"/>
          <w:sz w:val="32"/>
          <w:szCs w:val="24"/>
          <w14:textFill>
            <w14:solidFill>
              <w14:schemeClr w14:val="tx1"/>
            </w14:solidFill>
          </w14:textFill>
        </w:rPr>
      </w:pPr>
      <w:r>
        <w:rPr>
          <w:rFonts w:hint="default" w:ascii="仿宋_GB2312" w:eastAsia="仿宋_GB2312"/>
          <w:b w:val="0"/>
          <w:bCs w:val="0"/>
          <w:color w:val="000000" w:themeColor="text1"/>
          <w:sz w:val="24"/>
          <w:szCs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page">
                  <wp:posOffset>0</wp:posOffset>
                </wp:positionH>
                <wp:positionV relativeFrom="page">
                  <wp:posOffset>0</wp:posOffset>
                </wp:positionV>
                <wp:extent cx="635" cy="0"/>
                <wp:effectExtent l="0" t="0" r="0" b="0"/>
                <wp:wrapNone/>
                <wp:docPr id="3" name="Object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rot="0" spcFirstLastPara="0" vertOverflow="overflow" horzOverflow="overflow" vert="horz" wrap="square" lIns="91440" tIns="45720" rIns="91440" bIns="45720" numCol="1" anchor="t" upright="1">
                        <a:noAutofit/>
                      </wps:bodyPr>
                    </wps:wsp>
                  </a:graphicData>
                </a:graphic>
              </wp:anchor>
            </w:drawing>
          </mc:Choice>
          <mc:Fallback>
            <w:pict>
              <v:rect id="Object 4" o:spid="_x0000_s1026" o:spt="1" style="position:absolute;left:0pt;margin-left:0pt;margin-top:0pt;height:0pt;width:0.05pt;mso-position-horizontal-relative:page;mso-position-vertical-relative:page;z-index:251660288;mso-width-relative:page;mso-height-relative:page;"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hwl/c8AAAD/AAAADwAAAAAAAAABACAAAAAiAAAAZHJzL2Rvd25yZXYu&#10;eG1sUEsBAhQAFAAAAAgAh07iQHYYbtcEAgAAJAQAAA4AAAAAAAAAAQAgAAAAHgEAAGRycy9lMm9E&#10;b2MueG1sUEsFBgAAAAAGAAYAWQEAAJQFAAAAAA==&#10;">
                <v:fill on="f" focussize="0,0"/>
                <v:stroke on="f"/>
                <v:imagedata o:title=""/>
                <o:lock v:ext="edit" aspectratio="t"/>
              </v:rect>
            </w:pict>
          </mc:Fallback>
        </mc:AlternateContent>
      </w:r>
      <w:r>
        <w:rPr>
          <w:rFonts w:hint="default" w:ascii="仿宋_GB2312" w:eastAsia="仿宋_GB2312"/>
          <w:b w:val="0"/>
          <w:bCs w:val="0"/>
          <w:color w:val="000000" w:themeColor="text1"/>
          <w:sz w:val="24"/>
          <w:szCs w:val="32"/>
          <w14:textFill>
            <w14:solidFill>
              <w14:schemeClr w14:val="tx1"/>
            </w14:solidFill>
          </w14:textFill>
        </w:rPr>
        <mc:AlternateContent>
          <mc:Choice Requires="wps">
            <w:drawing>
              <wp:inline distT="0" distB="0" distL="114300" distR="114300">
                <wp:extent cx="635" cy="0"/>
                <wp:effectExtent l="0" t="0" r="0" b="0"/>
                <wp:docPr id="4" name="图片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rot="0" spcFirstLastPara="0" vertOverflow="overflow" horzOverflow="overflow" vert="horz" wrap="square" lIns="91440" tIns="45720" rIns="91440" bIns="45720" numCol="1" anchor="t" upright="1">
                        <a:noAutofit/>
                      </wps:bodyPr>
                    </wps:wsp>
                  </a:graphicData>
                </a:graphic>
              </wp:inline>
            </w:drawing>
          </mc:Choice>
          <mc:Fallback>
            <w:pict>
              <v:rect id="图片 1"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HCX9zwAAAP8AAAAPAAAAAAAAAAEAIAAAACIAAABk&#10;cnMvZG93bnJldi54bWxQSwECFAAUAAAACACHTuJANOU5gQ8CAAAkBAAADgAAAAAAAAABACAAAAAe&#10;AQAAZHJzL2Uyb0RvYy54bWxQSwUGAAAAAAYABgBZAQAAnwUAAAAA&#10;">
                <v:fill on="f" focussize="0,0"/>
                <v:stroke on="f"/>
                <v:imagedata o:title=""/>
                <o:lock v:ext="edit" aspectratio="t"/>
                <w10:wrap type="none"/>
                <w10:anchorlock/>
              </v:rect>
            </w:pict>
          </mc:Fallback>
        </mc:AlternateContent>
      </w:r>
      <w:r>
        <w:rPr>
          <w:rFonts w:hint="eastAsia" w:ascii="黑体" w:hAnsi="黑体" w:eastAsia="黑体"/>
          <w:b w:val="0"/>
          <w:bCs w:val="0"/>
          <w:color w:val="000000" w:themeColor="text1"/>
          <w:kern w:val="2"/>
          <w:sz w:val="32"/>
          <w:szCs w:val="24"/>
          <w14:textFill>
            <w14:solidFill>
              <w14:schemeClr w14:val="tx1"/>
            </w14:solidFill>
          </w14:textFill>
        </w:rPr>
        <w:t>二、收入决算情况说明</w:t>
      </w:r>
    </w:p>
    <w:p w14:paraId="2088A283">
      <w:pPr>
        <w:keepNext w:val="0"/>
        <w:keepLines w:val="0"/>
        <w:pageBreakBefore w:val="0"/>
        <w:widowControl w:val="0"/>
        <w:kinsoku/>
        <w:wordWrap/>
        <w:overflowPunct w:val="0"/>
        <w:topLinePunct/>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b w:val="0"/>
          <w:bCs w:val="0"/>
          <w:color w:val="000000" w:themeColor="text1"/>
          <w:kern w:val="2"/>
          <w:sz w:val="32"/>
          <w:szCs w:val="24"/>
          <w14:textFill>
            <w14:solidFill>
              <w14:schemeClr w14:val="tx1"/>
            </w14:solidFill>
          </w14:textFill>
        </w:rPr>
      </w:pPr>
      <w:r>
        <w:rPr>
          <w:rFonts w:hint="eastAsia" w:ascii="Times New Roman" w:hAnsi="Times New Roman" w:eastAsia="仿宋_GB2312"/>
          <w:b w:val="0"/>
          <w:bCs w:val="0"/>
          <w:color w:val="000000" w:themeColor="text1"/>
          <w:kern w:val="2"/>
          <w:sz w:val="32"/>
          <w:szCs w:val="24"/>
          <w14:textFill>
            <w14:solidFill>
              <w14:schemeClr w14:val="tx1"/>
            </w14:solidFill>
          </w14:textFill>
        </w:rPr>
        <w:t>2023</w:t>
      </w:r>
      <w:r>
        <w:rPr>
          <w:rFonts w:hint="eastAsia" w:ascii="仿宋_GB2312" w:hAnsi="仿宋_GB2312" w:eastAsia="仿宋_GB2312"/>
          <w:b w:val="0"/>
          <w:bCs w:val="0"/>
          <w:color w:val="000000" w:themeColor="text1"/>
          <w:kern w:val="2"/>
          <w:sz w:val="32"/>
          <w:szCs w:val="24"/>
          <w14:textFill>
            <w14:solidFill>
              <w14:schemeClr w14:val="tx1"/>
            </w14:solidFill>
          </w14:textFill>
        </w:rPr>
        <w:t>年本年收入合计</w:t>
      </w:r>
      <w:r>
        <w:rPr>
          <w:rFonts w:hint="eastAsia" w:ascii="Times New Roman" w:hAnsi="Times New Roman" w:eastAsia="仿宋_GB2312"/>
          <w:b w:val="0"/>
          <w:bCs w:val="0"/>
          <w:color w:val="000000" w:themeColor="text1"/>
          <w:kern w:val="2"/>
          <w:sz w:val="32"/>
          <w:szCs w:val="24"/>
          <w14:textFill>
            <w14:solidFill>
              <w14:schemeClr w14:val="tx1"/>
            </w14:solidFill>
          </w14:textFill>
        </w:rPr>
        <w:t>223</w:t>
      </w:r>
      <w:r>
        <w:rPr>
          <w:rFonts w:hint="eastAsia" w:ascii="仿宋_GB2312" w:hAnsi="仿宋_GB2312" w:eastAsia="仿宋_GB2312"/>
          <w:b w:val="0"/>
          <w:bCs w:val="0"/>
          <w:color w:val="000000" w:themeColor="text1"/>
          <w:kern w:val="2"/>
          <w:sz w:val="32"/>
          <w:szCs w:val="24"/>
          <w14:textFill>
            <w14:solidFill>
              <w14:schemeClr w14:val="tx1"/>
            </w14:solidFill>
          </w14:textFill>
        </w:rPr>
        <w:t>.</w:t>
      </w:r>
      <w:r>
        <w:rPr>
          <w:rFonts w:hint="eastAsia" w:ascii="Times New Roman" w:hAnsi="Times New Roman" w:eastAsia="仿宋_GB2312"/>
          <w:b w:val="0"/>
          <w:bCs w:val="0"/>
          <w:color w:val="000000" w:themeColor="text1"/>
          <w:kern w:val="2"/>
          <w:sz w:val="32"/>
          <w:szCs w:val="24"/>
          <w14:textFill>
            <w14:solidFill>
              <w14:schemeClr w14:val="tx1"/>
            </w14:solidFill>
          </w14:textFill>
        </w:rPr>
        <w:t>06</w:t>
      </w:r>
      <w:r>
        <w:rPr>
          <w:rFonts w:hint="eastAsia" w:ascii="仿宋_GB2312" w:hAnsi="仿宋_GB2312" w:eastAsia="仿宋_GB2312"/>
          <w:b w:val="0"/>
          <w:bCs w:val="0"/>
          <w:color w:val="000000" w:themeColor="text1"/>
          <w:kern w:val="2"/>
          <w:sz w:val="32"/>
          <w:szCs w:val="24"/>
          <w14:textFill>
            <w14:solidFill>
              <w14:schemeClr w14:val="tx1"/>
            </w14:solidFill>
          </w14:textFill>
        </w:rPr>
        <w:t>万元，其中：一般公共预算财政拨款收入</w:t>
      </w:r>
      <w:r>
        <w:rPr>
          <w:rFonts w:hint="eastAsia" w:ascii="Times New Roman" w:hAnsi="Times New Roman" w:eastAsia="仿宋_GB2312"/>
          <w:b w:val="0"/>
          <w:bCs w:val="0"/>
          <w:color w:val="000000" w:themeColor="text1"/>
          <w:kern w:val="2"/>
          <w:sz w:val="32"/>
          <w:szCs w:val="24"/>
          <w14:textFill>
            <w14:solidFill>
              <w14:schemeClr w14:val="tx1"/>
            </w14:solidFill>
          </w14:textFill>
        </w:rPr>
        <w:t>223</w:t>
      </w:r>
      <w:r>
        <w:rPr>
          <w:rFonts w:hint="eastAsia" w:ascii="仿宋_GB2312" w:hAnsi="仿宋_GB2312" w:eastAsia="仿宋_GB2312"/>
          <w:b w:val="0"/>
          <w:bCs w:val="0"/>
          <w:color w:val="000000" w:themeColor="text1"/>
          <w:kern w:val="2"/>
          <w:sz w:val="32"/>
          <w:szCs w:val="24"/>
          <w14:textFill>
            <w14:solidFill>
              <w14:schemeClr w14:val="tx1"/>
            </w14:solidFill>
          </w14:textFill>
        </w:rPr>
        <w:t>.</w:t>
      </w:r>
      <w:r>
        <w:rPr>
          <w:rFonts w:hint="eastAsia" w:ascii="Times New Roman" w:hAnsi="Times New Roman" w:eastAsia="仿宋_GB2312"/>
          <w:b w:val="0"/>
          <w:bCs w:val="0"/>
          <w:color w:val="000000" w:themeColor="text1"/>
          <w:kern w:val="2"/>
          <w:sz w:val="32"/>
          <w:szCs w:val="24"/>
          <w14:textFill>
            <w14:solidFill>
              <w14:schemeClr w14:val="tx1"/>
            </w14:solidFill>
          </w14:textFill>
        </w:rPr>
        <w:t>06</w:t>
      </w:r>
      <w:r>
        <w:rPr>
          <w:rFonts w:hint="eastAsia" w:ascii="仿宋_GB2312" w:hAnsi="仿宋_GB2312" w:eastAsia="仿宋_GB2312"/>
          <w:b w:val="0"/>
          <w:bCs w:val="0"/>
          <w:color w:val="000000" w:themeColor="text1"/>
          <w:kern w:val="2"/>
          <w:sz w:val="32"/>
          <w:szCs w:val="24"/>
          <w14:textFill>
            <w14:solidFill>
              <w14:schemeClr w14:val="tx1"/>
            </w14:solidFill>
          </w14:textFill>
        </w:rPr>
        <w:t>万元，占</w:t>
      </w:r>
      <w:r>
        <w:rPr>
          <w:rFonts w:hint="eastAsia" w:ascii="Times New Roman" w:hAnsi="Times New Roman" w:eastAsia="仿宋_GB2312"/>
          <w:b w:val="0"/>
          <w:bCs w:val="0"/>
          <w:color w:val="000000" w:themeColor="text1"/>
          <w:kern w:val="2"/>
          <w:sz w:val="32"/>
          <w:szCs w:val="24"/>
          <w14:textFill>
            <w14:solidFill>
              <w14:schemeClr w14:val="tx1"/>
            </w14:solidFill>
          </w14:textFill>
        </w:rPr>
        <w:t>100</w:t>
      </w:r>
      <w:r>
        <w:rPr>
          <w:rFonts w:hint="eastAsia" w:ascii="仿宋_GB2312" w:hAnsi="仿宋_GB2312" w:eastAsia="仿宋_GB2312"/>
          <w:b w:val="0"/>
          <w:bCs w:val="0"/>
          <w:color w:val="000000" w:themeColor="text1"/>
          <w:kern w:val="2"/>
          <w:sz w:val="32"/>
          <w:szCs w:val="24"/>
          <w14:textFill>
            <w14:solidFill>
              <w14:schemeClr w14:val="tx1"/>
            </w14:solidFill>
          </w14:textFill>
        </w:rPr>
        <w:t>%。</w:t>
      </w:r>
    </w:p>
    <w:p w14:paraId="7D6C1520">
      <w:pPr>
        <w:keepNext w:val="0"/>
        <w:keepLines w:val="0"/>
        <w:pageBreakBefore w:val="0"/>
        <w:widowControl w:val="0"/>
        <w:kinsoku/>
        <w:wordWrap/>
        <w:overflowPunct w:val="0"/>
        <w:topLinePunct/>
        <w:autoSpaceDE w:val="0"/>
        <w:autoSpaceDN w:val="0"/>
        <w:bidi w:val="0"/>
        <w:adjustRightInd w:val="0"/>
        <w:snapToGrid/>
        <w:spacing w:line="240" w:lineRule="auto"/>
        <w:ind w:firstLine="640" w:firstLineChars="200"/>
        <w:jc w:val="both"/>
        <w:textAlignment w:val="auto"/>
        <w:rPr>
          <w:rFonts w:hint="eastAsia" w:ascii="黑体" w:hAnsi="黑体" w:eastAsia="黑体"/>
          <w:b w:val="0"/>
          <w:bCs w:val="0"/>
          <w:color w:val="000000" w:themeColor="text1"/>
          <w:kern w:val="2"/>
          <w:sz w:val="32"/>
          <w:szCs w:val="24"/>
          <w14:textFill>
            <w14:solidFill>
              <w14:schemeClr w14:val="tx1"/>
            </w14:solidFill>
          </w14:textFill>
        </w:rPr>
      </w:pPr>
      <w:r>
        <w:rPr>
          <w:rFonts w:hint="eastAsia" w:ascii="黑体" w:hAnsi="黑体" w:eastAsia="黑体"/>
          <w:b w:val="0"/>
          <w:bCs w:val="0"/>
          <w:color w:val="000000" w:themeColor="text1"/>
          <w:kern w:val="2"/>
          <w:sz w:val="32"/>
          <w:szCs w:val="24"/>
          <w14:textFill>
            <w14:solidFill>
              <w14:schemeClr w14:val="tx1"/>
            </w14:solidFill>
          </w14:textFill>
        </w:rPr>
        <w:drawing>
          <wp:inline distT="0" distB="0" distL="114300" distR="114300">
            <wp:extent cx="5039995" cy="2771775"/>
            <wp:effectExtent l="4445" t="4445" r="22860" b="5080"/>
            <wp:docPr id="5" name="图表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rFonts w:hint="eastAsia" w:ascii="黑体" w:hAnsi="黑体" w:eastAsia="黑体"/>
          <w:b w:val="0"/>
          <w:bCs w:val="0"/>
          <w:color w:val="000000" w:themeColor="text1"/>
          <w:kern w:val="2"/>
          <w:sz w:val="32"/>
          <w:szCs w:val="24"/>
          <w:lang w:val="en-US" w:eastAsia="zh-CN"/>
          <w14:textFill>
            <w14:solidFill>
              <w14:schemeClr w14:val="tx1"/>
            </w14:solidFill>
          </w14:textFill>
        </w:rPr>
        <w:t xml:space="preserve"> </w:t>
      </w:r>
      <w:r>
        <w:rPr>
          <w:rFonts w:hint="eastAsia" w:ascii="黑体" w:hAnsi="黑体" w:eastAsia="黑体"/>
          <w:b w:val="0"/>
          <w:bCs w:val="0"/>
          <w:color w:val="000000" w:themeColor="text1"/>
          <w:kern w:val="2"/>
          <w:sz w:val="32"/>
          <w:szCs w:val="24"/>
          <w14:textFill>
            <w14:solidFill>
              <w14:schemeClr w14:val="tx1"/>
            </w14:solidFill>
          </w14:textFill>
        </w:rPr>
        <w:t>三、支出决算情况说明</w:t>
      </w:r>
    </w:p>
    <w:p w14:paraId="7701B8DD">
      <w:pPr>
        <w:keepNext w:val="0"/>
        <w:keepLines w:val="0"/>
        <w:pageBreakBefore w:val="0"/>
        <w:widowControl w:val="0"/>
        <w:kinsoku/>
        <w:wordWrap/>
        <w:overflowPunct w:val="0"/>
        <w:topLinePunct/>
        <w:bidi w:val="0"/>
        <w:snapToGrid/>
        <w:spacing w:line="576" w:lineRule="exact"/>
        <w:ind w:firstLine="640" w:firstLineChars="200"/>
        <w:jc w:val="both"/>
        <w:textAlignment w:val="auto"/>
        <w:rPr>
          <w:rFonts w:hint="eastAsia" w:ascii="仿宋_GB2312" w:hAnsi="仿宋_GB2312" w:eastAsia="仿宋_GB2312"/>
          <w:b w:val="0"/>
          <w:bCs w:val="0"/>
          <w:color w:val="000000" w:themeColor="text1"/>
          <w:kern w:val="2"/>
          <w:sz w:val="32"/>
          <w:szCs w:val="24"/>
          <w14:textFill>
            <w14:solidFill>
              <w14:schemeClr w14:val="tx1"/>
            </w14:solidFill>
          </w14:textFill>
        </w:rPr>
      </w:pPr>
      <w:r>
        <w:rPr>
          <w:rFonts w:hint="eastAsia" w:ascii="Times New Roman" w:hAnsi="Times New Roman" w:eastAsia="仿宋_GB2312"/>
          <w:b w:val="0"/>
          <w:bCs w:val="0"/>
          <w:color w:val="000000" w:themeColor="text1"/>
          <w:kern w:val="2"/>
          <w:sz w:val="32"/>
          <w:szCs w:val="24"/>
          <w14:textFill>
            <w14:solidFill>
              <w14:schemeClr w14:val="tx1"/>
            </w14:solidFill>
          </w14:textFill>
        </w:rPr>
        <w:t>2023</w:t>
      </w:r>
      <w:r>
        <w:rPr>
          <w:rFonts w:hint="eastAsia" w:ascii="仿宋_GB2312" w:hAnsi="仿宋_GB2312" w:eastAsia="仿宋_GB2312"/>
          <w:b w:val="0"/>
          <w:bCs w:val="0"/>
          <w:color w:val="000000" w:themeColor="text1"/>
          <w:kern w:val="2"/>
          <w:sz w:val="32"/>
          <w:szCs w:val="24"/>
          <w14:textFill>
            <w14:solidFill>
              <w14:schemeClr w14:val="tx1"/>
            </w14:solidFill>
          </w14:textFill>
        </w:rPr>
        <w:t>年本年支出合计</w:t>
      </w:r>
      <w:r>
        <w:rPr>
          <w:rFonts w:hint="eastAsia" w:ascii="Times New Roman" w:hAnsi="Times New Roman" w:eastAsia="仿宋_GB2312"/>
          <w:b w:val="0"/>
          <w:bCs w:val="0"/>
          <w:color w:val="000000" w:themeColor="text1"/>
          <w:kern w:val="2"/>
          <w:sz w:val="32"/>
          <w:szCs w:val="24"/>
          <w14:textFill>
            <w14:solidFill>
              <w14:schemeClr w14:val="tx1"/>
            </w14:solidFill>
          </w14:textFill>
        </w:rPr>
        <w:t>223</w:t>
      </w:r>
      <w:r>
        <w:rPr>
          <w:rFonts w:hint="eastAsia" w:ascii="仿宋_GB2312" w:hAnsi="仿宋_GB2312" w:eastAsia="仿宋_GB2312"/>
          <w:b w:val="0"/>
          <w:bCs w:val="0"/>
          <w:color w:val="000000" w:themeColor="text1"/>
          <w:kern w:val="2"/>
          <w:sz w:val="32"/>
          <w:szCs w:val="24"/>
          <w14:textFill>
            <w14:solidFill>
              <w14:schemeClr w14:val="tx1"/>
            </w14:solidFill>
          </w14:textFill>
        </w:rPr>
        <w:t>.</w:t>
      </w:r>
      <w:r>
        <w:rPr>
          <w:rFonts w:hint="eastAsia" w:ascii="Times New Roman" w:hAnsi="Times New Roman" w:eastAsia="仿宋_GB2312"/>
          <w:b w:val="0"/>
          <w:bCs w:val="0"/>
          <w:color w:val="000000" w:themeColor="text1"/>
          <w:kern w:val="2"/>
          <w:sz w:val="32"/>
          <w:szCs w:val="24"/>
          <w14:textFill>
            <w14:solidFill>
              <w14:schemeClr w14:val="tx1"/>
            </w14:solidFill>
          </w14:textFill>
        </w:rPr>
        <w:t>06</w:t>
      </w:r>
      <w:r>
        <w:rPr>
          <w:rFonts w:hint="eastAsia" w:ascii="仿宋_GB2312" w:hAnsi="仿宋_GB2312" w:eastAsia="仿宋_GB2312"/>
          <w:b w:val="0"/>
          <w:bCs w:val="0"/>
          <w:color w:val="000000" w:themeColor="text1"/>
          <w:kern w:val="2"/>
          <w:sz w:val="32"/>
          <w:szCs w:val="24"/>
          <w14:textFill>
            <w14:solidFill>
              <w14:schemeClr w14:val="tx1"/>
            </w14:solidFill>
          </w14:textFill>
        </w:rPr>
        <w:t>万元，其中：基本支出</w:t>
      </w:r>
      <w:r>
        <w:rPr>
          <w:rFonts w:hint="eastAsia" w:ascii="Times New Roman" w:hAnsi="Times New Roman" w:eastAsia="仿宋_GB2312"/>
          <w:b w:val="0"/>
          <w:bCs w:val="0"/>
          <w:color w:val="000000" w:themeColor="text1"/>
          <w:kern w:val="2"/>
          <w:sz w:val="32"/>
          <w:szCs w:val="24"/>
          <w14:textFill>
            <w14:solidFill>
              <w14:schemeClr w14:val="tx1"/>
            </w14:solidFill>
          </w14:textFill>
        </w:rPr>
        <w:t>138</w:t>
      </w:r>
      <w:r>
        <w:rPr>
          <w:rFonts w:hint="eastAsia" w:ascii="仿宋_GB2312" w:hAnsi="仿宋_GB2312" w:eastAsia="仿宋_GB2312"/>
          <w:b w:val="0"/>
          <w:bCs w:val="0"/>
          <w:color w:val="000000" w:themeColor="text1"/>
          <w:kern w:val="2"/>
          <w:sz w:val="32"/>
          <w:szCs w:val="24"/>
          <w14:textFill>
            <w14:solidFill>
              <w14:schemeClr w14:val="tx1"/>
            </w14:solidFill>
          </w14:textFill>
        </w:rPr>
        <w:t>.</w:t>
      </w:r>
      <w:r>
        <w:rPr>
          <w:rFonts w:hint="eastAsia" w:ascii="Times New Roman" w:hAnsi="Times New Roman" w:eastAsia="仿宋_GB2312"/>
          <w:b w:val="0"/>
          <w:bCs w:val="0"/>
          <w:color w:val="000000" w:themeColor="text1"/>
          <w:kern w:val="2"/>
          <w:sz w:val="32"/>
          <w:szCs w:val="24"/>
          <w14:textFill>
            <w14:solidFill>
              <w14:schemeClr w14:val="tx1"/>
            </w14:solidFill>
          </w14:textFill>
        </w:rPr>
        <w:t>42</w:t>
      </w:r>
      <w:r>
        <w:rPr>
          <w:rFonts w:hint="eastAsia" w:ascii="仿宋_GB2312" w:hAnsi="仿宋_GB2312" w:eastAsia="仿宋_GB2312"/>
          <w:b w:val="0"/>
          <w:bCs w:val="0"/>
          <w:color w:val="000000" w:themeColor="text1"/>
          <w:kern w:val="2"/>
          <w:sz w:val="32"/>
          <w:szCs w:val="24"/>
          <w14:textFill>
            <w14:solidFill>
              <w14:schemeClr w14:val="tx1"/>
            </w14:solidFill>
          </w14:textFill>
        </w:rPr>
        <w:t>万元，占</w:t>
      </w:r>
      <w:r>
        <w:rPr>
          <w:rFonts w:hint="eastAsia" w:ascii="Times New Roman" w:hAnsi="Times New Roman" w:eastAsia="仿宋_GB2312"/>
          <w:b w:val="0"/>
          <w:bCs w:val="0"/>
          <w:color w:val="000000" w:themeColor="text1"/>
          <w:kern w:val="2"/>
          <w:sz w:val="32"/>
          <w:szCs w:val="24"/>
          <w14:textFill>
            <w14:solidFill>
              <w14:schemeClr w14:val="tx1"/>
            </w14:solidFill>
          </w14:textFill>
        </w:rPr>
        <w:t>62</w:t>
      </w:r>
      <w:r>
        <w:rPr>
          <w:rFonts w:hint="eastAsia" w:ascii="仿宋_GB2312" w:hAnsi="仿宋_GB2312" w:eastAsia="仿宋_GB2312"/>
          <w:b w:val="0"/>
          <w:bCs w:val="0"/>
          <w:color w:val="000000" w:themeColor="text1"/>
          <w:kern w:val="2"/>
          <w:sz w:val="32"/>
          <w:szCs w:val="24"/>
          <w14:textFill>
            <w14:solidFill>
              <w14:schemeClr w14:val="tx1"/>
            </w14:solidFill>
          </w14:textFill>
        </w:rPr>
        <w:t>.</w:t>
      </w:r>
      <w:r>
        <w:rPr>
          <w:rFonts w:hint="eastAsia" w:ascii="Times New Roman" w:hAnsi="Times New Roman" w:eastAsia="仿宋_GB2312"/>
          <w:b w:val="0"/>
          <w:bCs w:val="0"/>
          <w:color w:val="000000" w:themeColor="text1"/>
          <w:kern w:val="2"/>
          <w:sz w:val="32"/>
          <w:szCs w:val="24"/>
          <w14:textFill>
            <w14:solidFill>
              <w14:schemeClr w14:val="tx1"/>
            </w14:solidFill>
          </w14:textFill>
        </w:rPr>
        <w:t>1</w:t>
      </w:r>
      <w:r>
        <w:rPr>
          <w:rFonts w:hint="eastAsia" w:ascii="仿宋_GB2312" w:hAnsi="仿宋_GB2312" w:eastAsia="仿宋_GB2312"/>
          <w:b w:val="0"/>
          <w:bCs w:val="0"/>
          <w:color w:val="000000" w:themeColor="text1"/>
          <w:kern w:val="2"/>
          <w:sz w:val="32"/>
          <w:szCs w:val="24"/>
          <w14:textFill>
            <w14:solidFill>
              <w14:schemeClr w14:val="tx1"/>
            </w14:solidFill>
          </w14:textFill>
        </w:rPr>
        <w:t>%；项目支出</w:t>
      </w:r>
      <w:r>
        <w:rPr>
          <w:rFonts w:hint="eastAsia" w:ascii="Times New Roman" w:hAnsi="Times New Roman" w:eastAsia="仿宋_GB2312"/>
          <w:b w:val="0"/>
          <w:bCs w:val="0"/>
          <w:color w:val="000000" w:themeColor="text1"/>
          <w:kern w:val="2"/>
          <w:sz w:val="32"/>
          <w:szCs w:val="24"/>
          <w14:textFill>
            <w14:solidFill>
              <w14:schemeClr w14:val="tx1"/>
            </w14:solidFill>
          </w14:textFill>
        </w:rPr>
        <w:t>84</w:t>
      </w:r>
      <w:r>
        <w:rPr>
          <w:rFonts w:hint="eastAsia" w:ascii="仿宋_GB2312" w:hAnsi="仿宋_GB2312" w:eastAsia="仿宋_GB2312"/>
          <w:b w:val="0"/>
          <w:bCs w:val="0"/>
          <w:color w:val="000000" w:themeColor="text1"/>
          <w:kern w:val="2"/>
          <w:sz w:val="32"/>
          <w:szCs w:val="24"/>
          <w14:textFill>
            <w14:solidFill>
              <w14:schemeClr w14:val="tx1"/>
            </w14:solidFill>
          </w14:textFill>
        </w:rPr>
        <w:t>.</w:t>
      </w:r>
      <w:r>
        <w:rPr>
          <w:rFonts w:hint="eastAsia" w:ascii="Times New Roman" w:hAnsi="Times New Roman" w:eastAsia="仿宋_GB2312"/>
          <w:b w:val="0"/>
          <w:bCs w:val="0"/>
          <w:color w:val="000000" w:themeColor="text1"/>
          <w:kern w:val="2"/>
          <w:sz w:val="32"/>
          <w:szCs w:val="24"/>
          <w14:textFill>
            <w14:solidFill>
              <w14:schemeClr w14:val="tx1"/>
            </w14:solidFill>
          </w14:textFill>
        </w:rPr>
        <w:t>64</w:t>
      </w:r>
      <w:r>
        <w:rPr>
          <w:rFonts w:hint="eastAsia" w:ascii="仿宋_GB2312" w:hAnsi="仿宋_GB2312" w:eastAsia="仿宋_GB2312"/>
          <w:b w:val="0"/>
          <w:bCs w:val="0"/>
          <w:color w:val="000000" w:themeColor="text1"/>
          <w:kern w:val="2"/>
          <w:sz w:val="32"/>
          <w:szCs w:val="24"/>
          <w14:textFill>
            <w14:solidFill>
              <w14:schemeClr w14:val="tx1"/>
            </w14:solidFill>
          </w14:textFill>
        </w:rPr>
        <w:t>万元，占</w:t>
      </w:r>
      <w:r>
        <w:rPr>
          <w:rFonts w:hint="eastAsia" w:ascii="Times New Roman" w:hAnsi="Times New Roman" w:eastAsia="仿宋_GB2312"/>
          <w:b w:val="0"/>
          <w:bCs w:val="0"/>
          <w:color w:val="000000" w:themeColor="text1"/>
          <w:kern w:val="2"/>
          <w:sz w:val="32"/>
          <w:szCs w:val="24"/>
          <w14:textFill>
            <w14:solidFill>
              <w14:schemeClr w14:val="tx1"/>
            </w14:solidFill>
          </w14:textFill>
        </w:rPr>
        <w:t>37</w:t>
      </w:r>
      <w:r>
        <w:rPr>
          <w:rFonts w:hint="eastAsia" w:ascii="仿宋_GB2312" w:hAnsi="仿宋_GB2312" w:eastAsia="仿宋_GB2312"/>
          <w:b w:val="0"/>
          <w:bCs w:val="0"/>
          <w:color w:val="000000" w:themeColor="text1"/>
          <w:kern w:val="2"/>
          <w:sz w:val="32"/>
          <w:szCs w:val="24"/>
          <w14:textFill>
            <w14:solidFill>
              <w14:schemeClr w14:val="tx1"/>
            </w14:solidFill>
          </w14:textFill>
        </w:rPr>
        <w:t>.</w:t>
      </w:r>
      <w:r>
        <w:rPr>
          <w:rFonts w:hint="eastAsia" w:ascii="Times New Roman" w:hAnsi="Times New Roman" w:eastAsia="仿宋_GB2312"/>
          <w:b w:val="0"/>
          <w:bCs w:val="0"/>
          <w:color w:val="000000" w:themeColor="text1"/>
          <w:kern w:val="2"/>
          <w:sz w:val="32"/>
          <w:szCs w:val="24"/>
          <w14:textFill>
            <w14:solidFill>
              <w14:schemeClr w14:val="tx1"/>
            </w14:solidFill>
          </w14:textFill>
        </w:rPr>
        <w:t>9</w:t>
      </w:r>
      <w:r>
        <w:rPr>
          <w:rFonts w:hint="eastAsia" w:ascii="仿宋_GB2312" w:hAnsi="仿宋_GB2312" w:eastAsia="仿宋_GB2312"/>
          <w:b w:val="0"/>
          <w:bCs w:val="0"/>
          <w:color w:val="000000" w:themeColor="text1"/>
          <w:kern w:val="2"/>
          <w:sz w:val="32"/>
          <w:szCs w:val="24"/>
          <w14:textFill>
            <w14:solidFill>
              <w14:schemeClr w14:val="tx1"/>
            </w14:solidFill>
          </w14:textFill>
        </w:rPr>
        <w:t>%。</w:t>
      </w:r>
    </w:p>
    <w:p w14:paraId="3EF55B80">
      <w:pPr>
        <w:keepNext w:val="0"/>
        <w:keepLines w:val="0"/>
        <w:pageBreakBefore w:val="0"/>
        <w:widowControl w:val="0"/>
        <w:kinsoku/>
        <w:wordWrap/>
        <w:overflowPunct w:val="0"/>
        <w:topLinePunct/>
        <w:autoSpaceDE w:val="0"/>
        <w:autoSpaceDN w:val="0"/>
        <w:bidi w:val="0"/>
        <w:adjustRightInd w:val="0"/>
        <w:snapToGrid/>
        <w:spacing w:line="240" w:lineRule="auto"/>
        <w:ind w:firstLine="640" w:firstLineChars="200"/>
        <w:jc w:val="both"/>
        <w:textAlignment w:val="auto"/>
        <w:rPr>
          <w:rFonts w:hint="eastAsia" w:ascii="黑体" w:hAnsi="黑体" w:eastAsia="黑体"/>
          <w:b w:val="0"/>
          <w:bCs w:val="0"/>
          <w:color w:val="000000" w:themeColor="text1"/>
          <w:kern w:val="2"/>
          <w:sz w:val="32"/>
          <w:szCs w:val="24"/>
          <w14:textFill>
            <w14:solidFill>
              <w14:schemeClr w14:val="tx1"/>
            </w14:solidFill>
          </w14:textFill>
        </w:rPr>
      </w:pPr>
      <w:r>
        <w:rPr>
          <w:rFonts w:hint="eastAsia" w:ascii="黑体" w:hAnsi="黑体" w:eastAsia="黑体"/>
          <w:b w:val="0"/>
          <w:bCs w:val="0"/>
          <w:color w:val="000000" w:themeColor="text1"/>
          <w:kern w:val="2"/>
          <w:sz w:val="32"/>
          <w:szCs w:val="24"/>
          <w14:textFill>
            <w14:solidFill>
              <w14:schemeClr w14:val="tx1"/>
            </w14:solidFill>
          </w14:textFill>
        </w:rPr>
        <w:drawing>
          <wp:inline distT="0" distB="0" distL="114300" distR="114300">
            <wp:extent cx="4909820" cy="2800350"/>
            <wp:effectExtent l="4445" t="4445" r="19685" b="14605"/>
            <wp:docPr id="6" name="图表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19E45D6">
      <w:pPr>
        <w:keepNext w:val="0"/>
        <w:keepLines w:val="0"/>
        <w:pageBreakBefore w:val="0"/>
        <w:widowControl w:val="0"/>
        <w:kinsoku/>
        <w:wordWrap/>
        <w:overflowPunct w:val="0"/>
        <w:topLinePunct/>
        <w:autoSpaceDE w:val="0"/>
        <w:autoSpaceDN w:val="0"/>
        <w:bidi w:val="0"/>
        <w:adjustRightInd w:val="0"/>
        <w:snapToGrid/>
        <w:spacing w:line="600" w:lineRule="exact"/>
        <w:ind w:firstLine="640" w:firstLineChars="200"/>
        <w:jc w:val="both"/>
        <w:textAlignment w:val="auto"/>
        <w:rPr>
          <w:rFonts w:hint="eastAsia" w:ascii="黑体" w:hAnsi="黑体" w:eastAsia="黑体"/>
          <w:b w:val="0"/>
          <w:bCs w:val="0"/>
          <w:color w:val="000000" w:themeColor="text1"/>
          <w:kern w:val="2"/>
          <w:sz w:val="32"/>
          <w:szCs w:val="24"/>
          <w14:textFill>
            <w14:solidFill>
              <w14:schemeClr w14:val="tx1"/>
            </w14:solidFill>
          </w14:textFill>
        </w:rPr>
      </w:pPr>
      <w:r>
        <w:rPr>
          <w:rFonts w:hint="eastAsia" w:ascii="黑体" w:hAnsi="黑体" w:eastAsia="黑体"/>
          <w:b w:val="0"/>
          <w:bCs w:val="0"/>
          <w:color w:val="000000" w:themeColor="text1"/>
          <w:kern w:val="2"/>
          <w:sz w:val="32"/>
          <w:szCs w:val="24"/>
          <w14:textFill>
            <w14:solidFill>
              <w14:schemeClr w14:val="tx1"/>
            </w14:solidFill>
          </w14:textFill>
        </w:rPr>
        <w:t>四、财政拨款收入支出决算总体情况说明</w:t>
      </w:r>
    </w:p>
    <w:p w14:paraId="0836524A">
      <w:pPr>
        <w:keepNext w:val="0"/>
        <w:keepLines w:val="0"/>
        <w:pageBreakBefore w:val="0"/>
        <w:widowControl w:val="0"/>
        <w:kinsoku/>
        <w:wordWrap/>
        <w:overflowPunct w:val="0"/>
        <w:topLinePunct/>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b w:val="0"/>
          <w:bCs w:val="0"/>
          <w:color w:val="000000" w:themeColor="text1"/>
          <w:kern w:val="2"/>
          <w:sz w:val="32"/>
          <w:szCs w:val="24"/>
          <w14:textFill>
            <w14:solidFill>
              <w14:schemeClr w14:val="tx1"/>
            </w14:solidFill>
          </w14:textFill>
        </w:rPr>
      </w:pPr>
      <w:r>
        <w:rPr>
          <w:rFonts w:hint="eastAsia" w:ascii="Times New Roman" w:hAnsi="Times New Roman" w:eastAsia="仿宋_GB2312"/>
          <w:b w:val="0"/>
          <w:bCs w:val="0"/>
          <w:color w:val="000000" w:themeColor="text1"/>
          <w:kern w:val="2"/>
          <w:sz w:val="32"/>
          <w:szCs w:val="24"/>
          <w14:textFill>
            <w14:solidFill>
              <w14:schemeClr w14:val="tx1"/>
            </w14:solidFill>
          </w14:textFill>
        </w:rPr>
        <w:t>2023</w:t>
      </w:r>
      <w:r>
        <w:rPr>
          <w:rFonts w:hint="eastAsia" w:ascii="仿宋_GB2312" w:hAnsi="仿宋_GB2312" w:eastAsia="仿宋_GB2312"/>
          <w:b w:val="0"/>
          <w:bCs w:val="0"/>
          <w:color w:val="000000" w:themeColor="text1"/>
          <w:kern w:val="2"/>
          <w:sz w:val="32"/>
          <w:szCs w:val="24"/>
          <w14:textFill>
            <w14:solidFill>
              <w14:schemeClr w14:val="tx1"/>
            </w14:solidFill>
          </w14:textFill>
        </w:rPr>
        <w:t>年度财政拨款收、支总计均为</w:t>
      </w:r>
      <w:r>
        <w:rPr>
          <w:rFonts w:hint="eastAsia" w:ascii="Times New Roman" w:hAnsi="Times New Roman" w:eastAsia="仿宋_GB2312"/>
          <w:b w:val="0"/>
          <w:bCs w:val="0"/>
          <w:color w:val="000000" w:themeColor="text1"/>
          <w:kern w:val="2"/>
          <w:sz w:val="32"/>
          <w:szCs w:val="24"/>
          <w14:textFill>
            <w14:solidFill>
              <w14:schemeClr w14:val="tx1"/>
            </w14:solidFill>
          </w14:textFill>
        </w:rPr>
        <w:t>223</w:t>
      </w:r>
      <w:r>
        <w:rPr>
          <w:rFonts w:hint="eastAsia" w:ascii="仿宋_GB2312" w:hAnsi="仿宋_GB2312" w:eastAsia="仿宋_GB2312"/>
          <w:b w:val="0"/>
          <w:bCs w:val="0"/>
          <w:color w:val="000000" w:themeColor="text1"/>
          <w:kern w:val="2"/>
          <w:sz w:val="32"/>
          <w:szCs w:val="24"/>
          <w14:textFill>
            <w14:solidFill>
              <w14:schemeClr w14:val="tx1"/>
            </w14:solidFill>
          </w14:textFill>
        </w:rPr>
        <w:t>.</w:t>
      </w:r>
      <w:r>
        <w:rPr>
          <w:rFonts w:hint="eastAsia" w:ascii="Times New Roman" w:hAnsi="Times New Roman" w:eastAsia="仿宋_GB2312"/>
          <w:b w:val="0"/>
          <w:bCs w:val="0"/>
          <w:color w:val="000000" w:themeColor="text1"/>
          <w:kern w:val="2"/>
          <w:sz w:val="32"/>
          <w:szCs w:val="24"/>
          <w14:textFill>
            <w14:solidFill>
              <w14:schemeClr w14:val="tx1"/>
            </w14:solidFill>
          </w14:textFill>
        </w:rPr>
        <w:t>06</w:t>
      </w:r>
      <w:r>
        <w:rPr>
          <w:rFonts w:hint="eastAsia" w:ascii="仿宋_GB2312" w:hAnsi="仿宋_GB2312" w:eastAsia="仿宋_GB2312"/>
          <w:b w:val="0"/>
          <w:bCs w:val="0"/>
          <w:color w:val="000000" w:themeColor="text1"/>
          <w:kern w:val="2"/>
          <w:sz w:val="32"/>
          <w:szCs w:val="24"/>
          <w14:textFill>
            <w14:solidFill>
              <w14:schemeClr w14:val="tx1"/>
            </w14:solidFill>
          </w14:textFill>
        </w:rPr>
        <w:t>万元。与</w:t>
      </w:r>
      <w:r>
        <w:rPr>
          <w:rFonts w:hint="eastAsia" w:ascii="Times New Roman" w:hAnsi="Times New Roman" w:eastAsia="仿宋_GB2312"/>
          <w:b w:val="0"/>
          <w:bCs w:val="0"/>
          <w:color w:val="000000" w:themeColor="text1"/>
          <w:kern w:val="2"/>
          <w:sz w:val="32"/>
          <w:szCs w:val="24"/>
          <w14:textFill>
            <w14:solidFill>
              <w14:schemeClr w14:val="tx1"/>
            </w14:solidFill>
          </w14:textFill>
        </w:rPr>
        <w:t>2022</w:t>
      </w:r>
      <w:r>
        <w:rPr>
          <w:rFonts w:hint="eastAsia" w:ascii="仿宋_GB2312" w:hAnsi="仿宋_GB2312" w:eastAsia="仿宋_GB2312"/>
          <w:b w:val="0"/>
          <w:bCs w:val="0"/>
          <w:color w:val="000000" w:themeColor="text1"/>
          <w:kern w:val="2"/>
          <w:sz w:val="32"/>
          <w:szCs w:val="24"/>
          <w14:textFill>
            <w14:solidFill>
              <w14:schemeClr w14:val="tx1"/>
            </w14:solidFill>
          </w14:textFill>
        </w:rPr>
        <w:t>年度相比，财政拨款收、支总计各增加</w:t>
      </w:r>
      <w:r>
        <w:rPr>
          <w:rFonts w:hint="eastAsia" w:ascii="Times New Roman" w:hAnsi="Times New Roman" w:eastAsia="仿宋_GB2312"/>
          <w:b w:val="0"/>
          <w:bCs w:val="0"/>
          <w:color w:val="000000" w:themeColor="text1"/>
          <w:kern w:val="2"/>
          <w:sz w:val="32"/>
          <w:szCs w:val="24"/>
          <w14:textFill>
            <w14:solidFill>
              <w14:schemeClr w14:val="tx1"/>
            </w14:solidFill>
          </w14:textFill>
        </w:rPr>
        <w:t>27</w:t>
      </w:r>
      <w:r>
        <w:rPr>
          <w:rFonts w:hint="eastAsia" w:ascii="仿宋_GB2312" w:hAnsi="仿宋_GB2312" w:eastAsia="仿宋_GB2312"/>
          <w:b w:val="0"/>
          <w:bCs w:val="0"/>
          <w:color w:val="000000" w:themeColor="text1"/>
          <w:kern w:val="2"/>
          <w:sz w:val="32"/>
          <w:szCs w:val="24"/>
          <w14:textFill>
            <w14:solidFill>
              <w14:schemeClr w14:val="tx1"/>
            </w14:solidFill>
          </w14:textFill>
        </w:rPr>
        <w:t>.</w:t>
      </w:r>
      <w:r>
        <w:rPr>
          <w:rFonts w:hint="eastAsia" w:ascii="Times New Roman" w:hAnsi="Times New Roman" w:eastAsia="仿宋_GB2312"/>
          <w:b w:val="0"/>
          <w:bCs w:val="0"/>
          <w:color w:val="000000" w:themeColor="text1"/>
          <w:kern w:val="2"/>
          <w:sz w:val="32"/>
          <w:szCs w:val="24"/>
          <w14:textFill>
            <w14:solidFill>
              <w14:schemeClr w14:val="tx1"/>
            </w14:solidFill>
          </w14:textFill>
        </w:rPr>
        <w:t>42</w:t>
      </w:r>
      <w:r>
        <w:rPr>
          <w:rFonts w:hint="eastAsia" w:ascii="仿宋_GB2312" w:hAnsi="仿宋_GB2312" w:eastAsia="仿宋_GB2312"/>
          <w:b w:val="0"/>
          <w:bCs w:val="0"/>
          <w:color w:val="000000" w:themeColor="text1"/>
          <w:kern w:val="2"/>
          <w:sz w:val="32"/>
          <w:szCs w:val="24"/>
          <w14:textFill>
            <w14:solidFill>
              <w14:schemeClr w14:val="tx1"/>
            </w14:solidFill>
          </w14:textFill>
        </w:rPr>
        <w:t>万元，增长</w:t>
      </w:r>
      <w:r>
        <w:rPr>
          <w:rFonts w:hint="eastAsia" w:ascii="Times New Roman" w:hAnsi="Times New Roman" w:eastAsia="仿宋_GB2312"/>
          <w:b w:val="0"/>
          <w:bCs w:val="0"/>
          <w:color w:val="000000" w:themeColor="text1"/>
          <w:kern w:val="2"/>
          <w:sz w:val="32"/>
          <w:szCs w:val="24"/>
          <w14:textFill>
            <w14:solidFill>
              <w14:schemeClr w14:val="tx1"/>
            </w14:solidFill>
          </w14:textFill>
        </w:rPr>
        <w:t>14</w:t>
      </w:r>
      <w:r>
        <w:rPr>
          <w:rFonts w:hint="eastAsia" w:ascii="仿宋_GB2312" w:hAnsi="仿宋_GB2312" w:eastAsia="仿宋_GB2312"/>
          <w:b w:val="0"/>
          <w:bCs w:val="0"/>
          <w:color w:val="000000" w:themeColor="text1"/>
          <w:kern w:val="2"/>
          <w:sz w:val="32"/>
          <w:szCs w:val="24"/>
          <w14:textFill>
            <w14:solidFill>
              <w14:schemeClr w14:val="tx1"/>
            </w14:solidFill>
          </w14:textFill>
        </w:rPr>
        <w:t>%。主要变动原因是人员调资变动。</w:t>
      </w:r>
    </w:p>
    <w:p w14:paraId="111A22F3">
      <w:pPr>
        <w:keepNext w:val="0"/>
        <w:keepLines w:val="0"/>
        <w:pageBreakBefore w:val="0"/>
        <w:widowControl w:val="0"/>
        <w:kinsoku/>
        <w:wordWrap/>
        <w:overflowPunct w:val="0"/>
        <w:topLinePunct/>
        <w:autoSpaceDE w:val="0"/>
        <w:autoSpaceDN w:val="0"/>
        <w:bidi w:val="0"/>
        <w:adjustRightInd w:val="0"/>
        <w:snapToGrid/>
        <w:spacing w:line="240" w:lineRule="auto"/>
        <w:ind w:left="496" w:leftChars="200" w:hanging="16" w:hangingChars="5"/>
        <w:jc w:val="both"/>
        <w:textAlignment w:val="auto"/>
        <w:rPr>
          <w:rFonts w:hint="eastAsia" w:ascii="黑体" w:hAnsi="黑体" w:eastAsia="黑体"/>
          <w:b w:val="0"/>
          <w:bCs w:val="0"/>
          <w:color w:val="000000" w:themeColor="text1"/>
          <w:kern w:val="2"/>
          <w:sz w:val="32"/>
          <w:szCs w:val="24"/>
          <w14:textFill>
            <w14:solidFill>
              <w14:schemeClr w14:val="tx1"/>
            </w14:solidFill>
          </w14:textFill>
        </w:rPr>
      </w:pPr>
      <w:r>
        <w:rPr>
          <w:rFonts w:hint="eastAsia" w:ascii="黑体" w:hAnsi="黑体" w:eastAsia="黑体"/>
          <w:b w:val="0"/>
          <w:bCs w:val="0"/>
          <w:color w:val="000000" w:themeColor="text1"/>
          <w:kern w:val="2"/>
          <w:sz w:val="32"/>
          <w:szCs w:val="24"/>
          <w14:textFill>
            <w14:solidFill>
              <w14:schemeClr w14:val="tx1"/>
            </w14:solidFill>
          </w14:textFill>
        </w:rPr>
        <w:drawing>
          <wp:inline distT="0" distB="0" distL="114300" distR="114300">
            <wp:extent cx="5386070" cy="3161665"/>
            <wp:effectExtent l="4445" t="4445" r="19685" b="15240"/>
            <wp:docPr id="7" name="图表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78F7714">
      <w:pPr>
        <w:keepNext w:val="0"/>
        <w:keepLines w:val="0"/>
        <w:pageBreakBefore w:val="0"/>
        <w:widowControl w:val="0"/>
        <w:kinsoku/>
        <w:wordWrap/>
        <w:overflowPunct w:val="0"/>
        <w:topLinePunct/>
        <w:autoSpaceDE w:val="0"/>
        <w:autoSpaceDN w:val="0"/>
        <w:bidi w:val="0"/>
        <w:adjustRightInd w:val="0"/>
        <w:snapToGrid/>
        <w:spacing w:line="240" w:lineRule="auto"/>
        <w:ind w:left="496" w:leftChars="200" w:hanging="16" w:hangingChars="5"/>
        <w:jc w:val="both"/>
        <w:textAlignment w:val="auto"/>
        <w:rPr>
          <w:rFonts w:hint="eastAsia" w:ascii="黑体" w:hAnsi="黑体" w:eastAsia="黑体"/>
          <w:b w:val="0"/>
          <w:bCs w:val="0"/>
          <w:color w:val="000000" w:themeColor="text1"/>
          <w:kern w:val="2"/>
          <w:sz w:val="32"/>
          <w:szCs w:val="24"/>
          <w14:textFill>
            <w14:solidFill>
              <w14:schemeClr w14:val="tx1"/>
            </w14:solidFill>
          </w14:textFill>
        </w:rPr>
      </w:pPr>
    </w:p>
    <w:p w14:paraId="5115ED14">
      <w:pPr>
        <w:keepNext w:val="0"/>
        <w:keepLines w:val="0"/>
        <w:pageBreakBefore w:val="0"/>
        <w:widowControl w:val="0"/>
        <w:kinsoku/>
        <w:wordWrap/>
        <w:overflowPunct w:val="0"/>
        <w:topLinePunct/>
        <w:autoSpaceDE w:val="0"/>
        <w:autoSpaceDN w:val="0"/>
        <w:bidi w:val="0"/>
        <w:adjustRightInd w:val="0"/>
        <w:snapToGrid/>
        <w:spacing w:line="600" w:lineRule="exact"/>
        <w:ind w:left="494" w:leftChars="206" w:firstLine="121" w:firstLineChars="38"/>
        <w:jc w:val="both"/>
        <w:textAlignment w:val="auto"/>
        <w:rPr>
          <w:rFonts w:hint="eastAsia" w:ascii="黑体" w:hAnsi="黑体" w:eastAsia="黑体"/>
          <w:b w:val="0"/>
          <w:bCs w:val="0"/>
          <w:color w:val="000000" w:themeColor="text1"/>
          <w:kern w:val="2"/>
          <w:sz w:val="32"/>
          <w:szCs w:val="24"/>
          <w14:textFill>
            <w14:solidFill>
              <w14:schemeClr w14:val="tx1"/>
            </w14:solidFill>
          </w14:textFill>
        </w:rPr>
      </w:pPr>
      <w:r>
        <w:rPr>
          <w:rFonts w:hint="eastAsia" w:ascii="黑体" w:hAnsi="黑体" w:eastAsia="黑体"/>
          <w:b w:val="0"/>
          <w:bCs w:val="0"/>
          <w:color w:val="000000" w:themeColor="text1"/>
          <w:kern w:val="2"/>
          <w:sz w:val="32"/>
          <w:szCs w:val="24"/>
          <w14:textFill>
            <w14:solidFill>
              <w14:schemeClr w14:val="tx1"/>
            </w14:solidFill>
          </w14:textFill>
        </w:rPr>
        <w:t>五、一般公共预算财政拨款支出决算情况说明</w:t>
      </w:r>
    </w:p>
    <w:p w14:paraId="16D75B28">
      <w:pPr>
        <w:keepNext w:val="0"/>
        <w:keepLines w:val="0"/>
        <w:pageBreakBefore w:val="0"/>
        <w:widowControl w:val="0"/>
        <w:kinsoku/>
        <w:wordWrap/>
        <w:overflowPunct w:val="0"/>
        <w:topLinePunct/>
        <w:autoSpaceDE w:val="0"/>
        <w:autoSpaceDN w:val="0"/>
        <w:bidi w:val="0"/>
        <w:adjustRightInd w:val="0"/>
        <w:snapToGrid/>
        <w:spacing w:line="600" w:lineRule="exact"/>
        <w:ind w:firstLine="640" w:firstLineChars="200"/>
        <w:jc w:val="both"/>
        <w:textAlignment w:val="auto"/>
        <w:rPr>
          <w:rFonts w:hint="eastAsia" w:ascii="楷体_GB2312" w:hAnsi="楷体_GB2312" w:eastAsia="楷体_GB2312" w:cs="楷体_GB2312"/>
          <w:b w:val="0"/>
          <w:bCs w:val="0"/>
          <w:color w:val="000000" w:themeColor="text1"/>
          <w:kern w:val="2"/>
          <w:sz w:val="32"/>
          <w:szCs w:val="24"/>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24"/>
          <w14:textFill>
            <w14:solidFill>
              <w14:schemeClr w14:val="tx1"/>
            </w14:solidFill>
          </w14:textFill>
        </w:rPr>
        <w:t>（一）一般公共预算财政拨款支出决算总体情况</w:t>
      </w:r>
    </w:p>
    <w:p w14:paraId="40137CE2">
      <w:pPr>
        <w:keepNext w:val="0"/>
        <w:keepLines w:val="0"/>
        <w:pageBreakBefore w:val="0"/>
        <w:widowControl w:val="0"/>
        <w:kinsoku/>
        <w:wordWrap/>
        <w:overflowPunct w:val="0"/>
        <w:topLinePunct/>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b w:val="0"/>
          <w:bCs w:val="0"/>
          <w:color w:val="000000" w:themeColor="text1"/>
          <w:kern w:val="2"/>
          <w:sz w:val="32"/>
          <w:szCs w:val="24"/>
          <w14:textFill>
            <w14:solidFill>
              <w14:schemeClr w14:val="tx1"/>
            </w14:solidFill>
          </w14:textFill>
        </w:rPr>
      </w:pPr>
      <w:r>
        <w:rPr>
          <w:rFonts w:hint="eastAsia" w:ascii="Times New Roman" w:hAnsi="Times New Roman" w:eastAsia="仿宋_GB2312"/>
          <w:b w:val="0"/>
          <w:bCs w:val="0"/>
          <w:color w:val="000000" w:themeColor="text1"/>
          <w:kern w:val="2"/>
          <w:sz w:val="32"/>
          <w:szCs w:val="24"/>
          <w14:textFill>
            <w14:solidFill>
              <w14:schemeClr w14:val="tx1"/>
            </w14:solidFill>
          </w14:textFill>
        </w:rPr>
        <w:t>2023</w:t>
      </w:r>
      <w:r>
        <w:rPr>
          <w:rFonts w:hint="eastAsia" w:ascii="仿宋_GB2312" w:hAnsi="仿宋_GB2312" w:eastAsia="仿宋_GB2312"/>
          <w:b w:val="0"/>
          <w:bCs w:val="0"/>
          <w:color w:val="000000" w:themeColor="text1"/>
          <w:kern w:val="2"/>
          <w:sz w:val="32"/>
          <w:szCs w:val="24"/>
          <w14:textFill>
            <w14:solidFill>
              <w14:schemeClr w14:val="tx1"/>
            </w14:solidFill>
          </w14:textFill>
        </w:rPr>
        <w:t>年度一般公共预算财政拨款支出</w:t>
      </w:r>
      <w:r>
        <w:rPr>
          <w:rFonts w:hint="eastAsia" w:ascii="Times New Roman" w:hAnsi="Times New Roman" w:eastAsia="仿宋_GB2312"/>
          <w:b w:val="0"/>
          <w:bCs w:val="0"/>
          <w:color w:val="000000" w:themeColor="text1"/>
          <w:kern w:val="2"/>
          <w:sz w:val="32"/>
          <w:szCs w:val="24"/>
          <w14:textFill>
            <w14:solidFill>
              <w14:schemeClr w14:val="tx1"/>
            </w14:solidFill>
          </w14:textFill>
        </w:rPr>
        <w:t>223</w:t>
      </w:r>
      <w:r>
        <w:rPr>
          <w:rFonts w:hint="eastAsia" w:ascii="仿宋_GB2312" w:hAnsi="仿宋_GB2312" w:eastAsia="仿宋_GB2312"/>
          <w:b w:val="0"/>
          <w:bCs w:val="0"/>
          <w:color w:val="000000" w:themeColor="text1"/>
          <w:kern w:val="2"/>
          <w:sz w:val="32"/>
          <w:szCs w:val="24"/>
          <w14:textFill>
            <w14:solidFill>
              <w14:schemeClr w14:val="tx1"/>
            </w14:solidFill>
          </w14:textFill>
        </w:rPr>
        <w:t>.</w:t>
      </w:r>
      <w:r>
        <w:rPr>
          <w:rFonts w:hint="eastAsia" w:ascii="Times New Roman" w:hAnsi="Times New Roman" w:eastAsia="仿宋_GB2312"/>
          <w:b w:val="0"/>
          <w:bCs w:val="0"/>
          <w:color w:val="000000" w:themeColor="text1"/>
          <w:kern w:val="2"/>
          <w:sz w:val="32"/>
          <w:szCs w:val="24"/>
          <w14:textFill>
            <w14:solidFill>
              <w14:schemeClr w14:val="tx1"/>
            </w14:solidFill>
          </w14:textFill>
        </w:rPr>
        <w:t>06</w:t>
      </w:r>
      <w:r>
        <w:rPr>
          <w:rFonts w:hint="eastAsia" w:ascii="仿宋_GB2312" w:hAnsi="仿宋_GB2312" w:eastAsia="仿宋_GB2312"/>
          <w:b w:val="0"/>
          <w:bCs w:val="0"/>
          <w:color w:val="000000" w:themeColor="text1"/>
          <w:kern w:val="2"/>
          <w:sz w:val="32"/>
          <w:szCs w:val="24"/>
          <w14:textFill>
            <w14:solidFill>
              <w14:schemeClr w14:val="tx1"/>
            </w14:solidFill>
          </w14:textFill>
        </w:rPr>
        <w:t>万元，占本年支出合计的</w:t>
      </w:r>
      <w:r>
        <w:rPr>
          <w:rFonts w:hint="eastAsia" w:ascii="Times New Roman" w:hAnsi="Times New Roman" w:eastAsia="仿宋_GB2312"/>
          <w:b w:val="0"/>
          <w:bCs w:val="0"/>
          <w:color w:val="000000" w:themeColor="text1"/>
          <w:kern w:val="2"/>
          <w:sz w:val="32"/>
          <w:szCs w:val="24"/>
          <w14:textFill>
            <w14:solidFill>
              <w14:schemeClr w14:val="tx1"/>
            </w14:solidFill>
          </w14:textFill>
        </w:rPr>
        <w:t>100</w:t>
      </w:r>
      <w:r>
        <w:rPr>
          <w:rFonts w:hint="eastAsia" w:ascii="仿宋_GB2312" w:hAnsi="仿宋_GB2312" w:eastAsia="仿宋_GB2312"/>
          <w:b w:val="0"/>
          <w:bCs w:val="0"/>
          <w:color w:val="000000" w:themeColor="text1"/>
          <w:kern w:val="2"/>
          <w:sz w:val="32"/>
          <w:szCs w:val="24"/>
          <w14:textFill>
            <w14:solidFill>
              <w14:schemeClr w14:val="tx1"/>
            </w14:solidFill>
          </w14:textFill>
        </w:rPr>
        <w:t>%。与</w:t>
      </w:r>
      <w:r>
        <w:rPr>
          <w:rFonts w:hint="eastAsia" w:ascii="Times New Roman" w:hAnsi="Times New Roman" w:eastAsia="仿宋_GB2312"/>
          <w:b w:val="0"/>
          <w:bCs w:val="0"/>
          <w:color w:val="000000" w:themeColor="text1"/>
          <w:kern w:val="2"/>
          <w:sz w:val="32"/>
          <w:szCs w:val="24"/>
          <w14:textFill>
            <w14:solidFill>
              <w14:schemeClr w14:val="tx1"/>
            </w14:solidFill>
          </w14:textFill>
        </w:rPr>
        <w:t>2022</w:t>
      </w:r>
      <w:r>
        <w:rPr>
          <w:rFonts w:hint="eastAsia" w:ascii="仿宋_GB2312" w:hAnsi="仿宋_GB2312" w:eastAsia="仿宋_GB2312"/>
          <w:b w:val="0"/>
          <w:bCs w:val="0"/>
          <w:color w:val="000000" w:themeColor="text1"/>
          <w:kern w:val="2"/>
          <w:sz w:val="32"/>
          <w:szCs w:val="24"/>
          <w14:textFill>
            <w14:solidFill>
              <w14:schemeClr w14:val="tx1"/>
            </w14:solidFill>
          </w14:textFill>
        </w:rPr>
        <w:t>年度相比，一般公共预算财政拨款支出增加</w:t>
      </w:r>
      <w:r>
        <w:rPr>
          <w:rFonts w:hint="eastAsia" w:ascii="Times New Roman" w:hAnsi="Times New Roman" w:eastAsia="仿宋_GB2312"/>
          <w:b w:val="0"/>
          <w:bCs w:val="0"/>
          <w:color w:val="000000" w:themeColor="text1"/>
          <w:kern w:val="2"/>
          <w:sz w:val="36"/>
          <w:szCs w:val="36"/>
          <w14:textFill>
            <w14:solidFill>
              <w14:schemeClr w14:val="tx1"/>
            </w14:solidFill>
          </w14:textFill>
        </w:rPr>
        <w:t>27</w:t>
      </w:r>
      <w:r>
        <w:rPr>
          <w:rFonts w:hint="eastAsia" w:ascii="仿宋_GB2312" w:hAnsi="仿宋_GB2312" w:eastAsia="仿宋_GB2312"/>
          <w:b w:val="0"/>
          <w:bCs w:val="0"/>
          <w:color w:val="000000" w:themeColor="text1"/>
          <w:kern w:val="2"/>
          <w:sz w:val="36"/>
          <w:szCs w:val="36"/>
          <w14:textFill>
            <w14:solidFill>
              <w14:schemeClr w14:val="tx1"/>
            </w14:solidFill>
          </w14:textFill>
        </w:rPr>
        <w:t>.</w:t>
      </w:r>
      <w:r>
        <w:rPr>
          <w:rFonts w:hint="eastAsia" w:ascii="Times New Roman" w:hAnsi="Times New Roman" w:eastAsia="仿宋_GB2312"/>
          <w:b w:val="0"/>
          <w:bCs w:val="0"/>
          <w:color w:val="000000" w:themeColor="text1"/>
          <w:kern w:val="2"/>
          <w:sz w:val="36"/>
          <w:szCs w:val="36"/>
          <w14:textFill>
            <w14:solidFill>
              <w14:schemeClr w14:val="tx1"/>
            </w14:solidFill>
          </w14:textFill>
        </w:rPr>
        <w:t>42</w:t>
      </w:r>
      <w:r>
        <w:rPr>
          <w:rFonts w:hint="eastAsia" w:ascii="仿宋_GB2312" w:hAnsi="仿宋_GB2312" w:eastAsia="仿宋_GB2312"/>
          <w:b w:val="0"/>
          <w:bCs w:val="0"/>
          <w:color w:val="000000" w:themeColor="text1"/>
          <w:kern w:val="2"/>
          <w:sz w:val="32"/>
          <w:szCs w:val="24"/>
          <w14:textFill>
            <w14:solidFill>
              <w14:schemeClr w14:val="tx1"/>
            </w14:solidFill>
          </w14:textFill>
        </w:rPr>
        <w:t>万元，增长</w:t>
      </w:r>
      <w:r>
        <w:rPr>
          <w:rFonts w:hint="eastAsia" w:ascii="Times New Roman" w:hAnsi="Times New Roman" w:eastAsia="仿宋_GB2312"/>
          <w:b w:val="0"/>
          <w:bCs w:val="0"/>
          <w:color w:val="000000" w:themeColor="text1"/>
          <w:kern w:val="2"/>
          <w:sz w:val="32"/>
          <w:szCs w:val="24"/>
          <w14:textFill>
            <w14:solidFill>
              <w14:schemeClr w14:val="tx1"/>
            </w14:solidFill>
          </w14:textFill>
        </w:rPr>
        <w:t>14</w:t>
      </w:r>
      <w:r>
        <w:rPr>
          <w:rFonts w:hint="eastAsia" w:ascii="仿宋_GB2312" w:hAnsi="仿宋_GB2312" w:eastAsia="仿宋_GB2312"/>
          <w:b w:val="0"/>
          <w:bCs w:val="0"/>
          <w:color w:val="000000" w:themeColor="text1"/>
          <w:kern w:val="2"/>
          <w:sz w:val="32"/>
          <w:szCs w:val="24"/>
          <w14:textFill>
            <w14:solidFill>
              <w14:schemeClr w14:val="tx1"/>
            </w14:solidFill>
          </w14:textFill>
        </w:rPr>
        <w:t>%。主要变动原因是人员调资变动。</w:t>
      </w:r>
    </w:p>
    <w:p w14:paraId="32EF26FE">
      <w:pPr>
        <w:keepNext w:val="0"/>
        <w:keepLines w:val="0"/>
        <w:pageBreakBefore w:val="0"/>
        <w:widowControl w:val="0"/>
        <w:kinsoku/>
        <w:wordWrap/>
        <w:overflowPunct w:val="0"/>
        <w:topLinePunct/>
        <w:autoSpaceDE w:val="0"/>
        <w:autoSpaceDN w:val="0"/>
        <w:bidi w:val="0"/>
        <w:adjustRightInd w:val="0"/>
        <w:snapToGrid/>
        <w:spacing w:line="240" w:lineRule="auto"/>
        <w:ind w:left="478" w:leftChars="199" w:firstLine="240" w:firstLineChars="75"/>
        <w:jc w:val="both"/>
        <w:textAlignment w:val="auto"/>
        <w:rPr>
          <w:rFonts w:hint="eastAsia" w:ascii="楷体_GB2312" w:hAnsi="楷体_GB2312" w:eastAsia="楷体_GB2312" w:cs="楷体_GB2312"/>
          <w:b w:val="0"/>
          <w:bCs w:val="0"/>
          <w:color w:val="000000" w:themeColor="text1"/>
          <w:kern w:val="2"/>
          <w:sz w:val="32"/>
          <w:szCs w:val="24"/>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24"/>
          <w14:textFill>
            <w14:solidFill>
              <w14:schemeClr w14:val="tx1"/>
            </w14:solidFill>
          </w14:textFill>
        </w:rPr>
        <w:drawing>
          <wp:inline distT="0" distB="0" distL="114300" distR="114300">
            <wp:extent cx="4707890" cy="2441575"/>
            <wp:effectExtent l="4445" t="4445" r="12065" b="11430"/>
            <wp:docPr id="8" name="图表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D6D1782">
      <w:pPr>
        <w:keepNext w:val="0"/>
        <w:keepLines w:val="0"/>
        <w:pageBreakBefore w:val="0"/>
        <w:widowControl w:val="0"/>
        <w:kinsoku/>
        <w:wordWrap/>
        <w:overflowPunct w:val="0"/>
        <w:topLinePunct/>
        <w:autoSpaceDE w:val="0"/>
        <w:autoSpaceDN w:val="0"/>
        <w:bidi w:val="0"/>
        <w:adjustRightInd w:val="0"/>
        <w:snapToGrid/>
        <w:spacing w:line="240" w:lineRule="auto"/>
        <w:ind w:left="478" w:leftChars="199" w:firstLine="240" w:firstLineChars="75"/>
        <w:jc w:val="both"/>
        <w:textAlignment w:val="auto"/>
        <w:rPr>
          <w:rFonts w:hint="eastAsia" w:ascii="楷体_GB2312" w:hAnsi="楷体_GB2312" w:eastAsia="楷体_GB2312" w:cs="楷体_GB2312"/>
          <w:b w:val="0"/>
          <w:bCs w:val="0"/>
          <w:color w:val="000000" w:themeColor="text1"/>
          <w:kern w:val="2"/>
          <w:sz w:val="32"/>
          <w:szCs w:val="24"/>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24"/>
          <w14:textFill>
            <w14:solidFill>
              <w14:schemeClr w14:val="tx1"/>
            </w14:solidFill>
          </w14:textFill>
        </w:rPr>
        <w:t>（二）一般公共预算财政拨款支出决算结构情况</w:t>
      </w:r>
    </w:p>
    <w:p w14:paraId="4F243499">
      <w:pPr>
        <w:keepNext w:val="0"/>
        <w:keepLines w:val="0"/>
        <w:pageBreakBefore w:val="0"/>
        <w:widowControl w:val="0"/>
        <w:kinsoku/>
        <w:wordWrap/>
        <w:overflowPunct w:val="0"/>
        <w:topLinePunct/>
        <w:bidi w:val="0"/>
        <w:snapToGrid/>
        <w:spacing w:line="576" w:lineRule="exact"/>
        <w:ind w:firstLine="640" w:firstLineChars="200"/>
        <w:jc w:val="both"/>
        <w:textAlignment w:val="auto"/>
        <w:rPr>
          <w:rFonts w:hint="eastAsia" w:ascii="仿宋_GB2312" w:hAnsi="仿宋_GB2312" w:eastAsia="仿宋_GB2312"/>
          <w:b w:val="0"/>
          <w:bCs w:val="0"/>
          <w:color w:val="000000" w:themeColor="text1"/>
          <w:kern w:val="2"/>
          <w:sz w:val="32"/>
          <w:szCs w:val="24"/>
          <w14:textFill>
            <w14:solidFill>
              <w14:schemeClr w14:val="tx1"/>
            </w14:solidFill>
          </w14:textFill>
        </w:rPr>
      </w:pPr>
      <w:r>
        <w:rPr>
          <w:rFonts w:hint="eastAsia" w:ascii="Times New Roman" w:hAnsi="Times New Roman" w:eastAsia="仿宋_GB2312"/>
          <w:b w:val="0"/>
          <w:bCs w:val="0"/>
          <w:color w:val="000000" w:themeColor="text1"/>
          <w:kern w:val="2"/>
          <w:sz w:val="32"/>
          <w:szCs w:val="24"/>
          <w14:textFill>
            <w14:solidFill>
              <w14:schemeClr w14:val="tx1"/>
            </w14:solidFill>
          </w14:textFill>
        </w:rPr>
        <w:t>2023</w:t>
      </w:r>
      <w:r>
        <w:rPr>
          <w:rFonts w:hint="eastAsia" w:ascii="仿宋_GB2312" w:hAnsi="仿宋_GB2312" w:eastAsia="仿宋_GB2312"/>
          <w:b w:val="0"/>
          <w:bCs w:val="0"/>
          <w:color w:val="000000" w:themeColor="text1"/>
          <w:kern w:val="2"/>
          <w:sz w:val="32"/>
          <w:szCs w:val="24"/>
          <w14:textFill>
            <w14:solidFill>
              <w14:schemeClr w14:val="tx1"/>
            </w14:solidFill>
          </w14:textFill>
        </w:rPr>
        <w:t>年度一般公共预算财政拨款支出</w:t>
      </w:r>
      <w:r>
        <w:rPr>
          <w:rFonts w:hint="eastAsia" w:ascii="Times New Roman" w:hAnsi="Times New Roman" w:eastAsia="仿宋_GB2312"/>
          <w:b w:val="0"/>
          <w:bCs w:val="0"/>
          <w:color w:val="000000" w:themeColor="text1"/>
          <w:kern w:val="2"/>
          <w:sz w:val="32"/>
          <w:szCs w:val="24"/>
          <w14:textFill>
            <w14:solidFill>
              <w14:schemeClr w14:val="tx1"/>
            </w14:solidFill>
          </w14:textFill>
        </w:rPr>
        <w:t>223</w:t>
      </w:r>
      <w:r>
        <w:rPr>
          <w:rFonts w:hint="eastAsia" w:ascii="仿宋_GB2312" w:hAnsi="仿宋_GB2312" w:eastAsia="仿宋_GB2312"/>
          <w:b w:val="0"/>
          <w:bCs w:val="0"/>
          <w:color w:val="000000" w:themeColor="text1"/>
          <w:kern w:val="2"/>
          <w:sz w:val="32"/>
          <w:szCs w:val="24"/>
          <w14:textFill>
            <w14:solidFill>
              <w14:schemeClr w14:val="tx1"/>
            </w14:solidFill>
          </w14:textFill>
        </w:rPr>
        <w:t>.</w:t>
      </w:r>
      <w:r>
        <w:rPr>
          <w:rFonts w:hint="eastAsia" w:ascii="Times New Roman" w:hAnsi="Times New Roman" w:eastAsia="仿宋_GB2312"/>
          <w:b w:val="0"/>
          <w:bCs w:val="0"/>
          <w:color w:val="000000" w:themeColor="text1"/>
          <w:kern w:val="2"/>
          <w:sz w:val="32"/>
          <w:szCs w:val="24"/>
          <w14:textFill>
            <w14:solidFill>
              <w14:schemeClr w14:val="tx1"/>
            </w14:solidFill>
          </w14:textFill>
        </w:rPr>
        <w:t>06</w:t>
      </w:r>
      <w:r>
        <w:rPr>
          <w:rFonts w:hint="eastAsia" w:ascii="仿宋_GB2312" w:hAnsi="仿宋_GB2312" w:eastAsia="仿宋_GB2312"/>
          <w:b w:val="0"/>
          <w:bCs w:val="0"/>
          <w:color w:val="000000" w:themeColor="text1"/>
          <w:kern w:val="2"/>
          <w:sz w:val="32"/>
          <w:szCs w:val="24"/>
          <w14:textFill>
            <w14:solidFill>
              <w14:schemeClr w14:val="tx1"/>
            </w14:solidFill>
          </w14:textFill>
        </w:rPr>
        <w:t>万元，主要用于以下方面</w:t>
      </w:r>
      <w:r>
        <w:rPr>
          <w:rFonts w:hint="eastAsia" w:ascii="仿宋_GB2312" w:hAnsi="仿宋_GB2312" w:eastAsia="仿宋_GB2312"/>
          <w:b w:val="0"/>
          <w:bCs w:val="0"/>
          <w:color w:val="000000" w:themeColor="text1"/>
          <w:kern w:val="2"/>
          <w:sz w:val="32"/>
          <w:szCs w:val="24"/>
          <w:lang w:eastAsia="zh-CN"/>
          <w14:textFill>
            <w14:solidFill>
              <w14:schemeClr w14:val="tx1"/>
            </w14:solidFill>
          </w14:textFill>
        </w:rPr>
        <w:t>：</w:t>
      </w:r>
      <w:r>
        <w:rPr>
          <w:rFonts w:hint="eastAsia" w:ascii="仿宋_GB2312" w:hAnsi="仿宋_GB2312" w:eastAsia="仿宋_GB2312"/>
          <w:b w:val="0"/>
          <w:bCs w:val="0"/>
          <w:color w:val="000000" w:themeColor="text1"/>
          <w:kern w:val="2"/>
          <w:sz w:val="32"/>
          <w:szCs w:val="24"/>
          <w14:textFill>
            <w14:solidFill>
              <w14:schemeClr w14:val="tx1"/>
            </w14:solidFill>
          </w14:textFill>
        </w:rPr>
        <w:t>一般公共服务支出</w:t>
      </w:r>
      <w:r>
        <w:rPr>
          <w:rFonts w:hint="eastAsia" w:ascii="Times New Roman" w:hAnsi="Times New Roman" w:eastAsia="仿宋_GB2312"/>
          <w:b w:val="0"/>
          <w:bCs w:val="0"/>
          <w:color w:val="000000" w:themeColor="text1"/>
          <w:kern w:val="2"/>
          <w:sz w:val="32"/>
          <w:szCs w:val="24"/>
          <w14:textFill>
            <w14:solidFill>
              <w14:schemeClr w14:val="tx1"/>
            </w14:solidFill>
          </w14:textFill>
        </w:rPr>
        <w:t>195</w:t>
      </w:r>
      <w:r>
        <w:rPr>
          <w:rFonts w:hint="eastAsia" w:ascii="仿宋_GB2312" w:hAnsi="仿宋_GB2312" w:eastAsia="仿宋_GB2312"/>
          <w:b w:val="0"/>
          <w:bCs w:val="0"/>
          <w:color w:val="000000" w:themeColor="text1"/>
          <w:kern w:val="2"/>
          <w:sz w:val="32"/>
          <w:szCs w:val="24"/>
          <w14:textFill>
            <w14:solidFill>
              <w14:schemeClr w14:val="tx1"/>
            </w14:solidFill>
          </w14:textFill>
        </w:rPr>
        <w:t>.</w:t>
      </w:r>
      <w:r>
        <w:rPr>
          <w:rFonts w:hint="eastAsia" w:ascii="Times New Roman" w:hAnsi="Times New Roman" w:eastAsia="仿宋_GB2312"/>
          <w:b w:val="0"/>
          <w:bCs w:val="0"/>
          <w:color w:val="000000" w:themeColor="text1"/>
          <w:kern w:val="2"/>
          <w:sz w:val="32"/>
          <w:szCs w:val="24"/>
          <w14:textFill>
            <w14:solidFill>
              <w14:schemeClr w14:val="tx1"/>
            </w14:solidFill>
          </w14:textFill>
        </w:rPr>
        <w:t>31</w:t>
      </w:r>
      <w:r>
        <w:rPr>
          <w:rFonts w:hint="eastAsia" w:ascii="仿宋_GB2312" w:hAnsi="仿宋_GB2312" w:eastAsia="仿宋_GB2312"/>
          <w:b w:val="0"/>
          <w:bCs w:val="0"/>
          <w:color w:val="000000" w:themeColor="text1"/>
          <w:kern w:val="2"/>
          <w:sz w:val="32"/>
          <w:szCs w:val="24"/>
          <w14:textFill>
            <w14:solidFill>
              <w14:schemeClr w14:val="tx1"/>
            </w14:solidFill>
          </w14:textFill>
        </w:rPr>
        <w:t>万元，占</w:t>
      </w:r>
      <w:r>
        <w:rPr>
          <w:rFonts w:hint="eastAsia" w:ascii="Times New Roman" w:hAnsi="Times New Roman" w:eastAsia="仿宋_GB2312"/>
          <w:b w:val="0"/>
          <w:bCs w:val="0"/>
          <w:color w:val="000000" w:themeColor="text1"/>
          <w:kern w:val="2"/>
          <w:sz w:val="32"/>
          <w:szCs w:val="24"/>
          <w14:textFill>
            <w14:solidFill>
              <w14:schemeClr w14:val="tx1"/>
            </w14:solidFill>
          </w14:textFill>
        </w:rPr>
        <w:t>87</w:t>
      </w:r>
      <w:r>
        <w:rPr>
          <w:rFonts w:hint="eastAsia" w:ascii="仿宋_GB2312" w:hAnsi="仿宋_GB2312" w:eastAsia="仿宋_GB2312"/>
          <w:b w:val="0"/>
          <w:bCs w:val="0"/>
          <w:color w:val="000000" w:themeColor="text1"/>
          <w:kern w:val="2"/>
          <w:sz w:val="32"/>
          <w:szCs w:val="24"/>
          <w14:textFill>
            <w14:solidFill>
              <w14:schemeClr w14:val="tx1"/>
            </w14:solidFill>
          </w14:textFill>
        </w:rPr>
        <w:t>.</w:t>
      </w:r>
      <w:r>
        <w:rPr>
          <w:rFonts w:hint="eastAsia" w:ascii="Times New Roman" w:hAnsi="Times New Roman" w:eastAsia="仿宋_GB2312"/>
          <w:b w:val="0"/>
          <w:bCs w:val="0"/>
          <w:color w:val="000000" w:themeColor="text1"/>
          <w:kern w:val="2"/>
          <w:sz w:val="32"/>
          <w:szCs w:val="24"/>
          <w14:textFill>
            <w14:solidFill>
              <w14:schemeClr w14:val="tx1"/>
            </w14:solidFill>
          </w14:textFill>
        </w:rPr>
        <w:t>6</w:t>
      </w:r>
      <w:r>
        <w:rPr>
          <w:rFonts w:hint="eastAsia" w:ascii="仿宋_GB2312" w:hAnsi="仿宋_GB2312" w:eastAsia="仿宋_GB2312"/>
          <w:b w:val="0"/>
          <w:bCs w:val="0"/>
          <w:color w:val="000000" w:themeColor="text1"/>
          <w:kern w:val="2"/>
          <w:sz w:val="32"/>
          <w:szCs w:val="24"/>
          <w14:textFill>
            <w14:solidFill>
              <w14:schemeClr w14:val="tx1"/>
            </w14:solidFill>
          </w14:textFill>
        </w:rPr>
        <w:t>%；社会保障和就业支出</w:t>
      </w:r>
      <w:r>
        <w:rPr>
          <w:rFonts w:hint="eastAsia" w:ascii="Times New Roman" w:hAnsi="Times New Roman" w:eastAsia="仿宋_GB2312"/>
          <w:b w:val="0"/>
          <w:bCs w:val="0"/>
          <w:color w:val="000000" w:themeColor="text1"/>
          <w:kern w:val="2"/>
          <w:sz w:val="32"/>
          <w:szCs w:val="24"/>
          <w14:textFill>
            <w14:solidFill>
              <w14:schemeClr w14:val="tx1"/>
            </w14:solidFill>
          </w14:textFill>
        </w:rPr>
        <w:t>13</w:t>
      </w:r>
      <w:r>
        <w:rPr>
          <w:rFonts w:hint="eastAsia" w:ascii="仿宋_GB2312" w:hAnsi="仿宋_GB2312" w:eastAsia="仿宋_GB2312"/>
          <w:b w:val="0"/>
          <w:bCs w:val="0"/>
          <w:color w:val="000000" w:themeColor="text1"/>
          <w:kern w:val="2"/>
          <w:sz w:val="32"/>
          <w:szCs w:val="24"/>
          <w14:textFill>
            <w14:solidFill>
              <w14:schemeClr w14:val="tx1"/>
            </w14:solidFill>
          </w14:textFill>
        </w:rPr>
        <w:t>.</w:t>
      </w:r>
      <w:r>
        <w:rPr>
          <w:rFonts w:hint="eastAsia" w:ascii="Times New Roman" w:hAnsi="Times New Roman" w:eastAsia="仿宋_GB2312"/>
          <w:b w:val="0"/>
          <w:bCs w:val="0"/>
          <w:color w:val="000000" w:themeColor="text1"/>
          <w:kern w:val="2"/>
          <w:sz w:val="32"/>
          <w:szCs w:val="24"/>
          <w14:textFill>
            <w14:solidFill>
              <w14:schemeClr w14:val="tx1"/>
            </w14:solidFill>
          </w14:textFill>
        </w:rPr>
        <w:t>12</w:t>
      </w:r>
      <w:r>
        <w:rPr>
          <w:rFonts w:hint="eastAsia" w:ascii="仿宋_GB2312" w:hAnsi="仿宋_GB2312" w:eastAsia="仿宋_GB2312"/>
          <w:b w:val="0"/>
          <w:bCs w:val="0"/>
          <w:color w:val="000000" w:themeColor="text1"/>
          <w:kern w:val="2"/>
          <w:sz w:val="32"/>
          <w:szCs w:val="24"/>
          <w14:textFill>
            <w14:solidFill>
              <w14:schemeClr w14:val="tx1"/>
            </w14:solidFill>
          </w14:textFill>
        </w:rPr>
        <w:t>万元，占</w:t>
      </w:r>
      <w:r>
        <w:rPr>
          <w:rFonts w:hint="eastAsia" w:ascii="Times New Roman" w:hAnsi="Times New Roman" w:eastAsia="仿宋_GB2312"/>
          <w:b w:val="0"/>
          <w:bCs w:val="0"/>
          <w:color w:val="000000" w:themeColor="text1"/>
          <w:kern w:val="2"/>
          <w:sz w:val="32"/>
          <w:szCs w:val="24"/>
          <w14:textFill>
            <w14:solidFill>
              <w14:schemeClr w14:val="tx1"/>
            </w14:solidFill>
          </w14:textFill>
        </w:rPr>
        <w:t>5</w:t>
      </w:r>
      <w:r>
        <w:rPr>
          <w:rFonts w:hint="eastAsia" w:ascii="仿宋_GB2312" w:hAnsi="仿宋_GB2312" w:eastAsia="仿宋_GB2312"/>
          <w:b w:val="0"/>
          <w:bCs w:val="0"/>
          <w:color w:val="000000" w:themeColor="text1"/>
          <w:kern w:val="2"/>
          <w:sz w:val="32"/>
          <w:szCs w:val="24"/>
          <w14:textFill>
            <w14:solidFill>
              <w14:schemeClr w14:val="tx1"/>
            </w14:solidFill>
          </w14:textFill>
        </w:rPr>
        <w:t>.</w:t>
      </w:r>
      <w:r>
        <w:rPr>
          <w:rFonts w:hint="eastAsia" w:ascii="Times New Roman" w:hAnsi="Times New Roman" w:eastAsia="仿宋_GB2312"/>
          <w:b w:val="0"/>
          <w:bCs w:val="0"/>
          <w:color w:val="000000" w:themeColor="text1"/>
          <w:kern w:val="2"/>
          <w:sz w:val="32"/>
          <w:szCs w:val="24"/>
          <w14:textFill>
            <w14:solidFill>
              <w14:schemeClr w14:val="tx1"/>
            </w14:solidFill>
          </w14:textFill>
        </w:rPr>
        <w:t>9</w:t>
      </w:r>
      <w:r>
        <w:rPr>
          <w:rFonts w:hint="eastAsia" w:ascii="仿宋_GB2312" w:hAnsi="仿宋_GB2312" w:eastAsia="仿宋_GB2312"/>
          <w:b w:val="0"/>
          <w:bCs w:val="0"/>
          <w:color w:val="000000" w:themeColor="text1"/>
          <w:kern w:val="2"/>
          <w:sz w:val="32"/>
          <w:szCs w:val="24"/>
          <w14:textFill>
            <w14:solidFill>
              <w14:schemeClr w14:val="tx1"/>
            </w14:solidFill>
          </w14:textFill>
        </w:rPr>
        <w:t>%；卫生健康支出</w:t>
      </w:r>
      <w:r>
        <w:rPr>
          <w:rFonts w:hint="eastAsia" w:ascii="Times New Roman" w:hAnsi="Times New Roman" w:eastAsia="仿宋_GB2312"/>
          <w:b w:val="0"/>
          <w:bCs w:val="0"/>
          <w:color w:val="000000" w:themeColor="text1"/>
          <w:kern w:val="2"/>
          <w:sz w:val="32"/>
          <w:szCs w:val="24"/>
          <w14:textFill>
            <w14:solidFill>
              <w14:schemeClr w14:val="tx1"/>
            </w14:solidFill>
          </w14:textFill>
        </w:rPr>
        <w:t>4</w:t>
      </w:r>
      <w:r>
        <w:rPr>
          <w:rFonts w:hint="eastAsia" w:ascii="仿宋_GB2312" w:hAnsi="仿宋_GB2312" w:eastAsia="仿宋_GB2312"/>
          <w:b w:val="0"/>
          <w:bCs w:val="0"/>
          <w:color w:val="000000" w:themeColor="text1"/>
          <w:kern w:val="2"/>
          <w:sz w:val="32"/>
          <w:szCs w:val="24"/>
          <w14:textFill>
            <w14:solidFill>
              <w14:schemeClr w14:val="tx1"/>
            </w14:solidFill>
          </w14:textFill>
        </w:rPr>
        <w:t>.</w:t>
      </w:r>
      <w:r>
        <w:rPr>
          <w:rFonts w:hint="eastAsia" w:ascii="Times New Roman" w:hAnsi="Times New Roman" w:eastAsia="仿宋_GB2312"/>
          <w:b w:val="0"/>
          <w:bCs w:val="0"/>
          <w:color w:val="000000" w:themeColor="text1"/>
          <w:kern w:val="2"/>
          <w:sz w:val="32"/>
          <w:szCs w:val="24"/>
          <w14:textFill>
            <w14:solidFill>
              <w14:schemeClr w14:val="tx1"/>
            </w14:solidFill>
          </w14:textFill>
        </w:rPr>
        <w:t>78</w:t>
      </w:r>
      <w:r>
        <w:rPr>
          <w:rFonts w:hint="eastAsia" w:ascii="仿宋_GB2312" w:hAnsi="仿宋_GB2312" w:eastAsia="仿宋_GB2312"/>
          <w:b w:val="0"/>
          <w:bCs w:val="0"/>
          <w:color w:val="000000" w:themeColor="text1"/>
          <w:kern w:val="2"/>
          <w:sz w:val="32"/>
          <w:szCs w:val="24"/>
          <w14:textFill>
            <w14:solidFill>
              <w14:schemeClr w14:val="tx1"/>
            </w14:solidFill>
          </w14:textFill>
        </w:rPr>
        <w:t>万元，占</w:t>
      </w:r>
      <w:r>
        <w:rPr>
          <w:rFonts w:hint="eastAsia" w:ascii="Times New Roman" w:hAnsi="Times New Roman" w:eastAsia="仿宋_GB2312"/>
          <w:b w:val="0"/>
          <w:bCs w:val="0"/>
          <w:color w:val="000000" w:themeColor="text1"/>
          <w:kern w:val="2"/>
          <w:sz w:val="32"/>
          <w:szCs w:val="24"/>
          <w14:textFill>
            <w14:solidFill>
              <w14:schemeClr w14:val="tx1"/>
            </w14:solidFill>
          </w14:textFill>
        </w:rPr>
        <w:t>2</w:t>
      </w:r>
      <w:r>
        <w:rPr>
          <w:rFonts w:hint="eastAsia" w:ascii="仿宋_GB2312" w:hAnsi="仿宋_GB2312" w:eastAsia="仿宋_GB2312"/>
          <w:b w:val="0"/>
          <w:bCs w:val="0"/>
          <w:color w:val="000000" w:themeColor="text1"/>
          <w:kern w:val="2"/>
          <w:sz w:val="32"/>
          <w:szCs w:val="24"/>
          <w14:textFill>
            <w14:solidFill>
              <w14:schemeClr w14:val="tx1"/>
            </w14:solidFill>
          </w14:textFill>
        </w:rPr>
        <w:t>.</w:t>
      </w:r>
      <w:r>
        <w:rPr>
          <w:rFonts w:hint="eastAsia" w:ascii="Times New Roman" w:hAnsi="Times New Roman" w:eastAsia="仿宋_GB2312"/>
          <w:b w:val="0"/>
          <w:bCs w:val="0"/>
          <w:color w:val="000000" w:themeColor="text1"/>
          <w:kern w:val="2"/>
          <w:sz w:val="32"/>
          <w:szCs w:val="24"/>
          <w14:textFill>
            <w14:solidFill>
              <w14:schemeClr w14:val="tx1"/>
            </w14:solidFill>
          </w14:textFill>
        </w:rPr>
        <w:t>1</w:t>
      </w:r>
      <w:r>
        <w:rPr>
          <w:rFonts w:hint="eastAsia" w:ascii="仿宋_GB2312" w:hAnsi="仿宋_GB2312" w:eastAsia="仿宋_GB2312"/>
          <w:b w:val="0"/>
          <w:bCs w:val="0"/>
          <w:color w:val="000000" w:themeColor="text1"/>
          <w:kern w:val="2"/>
          <w:sz w:val="32"/>
          <w:szCs w:val="24"/>
          <w14:textFill>
            <w14:solidFill>
              <w14:schemeClr w14:val="tx1"/>
            </w14:solidFill>
          </w14:textFill>
        </w:rPr>
        <w:t>%；住房保障支出</w:t>
      </w:r>
      <w:r>
        <w:rPr>
          <w:rFonts w:hint="eastAsia" w:ascii="Times New Roman" w:hAnsi="Times New Roman" w:eastAsia="仿宋_GB2312"/>
          <w:b w:val="0"/>
          <w:bCs w:val="0"/>
          <w:color w:val="000000" w:themeColor="text1"/>
          <w:kern w:val="2"/>
          <w:sz w:val="32"/>
          <w:szCs w:val="24"/>
          <w14:textFill>
            <w14:solidFill>
              <w14:schemeClr w14:val="tx1"/>
            </w14:solidFill>
          </w14:textFill>
        </w:rPr>
        <w:t>9</w:t>
      </w:r>
      <w:r>
        <w:rPr>
          <w:rFonts w:hint="eastAsia" w:ascii="仿宋_GB2312" w:hAnsi="仿宋_GB2312" w:eastAsia="仿宋_GB2312"/>
          <w:b w:val="0"/>
          <w:bCs w:val="0"/>
          <w:color w:val="000000" w:themeColor="text1"/>
          <w:kern w:val="2"/>
          <w:sz w:val="32"/>
          <w:szCs w:val="24"/>
          <w14:textFill>
            <w14:solidFill>
              <w14:schemeClr w14:val="tx1"/>
            </w14:solidFill>
          </w14:textFill>
        </w:rPr>
        <w:t>.</w:t>
      </w:r>
      <w:r>
        <w:rPr>
          <w:rFonts w:hint="eastAsia" w:ascii="Times New Roman" w:hAnsi="Times New Roman" w:eastAsia="仿宋_GB2312"/>
          <w:b w:val="0"/>
          <w:bCs w:val="0"/>
          <w:color w:val="000000" w:themeColor="text1"/>
          <w:kern w:val="2"/>
          <w:sz w:val="32"/>
          <w:szCs w:val="24"/>
          <w14:textFill>
            <w14:solidFill>
              <w14:schemeClr w14:val="tx1"/>
            </w14:solidFill>
          </w14:textFill>
        </w:rPr>
        <w:t>84</w:t>
      </w:r>
      <w:r>
        <w:rPr>
          <w:rFonts w:hint="eastAsia" w:ascii="仿宋_GB2312" w:hAnsi="仿宋_GB2312" w:eastAsia="仿宋_GB2312"/>
          <w:b w:val="0"/>
          <w:bCs w:val="0"/>
          <w:color w:val="000000" w:themeColor="text1"/>
          <w:kern w:val="2"/>
          <w:sz w:val="32"/>
          <w:szCs w:val="24"/>
          <w14:textFill>
            <w14:solidFill>
              <w14:schemeClr w14:val="tx1"/>
            </w14:solidFill>
          </w14:textFill>
        </w:rPr>
        <w:t>万元，占</w:t>
      </w:r>
      <w:r>
        <w:rPr>
          <w:rFonts w:hint="eastAsia" w:ascii="Times New Roman" w:hAnsi="Times New Roman" w:eastAsia="仿宋_GB2312"/>
          <w:b w:val="0"/>
          <w:bCs w:val="0"/>
          <w:color w:val="000000" w:themeColor="text1"/>
          <w:kern w:val="2"/>
          <w:sz w:val="32"/>
          <w:szCs w:val="24"/>
          <w14:textFill>
            <w14:solidFill>
              <w14:schemeClr w14:val="tx1"/>
            </w14:solidFill>
          </w14:textFill>
        </w:rPr>
        <w:t>4</w:t>
      </w:r>
      <w:r>
        <w:rPr>
          <w:rFonts w:hint="eastAsia" w:ascii="仿宋_GB2312" w:hAnsi="仿宋_GB2312" w:eastAsia="仿宋_GB2312"/>
          <w:b w:val="0"/>
          <w:bCs w:val="0"/>
          <w:color w:val="000000" w:themeColor="text1"/>
          <w:kern w:val="2"/>
          <w:sz w:val="32"/>
          <w:szCs w:val="24"/>
          <w14:textFill>
            <w14:solidFill>
              <w14:schemeClr w14:val="tx1"/>
            </w14:solidFill>
          </w14:textFill>
        </w:rPr>
        <w:t>.</w:t>
      </w:r>
      <w:r>
        <w:rPr>
          <w:rFonts w:hint="eastAsia" w:ascii="Times New Roman" w:hAnsi="Times New Roman" w:eastAsia="仿宋_GB2312"/>
          <w:b w:val="0"/>
          <w:bCs w:val="0"/>
          <w:color w:val="000000" w:themeColor="text1"/>
          <w:kern w:val="2"/>
          <w:sz w:val="32"/>
          <w:szCs w:val="24"/>
          <w14:textFill>
            <w14:solidFill>
              <w14:schemeClr w14:val="tx1"/>
            </w14:solidFill>
          </w14:textFill>
        </w:rPr>
        <w:t>4</w:t>
      </w:r>
      <w:r>
        <w:rPr>
          <w:rFonts w:hint="eastAsia" w:ascii="仿宋_GB2312" w:hAnsi="仿宋_GB2312" w:eastAsia="仿宋_GB2312"/>
          <w:b w:val="0"/>
          <w:bCs w:val="0"/>
          <w:color w:val="000000" w:themeColor="text1"/>
          <w:kern w:val="2"/>
          <w:sz w:val="32"/>
          <w:szCs w:val="24"/>
          <w14:textFill>
            <w14:solidFill>
              <w14:schemeClr w14:val="tx1"/>
            </w14:solidFill>
          </w14:textFill>
        </w:rPr>
        <w:t>%。</w:t>
      </w:r>
    </w:p>
    <w:p w14:paraId="5BF2293E">
      <w:pPr>
        <w:keepNext w:val="0"/>
        <w:keepLines w:val="0"/>
        <w:pageBreakBefore w:val="0"/>
        <w:widowControl w:val="0"/>
        <w:kinsoku/>
        <w:wordWrap/>
        <w:overflowPunct w:val="0"/>
        <w:topLinePunct/>
        <w:autoSpaceDE w:val="0"/>
        <w:autoSpaceDN w:val="0"/>
        <w:bidi w:val="0"/>
        <w:adjustRightInd w:val="0"/>
        <w:snapToGrid/>
        <w:spacing w:line="240" w:lineRule="auto"/>
        <w:ind w:left="0" w:leftChars="0" w:firstLine="720" w:firstLineChars="225"/>
        <w:jc w:val="both"/>
        <w:textAlignment w:val="auto"/>
        <w:rPr>
          <w:rFonts w:hint="eastAsia" w:ascii="楷体_GB2312" w:hAnsi="楷体_GB2312" w:eastAsia="楷体_GB2312" w:cs="楷体_GB2312"/>
          <w:b w:val="0"/>
          <w:bCs w:val="0"/>
          <w:color w:val="000000" w:themeColor="text1"/>
          <w:kern w:val="2"/>
          <w:sz w:val="32"/>
          <w:szCs w:val="24"/>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24"/>
          <w14:textFill>
            <w14:solidFill>
              <w14:schemeClr w14:val="tx1"/>
            </w14:solidFill>
          </w14:textFill>
        </w:rPr>
        <w:drawing>
          <wp:inline distT="0" distB="0" distL="114300" distR="114300">
            <wp:extent cx="4651375" cy="2426335"/>
            <wp:effectExtent l="4445" t="4445" r="11430" b="7620"/>
            <wp:docPr id="9" name="图表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8B273B4">
      <w:pPr>
        <w:keepNext w:val="0"/>
        <w:keepLines w:val="0"/>
        <w:pageBreakBefore w:val="0"/>
        <w:widowControl w:val="0"/>
        <w:kinsoku/>
        <w:wordWrap/>
        <w:overflowPunct w:val="0"/>
        <w:topLinePunct/>
        <w:autoSpaceDE w:val="0"/>
        <w:autoSpaceDN w:val="0"/>
        <w:bidi w:val="0"/>
        <w:adjustRightInd w:val="0"/>
        <w:snapToGrid/>
        <w:spacing w:line="240" w:lineRule="auto"/>
        <w:ind w:firstLine="640" w:firstLineChars="200"/>
        <w:jc w:val="both"/>
        <w:textAlignment w:val="auto"/>
        <w:rPr>
          <w:rFonts w:hint="eastAsia" w:ascii="楷体_GB2312" w:hAnsi="楷体_GB2312" w:eastAsia="楷体_GB2312" w:cs="楷体_GB2312"/>
          <w:b w:val="0"/>
          <w:bCs w:val="0"/>
          <w:color w:val="000000" w:themeColor="text1"/>
          <w:kern w:val="2"/>
          <w:sz w:val="32"/>
          <w:szCs w:val="24"/>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24"/>
          <w14:textFill>
            <w14:solidFill>
              <w14:schemeClr w14:val="tx1"/>
            </w14:solidFill>
          </w14:textFill>
        </w:rPr>
        <w:t>（三）一般公共预算财政拨款支出决算具体情况</w:t>
      </w:r>
    </w:p>
    <w:p w14:paraId="4EC2C37C">
      <w:pPr>
        <w:keepNext w:val="0"/>
        <w:keepLines w:val="0"/>
        <w:pageBreakBefore w:val="0"/>
        <w:widowControl w:val="0"/>
        <w:kinsoku/>
        <w:wordWrap/>
        <w:overflowPunct w:val="0"/>
        <w:topLinePunct/>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b w:val="0"/>
          <w:bCs w:val="0"/>
          <w:color w:val="000000" w:themeColor="text1"/>
          <w:kern w:val="2"/>
          <w:sz w:val="32"/>
          <w:szCs w:val="24"/>
          <w14:textFill>
            <w14:solidFill>
              <w14:schemeClr w14:val="tx1"/>
            </w14:solidFill>
          </w14:textFill>
        </w:rPr>
      </w:pPr>
      <w:r>
        <w:rPr>
          <w:rFonts w:hint="eastAsia" w:ascii="Times New Roman" w:hAnsi="Times New Roman" w:eastAsia="仿宋_GB2312"/>
          <w:b w:val="0"/>
          <w:bCs w:val="0"/>
          <w:color w:val="000000" w:themeColor="text1"/>
          <w:kern w:val="2"/>
          <w:sz w:val="32"/>
          <w:szCs w:val="24"/>
          <w14:textFill>
            <w14:solidFill>
              <w14:schemeClr w14:val="tx1"/>
            </w14:solidFill>
          </w14:textFill>
        </w:rPr>
        <w:t>2023</w:t>
      </w:r>
      <w:r>
        <w:rPr>
          <w:rFonts w:hint="eastAsia" w:ascii="仿宋_GB2312" w:hAnsi="仿宋_GB2312" w:eastAsia="仿宋_GB2312"/>
          <w:b w:val="0"/>
          <w:bCs w:val="0"/>
          <w:color w:val="000000" w:themeColor="text1"/>
          <w:kern w:val="2"/>
          <w:sz w:val="32"/>
          <w:szCs w:val="24"/>
          <w14:textFill>
            <w14:solidFill>
              <w14:schemeClr w14:val="tx1"/>
            </w14:solidFill>
          </w14:textFill>
        </w:rPr>
        <w:t>年度一般公共预算支出全年预算数为</w:t>
      </w:r>
      <w:r>
        <w:rPr>
          <w:rFonts w:hint="eastAsia" w:ascii="Times New Roman" w:hAnsi="Times New Roman" w:eastAsia="仿宋_GB2312"/>
          <w:b w:val="0"/>
          <w:bCs w:val="0"/>
          <w:color w:val="000000" w:themeColor="text1"/>
          <w:kern w:val="2"/>
          <w:sz w:val="32"/>
          <w:szCs w:val="24"/>
          <w14:textFill>
            <w14:solidFill>
              <w14:schemeClr w14:val="tx1"/>
            </w14:solidFill>
          </w14:textFill>
        </w:rPr>
        <w:t>223</w:t>
      </w:r>
      <w:r>
        <w:rPr>
          <w:rFonts w:hint="eastAsia" w:ascii="仿宋_GB2312" w:hAnsi="仿宋_GB2312" w:eastAsia="仿宋_GB2312"/>
          <w:b w:val="0"/>
          <w:bCs w:val="0"/>
          <w:color w:val="000000" w:themeColor="text1"/>
          <w:kern w:val="2"/>
          <w:sz w:val="32"/>
          <w:szCs w:val="24"/>
          <w14:textFill>
            <w14:solidFill>
              <w14:schemeClr w14:val="tx1"/>
            </w14:solidFill>
          </w14:textFill>
        </w:rPr>
        <w:t>.</w:t>
      </w:r>
      <w:r>
        <w:rPr>
          <w:rFonts w:hint="eastAsia" w:ascii="Times New Roman" w:hAnsi="Times New Roman" w:eastAsia="仿宋_GB2312"/>
          <w:b w:val="0"/>
          <w:bCs w:val="0"/>
          <w:color w:val="000000" w:themeColor="text1"/>
          <w:kern w:val="2"/>
          <w:sz w:val="32"/>
          <w:szCs w:val="24"/>
          <w14:textFill>
            <w14:solidFill>
              <w14:schemeClr w14:val="tx1"/>
            </w14:solidFill>
          </w14:textFill>
        </w:rPr>
        <w:t>06</w:t>
      </w:r>
      <w:r>
        <w:rPr>
          <w:rFonts w:hint="eastAsia" w:ascii="仿宋_GB2312" w:hAnsi="仿宋_GB2312" w:eastAsia="仿宋_GB2312"/>
          <w:b w:val="0"/>
          <w:bCs w:val="0"/>
          <w:color w:val="000000" w:themeColor="text1"/>
          <w:kern w:val="2"/>
          <w:sz w:val="32"/>
          <w:szCs w:val="24"/>
          <w14:textFill>
            <w14:solidFill>
              <w14:schemeClr w14:val="tx1"/>
            </w14:solidFill>
          </w14:textFill>
        </w:rPr>
        <w:t>万元，支出决算数为</w:t>
      </w:r>
      <w:r>
        <w:rPr>
          <w:rFonts w:hint="eastAsia" w:ascii="Times New Roman" w:hAnsi="Times New Roman" w:eastAsia="仿宋_GB2312"/>
          <w:b w:val="0"/>
          <w:bCs w:val="0"/>
          <w:color w:val="000000" w:themeColor="text1"/>
          <w:kern w:val="2"/>
          <w:sz w:val="32"/>
          <w:szCs w:val="24"/>
          <w14:textFill>
            <w14:solidFill>
              <w14:schemeClr w14:val="tx1"/>
            </w14:solidFill>
          </w14:textFill>
        </w:rPr>
        <w:t>223</w:t>
      </w:r>
      <w:r>
        <w:rPr>
          <w:rFonts w:hint="eastAsia" w:ascii="仿宋_GB2312" w:hAnsi="仿宋_GB2312" w:eastAsia="仿宋_GB2312"/>
          <w:b w:val="0"/>
          <w:bCs w:val="0"/>
          <w:color w:val="000000" w:themeColor="text1"/>
          <w:kern w:val="2"/>
          <w:sz w:val="32"/>
          <w:szCs w:val="24"/>
          <w14:textFill>
            <w14:solidFill>
              <w14:schemeClr w14:val="tx1"/>
            </w14:solidFill>
          </w14:textFill>
        </w:rPr>
        <w:t>.</w:t>
      </w:r>
      <w:r>
        <w:rPr>
          <w:rFonts w:hint="eastAsia" w:ascii="Times New Roman" w:hAnsi="Times New Roman" w:eastAsia="仿宋_GB2312"/>
          <w:b w:val="0"/>
          <w:bCs w:val="0"/>
          <w:color w:val="000000" w:themeColor="text1"/>
          <w:kern w:val="2"/>
          <w:sz w:val="32"/>
          <w:szCs w:val="24"/>
          <w14:textFill>
            <w14:solidFill>
              <w14:schemeClr w14:val="tx1"/>
            </w14:solidFill>
          </w14:textFill>
        </w:rPr>
        <w:t>06</w:t>
      </w:r>
      <w:r>
        <w:rPr>
          <w:rFonts w:hint="eastAsia" w:ascii="仿宋_GB2312" w:hAnsi="仿宋_GB2312" w:eastAsia="仿宋_GB2312"/>
          <w:b w:val="0"/>
          <w:bCs w:val="0"/>
          <w:color w:val="000000" w:themeColor="text1"/>
          <w:kern w:val="2"/>
          <w:sz w:val="32"/>
          <w:szCs w:val="24"/>
          <w14:textFill>
            <w14:solidFill>
              <w14:schemeClr w14:val="tx1"/>
            </w14:solidFill>
          </w14:textFill>
        </w:rPr>
        <w:t>万元，完成全年预算数的</w:t>
      </w:r>
      <w:r>
        <w:rPr>
          <w:rFonts w:hint="eastAsia" w:ascii="Times New Roman" w:hAnsi="Times New Roman" w:eastAsia="仿宋_GB2312"/>
          <w:b w:val="0"/>
          <w:bCs w:val="0"/>
          <w:color w:val="000000" w:themeColor="text1"/>
          <w:kern w:val="2"/>
          <w:sz w:val="32"/>
          <w:szCs w:val="24"/>
          <w14:textFill>
            <w14:solidFill>
              <w14:schemeClr w14:val="tx1"/>
            </w14:solidFill>
          </w14:textFill>
        </w:rPr>
        <w:t>100</w:t>
      </w:r>
      <w:r>
        <w:rPr>
          <w:rFonts w:hint="eastAsia" w:ascii="仿宋_GB2312" w:hAnsi="仿宋_GB2312" w:eastAsia="仿宋_GB2312"/>
          <w:b w:val="0"/>
          <w:bCs w:val="0"/>
          <w:color w:val="000000" w:themeColor="text1"/>
          <w:kern w:val="2"/>
          <w:sz w:val="32"/>
          <w:szCs w:val="24"/>
          <w14:textFill>
            <w14:solidFill>
              <w14:schemeClr w14:val="tx1"/>
            </w14:solidFill>
          </w14:textFill>
        </w:rPr>
        <w:t>%。其中：</w:t>
      </w:r>
    </w:p>
    <w:p w14:paraId="5BEA3FC6">
      <w:pPr>
        <w:keepNext w:val="0"/>
        <w:keepLines w:val="0"/>
        <w:pageBreakBefore w:val="0"/>
        <w:widowControl w:val="0"/>
        <w:kinsoku/>
        <w:wordWrap/>
        <w:overflowPunct w:val="0"/>
        <w:topLinePunct/>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b w:val="0"/>
          <w:bCs w:val="0"/>
          <w:color w:val="000000" w:themeColor="text1"/>
          <w:kern w:val="2"/>
          <w:sz w:val="32"/>
          <w:szCs w:val="24"/>
          <w14:textFill>
            <w14:solidFill>
              <w14:schemeClr w14:val="tx1"/>
            </w14:solidFill>
          </w14:textFill>
        </w:rPr>
      </w:pPr>
      <w:r>
        <w:rPr>
          <w:rFonts w:hint="eastAsia" w:ascii="Times New Roman" w:hAnsi="Times New Roman" w:eastAsia="仿宋_GB2312"/>
          <w:b w:val="0"/>
          <w:bCs w:val="0"/>
          <w:color w:val="000000" w:themeColor="text1"/>
          <w:kern w:val="2"/>
          <w:sz w:val="32"/>
          <w:szCs w:val="24"/>
          <w14:textFill>
            <w14:solidFill>
              <w14:schemeClr w14:val="tx1"/>
            </w14:solidFill>
          </w14:textFill>
        </w:rPr>
        <w:t>1</w:t>
      </w:r>
      <w:r>
        <w:rPr>
          <w:rStyle w:val="12"/>
          <w:rFonts w:hint="eastAsia" w:ascii="仿宋_GB2312" w:hAnsi="仿宋_GB2312" w:eastAsia="仿宋_GB2312" w:cs="仿宋_GB2312"/>
          <w:b w:val="0"/>
          <w:bCs w:val="0"/>
          <w:color w:val="000000" w:themeColor="text1"/>
          <w:sz w:val="32"/>
          <w:szCs w:val="32"/>
          <w14:textFill>
            <w14:solidFill>
              <w14:schemeClr w14:val="tx1"/>
            </w14:solidFill>
          </w14:textFill>
        </w:rPr>
        <w:t>.一般公共服务（类）政府办公厅（室）及相关机构事务（款）行政运行（项）</w:t>
      </w:r>
      <w:r>
        <w:rPr>
          <w:rFonts w:hint="eastAsia" w:ascii="仿宋_GB2312" w:hAnsi="仿宋_GB2312" w:eastAsia="仿宋_GB2312"/>
          <w:b w:val="0"/>
          <w:bCs w:val="0"/>
          <w:color w:val="000000" w:themeColor="text1"/>
          <w:kern w:val="2"/>
          <w:sz w:val="32"/>
          <w:szCs w:val="24"/>
          <w:lang w:eastAsia="zh-CN"/>
          <w14:textFill>
            <w14:solidFill>
              <w14:schemeClr w14:val="tx1"/>
            </w14:solidFill>
          </w14:textFill>
        </w:rPr>
        <w:t>：</w:t>
      </w:r>
      <w:r>
        <w:rPr>
          <w:rFonts w:hint="eastAsia" w:ascii="仿宋_GB2312" w:hAnsi="仿宋_GB2312" w:eastAsia="仿宋_GB2312"/>
          <w:b w:val="0"/>
          <w:bCs w:val="0"/>
          <w:color w:val="000000" w:themeColor="text1"/>
          <w:kern w:val="2"/>
          <w:sz w:val="32"/>
          <w:szCs w:val="24"/>
          <w14:textFill>
            <w14:solidFill>
              <w14:schemeClr w14:val="tx1"/>
            </w14:solidFill>
          </w14:textFill>
        </w:rPr>
        <w:t>全年预算为</w:t>
      </w:r>
      <w:r>
        <w:rPr>
          <w:rFonts w:hint="eastAsia" w:ascii="Times New Roman" w:hAnsi="Times New Roman" w:eastAsia="仿宋_GB2312"/>
          <w:b w:val="0"/>
          <w:bCs w:val="0"/>
          <w:color w:val="000000" w:themeColor="text1"/>
          <w:kern w:val="2"/>
          <w:sz w:val="32"/>
          <w:szCs w:val="24"/>
          <w14:textFill>
            <w14:solidFill>
              <w14:schemeClr w14:val="tx1"/>
            </w14:solidFill>
          </w14:textFill>
        </w:rPr>
        <w:t>195</w:t>
      </w:r>
      <w:r>
        <w:rPr>
          <w:rFonts w:hint="eastAsia" w:ascii="仿宋_GB2312" w:hAnsi="仿宋_GB2312" w:eastAsia="仿宋_GB2312"/>
          <w:b w:val="0"/>
          <w:bCs w:val="0"/>
          <w:color w:val="000000" w:themeColor="text1"/>
          <w:kern w:val="2"/>
          <w:sz w:val="32"/>
          <w:szCs w:val="24"/>
          <w14:textFill>
            <w14:solidFill>
              <w14:schemeClr w14:val="tx1"/>
            </w14:solidFill>
          </w14:textFill>
        </w:rPr>
        <w:t>.</w:t>
      </w:r>
      <w:r>
        <w:rPr>
          <w:rFonts w:hint="eastAsia" w:ascii="Times New Roman" w:hAnsi="Times New Roman" w:eastAsia="仿宋_GB2312"/>
          <w:b w:val="0"/>
          <w:bCs w:val="0"/>
          <w:color w:val="000000" w:themeColor="text1"/>
          <w:kern w:val="2"/>
          <w:sz w:val="32"/>
          <w:szCs w:val="24"/>
          <w14:textFill>
            <w14:solidFill>
              <w14:schemeClr w14:val="tx1"/>
            </w14:solidFill>
          </w14:textFill>
        </w:rPr>
        <w:t>31</w:t>
      </w:r>
      <w:r>
        <w:rPr>
          <w:rFonts w:hint="eastAsia" w:ascii="仿宋_GB2312" w:hAnsi="仿宋_GB2312" w:eastAsia="仿宋_GB2312"/>
          <w:b w:val="0"/>
          <w:bCs w:val="0"/>
          <w:color w:val="000000" w:themeColor="text1"/>
          <w:kern w:val="2"/>
          <w:sz w:val="32"/>
          <w:szCs w:val="24"/>
          <w14:textFill>
            <w14:solidFill>
              <w14:schemeClr w14:val="tx1"/>
            </w14:solidFill>
          </w14:textFill>
        </w:rPr>
        <w:t>万元，支出决算为</w:t>
      </w:r>
      <w:r>
        <w:rPr>
          <w:rFonts w:hint="eastAsia" w:ascii="Times New Roman" w:hAnsi="Times New Roman" w:eastAsia="仿宋_GB2312"/>
          <w:b w:val="0"/>
          <w:bCs w:val="0"/>
          <w:color w:val="000000" w:themeColor="text1"/>
          <w:kern w:val="2"/>
          <w:sz w:val="32"/>
          <w:szCs w:val="24"/>
          <w14:textFill>
            <w14:solidFill>
              <w14:schemeClr w14:val="tx1"/>
            </w14:solidFill>
          </w14:textFill>
        </w:rPr>
        <w:t>195</w:t>
      </w:r>
      <w:r>
        <w:rPr>
          <w:rFonts w:hint="eastAsia" w:ascii="仿宋_GB2312" w:hAnsi="仿宋_GB2312" w:eastAsia="仿宋_GB2312"/>
          <w:b w:val="0"/>
          <w:bCs w:val="0"/>
          <w:color w:val="000000" w:themeColor="text1"/>
          <w:kern w:val="2"/>
          <w:sz w:val="32"/>
          <w:szCs w:val="24"/>
          <w14:textFill>
            <w14:solidFill>
              <w14:schemeClr w14:val="tx1"/>
            </w14:solidFill>
          </w14:textFill>
        </w:rPr>
        <w:t>.</w:t>
      </w:r>
      <w:r>
        <w:rPr>
          <w:rFonts w:hint="eastAsia" w:ascii="Times New Roman" w:hAnsi="Times New Roman" w:eastAsia="仿宋_GB2312"/>
          <w:b w:val="0"/>
          <w:bCs w:val="0"/>
          <w:color w:val="000000" w:themeColor="text1"/>
          <w:kern w:val="2"/>
          <w:sz w:val="32"/>
          <w:szCs w:val="24"/>
          <w14:textFill>
            <w14:solidFill>
              <w14:schemeClr w14:val="tx1"/>
            </w14:solidFill>
          </w14:textFill>
        </w:rPr>
        <w:t>31</w:t>
      </w:r>
      <w:r>
        <w:rPr>
          <w:rFonts w:hint="eastAsia" w:ascii="仿宋_GB2312" w:hAnsi="仿宋_GB2312" w:eastAsia="仿宋_GB2312"/>
          <w:b w:val="0"/>
          <w:bCs w:val="0"/>
          <w:color w:val="000000" w:themeColor="text1"/>
          <w:kern w:val="2"/>
          <w:sz w:val="32"/>
          <w:szCs w:val="24"/>
          <w14:textFill>
            <w14:solidFill>
              <w14:schemeClr w14:val="tx1"/>
            </w14:solidFill>
          </w14:textFill>
        </w:rPr>
        <w:t>万元，完成全年预算的</w:t>
      </w:r>
      <w:r>
        <w:rPr>
          <w:rFonts w:hint="eastAsia" w:ascii="Times New Roman" w:hAnsi="Times New Roman" w:eastAsia="仿宋_GB2312"/>
          <w:b w:val="0"/>
          <w:bCs w:val="0"/>
          <w:color w:val="000000" w:themeColor="text1"/>
          <w:kern w:val="2"/>
          <w:sz w:val="32"/>
          <w:szCs w:val="24"/>
          <w14:textFill>
            <w14:solidFill>
              <w14:schemeClr w14:val="tx1"/>
            </w14:solidFill>
          </w14:textFill>
        </w:rPr>
        <w:t>100</w:t>
      </w:r>
      <w:r>
        <w:rPr>
          <w:rFonts w:hint="eastAsia" w:ascii="仿宋_GB2312" w:hAnsi="仿宋_GB2312" w:eastAsia="仿宋_GB2312"/>
          <w:b w:val="0"/>
          <w:bCs w:val="0"/>
          <w:color w:val="000000" w:themeColor="text1"/>
          <w:kern w:val="2"/>
          <w:sz w:val="32"/>
          <w:szCs w:val="24"/>
          <w14:textFill>
            <w14:solidFill>
              <w14:schemeClr w14:val="tx1"/>
            </w14:solidFill>
          </w14:textFill>
        </w:rPr>
        <w:t>%。决算数等于全年预算数。</w:t>
      </w:r>
    </w:p>
    <w:p w14:paraId="10BC1037">
      <w:pPr>
        <w:keepNext w:val="0"/>
        <w:keepLines w:val="0"/>
        <w:pageBreakBefore w:val="0"/>
        <w:widowControl w:val="0"/>
        <w:kinsoku/>
        <w:wordWrap/>
        <w:overflowPunct w:val="0"/>
        <w:topLinePunct/>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b w:val="0"/>
          <w:bCs w:val="0"/>
          <w:color w:val="000000" w:themeColor="text1"/>
          <w:kern w:val="2"/>
          <w:sz w:val="32"/>
          <w:szCs w:val="24"/>
          <w14:textFill>
            <w14:solidFill>
              <w14:schemeClr w14:val="tx1"/>
            </w14:solidFill>
          </w14:textFill>
        </w:rPr>
      </w:pPr>
      <w:r>
        <w:rPr>
          <w:rStyle w:val="12"/>
          <w:rFonts w:hint="eastAsia" w:ascii="Times New Roman" w:hAnsi="Times New Roman" w:eastAsia="仿宋_GB2312" w:cs="仿宋_GB2312"/>
          <w:b w:val="0"/>
          <w:bCs w:val="0"/>
          <w:color w:val="000000" w:themeColor="text1"/>
          <w:sz w:val="32"/>
          <w:szCs w:val="32"/>
          <w14:textFill>
            <w14:solidFill>
              <w14:schemeClr w14:val="tx1"/>
            </w14:solidFill>
          </w14:textFill>
        </w:rPr>
        <w:t>2</w:t>
      </w:r>
      <w:r>
        <w:rPr>
          <w:rStyle w:val="12"/>
          <w:rFonts w:hint="eastAsia" w:ascii="仿宋_GB2312" w:hAnsi="仿宋_GB2312" w:eastAsia="仿宋_GB2312" w:cs="仿宋_GB2312"/>
          <w:b w:val="0"/>
          <w:bCs w:val="0"/>
          <w:color w:val="000000" w:themeColor="text1"/>
          <w:sz w:val="32"/>
          <w:szCs w:val="32"/>
          <w14:textFill>
            <w14:solidFill>
              <w14:schemeClr w14:val="tx1"/>
            </w14:solidFill>
          </w14:textFill>
        </w:rPr>
        <w:t>.社会保障和就业（类）社会保障和就业支出（款）行政事业单位离退休（项）机关事业单位基本养老保险缴费支出</w:t>
      </w:r>
      <w:r>
        <w:rPr>
          <w:rFonts w:hint="eastAsia" w:ascii="仿宋_GB2312" w:hAnsi="仿宋_GB2312" w:eastAsia="仿宋_GB2312"/>
          <w:b w:val="0"/>
          <w:bCs w:val="0"/>
          <w:color w:val="000000" w:themeColor="text1"/>
          <w:kern w:val="2"/>
          <w:sz w:val="32"/>
          <w:szCs w:val="24"/>
          <w:lang w:eastAsia="zh-CN"/>
          <w14:textFill>
            <w14:solidFill>
              <w14:schemeClr w14:val="tx1"/>
            </w14:solidFill>
          </w14:textFill>
        </w:rPr>
        <w:t>：</w:t>
      </w:r>
      <w:r>
        <w:rPr>
          <w:rFonts w:hint="eastAsia" w:ascii="仿宋_GB2312" w:hAnsi="仿宋_GB2312" w:eastAsia="仿宋_GB2312"/>
          <w:b w:val="0"/>
          <w:bCs w:val="0"/>
          <w:color w:val="000000" w:themeColor="text1"/>
          <w:kern w:val="2"/>
          <w:sz w:val="32"/>
          <w:szCs w:val="24"/>
          <w14:textFill>
            <w14:solidFill>
              <w14:schemeClr w14:val="tx1"/>
            </w14:solidFill>
          </w14:textFill>
        </w:rPr>
        <w:t>全年预算为</w:t>
      </w:r>
      <w:r>
        <w:rPr>
          <w:rFonts w:hint="eastAsia" w:ascii="Times New Roman" w:hAnsi="Times New Roman" w:eastAsia="仿宋_GB2312"/>
          <w:b w:val="0"/>
          <w:bCs w:val="0"/>
          <w:color w:val="000000" w:themeColor="text1"/>
          <w:kern w:val="2"/>
          <w:sz w:val="32"/>
          <w:szCs w:val="24"/>
          <w14:textFill>
            <w14:solidFill>
              <w14:schemeClr w14:val="tx1"/>
            </w14:solidFill>
          </w14:textFill>
        </w:rPr>
        <w:t>13</w:t>
      </w:r>
      <w:r>
        <w:rPr>
          <w:rFonts w:hint="eastAsia" w:ascii="仿宋_GB2312" w:hAnsi="仿宋_GB2312" w:eastAsia="仿宋_GB2312"/>
          <w:b w:val="0"/>
          <w:bCs w:val="0"/>
          <w:color w:val="000000" w:themeColor="text1"/>
          <w:kern w:val="2"/>
          <w:sz w:val="32"/>
          <w:szCs w:val="24"/>
          <w14:textFill>
            <w14:solidFill>
              <w14:schemeClr w14:val="tx1"/>
            </w14:solidFill>
          </w14:textFill>
        </w:rPr>
        <w:t>.</w:t>
      </w:r>
      <w:r>
        <w:rPr>
          <w:rFonts w:hint="eastAsia" w:ascii="Times New Roman" w:hAnsi="Times New Roman" w:eastAsia="仿宋_GB2312"/>
          <w:b w:val="0"/>
          <w:bCs w:val="0"/>
          <w:color w:val="000000" w:themeColor="text1"/>
          <w:kern w:val="2"/>
          <w:sz w:val="32"/>
          <w:szCs w:val="24"/>
          <w14:textFill>
            <w14:solidFill>
              <w14:schemeClr w14:val="tx1"/>
            </w14:solidFill>
          </w14:textFill>
        </w:rPr>
        <w:t>12</w:t>
      </w:r>
      <w:r>
        <w:rPr>
          <w:rFonts w:hint="eastAsia" w:ascii="仿宋_GB2312" w:hAnsi="仿宋_GB2312" w:eastAsia="仿宋_GB2312"/>
          <w:b w:val="0"/>
          <w:bCs w:val="0"/>
          <w:color w:val="000000" w:themeColor="text1"/>
          <w:kern w:val="2"/>
          <w:sz w:val="32"/>
          <w:szCs w:val="24"/>
          <w14:textFill>
            <w14:solidFill>
              <w14:schemeClr w14:val="tx1"/>
            </w14:solidFill>
          </w14:textFill>
        </w:rPr>
        <w:t>万元，支出决算为</w:t>
      </w:r>
      <w:r>
        <w:rPr>
          <w:rFonts w:hint="eastAsia" w:ascii="Times New Roman" w:hAnsi="Times New Roman" w:eastAsia="仿宋_GB2312"/>
          <w:b w:val="0"/>
          <w:bCs w:val="0"/>
          <w:color w:val="000000" w:themeColor="text1"/>
          <w:kern w:val="2"/>
          <w:sz w:val="32"/>
          <w:szCs w:val="24"/>
          <w14:textFill>
            <w14:solidFill>
              <w14:schemeClr w14:val="tx1"/>
            </w14:solidFill>
          </w14:textFill>
        </w:rPr>
        <w:t>13</w:t>
      </w:r>
      <w:r>
        <w:rPr>
          <w:rFonts w:hint="eastAsia" w:ascii="仿宋_GB2312" w:hAnsi="仿宋_GB2312" w:eastAsia="仿宋_GB2312"/>
          <w:b w:val="0"/>
          <w:bCs w:val="0"/>
          <w:color w:val="000000" w:themeColor="text1"/>
          <w:kern w:val="2"/>
          <w:sz w:val="32"/>
          <w:szCs w:val="24"/>
          <w14:textFill>
            <w14:solidFill>
              <w14:schemeClr w14:val="tx1"/>
            </w14:solidFill>
          </w14:textFill>
        </w:rPr>
        <w:t>.</w:t>
      </w:r>
      <w:r>
        <w:rPr>
          <w:rFonts w:hint="eastAsia" w:ascii="Times New Roman" w:hAnsi="Times New Roman" w:eastAsia="仿宋_GB2312"/>
          <w:b w:val="0"/>
          <w:bCs w:val="0"/>
          <w:color w:val="000000" w:themeColor="text1"/>
          <w:kern w:val="2"/>
          <w:sz w:val="32"/>
          <w:szCs w:val="24"/>
          <w14:textFill>
            <w14:solidFill>
              <w14:schemeClr w14:val="tx1"/>
            </w14:solidFill>
          </w14:textFill>
        </w:rPr>
        <w:t>12</w:t>
      </w:r>
      <w:r>
        <w:rPr>
          <w:rFonts w:hint="eastAsia" w:ascii="仿宋_GB2312" w:hAnsi="仿宋_GB2312" w:eastAsia="仿宋_GB2312"/>
          <w:b w:val="0"/>
          <w:bCs w:val="0"/>
          <w:color w:val="000000" w:themeColor="text1"/>
          <w:kern w:val="2"/>
          <w:sz w:val="32"/>
          <w:szCs w:val="24"/>
          <w14:textFill>
            <w14:solidFill>
              <w14:schemeClr w14:val="tx1"/>
            </w14:solidFill>
          </w14:textFill>
        </w:rPr>
        <w:t>万元，完成全年预算的</w:t>
      </w:r>
      <w:r>
        <w:rPr>
          <w:rFonts w:hint="eastAsia" w:ascii="Times New Roman" w:hAnsi="Times New Roman" w:eastAsia="仿宋_GB2312"/>
          <w:b w:val="0"/>
          <w:bCs w:val="0"/>
          <w:color w:val="000000" w:themeColor="text1"/>
          <w:kern w:val="2"/>
          <w:sz w:val="32"/>
          <w:szCs w:val="24"/>
          <w14:textFill>
            <w14:solidFill>
              <w14:schemeClr w14:val="tx1"/>
            </w14:solidFill>
          </w14:textFill>
        </w:rPr>
        <w:t>100</w:t>
      </w:r>
      <w:r>
        <w:rPr>
          <w:rFonts w:hint="eastAsia" w:ascii="仿宋_GB2312" w:hAnsi="仿宋_GB2312" w:eastAsia="仿宋_GB2312"/>
          <w:b w:val="0"/>
          <w:bCs w:val="0"/>
          <w:color w:val="000000" w:themeColor="text1"/>
          <w:kern w:val="2"/>
          <w:sz w:val="32"/>
          <w:szCs w:val="24"/>
          <w14:textFill>
            <w14:solidFill>
              <w14:schemeClr w14:val="tx1"/>
            </w14:solidFill>
          </w14:textFill>
        </w:rPr>
        <w:t>%。决算数等于全年预算数。</w:t>
      </w:r>
    </w:p>
    <w:p w14:paraId="2B5B97A3">
      <w:pPr>
        <w:keepNext w:val="0"/>
        <w:keepLines w:val="0"/>
        <w:pageBreakBefore w:val="0"/>
        <w:widowControl w:val="0"/>
        <w:kinsoku/>
        <w:wordWrap/>
        <w:overflowPunct w:val="0"/>
        <w:topLinePunct/>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b w:val="0"/>
          <w:bCs w:val="0"/>
          <w:color w:val="000000" w:themeColor="text1"/>
          <w:kern w:val="2"/>
          <w:sz w:val="32"/>
          <w:szCs w:val="24"/>
          <w14:textFill>
            <w14:solidFill>
              <w14:schemeClr w14:val="tx1"/>
            </w14:solidFill>
          </w14:textFill>
        </w:rPr>
      </w:pPr>
      <w:r>
        <w:rPr>
          <w:rStyle w:val="12"/>
          <w:rFonts w:hint="eastAsia" w:ascii="Times New Roman" w:hAnsi="Times New Roman" w:eastAsia="仿宋_GB2312" w:cs="仿宋_GB2312"/>
          <w:b w:val="0"/>
          <w:bCs w:val="0"/>
          <w:color w:val="000000" w:themeColor="text1"/>
          <w:sz w:val="32"/>
          <w:szCs w:val="32"/>
          <w14:textFill>
            <w14:solidFill>
              <w14:schemeClr w14:val="tx1"/>
            </w14:solidFill>
          </w14:textFill>
        </w:rPr>
        <w:t>3</w:t>
      </w:r>
      <w:r>
        <w:rPr>
          <w:rStyle w:val="12"/>
          <w:rFonts w:hint="eastAsia" w:ascii="仿宋_GB2312" w:hAnsi="仿宋_GB2312" w:eastAsia="仿宋_GB2312" w:cs="仿宋_GB2312"/>
          <w:b w:val="0"/>
          <w:bCs w:val="0"/>
          <w:color w:val="000000" w:themeColor="text1"/>
          <w:sz w:val="32"/>
          <w:szCs w:val="32"/>
          <w14:textFill>
            <w14:solidFill>
              <w14:schemeClr w14:val="tx1"/>
            </w14:solidFill>
          </w14:textFill>
        </w:rPr>
        <w:t>.医疗卫生与计划生育（类）医疗卫生与计划生育支出（款）行政事业单位医疗（项）行政单位医疗：</w:t>
      </w:r>
      <w:r>
        <w:rPr>
          <w:rFonts w:hint="eastAsia" w:ascii="仿宋_GB2312" w:hAnsi="仿宋_GB2312" w:eastAsia="仿宋_GB2312"/>
          <w:b w:val="0"/>
          <w:bCs w:val="0"/>
          <w:color w:val="000000" w:themeColor="text1"/>
          <w:kern w:val="2"/>
          <w:sz w:val="32"/>
          <w:szCs w:val="24"/>
          <w14:textFill>
            <w14:solidFill>
              <w14:schemeClr w14:val="tx1"/>
            </w14:solidFill>
          </w14:textFill>
        </w:rPr>
        <w:t>全年预算为</w:t>
      </w:r>
      <w:r>
        <w:rPr>
          <w:rFonts w:hint="eastAsia" w:ascii="Times New Roman" w:hAnsi="Times New Roman" w:eastAsia="仿宋_GB2312"/>
          <w:b w:val="0"/>
          <w:bCs w:val="0"/>
          <w:color w:val="000000" w:themeColor="text1"/>
          <w:kern w:val="2"/>
          <w:sz w:val="32"/>
          <w:szCs w:val="24"/>
          <w14:textFill>
            <w14:solidFill>
              <w14:schemeClr w14:val="tx1"/>
            </w14:solidFill>
          </w14:textFill>
        </w:rPr>
        <w:t>4</w:t>
      </w:r>
      <w:r>
        <w:rPr>
          <w:rFonts w:hint="eastAsia" w:ascii="仿宋_GB2312" w:hAnsi="仿宋_GB2312" w:eastAsia="仿宋_GB2312"/>
          <w:b w:val="0"/>
          <w:bCs w:val="0"/>
          <w:color w:val="000000" w:themeColor="text1"/>
          <w:kern w:val="2"/>
          <w:sz w:val="32"/>
          <w:szCs w:val="24"/>
          <w14:textFill>
            <w14:solidFill>
              <w14:schemeClr w14:val="tx1"/>
            </w14:solidFill>
          </w14:textFill>
        </w:rPr>
        <w:t>.</w:t>
      </w:r>
      <w:r>
        <w:rPr>
          <w:rFonts w:hint="eastAsia" w:ascii="Times New Roman" w:hAnsi="Times New Roman" w:eastAsia="仿宋_GB2312"/>
          <w:b w:val="0"/>
          <w:bCs w:val="0"/>
          <w:color w:val="000000" w:themeColor="text1"/>
          <w:kern w:val="2"/>
          <w:sz w:val="32"/>
          <w:szCs w:val="24"/>
          <w14:textFill>
            <w14:solidFill>
              <w14:schemeClr w14:val="tx1"/>
            </w14:solidFill>
          </w14:textFill>
        </w:rPr>
        <w:t>78</w:t>
      </w:r>
      <w:r>
        <w:rPr>
          <w:rFonts w:hint="eastAsia" w:ascii="仿宋_GB2312" w:hAnsi="仿宋_GB2312" w:eastAsia="仿宋_GB2312"/>
          <w:b w:val="0"/>
          <w:bCs w:val="0"/>
          <w:color w:val="000000" w:themeColor="text1"/>
          <w:kern w:val="2"/>
          <w:sz w:val="32"/>
          <w:szCs w:val="24"/>
          <w14:textFill>
            <w14:solidFill>
              <w14:schemeClr w14:val="tx1"/>
            </w14:solidFill>
          </w14:textFill>
        </w:rPr>
        <w:t>万元，支出决算为</w:t>
      </w:r>
      <w:r>
        <w:rPr>
          <w:rFonts w:hint="eastAsia" w:ascii="Times New Roman" w:hAnsi="Times New Roman" w:eastAsia="仿宋_GB2312"/>
          <w:b w:val="0"/>
          <w:bCs w:val="0"/>
          <w:color w:val="000000" w:themeColor="text1"/>
          <w:kern w:val="2"/>
          <w:sz w:val="32"/>
          <w:szCs w:val="24"/>
          <w14:textFill>
            <w14:solidFill>
              <w14:schemeClr w14:val="tx1"/>
            </w14:solidFill>
          </w14:textFill>
        </w:rPr>
        <w:t>4</w:t>
      </w:r>
      <w:r>
        <w:rPr>
          <w:rFonts w:hint="eastAsia" w:ascii="仿宋_GB2312" w:hAnsi="仿宋_GB2312" w:eastAsia="仿宋_GB2312"/>
          <w:b w:val="0"/>
          <w:bCs w:val="0"/>
          <w:color w:val="000000" w:themeColor="text1"/>
          <w:kern w:val="2"/>
          <w:sz w:val="32"/>
          <w:szCs w:val="24"/>
          <w14:textFill>
            <w14:solidFill>
              <w14:schemeClr w14:val="tx1"/>
            </w14:solidFill>
          </w14:textFill>
        </w:rPr>
        <w:t>.</w:t>
      </w:r>
      <w:r>
        <w:rPr>
          <w:rFonts w:hint="eastAsia" w:ascii="Times New Roman" w:hAnsi="Times New Roman" w:eastAsia="仿宋_GB2312"/>
          <w:b w:val="0"/>
          <w:bCs w:val="0"/>
          <w:color w:val="000000" w:themeColor="text1"/>
          <w:kern w:val="2"/>
          <w:sz w:val="32"/>
          <w:szCs w:val="24"/>
          <w14:textFill>
            <w14:solidFill>
              <w14:schemeClr w14:val="tx1"/>
            </w14:solidFill>
          </w14:textFill>
        </w:rPr>
        <w:t>78</w:t>
      </w:r>
      <w:r>
        <w:rPr>
          <w:rFonts w:hint="eastAsia" w:ascii="仿宋_GB2312" w:hAnsi="仿宋_GB2312" w:eastAsia="仿宋_GB2312"/>
          <w:b w:val="0"/>
          <w:bCs w:val="0"/>
          <w:color w:val="000000" w:themeColor="text1"/>
          <w:kern w:val="2"/>
          <w:sz w:val="32"/>
          <w:szCs w:val="24"/>
          <w14:textFill>
            <w14:solidFill>
              <w14:schemeClr w14:val="tx1"/>
            </w14:solidFill>
          </w14:textFill>
        </w:rPr>
        <w:t>万元，完成全年预算的</w:t>
      </w:r>
      <w:r>
        <w:rPr>
          <w:rFonts w:hint="eastAsia" w:ascii="Times New Roman" w:hAnsi="Times New Roman" w:eastAsia="仿宋_GB2312"/>
          <w:b w:val="0"/>
          <w:bCs w:val="0"/>
          <w:color w:val="000000" w:themeColor="text1"/>
          <w:kern w:val="2"/>
          <w:sz w:val="32"/>
          <w:szCs w:val="24"/>
          <w14:textFill>
            <w14:solidFill>
              <w14:schemeClr w14:val="tx1"/>
            </w14:solidFill>
          </w14:textFill>
        </w:rPr>
        <w:t>100</w:t>
      </w:r>
      <w:r>
        <w:rPr>
          <w:rFonts w:hint="eastAsia" w:ascii="仿宋_GB2312" w:hAnsi="仿宋_GB2312" w:eastAsia="仿宋_GB2312"/>
          <w:b w:val="0"/>
          <w:bCs w:val="0"/>
          <w:color w:val="000000" w:themeColor="text1"/>
          <w:kern w:val="2"/>
          <w:sz w:val="32"/>
          <w:szCs w:val="24"/>
          <w14:textFill>
            <w14:solidFill>
              <w14:schemeClr w14:val="tx1"/>
            </w14:solidFill>
          </w14:textFill>
        </w:rPr>
        <w:t>%。决算数等于全年预算数。</w:t>
      </w:r>
    </w:p>
    <w:p w14:paraId="44D76741">
      <w:pPr>
        <w:keepNext w:val="0"/>
        <w:keepLines w:val="0"/>
        <w:pageBreakBefore w:val="0"/>
        <w:widowControl w:val="0"/>
        <w:kinsoku/>
        <w:wordWrap/>
        <w:overflowPunct w:val="0"/>
        <w:topLinePunct/>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b w:val="0"/>
          <w:bCs w:val="0"/>
          <w:color w:val="000000" w:themeColor="text1"/>
          <w:kern w:val="2"/>
          <w:sz w:val="32"/>
          <w:szCs w:val="24"/>
          <w14:textFill>
            <w14:solidFill>
              <w14:schemeClr w14:val="tx1"/>
            </w14:solidFill>
          </w14:textFill>
        </w:rPr>
      </w:pPr>
      <w:r>
        <w:rPr>
          <w:rStyle w:val="12"/>
          <w:rFonts w:hint="eastAsia" w:ascii="Times New Roman" w:hAnsi="Times New Roman" w:eastAsia="仿宋_GB2312" w:cs="仿宋_GB2312"/>
          <w:b w:val="0"/>
          <w:bCs w:val="0"/>
          <w:color w:val="000000" w:themeColor="text1"/>
          <w:sz w:val="32"/>
          <w:szCs w:val="32"/>
          <w14:textFill>
            <w14:solidFill>
              <w14:schemeClr w14:val="tx1"/>
            </w14:solidFill>
          </w14:textFill>
        </w:rPr>
        <w:t>4</w:t>
      </w:r>
      <w:r>
        <w:rPr>
          <w:rStyle w:val="12"/>
          <w:rFonts w:hint="eastAsia" w:ascii="仿宋_GB2312" w:hAnsi="仿宋_GB2312" w:eastAsia="仿宋_GB2312" w:cs="仿宋_GB2312"/>
          <w:b w:val="0"/>
          <w:bCs w:val="0"/>
          <w:color w:val="000000" w:themeColor="text1"/>
          <w:sz w:val="32"/>
          <w:szCs w:val="32"/>
          <w14:textFill>
            <w14:solidFill>
              <w14:schemeClr w14:val="tx1"/>
            </w14:solidFill>
          </w14:textFill>
        </w:rPr>
        <w:t>.住房保障支出（类）住房改革支出（款）住房公积金（项）</w:t>
      </w:r>
      <w:r>
        <w:rPr>
          <w:rStyle w:val="12"/>
          <w:rFonts w:hint="eastAsia" w:ascii="Times New Roman"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b w:val="0"/>
          <w:bCs w:val="0"/>
          <w:color w:val="000000" w:themeColor="text1"/>
          <w:kern w:val="2"/>
          <w:sz w:val="32"/>
          <w:szCs w:val="24"/>
          <w14:textFill>
            <w14:solidFill>
              <w14:schemeClr w14:val="tx1"/>
            </w14:solidFill>
          </w14:textFill>
        </w:rPr>
        <w:t>全年预算为</w:t>
      </w:r>
      <w:r>
        <w:rPr>
          <w:rFonts w:hint="eastAsia" w:ascii="Times New Roman" w:hAnsi="Times New Roman" w:eastAsia="仿宋_GB2312"/>
          <w:b w:val="0"/>
          <w:bCs w:val="0"/>
          <w:color w:val="000000" w:themeColor="text1"/>
          <w:kern w:val="2"/>
          <w:sz w:val="32"/>
          <w:szCs w:val="24"/>
          <w14:textFill>
            <w14:solidFill>
              <w14:schemeClr w14:val="tx1"/>
            </w14:solidFill>
          </w14:textFill>
        </w:rPr>
        <w:t>9</w:t>
      </w:r>
      <w:r>
        <w:rPr>
          <w:rFonts w:hint="eastAsia" w:ascii="仿宋_GB2312" w:hAnsi="仿宋_GB2312" w:eastAsia="仿宋_GB2312"/>
          <w:b w:val="0"/>
          <w:bCs w:val="0"/>
          <w:color w:val="000000" w:themeColor="text1"/>
          <w:kern w:val="2"/>
          <w:sz w:val="32"/>
          <w:szCs w:val="24"/>
          <w14:textFill>
            <w14:solidFill>
              <w14:schemeClr w14:val="tx1"/>
            </w14:solidFill>
          </w14:textFill>
        </w:rPr>
        <w:t>.</w:t>
      </w:r>
      <w:r>
        <w:rPr>
          <w:rFonts w:hint="eastAsia" w:ascii="Times New Roman" w:hAnsi="Times New Roman" w:eastAsia="仿宋_GB2312"/>
          <w:b w:val="0"/>
          <w:bCs w:val="0"/>
          <w:color w:val="000000" w:themeColor="text1"/>
          <w:kern w:val="2"/>
          <w:sz w:val="32"/>
          <w:szCs w:val="24"/>
          <w14:textFill>
            <w14:solidFill>
              <w14:schemeClr w14:val="tx1"/>
            </w14:solidFill>
          </w14:textFill>
        </w:rPr>
        <w:t>84</w:t>
      </w:r>
      <w:r>
        <w:rPr>
          <w:rFonts w:hint="eastAsia" w:ascii="仿宋_GB2312" w:hAnsi="仿宋_GB2312" w:eastAsia="仿宋_GB2312"/>
          <w:b w:val="0"/>
          <w:bCs w:val="0"/>
          <w:color w:val="000000" w:themeColor="text1"/>
          <w:kern w:val="2"/>
          <w:sz w:val="32"/>
          <w:szCs w:val="24"/>
          <w14:textFill>
            <w14:solidFill>
              <w14:schemeClr w14:val="tx1"/>
            </w14:solidFill>
          </w14:textFill>
        </w:rPr>
        <w:t>万元，支出决算为</w:t>
      </w:r>
      <w:r>
        <w:rPr>
          <w:rFonts w:hint="eastAsia" w:ascii="Times New Roman" w:hAnsi="Times New Roman" w:eastAsia="仿宋_GB2312"/>
          <w:b w:val="0"/>
          <w:bCs w:val="0"/>
          <w:color w:val="000000" w:themeColor="text1"/>
          <w:kern w:val="2"/>
          <w:sz w:val="32"/>
          <w:szCs w:val="24"/>
          <w14:textFill>
            <w14:solidFill>
              <w14:schemeClr w14:val="tx1"/>
            </w14:solidFill>
          </w14:textFill>
        </w:rPr>
        <w:t>9</w:t>
      </w:r>
      <w:r>
        <w:rPr>
          <w:rFonts w:hint="eastAsia" w:ascii="仿宋_GB2312" w:hAnsi="仿宋_GB2312" w:eastAsia="仿宋_GB2312"/>
          <w:b w:val="0"/>
          <w:bCs w:val="0"/>
          <w:color w:val="000000" w:themeColor="text1"/>
          <w:kern w:val="2"/>
          <w:sz w:val="32"/>
          <w:szCs w:val="24"/>
          <w14:textFill>
            <w14:solidFill>
              <w14:schemeClr w14:val="tx1"/>
            </w14:solidFill>
          </w14:textFill>
        </w:rPr>
        <w:t>.</w:t>
      </w:r>
      <w:r>
        <w:rPr>
          <w:rFonts w:hint="eastAsia" w:ascii="Times New Roman" w:hAnsi="Times New Roman" w:eastAsia="仿宋_GB2312"/>
          <w:b w:val="0"/>
          <w:bCs w:val="0"/>
          <w:color w:val="000000" w:themeColor="text1"/>
          <w:kern w:val="2"/>
          <w:sz w:val="32"/>
          <w:szCs w:val="24"/>
          <w14:textFill>
            <w14:solidFill>
              <w14:schemeClr w14:val="tx1"/>
            </w14:solidFill>
          </w14:textFill>
        </w:rPr>
        <w:t>84</w:t>
      </w:r>
      <w:r>
        <w:rPr>
          <w:rFonts w:hint="eastAsia" w:ascii="仿宋_GB2312" w:hAnsi="仿宋_GB2312" w:eastAsia="仿宋_GB2312"/>
          <w:b w:val="0"/>
          <w:bCs w:val="0"/>
          <w:color w:val="000000" w:themeColor="text1"/>
          <w:kern w:val="2"/>
          <w:sz w:val="32"/>
          <w:szCs w:val="24"/>
          <w14:textFill>
            <w14:solidFill>
              <w14:schemeClr w14:val="tx1"/>
            </w14:solidFill>
          </w14:textFill>
        </w:rPr>
        <w:t>万元，完成全年预算的</w:t>
      </w:r>
      <w:r>
        <w:rPr>
          <w:rFonts w:hint="eastAsia" w:ascii="Times New Roman" w:hAnsi="Times New Roman" w:eastAsia="仿宋_GB2312"/>
          <w:b w:val="0"/>
          <w:bCs w:val="0"/>
          <w:color w:val="000000" w:themeColor="text1"/>
          <w:kern w:val="2"/>
          <w:sz w:val="32"/>
          <w:szCs w:val="24"/>
          <w14:textFill>
            <w14:solidFill>
              <w14:schemeClr w14:val="tx1"/>
            </w14:solidFill>
          </w14:textFill>
        </w:rPr>
        <w:t>100</w:t>
      </w:r>
      <w:r>
        <w:rPr>
          <w:rFonts w:hint="eastAsia" w:ascii="仿宋_GB2312" w:hAnsi="仿宋_GB2312" w:eastAsia="仿宋_GB2312"/>
          <w:b w:val="0"/>
          <w:bCs w:val="0"/>
          <w:color w:val="000000" w:themeColor="text1"/>
          <w:kern w:val="2"/>
          <w:sz w:val="32"/>
          <w:szCs w:val="24"/>
          <w14:textFill>
            <w14:solidFill>
              <w14:schemeClr w14:val="tx1"/>
            </w14:solidFill>
          </w14:textFill>
        </w:rPr>
        <w:t>%。决算数等于全年预算数。</w:t>
      </w:r>
    </w:p>
    <w:p w14:paraId="1A6B7E87">
      <w:pPr>
        <w:keepNext w:val="0"/>
        <w:keepLines w:val="0"/>
        <w:pageBreakBefore w:val="0"/>
        <w:widowControl w:val="0"/>
        <w:tabs>
          <w:tab w:val="right" w:pos="8306"/>
        </w:tabs>
        <w:kinsoku/>
        <w:wordWrap/>
        <w:overflowPunct w:val="0"/>
        <w:topLinePunct/>
        <w:autoSpaceDE w:val="0"/>
        <w:autoSpaceDN w:val="0"/>
        <w:bidi w:val="0"/>
        <w:adjustRightInd w:val="0"/>
        <w:snapToGrid/>
        <w:spacing w:line="600" w:lineRule="exact"/>
        <w:ind w:firstLine="640" w:firstLineChars="200"/>
        <w:jc w:val="both"/>
        <w:textAlignment w:val="auto"/>
        <w:rPr>
          <w:rFonts w:hint="default" w:ascii="Cambria" w:cs="Cambria"/>
          <w:b w:val="0"/>
          <w:bCs w:val="0"/>
          <w:color w:val="000000" w:themeColor="text1"/>
          <w:kern w:val="2"/>
          <w:sz w:val="32"/>
          <w:szCs w:val="24"/>
          <w14:textFill>
            <w14:solidFill>
              <w14:schemeClr w14:val="tx1"/>
            </w14:solidFill>
          </w14:textFill>
        </w:rPr>
      </w:pPr>
      <w:r>
        <w:rPr>
          <w:rFonts w:hint="eastAsia" w:ascii="黑体" w:hAnsi="黑体" w:eastAsia="黑体"/>
          <w:b w:val="0"/>
          <w:bCs w:val="0"/>
          <w:color w:val="000000" w:themeColor="text1"/>
          <w:kern w:val="2"/>
          <w:sz w:val="32"/>
          <w:szCs w:val="24"/>
          <w14:textFill>
            <w14:solidFill>
              <w14:schemeClr w14:val="tx1"/>
            </w14:solidFill>
          </w14:textFill>
        </w:rPr>
        <w:t>六、一般公共预算财政拨款基本支出决算情况说明</w:t>
      </w:r>
      <w:r>
        <w:rPr>
          <w:rFonts w:hint="eastAsia" w:ascii="黑体" w:hAnsi="黑体" w:eastAsia="黑体"/>
          <w:b w:val="0"/>
          <w:bCs w:val="0"/>
          <w:color w:val="000000" w:themeColor="text1"/>
          <w:kern w:val="2"/>
          <w:sz w:val="32"/>
          <w:szCs w:val="24"/>
          <w14:textFill>
            <w14:solidFill>
              <w14:schemeClr w14:val="tx1"/>
            </w14:solidFill>
          </w14:textFill>
        </w:rPr>
        <w:tab/>
      </w:r>
    </w:p>
    <w:p w14:paraId="30076D9E">
      <w:pPr>
        <w:keepNext w:val="0"/>
        <w:keepLines w:val="0"/>
        <w:pageBreakBefore w:val="0"/>
        <w:widowControl w:val="0"/>
        <w:kinsoku/>
        <w:wordWrap/>
        <w:overflowPunct w:val="0"/>
        <w:topLinePunct/>
        <w:autoSpaceDE w:val="0"/>
        <w:autoSpaceDN w:val="0"/>
        <w:bidi w:val="0"/>
        <w:adjustRightInd w:val="0"/>
        <w:snapToGrid/>
        <w:spacing w:beforeLines="0" w:afterLines="0" w:line="600" w:lineRule="exact"/>
        <w:ind w:firstLine="640" w:firstLineChars="200"/>
        <w:jc w:val="both"/>
        <w:textAlignment w:val="auto"/>
        <w:rPr>
          <w:rFonts w:hint="eastAsia" w:ascii="仿宋_GB2312" w:hAnsi="仿宋_GB2312" w:eastAsia="仿宋_GB2312"/>
          <w:color w:val="000000"/>
          <w:kern w:val="2"/>
          <w:sz w:val="32"/>
          <w:szCs w:val="24"/>
          <w:highlight w:val="none"/>
        </w:rPr>
      </w:pPr>
      <w:r>
        <w:rPr>
          <w:rFonts w:hint="eastAsia" w:ascii="Times New Roman" w:eastAsia="仿宋_GB2312"/>
          <w:color w:val="000000"/>
          <w:kern w:val="2"/>
          <w:sz w:val="32"/>
          <w:szCs w:val="24"/>
          <w:highlight w:val="none"/>
        </w:rPr>
        <w:t>2023</w:t>
      </w:r>
      <w:r>
        <w:rPr>
          <w:rFonts w:hint="eastAsia" w:ascii="仿宋_GB2312" w:hAnsi="仿宋_GB2312" w:eastAsia="仿宋_GB2312"/>
          <w:color w:val="000000"/>
          <w:kern w:val="2"/>
          <w:sz w:val="32"/>
          <w:szCs w:val="24"/>
          <w:highlight w:val="none"/>
        </w:rPr>
        <w:t>年度一般公共预算财政拨款基本支出</w:t>
      </w:r>
      <w:r>
        <w:rPr>
          <w:rFonts w:hint="eastAsia" w:ascii="Times New Roman" w:eastAsia="仿宋_GB2312"/>
          <w:color w:val="000000"/>
          <w:kern w:val="2"/>
          <w:sz w:val="32"/>
          <w:szCs w:val="24"/>
          <w:highlight w:val="none"/>
          <w:lang w:val="en-US" w:eastAsia="zh-CN"/>
        </w:rPr>
        <w:t>138.42</w:t>
      </w:r>
      <w:r>
        <w:rPr>
          <w:rFonts w:hint="eastAsia" w:ascii="仿宋_GB2312" w:hAnsi="仿宋_GB2312" w:eastAsia="仿宋_GB2312"/>
          <w:color w:val="000000"/>
          <w:kern w:val="2"/>
          <w:sz w:val="32"/>
          <w:szCs w:val="24"/>
          <w:highlight w:val="none"/>
        </w:rPr>
        <w:t>万元，其中：人员经费</w:t>
      </w:r>
      <w:r>
        <w:rPr>
          <w:rFonts w:hint="eastAsia" w:ascii="Times New Roman" w:eastAsia="仿宋_GB2312"/>
          <w:color w:val="000000"/>
          <w:kern w:val="2"/>
          <w:sz w:val="32"/>
          <w:szCs w:val="24"/>
          <w:highlight w:val="none"/>
          <w:lang w:val="en-US" w:eastAsia="zh-CN"/>
        </w:rPr>
        <w:t>122.91</w:t>
      </w:r>
      <w:r>
        <w:rPr>
          <w:rFonts w:hint="eastAsia" w:ascii="仿宋_GB2312" w:hAnsi="仿宋_GB2312" w:eastAsia="仿宋_GB2312"/>
          <w:color w:val="000000"/>
          <w:kern w:val="2"/>
          <w:sz w:val="32"/>
          <w:szCs w:val="24"/>
          <w:highlight w:val="none"/>
        </w:rPr>
        <w:t>万元，主要包括：基本工资</w:t>
      </w:r>
      <w:r>
        <w:rPr>
          <w:rFonts w:hint="eastAsia" w:ascii="Times New Roman" w:eastAsia="仿宋_GB2312"/>
          <w:color w:val="000000"/>
          <w:kern w:val="2"/>
          <w:sz w:val="32"/>
          <w:szCs w:val="24"/>
          <w:highlight w:val="none"/>
        </w:rPr>
        <w:t>40</w:t>
      </w:r>
      <w:r>
        <w:rPr>
          <w:rFonts w:hint="eastAsia" w:ascii="仿宋_GB2312" w:hAnsi="仿宋_GB2312" w:eastAsia="仿宋_GB2312"/>
          <w:color w:val="000000"/>
          <w:kern w:val="2"/>
          <w:sz w:val="32"/>
          <w:szCs w:val="24"/>
          <w:highlight w:val="none"/>
        </w:rPr>
        <w:t>.</w:t>
      </w:r>
      <w:r>
        <w:rPr>
          <w:rFonts w:hint="eastAsia" w:ascii="Times New Roman" w:eastAsia="仿宋_GB2312"/>
          <w:color w:val="000000"/>
          <w:kern w:val="2"/>
          <w:sz w:val="32"/>
          <w:szCs w:val="24"/>
          <w:highlight w:val="none"/>
        </w:rPr>
        <w:t>56</w:t>
      </w:r>
      <w:r>
        <w:rPr>
          <w:rFonts w:hint="eastAsia" w:ascii="仿宋_GB2312" w:hAnsi="仿宋_GB2312" w:eastAsia="仿宋_GB2312"/>
          <w:color w:val="000000"/>
          <w:kern w:val="2"/>
          <w:sz w:val="32"/>
          <w:szCs w:val="24"/>
          <w:highlight w:val="none"/>
        </w:rPr>
        <w:t>万元、津贴补贴</w:t>
      </w:r>
      <w:r>
        <w:rPr>
          <w:rFonts w:hint="eastAsia" w:ascii="Times New Roman" w:eastAsia="仿宋_GB2312"/>
          <w:color w:val="000000"/>
          <w:kern w:val="2"/>
          <w:sz w:val="32"/>
          <w:szCs w:val="24"/>
          <w:highlight w:val="none"/>
        </w:rPr>
        <w:t>17</w:t>
      </w:r>
      <w:r>
        <w:rPr>
          <w:rFonts w:hint="eastAsia" w:ascii="仿宋_GB2312" w:hAnsi="仿宋_GB2312" w:eastAsia="仿宋_GB2312"/>
          <w:color w:val="000000"/>
          <w:kern w:val="2"/>
          <w:sz w:val="32"/>
          <w:szCs w:val="24"/>
          <w:highlight w:val="none"/>
        </w:rPr>
        <w:t>.</w:t>
      </w:r>
      <w:r>
        <w:rPr>
          <w:rFonts w:hint="eastAsia" w:ascii="Times New Roman" w:eastAsia="仿宋_GB2312"/>
          <w:color w:val="000000"/>
          <w:kern w:val="2"/>
          <w:sz w:val="32"/>
          <w:szCs w:val="24"/>
          <w:highlight w:val="none"/>
        </w:rPr>
        <w:t>71</w:t>
      </w:r>
      <w:r>
        <w:rPr>
          <w:rFonts w:hint="eastAsia" w:ascii="仿宋_GB2312" w:hAnsi="仿宋_GB2312" w:eastAsia="仿宋_GB2312"/>
          <w:color w:val="000000"/>
          <w:kern w:val="2"/>
          <w:sz w:val="32"/>
          <w:szCs w:val="24"/>
          <w:highlight w:val="none"/>
        </w:rPr>
        <w:t>万元、奖金</w:t>
      </w:r>
      <w:r>
        <w:rPr>
          <w:rFonts w:hint="eastAsia" w:ascii="Times New Roman" w:eastAsia="仿宋_GB2312"/>
          <w:color w:val="000000"/>
          <w:kern w:val="2"/>
          <w:sz w:val="32"/>
          <w:szCs w:val="24"/>
          <w:highlight w:val="none"/>
        </w:rPr>
        <w:t>28</w:t>
      </w:r>
      <w:r>
        <w:rPr>
          <w:rFonts w:hint="eastAsia" w:ascii="仿宋_GB2312" w:hAnsi="仿宋_GB2312" w:eastAsia="仿宋_GB2312"/>
          <w:color w:val="000000"/>
          <w:kern w:val="2"/>
          <w:sz w:val="32"/>
          <w:szCs w:val="24"/>
          <w:highlight w:val="none"/>
        </w:rPr>
        <w:t>.</w:t>
      </w:r>
      <w:r>
        <w:rPr>
          <w:rFonts w:hint="eastAsia" w:ascii="Times New Roman" w:eastAsia="仿宋_GB2312"/>
          <w:color w:val="000000"/>
          <w:kern w:val="2"/>
          <w:sz w:val="32"/>
          <w:szCs w:val="24"/>
          <w:highlight w:val="none"/>
        </w:rPr>
        <w:t>64</w:t>
      </w:r>
      <w:r>
        <w:rPr>
          <w:rFonts w:hint="eastAsia" w:ascii="仿宋_GB2312" w:hAnsi="仿宋_GB2312" w:eastAsia="仿宋_GB2312"/>
          <w:color w:val="000000"/>
          <w:kern w:val="2"/>
          <w:sz w:val="32"/>
          <w:szCs w:val="24"/>
          <w:highlight w:val="none"/>
        </w:rPr>
        <w:t>万元、绩效工资</w:t>
      </w:r>
      <w:r>
        <w:rPr>
          <w:rFonts w:hint="eastAsia" w:ascii="Times New Roman" w:eastAsia="仿宋_GB2312"/>
          <w:color w:val="000000"/>
          <w:kern w:val="2"/>
          <w:sz w:val="32"/>
          <w:szCs w:val="24"/>
          <w:highlight w:val="none"/>
        </w:rPr>
        <w:t>2</w:t>
      </w:r>
      <w:r>
        <w:rPr>
          <w:rFonts w:hint="eastAsia" w:ascii="仿宋_GB2312" w:hAnsi="仿宋_GB2312" w:eastAsia="仿宋_GB2312"/>
          <w:color w:val="000000"/>
          <w:kern w:val="2"/>
          <w:sz w:val="32"/>
          <w:szCs w:val="24"/>
          <w:highlight w:val="none"/>
        </w:rPr>
        <w:t>.</w:t>
      </w:r>
      <w:r>
        <w:rPr>
          <w:rFonts w:hint="eastAsia" w:ascii="Times New Roman" w:eastAsia="仿宋_GB2312"/>
          <w:color w:val="000000"/>
          <w:kern w:val="2"/>
          <w:sz w:val="32"/>
          <w:szCs w:val="24"/>
          <w:highlight w:val="none"/>
        </w:rPr>
        <w:t>24</w:t>
      </w:r>
      <w:r>
        <w:rPr>
          <w:rFonts w:hint="eastAsia" w:ascii="仿宋_GB2312" w:hAnsi="仿宋_GB2312" w:eastAsia="仿宋_GB2312"/>
          <w:color w:val="000000"/>
          <w:kern w:val="2"/>
          <w:sz w:val="32"/>
          <w:szCs w:val="24"/>
          <w:highlight w:val="none"/>
        </w:rPr>
        <w:t>万元、机关事业单位基本养老保险缴费</w:t>
      </w:r>
      <w:r>
        <w:rPr>
          <w:rFonts w:hint="eastAsia" w:ascii="Times New Roman" w:eastAsia="仿宋_GB2312"/>
          <w:color w:val="000000"/>
          <w:kern w:val="2"/>
          <w:sz w:val="32"/>
          <w:szCs w:val="24"/>
          <w:highlight w:val="none"/>
        </w:rPr>
        <w:t>13</w:t>
      </w:r>
      <w:r>
        <w:rPr>
          <w:rFonts w:hint="eastAsia" w:ascii="仿宋_GB2312" w:hAnsi="仿宋_GB2312" w:eastAsia="仿宋_GB2312"/>
          <w:color w:val="000000"/>
          <w:kern w:val="2"/>
          <w:sz w:val="32"/>
          <w:szCs w:val="24"/>
          <w:highlight w:val="none"/>
        </w:rPr>
        <w:t>.</w:t>
      </w:r>
      <w:r>
        <w:rPr>
          <w:rFonts w:hint="eastAsia" w:ascii="Times New Roman" w:eastAsia="仿宋_GB2312"/>
          <w:color w:val="000000"/>
          <w:kern w:val="2"/>
          <w:sz w:val="32"/>
          <w:szCs w:val="24"/>
          <w:highlight w:val="none"/>
        </w:rPr>
        <w:t>12</w:t>
      </w:r>
      <w:r>
        <w:rPr>
          <w:rFonts w:hint="eastAsia" w:ascii="仿宋_GB2312" w:hAnsi="仿宋_GB2312" w:eastAsia="仿宋_GB2312"/>
          <w:color w:val="000000"/>
          <w:kern w:val="2"/>
          <w:sz w:val="32"/>
          <w:szCs w:val="24"/>
          <w:highlight w:val="none"/>
        </w:rPr>
        <w:t>万元、职工基本医疗保险缴费</w:t>
      </w:r>
      <w:r>
        <w:rPr>
          <w:rFonts w:hint="eastAsia" w:ascii="Times New Roman" w:eastAsia="仿宋_GB2312"/>
          <w:color w:val="000000"/>
          <w:kern w:val="2"/>
          <w:sz w:val="32"/>
          <w:szCs w:val="24"/>
          <w:highlight w:val="none"/>
        </w:rPr>
        <w:t>4</w:t>
      </w:r>
      <w:r>
        <w:rPr>
          <w:rFonts w:hint="eastAsia" w:ascii="仿宋_GB2312" w:hAnsi="仿宋_GB2312" w:eastAsia="仿宋_GB2312"/>
          <w:color w:val="000000"/>
          <w:kern w:val="2"/>
          <w:sz w:val="32"/>
          <w:szCs w:val="24"/>
          <w:highlight w:val="none"/>
        </w:rPr>
        <w:t>.</w:t>
      </w:r>
      <w:r>
        <w:rPr>
          <w:rFonts w:hint="eastAsia" w:ascii="Times New Roman" w:eastAsia="仿宋_GB2312"/>
          <w:color w:val="000000"/>
          <w:kern w:val="2"/>
          <w:sz w:val="32"/>
          <w:szCs w:val="24"/>
          <w:highlight w:val="none"/>
        </w:rPr>
        <w:t>7</w:t>
      </w:r>
      <w:r>
        <w:rPr>
          <w:rFonts w:hint="eastAsia" w:ascii="Times New Roman" w:eastAsia="仿宋_GB2312"/>
          <w:color w:val="000000"/>
          <w:kern w:val="2"/>
          <w:sz w:val="32"/>
          <w:szCs w:val="24"/>
          <w:highlight w:val="none"/>
          <w:lang w:val="en-US" w:eastAsia="zh-CN"/>
        </w:rPr>
        <w:t>9</w:t>
      </w:r>
      <w:r>
        <w:rPr>
          <w:rFonts w:hint="eastAsia" w:ascii="仿宋_GB2312" w:hAnsi="仿宋_GB2312" w:eastAsia="仿宋_GB2312"/>
          <w:color w:val="000000"/>
          <w:kern w:val="2"/>
          <w:sz w:val="32"/>
          <w:szCs w:val="24"/>
          <w:highlight w:val="none"/>
        </w:rPr>
        <w:t>万元、住房公积金</w:t>
      </w:r>
      <w:r>
        <w:rPr>
          <w:rFonts w:hint="eastAsia" w:ascii="Times New Roman" w:eastAsia="仿宋_GB2312"/>
          <w:color w:val="000000"/>
          <w:kern w:val="2"/>
          <w:sz w:val="32"/>
          <w:szCs w:val="24"/>
          <w:highlight w:val="none"/>
        </w:rPr>
        <w:t>9</w:t>
      </w:r>
      <w:r>
        <w:rPr>
          <w:rFonts w:hint="eastAsia" w:ascii="仿宋_GB2312" w:hAnsi="仿宋_GB2312" w:eastAsia="仿宋_GB2312"/>
          <w:color w:val="000000"/>
          <w:kern w:val="2"/>
          <w:sz w:val="32"/>
          <w:szCs w:val="24"/>
          <w:highlight w:val="none"/>
        </w:rPr>
        <w:t>.</w:t>
      </w:r>
      <w:r>
        <w:rPr>
          <w:rFonts w:hint="eastAsia" w:ascii="Times New Roman" w:eastAsia="仿宋_GB2312"/>
          <w:color w:val="000000"/>
          <w:kern w:val="2"/>
          <w:sz w:val="32"/>
          <w:szCs w:val="24"/>
          <w:highlight w:val="none"/>
        </w:rPr>
        <w:t>84</w:t>
      </w:r>
      <w:r>
        <w:rPr>
          <w:rFonts w:hint="eastAsia" w:ascii="仿宋_GB2312" w:hAnsi="仿宋_GB2312" w:eastAsia="仿宋_GB2312"/>
          <w:color w:val="000000"/>
          <w:kern w:val="2"/>
          <w:sz w:val="32"/>
          <w:szCs w:val="24"/>
          <w:highlight w:val="none"/>
        </w:rPr>
        <w:t>万元</w:t>
      </w:r>
      <w:r>
        <w:rPr>
          <w:rFonts w:hint="eastAsia" w:ascii="仿宋_GB2312" w:hAnsi="仿宋_GB2312" w:eastAsia="仿宋_GB2312"/>
          <w:color w:val="000000"/>
          <w:kern w:val="2"/>
          <w:sz w:val="32"/>
          <w:szCs w:val="24"/>
          <w:highlight w:val="none"/>
          <w:lang w:eastAsia="zh-CN"/>
        </w:rPr>
        <w:t>，</w:t>
      </w:r>
      <w:r>
        <w:rPr>
          <w:rFonts w:hint="eastAsia" w:ascii="仿宋_GB2312" w:hAnsi="仿宋_GB2312" w:eastAsia="仿宋_GB2312"/>
          <w:color w:val="000000"/>
          <w:kern w:val="2"/>
          <w:sz w:val="32"/>
          <w:szCs w:val="24"/>
        </w:rPr>
        <w:t>其他对个人和家庭的补助支出</w:t>
      </w:r>
      <w:r>
        <w:rPr>
          <w:rFonts w:hint="eastAsia" w:ascii="仿宋_GB2312" w:hAnsi="仿宋_GB2312" w:eastAsia="仿宋_GB2312"/>
          <w:color w:val="000000"/>
          <w:kern w:val="2"/>
          <w:sz w:val="32"/>
          <w:szCs w:val="24"/>
          <w:lang w:val="en-US" w:eastAsia="zh-CN"/>
        </w:rPr>
        <w:t>6.01</w:t>
      </w:r>
      <w:r>
        <w:rPr>
          <w:rFonts w:hint="eastAsia" w:ascii="仿宋_GB2312" w:hAnsi="仿宋_GB2312" w:eastAsia="仿宋_GB2312"/>
          <w:color w:val="000000"/>
          <w:kern w:val="2"/>
          <w:sz w:val="32"/>
          <w:szCs w:val="24"/>
        </w:rPr>
        <w:t>万元。</w:t>
      </w:r>
    </w:p>
    <w:p w14:paraId="01265427">
      <w:pPr>
        <w:keepNext w:val="0"/>
        <w:keepLines w:val="0"/>
        <w:pageBreakBefore w:val="0"/>
        <w:widowControl w:val="0"/>
        <w:kinsoku/>
        <w:wordWrap/>
        <w:overflowPunct w:val="0"/>
        <w:topLinePunct/>
        <w:autoSpaceDE w:val="0"/>
        <w:autoSpaceDN w:val="0"/>
        <w:bidi w:val="0"/>
        <w:adjustRightInd w:val="0"/>
        <w:snapToGrid/>
        <w:spacing w:beforeLines="0" w:afterLines="0" w:line="600" w:lineRule="exact"/>
        <w:ind w:firstLine="640"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公用经费</w:t>
      </w:r>
      <w:r>
        <w:rPr>
          <w:rFonts w:hint="eastAsia" w:ascii="Times New Roman" w:eastAsia="仿宋_GB2312"/>
          <w:color w:val="000000"/>
          <w:kern w:val="2"/>
          <w:sz w:val="32"/>
          <w:szCs w:val="24"/>
        </w:rPr>
        <w:t>15</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51</w:t>
      </w:r>
      <w:r>
        <w:rPr>
          <w:rFonts w:hint="eastAsia" w:ascii="仿宋_GB2312" w:hAnsi="仿宋_GB2312" w:eastAsia="仿宋_GB2312"/>
          <w:color w:val="000000"/>
          <w:kern w:val="2"/>
          <w:sz w:val="32"/>
          <w:szCs w:val="24"/>
        </w:rPr>
        <w:t>万元，主要包括：办公费</w:t>
      </w:r>
      <w:r>
        <w:rPr>
          <w:rFonts w:hint="eastAsia" w:ascii="Times New Roman" w:eastAsia="仿宋_GB2312"/>
          <w:color w:val="000000"/>
          <w:kern w:val="2"/>
          <w:sz w:val="32"/>
          <w:szCs w:val="24"/>
        </w:rPr>
        <w:t>2</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16</w:t>
      </w:r>
      <w:r>
        <w:rPr>
          <w:rFonts w:hint="eastAsia" w:ascii="仿宋_GB2312" w:hAnsi="仿宋_GB2312" w:eastAsia="仿宋_GB2312"/>
          <w:color w:val="000000"/>
          <w:kern w:val="2"/>
          <w:sz w:val="32"/>
          <w:szCs w:val="24"/>
        </w:rPr>
        <w:t>万元、印刷费</w:t>
      </w:r>
      <w:r>
        <w:rPr>
          <w:rFonts w:hint="eastAsia" w:ascii="Times New Roman" w:eastAsia="仿宋_GB2312"/>
          <w:color w:val="000000"/>
          <w:kern w:val="2"/>
          <w:sz w:val="32"/>
          <w:szCs w:val="24"/>
        </w:rPr>
        <w:t>1</w:t>
      </w:r>
      <w:r>
        <w:rPr>
          <w:rFonts w:hint="eastAsia" w:ascii="仿宋_GB2312" w:hAnsi="仿宋_GB2312" w:eastAsia="仿宋_GB2312"/>
          <w:color w:val="000000"/>
          <w:kern w:val="2"/>
          <w:sz w:val="32"/>
          <w:szCs w:val="24"/>
        </w:rPr>
        <w:t>万元、电费</w:t>
      </w:r>
      <w:r>
        <w:rPr>
          <w:rFonts w:hint="eastAsia" w:ascii="Times New Roman" w:eastAsia="仿宋_GB2312"/>
          <w:color w:val="000000"/>
          <w:kern w:val="2"/>
          <w:sz w:val="32"/>
          <w:szCs w:val="24"/>
        </w:rPr>
        <w:t>1</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04</w:t>
      </w:r>
      <w:r>
        <w:rPr>
          <w:rFonts w:hint="eastAsia" w:ascii="仿宋_GB2312" w:hAnsi="仿宋_GB2312" w:eastAsia="仿宋_GB2312"/>
          <w:color w:val="000000"/>
          <w:kern w:val="2"/>
          <w:sz w:val="32"/>
          <w:szCs w:val="24"/>
        </w:rPr>
        <w:t>万元、邮电费</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73</w:t>
      </w:r>
      <w:r>
        <w:rPr>
          <w:rFonts w:hint="eastAsia" w:ascii="仿宋_GB2312" w:hAnsi="仿宋_GB2312" w:eastAsia="仿宋_GB2312"/>
          <w:color w:val="000000"/>
          <w:kern w:val="2"/>
          <w:sz w:val="32"/>
          <w:szCs w:val="24"/>
        </w:rPr>
        <w:t>万元、差旅费</w:t>
      </w:r>
      <w:r>
        <w:rPr>
          <w:rFonts w:hint="eastAsia" w:ascii="Times New Roman" w:eastAsia="仿宋_GB2312"/>
          <w:color w:val="000000"/>
          <w:kern w:val="2"/>
          <w:sz w:val="32"/>
          <w:szCs w:val="24"/>
        </w:rPr>
        <w:t>3</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23</w:t>
      </w:r>
      <w:r>
        <w:rPr>
          <w:rFonts w:hint="eastAsia" w:ascii="仿宋_GB2312" w:hAnsi="仿宋_GB2312" w:eastAsia="仿宋_GB2312"/>
          <w:color w:val="000000"/>
          <w:kern w:val="2"/>
          <w:sz w:val="32"/>
          <w:szCs w:val="24"/>
        </w:rPr>
        <w:t>万元、公务接待费</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82</w:t>
      </w:r>
      <w:r>
        <w:rPr>
          <w:rFonts w:hint="eastAsia" w:ascii="仿宋_GB2312" w:hAnsi="仿宋_GB2312" w:eastAsia="仿宋_GB2312"/>
          <w:color w:val="000000"/>
          <w:kern w:val="2"/>
          <w:sz w:val="32"/>
          <w:szCs w:val="24"/>
        </w:rPr>
        <w:t>万元、工会经费</w:t>
      </w:r>
      <w:r>
        <w:rPr>
          <w:rFonts w:hint="eastAsia" w:ascii="Times New Roman" w:eastAsia="仿宋_GB2312"/>
          <w:color w:val="000000"/>
          <w:kern w:val="2"/>
          <w:sz w:val="32"/>
          <w:szCs w:val="24"/>
        </w:rPr>
        <w:t>2</w:t>
      </w:r>
      <w:r>
        <w:rPr>
          <w:rFonts w:hint="eastAsia" w:ascii="仿宋_GB2312" w:hAnsi="仿宋_GB2312" w:eastAsia="仿宋_GB2312"/>
          <w:color w:val="000000"/>
          <w:kern w:val="2"/>
          <w:sz w:val="32"/>
          <w:szCs w:val="24"/>
        </w:rPr>
        <w:t>万元、其他交通费</w:t>
      </w:r>
      <w:r>
        <w:rPr>
          <w:rFonts w:hint="eastAsia" w:ascii="Times New Roman" w:eastAsia="仿宋_GB2312"/>
          <w:color w:val="000000"/>
          <w:kern w:val="2"/>
          <w:sz w:val="32"/>
          <w:szCs w:val="24"/>
        </w:rPr>
        <w:t>3</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9</w:t>
      </w:r>
      <w:r>
        <w:rPr>
          <w:rFonts w:hint="eastAsia" w:ascii="仿宋_GB2312" w:hAnsi="仿宋_GB2312" w:eastAsia="仿宋_GB2312"/>
          <w:color w:val="000000"/>
          <w:kern w:val="2"/>
          <w:sz w:val="32"/>
          <w:szCs w:val="24"/>
        </w:rPr>
        <w:t>万元、其他商品和服务支出</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63</w:t>
      </w:r>
      <w:r>
        <w:rPr>
          <w:rFonts w:hint="eastAsia" w:ascii="仿宋_GB2312" w:hAnsi="仿宋_GB2312" w:eastAsia="仿宋_GB2312"/>
          <w:color w:val="000000"/>
          <w:kern w:val="2"/>
          <w:sz w:val="32"/>
          <w:szCs w:val="24"/>
        </w:rPr>
        <w:t>万元。</w:t>
      </w:r>
    </w:p>
    <w:p w14:paraId="1365EA70">
      <w:pPr>
        <w:keepNext w:val="0"/>
        <w:keepLines w:val="0"/>
        <w:pageBreakBefore w:val="0"/>
        <w:widowControl w:val="0"/>
        <w:kinsoku/>
        <w:wordWrap/>
        <w:overflowPunct w:val="0"/>
        <w:topLinePunct/>
        <w:autoSpaceDE w:val="0"/>
        <w:autoSpaceDN w:val="0"/>
        <w:bidi w:val="0"/>
        <w:adjustRightInd w:val="0"/>
        <w:snapToGrid/>
        <w:spacing w:line="600" w:lineRule="exact"/>
        <w:ind w:firstLine="640" w:firstLineChars="200"/>
        <w:jc w:val="both"/>
        <w:textAlignment w:val="auto"/>
        <w:rPr>
          <w:rFonts w:hint="eastAsia" w:ascii="黑体" w:hAnsi="黑体" w:eastAsia="黑体"/>
          <w:b w:val="0"/>
          <w:bCs w:val="0"/>
          <w:color w:val="000000" w:themeColor="text1"/>
          <w:kern w:val="2"/>
          <w:sz w:val="32"/>
          <w:szCs w:val="24"/>
          <w14:textFill>
            <w14:solidFill>
              <w14:schemeClr w14:val="tx1"/>
            </w14:solidFill>
          </w14:textFill>
        </w:rPr>
      </w:pPr>
      <w:r>
        <w:rPr>
          <w:rFonts w:hint="eastAsia" w:ascii="黑体" w:hAnsi="黑体" w:eastAsia="黑体"/>
          <w:b w:val="0"/>
          <w:bCs w:val="0"/>
          <w:color w:val="000000" w:themeColor="text1"/>
          <w:kern w:val="2"/>
          <w:sz w:val="32"/>
          <w:szCs w:val="24"/>
          <w14:textFill>
            <w14:solidFill>
              <w14:schemeClr w14:val="tx1"/>
            </w14:solidFill>
          </w14:textFill>
        </w:rPr>
        <w:t>七、财政拨款“三公”经费支出决算情况说明</w:t>
      </w:r>
    </w:p>
    <w:p w14:paraId="056B7913">
      <w:pPr>
        <w:keepNext w:val="0"/>
        <w:keepLines w:val="0"/>
        <w:pageBreakBefore w:val="0"/>
        <w:widowControl w:val="0"/>
        <w:kinsoku/>
        <w:wordWrap/>
        <w:overflowPunct w:val="0"/>
        <w:topLinePunct/>
        <w:autoSpaceDE w:val="0"/>
        <w:autoSpaceDN w:val="0"/>
        <w:bidi w:val="0"/>
        <w:adjustRightInd w:val="0"/>
        <w:snapToGrid/>
        <w:spacing w:line="600" w:lineRule="exact"/>
        <w:ind w:firstLine="640" w:firstLineChars="200"/>
        <w:jc w:val="both"/>
        <w:textAlignment w:val="auto"/>
        <w:rPr>
          <w:rFonts w:hint="eastAsia" w:ascii="楷体_GB2312" w:hAnsi="楷体_GB2312" w:eastAsia="楷体_GB2312" w:cs="楷体_GB2312"/>
          <w:b w:val="0"/>
          <w:bCs w:val="0"/>
          <w:color w:val="000000" w:themeColor="text1"/>
          <w:kern w:val="2"/>
          <w:sz w:val="32"/>
          <w:szCs w:val="24"/>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24"/>
          <w14:textFill>
            <w14:solidFill>
              <w14:schemeClr w14:val="tx1"/>
            </w14:solidFill>
          </w14:textFill>
        </w:rPr>
        <w:t>（一）“三公”经费财政拨款支出决算总体情况说明</w:t>
      </w:r>
    </w:p>
    <w:p w14:paraId="4C36E68B">
      <w:pPr>
        <w:keepNext w:val="0"/>
        <w:keepLines w:val="0"/>
        <w:pageBreakBefore w:val="0"/>
        <w:widowControl w:val="0"/>
        <w:kinsoku/>
        <w:wordWrap/>
        <w:overflowPunct w:val="0"/>
        <w:topLinePunct/>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b w:val="0"/>
          <w:bCs w:val="0"/>
          <w:color w:val="000000" w:themeColor="text1"/>
          <w:kern w:val="2"/>
          <w:sz w:val="32"/>
          <w:szCs w:val="24"/>
          <w14:textFill>
            <w14:solidFill>
              <w14:schemeClr w14:val="tx1"/>
            </w14:solidFill>
          </w14:textFill>
        </w:rPr>
      </w:pPr>
      <w:r>
        <w:rPr>
          <w:rFonts w:hint="eastAsia" w:ascii="Times New Roman" w:hAnsi="Times New Roman" w:eastAsia="仿宋_GB2312"/>
          <w:b w:val="0"/>
          <w:bCs w:val="0"/>
          <w:color w:val="000000" w:themeColor="text1"/>
          <w:kern w:val="2"/>
          <w:sz w:val="32"/>
          <w:szCs w:val="24"/>
          <w14:textFill>
            <w14:solidFill>
              <w14:schemeClr w14:val="tx1"/>
            </w14:solidFill>
          </w14:textFill>
        </w:rPr>
        <w:t>2023</w:t>
      </w:r>
      <w:r>
        <w:rPr>
          <w:rFonts w:hint="eastAsia" w:ascii="仿宋_GB2312" w:hAnsi="仿宋_GB2312" w:eastAsia="仿宋_GB2312"/>
          <w:b w:val="0"/>
          <w:bCs w:val="0"/>
          <w:color w:val="000000" w:themeColor="text1"/>
          <w:kern w:val="2"/>
          <w:sz w:val="32"/>
          <w:szCs w:val="24"/>
          <w14:textFill>
            <w14:solidFill>
              <w14:schemeClr w14:val="tx1"/>
            </w14:solidFill>
          </w14:textFill>
        </w:rPr>
        <w:t>年度“三公”经费财政拨款支出预算为</w:t>
      </w:r>
      <w:r>
        <w:rPr>
          <w:rFonts w:hint="eastAsia" w:ascii="Times New Roman" w:hAnsi="Times New Roman" w:eastAsia="仿宋_GB2312"/>
          <w:b w:val="0"/>
          <w:bCs w:val="0"/>
          <w:color w:val="000000" w:themeColor="text1"/>
          <w:kern w:val="2"/>
          <w:sz w:val="32"/>
          <w:szCs w:val="24"/>
          <w14:textFill>
            <w14:solidFill>
              <w14:schemeClr w14:val="tx1"/>
            </w14:solidFill>
          </w14:textFill>
        </w:rPr>
        <w:t>2</w:t>
      </w:r>
      <w:r>
        <w:rPr>
          <w:rFonts w:hint="eastAsia" w:ascii="仿宋_GB2312" w:hAnsi="仿宋_GB2312" w:eastAsia="仿宋_GB2312"/>
          <w:b w:val="0"/>
          <w:bCs w:val="0"/>
          <w:color w:val="000000" w:themeColor="text1"/>
          <w:kern w:val="2"/>
          <w:sz w:val="32"/>
          <w:szCs w:val="24"/>
          <w14:textFill>
            <w14:solidFill>
              <w14:schemeClr w14:val="tx1"/>
            </w14:solidFill>
          </w14:textFill>
        </w:rPr>
        <w:t>.</w:t>
      </w:r>
      <w:r>
        <w:rPr>
          <w:rFonts w:hint="eastAsia" w:ascii="Times New Roman" w:hAnsi="Times New Roman" w:eastAsia="仿宋_GB2312"/>
          <w:b w:val="0"/>
          <w:bCs w:val="0"/>
          <w:color w:val="000000" w:themeColor="text1"/>
          <w:kern w:val="2"/>
          <w:sz w:val="32"/>
          <w:szCs w:val="24"/>
          <w14:textFill>
            <w14:solidFill>
              <w14:schemeClr w14:val="tx1"/>
            </w14:solidFill>
          </w14:textFill>
        </w:rPr>
        <w:t>95</w:t>
      </w:r>
      <w:r>
        <w:rPr>
          <w:rFonts w:hint="eastAsia" w:ascii="仿宋_GB2312" w:hAnsi="仿宋_GB2312" w:eastAsia="仿宋_GB2312"/>
          <w:b w:val="0"/>
          <w:bCs w:val="0"/>
          <w:color w:val="000000" w:themeColor="text1"/>
          <w:kern w:val="2"/>
          <w:sz w:val="32"/>
          <w:szCs w:val="24"/>
          <w14:textFill>
            <w14:solidFill>
              <w14:schemeClr w14:val="tx1"/>
            </w14:solidFill>
          </w14:textFill>
        </w:rPr>
        <w:t>万元，支出决算为</w:t>
      </w:r>
      <w:r>
        <w:rPr>
          <w:rFonts w:hint="eastAsia" w:ascii="Times New Roman" w:hAnsi="Times New Roman" w:eastAsia="仿宋_GB2312"/>
          <w:b w:val="0"/>
          <w:bCs w:val="0"/>
          <w:color w:val="000000" w:themeColor="text1"/>
          <w:kern w:val="2"/>
          <w:sz w:val="32"/>
          <w:szCs w:val="24"/>
          <w14:textFill>
            <w14:solidFill>
              <w14:schemeClr w14:val="tx1"/>
            </w14:solidFill>
          </w14:textFill>
        </w:rPr>
        <w:t>2</w:t>
      </w:r>
      <w:r>
        <w:rPr>
          <w:rFonts w:hint="eastAsia" w:ascii="仿宋_GB2312" w:hAnsi="仿宋_GB2312" w:eastAsia="仿宋_GB2312"/>
          <w:b w:val="0"/>
          <w:bCs w:val="0"/>
          <w:color w:val="000000" w:themeColor="text1"/>
          <w:kern w:val="2"/>
          <w:sz w:val="32"/>
          <w:szCs w:val="24"/>
          <w14:textFill>
            <w14:solidFill>
              <w14:schemeClr w14:val="tx1"/>
            </w14:solidFill>
          </w14:textFill>
        </w:rPr>
        <w:t>.</w:t>
      </w:r>
      <w:r>
        <w:rPr>
          <w:rFonts w:hint="eastAsia" w:ascii="Times New Roman" w:hAnsi="Times New Roman" w:eastAsia="仿宋_GB2312"/>
          <w:b w:val="0"/>
          <w:bCs w:val="0"/>
          <w:color w:val="000000" w:themeColor="text1"/>
          <w:kern w:val="2"/>
          <w:sz w:val="32"/>
          <w:szCs w:val="24"/>
          <w14:textFill>
            <w14:solidFill>
              <w14:schemeClr w14:val="tx1"/>
            </w14:solidFill>
          </w14:textFill>
        </w:rPr>
        <w:t>95</w:t>
      </w:r>
      <w:r>
        <w:rPr>
          <w:rFonts w:hint="eastAsia" w:ascii="仿宋_GB2312" w:hAnsi="仿宋_GB2312" w:eastAsia="仿宋_GB2312"/>
          <w:b w:val="0"/>
          <w:bCs w:val="0"/>
          <w:color w:val="000000" w:themeColor="text1"/>
          <w:kern w:val="2"/>
          <w:sz w:val="32"/>
          <w:szCs w:val="24"/>
          <w14:textFill>
            <w14:solidFill>
              <w14:schemeClr w14:val="tx1"/>
            </w14:solidFill>
          </w14:textFill>
        </w:rPr>
        <w:t>万元，完成预算的</w:t>
      </w:r>
      <w:r>
        <w:rPr>
          <w:rFonts w:hint="eastAsia" w:ascii="Times New Roman" w:hAnsi="Times New Roman" w:eastAsia="仿宋_GB2312"/>
          <w:b w:val="0"/>
          <w:bCs w:val="0"/>
          <w:color w:val="000000" w:themeColor="text1"/>
          <w:kern w:val="2"/>
          <w:sz w:val="32"/>
          <w:szCs w:val="24"/>
          <w14:textFill>
            <w14:solidFill>
              <w14:schemeClr w14:val="tx1"/>
            </w14:solidFill>
          </w14:textFill>
        </w:rPr>
        <w:t>100</w:t>
      </w:r>
      <w:r>
        <w:rPr>
          <w:rFonts w:hint="eastAsia" w:ascii="仿宋_GB2312" w:hAnsi="仿宋_GB2312" w:eastAsia="仿宋_GB2312"/>
          <w:b w:val="0"/>
          <w:bCs w:val="0"/>
          <w:color w:val="000000" w:themeColor="text1"/>
          <w:kern w:val="2"/>
          <w:sz w:val="32"/>
          <w:szCs w:val="24"/>
          <w14:textFill>
            <w14:solidFill>
              <w14:schemeClr w14:val="tx1"/>
            </w14:solidFill>
          </w14:textFill>
        </w:rPr>
        <w:t>%；较上年增加</w:t>
      </w:r>
      <w:r>
        <w:rPr>
          <w:rFonts w:hint="eastAsia" w:ascii="Times New Roman" w:hAnsi="Times New Roman" w:eastAsia="仿宋_GB2312"/>
          <w:b w:val="0"/>
          <w:bCs w:val="0"/>
          <w:color w:val="000000" w:themeColor="text1"/>
          <w:kern w:val="2"/>
          <w:sz w:val="32"/>
          <w:szCs w:val="24"/>
          <w14:textFill>
            <w14:solidFill>
              <w14:schemeClr w14:val="tx1"/>
            </w14:solidFill>
          </w14:textFill>
        </w:rPr>
        <w:t>0</w:t>
      </w:r>
      <w:r>
        <w:rPr>
          <w:rFonts w:hint="eastAsia" w:ascii="仿宋_GB2312" w:hAnsi="仿宋_GB2312" w:eastAsia="仿宋_GB2312"/>
          <w:b w:val="0"/>
          <w:bCs w:val="0"/>
          <w:color w:val="000000" w:themeColor="text1"/>
          <w:kern w:val="2"/>
          <w:sz w:val="32"/>
          <w:szCs w:val="24"/>
          <w14:textFill>
            <w14:solidFill>
              <w14:schemeClr w14:val="tx1"/>
            </w14:solidFill>
          </w14:textFill>
        </w:rPr>
        <w:t>.</w:t>
      </w:r>
      <w:r>
        <w:rPr>
          <w:rFonts w:hint="eastAsia" w:ascii="Times New Roman" w:hAnsi="Times New Roman" w:eastAsia="仿宋_GB2312"/>
          <w:b w:val="0"/>
          <w:bCs w:val="0"/>
          <w:color w:val="000000" w:themeColor="text1"/>
          <w:kern w:val="2"/>
          <w:sz w:val="32"/>
          <w:szCs w:val="24"/>
          <w14:textFill>
            <w14:solidFill>
              <w14:schemeClr w14:val="tx1"/>
            </w14:solidFill>
          </w14:textFill>
        </w:rPr>
        <w:t>59</w:t>
      </w:r>
      <w:r>
        <w:rPr>
          <w:rFonts w:hint="eastAsia" w:ascii="仿宋_GB2312" w:hAnsi="仿宋_GB2312" w:eastAsia="仿宋_GB2312"/>
          <w:b w:val="0"/>
          <w:bCs w:val="0"/>
          <w:color w:val="000000" w:themeColor="text1"/>
          <w:kern w:val="2"/>
          <w:sz w:val="32"/>
          <w:szCs w:val="24"/>
          <w14:textFill>
            <w14:solidFill>
              <w14:schemeClr w14:val="tx1"/>
            </w14:solidFill>
          </w14:textFill>
        </w:rPr>
        <w:t>万元，增长</w:t>
      </w:r>
      <w:r>
        <w:rPr>
          <w:rFonts w:hint="eastAsia" w:ascii="Times New Roman" w:hAnsi="Times New Roman" w:eastAsia="仿宋_GB2312"/>
          <w:b w:val="0"/>
          <w:bCs w:val="0"/>
          <w:color w:val="000000" w:themeColor="text1"/>
          <w:kern w:val="2"/>
          <w:sz w:val="32"/>
          <w:szCs w:val="24"/>
          <w14:textFill>
            <w14:solidFill>
              <w14:schemeClr w14:val="tx1"/>
            </w14:solidFill>
          </w14:textFill>
        </w:rPr>
        <w:t>2</w:t>
      </w:r>
      <w:r>
        <w:rPr>
          <w:rFonts w:hint="eastAsia" w:ascii="仿宋_GB2312" w:hAnsi="仿宋_GB2312" w:eastAsia="仿宋_GB2312"/>
          <w:b w:val="0"/>
          <w:bCs w:val="0"/>
          <w:color w:val="000000" w:themeColor="text1"/>
          <w:kern w:val="2"/>
          <w:sz w:val="32"/>
          <w:szCs w:val="24"/>
          <w14:textFill>
            <w14:solidFill>
              <w14:schemeClr w14:val="tx1"/>
            </w14:solidFill>
          </w14:textFill>
        </w:rPr>
        <w:t>%。决算数与预算数持平的主要原因是严格按照年初预算数控制该项经费。</w:t>
      </w:r>
    </w:p>
    <w:p w14:paraId="0B4D7CE1">
      <w:pPr>
        <w:keepNext w:val="0"/>
        <w:keepLines w:val="0"/>
        <w:pageBreakBefore w:val="0"/>
        <w:widowControl w:val="0"/>
        <w:kinsoku/>
        <w:wordWrap/>
        <w:overflowPunct w:val="0"/>
        <w:topLinePunct/>
        <w:autoSpaceDE w:val="0"/>
        <w:autoSpaceDN w:val="0"/>
        <w:bidi w:val="0"/>
        <w:adjustRightInd w:val="0"/>
        <w:snapToGrid/>
        <w:spacing w:line="600" w:lineRule="exact"/>
        <w:ind w:firstLine="640" w:firstLineChars="200"/>
        <w:jc w:val="both"/>
        <w:textAlignment w:val="auto"/>
        <w:rPr>
          <w:rFonts w:hint="eastAsia" w:ascii="楷体_GB2312" w:hAnsi="楷体_GB2312" w:eastAsia="楷体_GB2312" w:cs="楷体_GB2312"/>
          <w:b w:val="0"/>
          <w:bCs w:val="0"/>
          <w:color w:val="000000" w:themeColor="text1"/>
          <w:kern w:val="2"/>
          <w:sz w:val="32"/>
          <w:szCs w:val="24"/>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24"/>
          <w14:textFill>
            <w14:solidFill>
              <w14:schemeClr w14:val="tx1"/>
            </w14:solidFill>
          </w14:textFill>
        </w:rPr>
        <w:t>（二）“三公”经费财政拨款支出决算具体情况说明</w:t>
      </w:r>
    </w:p>
    <w:p w14:paraId="6CBC10B7">
      <w:pPr>
        <w:keepNext w:val="0"/>
        <w:keepLines w:val="0"/>
        <w:pageBreakBefore w:val="0"/>
        <w:widowControl w:val="0"/>
        <w:kinsoku/>
        <w:wordWrap/>
        <w:overflowPunct w:val="0"/>
        <w:topLinePunct/>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b w:val="0"/>
          <w:bCs w:val="0"/>
          <w:color w:val="000000" w:themeColor="text1"/>
          <w:kern w:val="2"/>
          <w:sz w:val="32"/>
          <w:szCs w:val="24"/>
          <w14:textFill>
            <w14:solidFill>
              <w14:schemeClr w14:val="tx1"/>
            </w14:solidFill>
          </w14:textFill>
        </w:rPr>
      </w:pPr>
      <w:r>
        <w:rPr>
          <w:rFonts w:hint="eastAsia" w:ascii="Times New Roman" w:hAnsi="Times New Roman" w:eastAsia="仿宋_GB2312"/>
          <w:b w:val="0"/>
          <w:bCs w:val="0"/>
          <w:color w:val="000000" w:themeColor="text1"/>
          <w:kern w:val="2"/>
          <w:sz w:val="32"/>
          <w:szCs w:val="24"/>
          <w14:textFill>
            <w14:solidFill>
              <w14:schemeClr w14:val="tx1"/>
            </w14:solidFill>
          </w14:textFill>
        </w:rPr>
        <w:t>2023</w:t>
      </w:r>
      <w:r>
        <w:rPr>
          <w:rFonts w:hint="eastAsia" w:ascii="仿宋_GB2312" w:hAnsi="仿宋_GB2312" w:eastAsia="仿宋_GB2312"/>
          <w:b w:val="0"/>
          <w:bCs w:val="0"/>
          <w:color w:val="000000" w:themeColor="text1"/>
          <w:kern w:val="2"/>
          <w:sz w:val="32"/>
          <w:szCs w:val="24"/>
          <w14:textFill>
            <w14:solidFill>
              <w14:schemeClr w14:val="tx1"/>
            </w14:solidFill>
          </w14:textFill>
        </w:rPr>
        <w:t xml:space="preserve">年度“三公”经费财政拨款支出决算中，因公出国（境）费支出决算 </w:t>
      </w:r>
      <w:r>
        <w:rPr>
          <w:rFonts w:hint="eastAsia" w:ascii="Times New Roman" w:hAnsi="Times New Roman" w:eastAsia="仿宋_GB2312"/>
          <w:b w:val="0"/>
          <w:bCs w:val="0"/>
          <w:color w:val="000000" w:themeColor="text1"/>
          <w:kern w:val="2"/>
          <w:sz w:val="32"/>
          <w:szCs w:val="24"/>
          <w14:textFill>
            <w14:solidFill>
              <w14:schemeClr w14:val="tx1"/>
            </w14:solidFill>
          </w14:textFill>
        </w:rPr>
        <w:t>0</w:t>
      </w:r>
      <w:r>
        <w:rPr>
          <w:rFonts w:hint="eastAsia" w:ascii="仿宋_GB2312" w:hAnsi="仿宋_GB2312" w:eastAsia="仿宋_GB2312"/>
          <w:b w:val="0"/>
          <w:bCs w:val="0"/>
          <w:color w:val="000000" w:themeColor="text1"/>
          <w:kern w:val="2"/>
          <w:sz w:val="32"/>
          <w:szCs w:val="24"/>
          <w14:textFill>
            <w14:solidFill>
              <w14:schemeClr w14:val="tx1"/>
            </w14:solidFill>
          </w14:textFill>
        </w:rPr>
        <w:t>万元，占</w:t>
      </w:r>
      <w:r>
        <w:rPr>
          <w:rFonts w:hint="eastAsia" w:ascii="Times New Roman" w:hAnsi="Times New Roman" w:eastAsia="仿宋_GB2312"/>
          <w:b w:val="0"/>
          <w:bCs w:val="0"/>
          <w:color w:val="000000" w:themeColor="text1"/>
          <w:kern w:val="2"/>
          <w:sz w:val="32"/>
          <w:szCs w:val="24"/>
          <w14:textFill>
            <w14:solidFill>
              <w14:schemeClr w14:val="tx1"/>
            </w14:solidFill>
          </w14:textFill>
        </w:rPr>
        <w:t>0</w:t>
      </w:r>
      <w:r>
        <w:rPr>
          <w:rFonts w:hint="eastAsia" w:ascii="仿宋_GB2312" w:hAnsi="仿宋_GB2312" w:eastAsia="仿宋_GB2312"/>
          <w:b w:val="0"/>
          <w:bCs w:val="0"/>
          <w:color w:val="000000" w:themeColor="text1"/>
          <w:kern w:val="2"/>
          <w:sz w:val="32"/>
          <w:szCs w:val="24"/>
          <w14:textFill>
            <w14:solidFill>
              <w14:schemeClr w14:val="tx1"/>
            </w14:solidFill>
          </w14:textFill>
        </w:rPr>
        <w:t>%；公务用车购置及运行维护费支出决算</w:t>
      </w:r>
      <w:r>
        <w:rPr>
          <w:rFonts w:hint="eastAsia" w:ascii="Times New Roman" w:hAnsi="Times New Roman" w:eastAsia="仿宋_GB2312"/>
          <w:b w:val="0"/>
          <w:bCs w:val="0"/>
          <w:color w:val="000000" w:themeColor="text1"/>
          <w:kern w:val="2"/>
          <w:sz w:val="32"/>
          <w:szCs w:val="24"/>
          <w14:textFill>
            <w14:solidFill>
              <w14:schemeClr w14:val="tx1"/>
            </w14:solidFill>
          </w14:textFill>
        </w:rPr>
        <w:t>0</w:t>
      </w:r>
      <w:r>
        <w:rPr>
          <w:rFonts w:hint="eastAsia" w:ascii="仿宋_GB2312" w:hAnsi="仿宋_GB2312" w:eastAsia="仿宋_GB2312"/>
          <w:b w:val="0"/>
          <w:bCs w:val="0"/>
          <w:color w:val="000000" w:themeColor="text1"/>
          <w:kern w:val="2"/>
          <w:sz w:val="32"/>
          <w:szCs w:val="24"/>
          <w14:textFill>
            <w14:solidFill>
              <w14:schemeClr w14:val="tx1"/>
            </w14:solidFill>
          </w14:textFill>
        </w:rPr>
        <w:t>万元，占</w:t>
      </w:r>
      <w:r>
        <w:rPr>
          <w:rFonts w:hint="eastAsia" w:ascii="Times New Roman" w:hAnsi="Times New Roman" w:eastAsia="仿宋_GB2312"/>
          <w:b w:val="0"/>
          <w:bCs w:val="0"/>
          <w:color w:val="000000" w:themeColor="text1"/>
          <w:kern w:val="2"/>
          <w:sz w:val="32"/>
          <w:szCs w:val="24"/>
          <w14:textFill>
            <w14:solidFill>
              <w14:schemeClr w14:val="tx1"/>
            </w14:solidFill>
          </w14:textFill>
        </w:rPr>
        <w:t>0</w:t>
      </w:r>
      <w:r>
        <w:rPr>
          <w:rFonts w:hint="eastAsia" w:ascii="仿宋_GB2312" w:hAnsi="仿宋_GB2312" w:eastAsia="仿宋_GB2312"/>
          <w:b w:val="0"/>
          <w:bCs w:val="0"/>
          <w:color w:val="000000" w:themeColor="text1"/>
          <w:kern w:val="2"/>
          <w:sz w:val="32"/>
          <w:szCs w:val="24"/>
          <w14:textFill>
            <w14:solidFill>
              <w14:schemeClr w14:val="tx1"/>
            </w14:solidFill>
          </w14:textFill>
        </w:rPr>
        <w:t>%；公务接待费支出决算</w:t>
      </w:r>
      <w:r>
        <w:rPr>
          <w:rFonts w:hint="eastAsia" w:ascii="Times New Roman" w:hAnsi="Times New Roman" w:eastAsia="仿宋_GB2312"/>
          <w:b w:val="0"/>
          <w:bCs w:val="0"/>
          <w:color w:val="000000" w:themeColor="text1"/>
          <w:kern w:val="2"/>
          <w:sz w:val="32"/>
          <w:szCs w:val="24"/>
          <w14:textFill>
            <w14:solidFill>
              <w14:schemeClr w14:val="tx1"/>
            </w14:solidFill>
          </w14:textFill>
        </w:rPr>
        <w:t>2</w:t>
      </w:r>
      <w:r>
        <w:rPr>
          <w:rFonts w:hint="eastAsia" w:ascii="仿宋_GB2312" w:hAnsi="仿宋_GB2312" w:eastAsia="仿宋_GB2312"/>
          <w:b w:val="0"/>
          <w:bCs w:val="0"/>
          <w:color w:val="000000" w:themeColor="text1"/>
          <w:kern w:val="2"/>
          <w:sz w:val="32"/>
          <w:szCs w:val="24"/>
          <w14:textFill>
            <w14:solidFill>
              <w14:schemeClr w14:val="tx1"/>
            </w14:solidFill>
          </w14:textFill>
        </w:rPr>
        <w:t>.</w:t>
      </w:r>
      <w:r>
        <w:rPr>
          <w:rFonts w:hint="eastAsia" w:ascii="Times New Roman" w:hAnsi="Times New Roman" w:eastAsia="仿宋_GB2312"/>
          <w:b w:val="0"/>
          <w:bCs w:val="0"/>
          <w:color w:val="000000" w:themeColor="text1"/>
          <w:kern w:val="2"/>
          <w:sz w:val="32"/>
          <w:szCs w:val="24"/>
          <w14:textFill>
            <w14:solidFill>
              <w14:schemeClr w14:val="tx1"/>
            </w14:solidFill>
          </w14:textFill>
        </w:rPr>
        <w:t>95</w:t>
      </w:r>
      <w:r>
        <w:rPr>
          <w:rFonts w:hint="eastAsia" w:ascii="仿宋_GB2312" w:hAnsi="仿宋_GB2312" w:eastAsia="仿宋_GB2312"/>
          <w:b w:val="0"/>
          <w:bCs w:val="0"/>
          <w:color w:val="000000" w:themeColor="text1"/>
          <w:kern w:val="2"/>
          <w:sz w:val="32"/>
          <w:szCs w:val="24"/>
          <w14:textFill>
            <w14:solidFill>
              <w14:schemeClr w14:val="tx1"/>
            </w14:solidFill>
          </w14:textFill>
        </w:rPr>
        <w:t>万元，占</w:t>
      </w:r>
      <w:r>
        <w:rPr>
          <w:rFonts w:hint="eastAsia" w:ascii="Times New Roman" w:eastAsia="仿宋_GB2312"/>
          <w:b w:val="0"/>
          <w:bCs w:val="0"/>
          <w:color w:val="000000" w:themeColor="text1"/>
          <w:kern w:val="2"/>
          <w:sz w:val="32"/>
          <w:szCs w:val="24"/>
          <w:lang w:val="en-US" w:eastAsia="zh-CN"/>
          <w14:textFill>
            <w14:solidFill>
              <w14:schemeClr w14:val="tx1"/>
            </w14:solidFill>
          </w14:textFill>
        </w:rPr>
        <w:t>100</w:t>
      </w:r>
      <w:r>
        <w:rPr>
          <w:rFonts w:hint="eastAsia" w:ascii="仿宋_GB2312" w:hAnsi="仿宋_GB2312" w:eastAsia="仿宋_GB2312"/>
          <w:b w:val="0"/>
          <w:bCs w:val="0"/>
          <w:color w:val="000000" w:themeColor="text1"/>
          <w:kern w:val="2"/>
          <w:sz w:val="32"/>
          <w:szCs w:val="24"/>
          <w14:textFill>
            <w14:solidFill>
              <w14:schemeClr w14:val="tx1"/>
            </w14:solidFill>
          </w14:textFill>
        </w:rPr>
        <w:t>%。具体情况如下：</w:t>
      </w:r>
    </w:p>
    <w:p w14:paraId="398D96F8">
      <w:pPr>
        <w:pStyle w:val="2"/>
        <w:ind w:left="0" w:leftChars="0" w:firstLine="480" w:firstLineChars="150"/>
        <w:rPr>
          <w:rFonts w:hint="eastAsia" w:eastAsia="仿宋_GB2312"/>
          <w:lang w:eastAsia="zh-CN"/>
        </w:rPr>
      </w:pPr>
      <w:r>
        <w:rPr>
          <w:rFonts w:hint="eastAsia" w:ascii="Times New Roman" w:eastAsia="仿宋_GB2312"/>
          <w:color w:val="000000"/>
          <w:kern w:val="2"/>
          <w:sz w:val="32"/>
          <w:szCs w:val="24"/>
        </w:rPr>
        <w:drawing>
          <wp:inline distT="0" distB="0" distL="114300" distR="114300">
            <wp:extent cx="5256530" cy="2988310"/>
            <wp:effectExtent l="5080" t="4445" r="15240" b="17145"/>
            <wp:docPr id="10" name="图表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C333088">
      <w:pPr>
        <w:keepNext w:val="0"/>
        <w:keepLines w:val="0"/>
        <w:pageBreakBefore w:val="0"/>
        <w:widowControl w:val="0"/>
        <w:kinsoku/>
        <w:wordWrap/>
        <w:overflowPunct w:val="0"/>
        <w:topLinePunct/>
        <w:bidi w:val="0"/>
        <w:snapToGrid/>
        <w:spacing w:line="576" w:lineRule="exact"/>
        <w:ind w:firstLine="640" w:firstLineChars="200"/>
        <w:jc w:val="both"/>
        <w:textAlignment w:val="auto"/>
        <w:rPr>
          <w:rFonts w:hint="eastAsia" w:ascii="仿宋_GB2312" w:hAnsi="仿宋_GB2312" w:eastAsia="仿宋_GB2312" w:cs="仿宋_GB2312"/>
          <w:b w:val="0"/>
          <w:bCs w:val="0"/>
          <w:color w:val="000000" w:themeColor="text1"/>
          <w:kern w:val="2"/>
          <w:sz w:val="32"/>
          <w:szCs w:val="24"/>
          <w:highlight w:val="none"/>
          <w14:textFill>
            <w14:solidFill>
              <w14:schemeClr w14:val="tx1"/>
            </w14:solidFill>
          </w14:textFill>
        </w:rPr>
      </w:pPr>
      <w:r>
        <w:rPr>
          <w:rFonts w:hint="eastAsia" w:ascii="Times New Roman" w:hAnsi="Times New Roman" w:eastAsia="仿宋_GB2312"/>
          <w:b w:val="0"/>
          <w:bCs w:val="0"/>
          <w:color w:val="000000" w:themeColor="text1"/>
          <w:kern w:val="2"/>
          <w:sz w:val="32"/>
          <w:szCs w:val="24"/>
          <w14:textFill>
            <w14:solidFill>
              <w14:schemeClr w14:val="tx1"/>
            </w14:solidFill>
          </w14:textFill>
        </w:rPr>
        <w:t>1</w:t>
      </w:r>
      <w:r>
        <w:rPr>
          <w:rFonts w:hint="eastAsia" w:ascii="仿宋_GB2312" w:hAnsi="仿宋_GB2312" w:eastAsia="仿宋_GB2312"/>
          <w:b w:val="0"/>
          <w:bCs w:val="0"/>
          <w:color w:val="000000" w:themeColor="text1"/>
          <w:kern w:val="2"/>
          <w:sz w:val="32"/>
          <w:szCs w:val="24"/>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24"/>
          <w14:textFill>
            <w14:solidFill>
              <w14:schemeClr w14:val="tx1"/>
            </w14:solidFill>
          </w14:textFill>
        </w:rPr>
        <w:t>因公出国（境）经费预算为0万元，支出决算为0万元，完成预算的0%。全年安排因公出国（境）团组0个，出国（境）0人。</w:t>
      </w:r>
      <w:r>
        <w:rPr>
          <w:rFonts w:hint="eastAsia" w:ascii="仿宋_GB2312" w:hAnsi="仿宋_GB2312" w:eastAsia="仿宋_GB2312" w:cs="仿宋_GB2312"/>
          <w:sz w:val="32"/>
          <w:szCs w:val="24"/>
          <w:highlight w:val="none"/>
        </w:rPr>
        <w:t>因公出国（境）支出决算较2022年度无变化</w:t>
      </w:r>
    </w:p>
    <w:p w14:paraId="50573750">
      <w:pPr>
        <w:overflowPunct w:val="0"/>
        <w:topLinePunct/>
        <w:spacing w:beforeLines="0" w:afterLines="0" w:line="576" w:lineRule="exact"/>
        <w:ind w:firstLine="640" w:firstLineChars="200"/>
        <w:jc w:val="both"/>
        <w:rPr>
          <w:rFonts w:hint="eastAsia" w:ascii="仿宋_GB2312" w:hAnsi="仿宋_GB2312" w:eastAsia="仿宋_GB2312"/>
          <w:b w:val="0"/>
          <w:bCs w:val="0"/>
          <w:color w:val="000000" w:themeColor="text1"/>
          <w:kern w:val="2"/>
          <w:sz w:val="32"/>
          <w:szCs w:val="24"/>
          <w14:textFill>
            <w14:solidFill>
              <w14:schemeClr w14:val="tx1"/>
            </w14:solidFill>
          </w14:textFill>
        </w:rPr>
      </w:pPr>
      <w:r>
        <w:rPr>
          <w:rFonts w:hint="eastAsia" w:ascii="Times New Roman" w:eastAsia="仿宋_GB2312"/>
          <w:color w:val="000000"/>
          <w:kern w:val="2"/>
          <w:sz w:val="32"/>
          <w:szCs w:val="24"/>
        </w:rPr>
        <w:t>2</w:t>
      </w:r>
      <w:r>
        <w:rPr>
          <w:rFonts w:hint="eastAsia" w:ascii="仿宋_GB2312" w:hAnsi="仿宋_GB2312" w:eastAsia="仿宋_GB2312"/>
          <w:color w:val="000000"/>
          <w:kern w:val="2"/>
          <w:sz w:val="32"/>
          <w:szCs w:val="24"/>
        </w:rPr>
        <w:t>.公务用车购置及运行维护费预算为</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万元,支出决算为</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万元，完成预算的</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%。公务用车购置及运行维护费支出决算比</w:t>
      </w:r>
      <w:r>
        <w:rPr>
          <w:rFonts w:hint="eastAsia" w:ascii="Times New Roman" w:eastAsia="仿宋_GB2312"/>
          <w:color w:val="000000"/>
          <w:kern w:val="2"/>
          <w:sz w:val="32"/>
          <w:szCs w:val="24"/>
        </w:rPr>
        <w:t>2022</w:t>
      </w:r>
      <w:r>
        <w:rPr>
          <w:rFonts w:hint="eastAsia" w:ascii="仿宋_GB2312" w:hAnsi="仿宋_GB2312" w:eastAsia="仿宋_GB2312"/>
          <w:color w:val="000000"/>
          <w:kern w:val="2"/>
          <w:sz w:val="32"/>
          <w:szCs w:val="24"/>
        </w:rPr>
        <w:t>年度</w:t>
      </w:r>
      <w:r>
        <w:rPr>
          <w:rFonts w:hint="eastAsia" w:ascii="仿宋_GB2312" w:hAnsi="仿宋_GB2312" w:eastAsia="仿宋_GB2312"/>
          <w:color w:val="000000"/>
          <w:kern w:val="2"/>
          <w:sz w:val="32"/>
          <w:szCs w:val="24"/>
          <w:highlight w:val="none"/>
          <w:lang w:val="en-US" w:eastAsia="zh-CN"/>
        </w:rPr>
        <w:t>持平</w:t>
      </w:r>
      <w:r>
        <w:rPr>
          <w:rFonts w:hint="eastAsia" w:ascii="仿宋_GB2312" w:hAnsi="仿宋_GB2312" w:eastAsia="仿宋_GB2312"/>
          <w:color w:val="000000"/>
          <w:kern w:val="2"/>
          <w:sz w:val="32"/>
          <w:szCs w:val="24"/>
          <w:highlight w:val="none"/>
        </w:rPr>
        <w:t>。</w:t>
      </w:r>
      <w:r>
        <w:rPr>
          <w:rFonts w:hint="eastAsia" w:ascii="仿宋_GB2312" w:hAnsi="仿宋_GB2312" w:eastAsia="仿宋_GB2312"/>
          <w:b w:val="0"/>
          <w:bCs w:val="0"/>
          <w:color w:val="000000" w:themeColor="text1"/>
          <w:kern w:val="2"/>
          <w:sz w:val="32"/>
          <w:szCs w:val="24"/>
          <w14:textFill>
            <w14:solidFill>
              <w14:schemeClr w14:val="tx1"/>
            </w14:solidFill>
          </w14:textFill>
        </w:rPr>
        <w:t>其中：轿车</w:t>
      </w:r>
      <w:r>
        <w:rPr>
          <w:rFonts w:hint="eastAsia" w:ascii="Times New Roman" w:hAnsi="Times New Roman" w:eastAsia="仿宋_GB2312"/>
          <w:b w:val="0"/>
          <w:bCs w:val="0"/>
          <w:color w:val="000000" w:themeColor="text1"/>
          <w:kern w:val="2"/>
          <w:sz w:val="32"/>
          <w:szCs w:val="24"/>
          <w14:textFill>
            <w14:solidFill>
              <w14:schemeClr w14:val="tx1"/>
            </w14:solidFill>
          </w14:textFill>
        </w:rPr>
        <w:t>0</w:t>
      </w:r>
      <w:r>
        <w:rPr>
          <w:rFonts w:hint="eastAsia" w:ascii="仿宋_GB2312" w:hAnsi="仿宋_GB2312" w:eastAsia="仿宋_GB2312"/>
          <w:b w:val="0"/>
          <w:bCs w:val="0"/>
          <w:color w:val="000000" w:themeColor="text1"/>
          <w:kern w:val="2"/>
          <w:sz w:val="32"/>
          <w:szCs w:val="24"/>
          <w14:textFill>
            <w14:solidFill>
              <w14:schemeClr w14:val="tx1"/>
            </w14:solidFill>
          </w14:textFill>
        </w:rPr>
        <w:t>辆、金额</w:t>
      </w:r>
      <w:r>
        <w:rPr>
          <w:rFonts w:hint="eastAsia" w:ascii="Times New Roman" w:hAnsi="Times New Roman" w:eastAsia="仿宋_GB2312"/>
          <w:b w:val="0"/>
          <w:bCs w:val="0"/>
          <w:color w:val="000000" w:themeColor="text1"/>
          <w:kern w:val="2"/>
          <w:sz w:val="32"/>
          <w:szCs w:val="24"/>
          <w14:textFill>
            <w14:solidFill>
              <w14:schemeClr w14:val="tx1"/>
            </w14:solidFill>
          </w14:textFill>
        </w:rPr>
        <w:t>0</w:t>
      </w:r>
      <w:r>
        <w:rPr>
          <w:rFonts w:hint="eastAsia" w:ascii="仿宋_GB2312" w:hAnsi="仿宋_GB2312" w:eastAsia="仿宋_GB2312"/>
          <w:b w:val="0"/>
          <w:bCs w:val="0"/>
          <w:color w:val="000000" w:themeColor="text1"/>
          <w:kern w:val="2"/>
          <w:sz w:val="32"/>
          <w:szCs w:val="24"/>
          <w14:textFill>
            <w14:solidFill>
              <w14:schemeClr w14:val="tx1"/>
            </w14:solidFill>
          </w14:textFill>
        </w:rPr>
        <w:t>万元，越野车</w:t>
      </w:r>
      <w:r>
        <w:rPr>
          <w:rFonts w:hint="eastAsia" w:ascii="Times New Roman" w:hAnsi="Times New Roman" w:eastAsia="仿宋_GB2312"/>
          <w:b w:val="0"/>
          <w:bCs w:val="0"/>
          <w:color w:val="000000" w:themeColor="text1"/>
          <w:kern w:val="2"/>
          <w:sz w:val="32"/>
          <w:szCs w:val="24"/>
          <w14:textFill>
            <w14:solidFill>
              <w14:schemeClr w14:val="tx1"/>
            </w14:solidFill>
          </w14:textFill>
        </w:rPr>
        <w:t>0</w:t>
      </w:r>
      <w:r>
        <w:rPr>
          <w:rFonts w:hint="eastAsia" w:ascii="仿宋_GB2312" w:hAnsi="仿宋_GB2312" w:eastAsia="仿宋_GB2312"/>
          <w:b w:val="0"/>
          <w:bCs w:val="0"/>
          <w:color w:val="000000" w:themeColor="text1"/>
          <w:kern w:val="2"/>
          <w:sz w:val="32"/>
          <w:szCs w:val="24"/>
          <w14:textFill>
            <w14:solidFill>
              <w14:schemeClr w14:val="tx1"/>
            </w14:solidFill>
          </w14:textFill>
        </w:rPr>
        <w:t>辆、金额</w:t>
      </w:r>
      <w:r>
        <w:rPr>
          <w:rFonts w:hint="eastAsia" w:ascii="Times New Roman" w:hAnsi="Times New Roman" w:eastAsia="仿宋_GB2312"/>
          <w:b w:val="0"/>
          <w:bCs w:val="0"/>
          <w:color w:val="000000" w:themeColor="text1"/>
          <w:kern w:val="2"/>
          <w:sz w:val="32"/>
          <w:szCs w:val="24"/>
          <w14:textFill>
            <w14:solidFill>
              <w14:schemeClr w14:val="tx1"/>
            </w14:solidFill>
          </w14:textFill>
        </w:rPr>
        <w:t>0</w:t>
      </w:r>
      <w:r>
        <w:rPr>
          <w:rFonts w:hint="eastAsia" w:ascii="仿宋_GB2312" w:hAnsi="仿宋_GB2312" w:eastAsia="仿宋_GB2312"/>
          <w:b w:val="0"/>
          <w:bCs w:val="0"/>
          <w:color w:val="000000" w:themeColor="text1"/>
          <w:kern w:val="2"/>
          <w:sz w:val="32"/>
          <w:szCs w:val="24"/>
          <w14:textFill>
            <w14:solidFill>
              <w14:schemeClr w14:val="tx1"/>
            </w14:solidFill>
          </w14:textFill>
        </w:rPr>
        <w:t>万元，小型客车</w:t>
      </w:r>
      <w:r>
        <w:rPr>
          <w:rFonts w:hint="eastAsia" w:ascii="Times New Roman" w:hAnsi="Times New Roman" w:eastAsia="仿宋_GB2312"/>
          <w:b w:val="0"/>
          <w:bCs w:val="0"/>
          <w:color w:val="000000" w:themeColor="text1"/>
          <w:kern w:val="2"/>
          <w:sz w:val="32"/>
          <w:szCs w:val="24"/>
          <w14:textFill>
            <w14:solidFill>
              <w14:schemeClr w14:val="tx1"/>
            </w14:solidFill>
          </w14:textFill>
        </w:rPr>
        <w:t>0</w:t>
      </w:r>
      <w:r>
        <w:rPr>
          <w:rFonts w:hint="eastAsia" w:ascii="仿宋_GB2312" w:hAnsi="仿宋_GB2312" w:eastAsia="仿宋_GB2312"/>
          <w:b w:val="0"/>
          <w:bCs w:val="0"/>
          <w:color w:val="000000" w:themeColor="text1"/>
          <w:kern w:val="2"/>
          <w:sz w:val="32"/>
          <w:szCs w:val="24"/>
          <w14:textFill>
            <w14:solidFill>
              <w14:schemeClr w14:val="tx1"/>
            </w14:solidFill>
          </w14:textFill>
        </w:rPr>
        <w:t>辆、金额</w:t>
      </w:r>
      <w:r>
        <w:rPr>
          <w:rFonts w:hint="eastAsia" w:ascii="Times New Roman" w:hAnsi="Times New Roman" w:eastAsia="仿宋_GB2312"/>
          <w:b w:val="0"/>
          <w:bCs w:val="0"/>
          <w:color w:val="000000" w:themeColor="text1"/>
          <w:kern w:val="2"/>
          <w:sz w:val="32"/>
          <w:szCs w:val="24"/>
          <w14:textFill>
            <w14:solidFill>
              <w14:schemeClr w14:val="tx1"/>
            </w14:solidFill>
          </w14:textFill>
        </w:rPr>
        <w:t>0</w:t>
      </w:r>
      <w:r>
        <w:rPr>
          <w:rFonts w:hint="eastAsia" w:ascii="仿宋_GB2312" w:hAnsi="仿宋_GB2312" w:eastAsia="仿宋_GB2312"/>
          <w:b w:val="0"/>
          <w:bCs w:val="0"/>
          <w:color w:val="000000" w:themeColor="text1"/>
          <w:kern w:val="2"/>
          <w:sz w:val="32"/>
          <w:szCs w:val="24"/>
          <w14:textFill>
            <w14:solidFill>
              <w14:schemeClr w14:val="tx1"/>
            </w14:solidFill>
          </w14:textFill>
        </w:rPr>
        <w:t>万元，中型客车和大型客车</w:t>
      </w:r>
      <w:r>
        <w:rPr>
          <w:rFonts w:hint="eastAsia" w:ascii="Times New Roman" w:hAnsi="Times New Roman" w:eastAsia="仿宋_GB2312"/>
          <w:b w:val="0"/>
          <w:bCs w:val="0"/>
          <w:color w:val="000000" w:themeColor="text1"/>
          <w:kern w:val="2"/>
          <w:sz w:val="32"/>
          <w:szCs w:val="24"/>
          <w14:textFill>
            <w14:solidFill>
              <w14:schemeClr w14:val="tx1"/>
            </w14:solidFill>
          </w14:textFill>
        </w:rPr>
        <w:t>0</w:t>
      </w:r>
      <w:r>
        <w:rPr>
          <w:rFonts w:hint="eastAsia" w:ascii="仿宋_GB2312" w:hAnsi="仿宋_GB2312" w:eastAsia="仿宋_GB2312"/>
          <w:b w:val="0"/>
          <w:bCs w:val="0"/>
          <w:color w:val="000000" w:themeColor="text1"/>
          <w:kern w:val="2"/>
          <w:sz w:val="32"/>
          <w:szCs w:val="24"/>
          <w14:textFill>
            <w14:solidFill>
              <w14:schemeClr w14:val="tx1"/>
            </w14:solidFill>
          </w14:textFill>
        </w:rPr>
        <w:t>辆、金额</w:t>
      </w:r>
      <w:r>
        <w:rPr>
          <w:rFonts w:hint="eastAsia" w:ascii="Times New Roman" w:hAnsi="Times New Roman" w:eastAsia="仿宋_GB2312"/>
          <w:b w:val="0"/>
          <w:bCs w:val="0"/>
          <w:color w:val="000000" w:themeColor="text1"/>
          <w:kern w:val="2"/>
          <w:sz w:val="32"/>
          <w:szCs w:val="24"/>
          <w14:textFill>
            <w14:solidFill>
              <w14:schemeClr w14:val="tx1"/>
            </w14:solidFill>
          </w14:textFill>
        </w:rPr>
        <w:t>0</w:t>
      </w:r>
      <w:r>
        <w:rPr>
          <w:rFonts w:hint="eastAsia" w:ascii="仿宋_GB2312" w:hAnsi="仿宋_GB2312" w:eastAsia="仿宋_GB2312"/>
          <w:b w:val="0"/>
          <w:bCs w:val="0"/>
          <w:color w:val="000000" w:themeColor="text1"/>
          <w:kern w:val="2"/>
          <w:sz w:val="32"/>
          <w:szCs w:val="24"/>
          <w14:textFill>
            <w14:solidFill>
              <w14:schemeClr w14:val="tx1"/>
            </w14:solidFill>
          </w14:textFill>
        </w:rPr>
        <w:t>万元，其他车</w:t>
      </w:r>
      <w:r>
        <w:rPr>
          <w:rFonts w:hint="eastAsia" w:ascii="Times New Roman" w:hAnsi="Times New Roman" w:eastAsia="仿宋_GB2312"/>
          <w:b w:val="0"/>
          <w:bCs w:val="0"/>
          <w:color w:val="000000" w:themeColor="text1"/>
          <w:kern w:val="2"/>
          <w:sz w:val="32"/>
          <w:szCs w:val="24"/>
          <w14:textFill>
            <w14:solidFill>
              <w14:schemeClr w14:val="tx1"/>
            </w14:solidFill>
          </w14:textFill>
        </w:rPr>
        <w:t>0</w:t>
      </w:r>
      <w:r>
        <w:rPr>
          <w:rFonts w:hint="eastAsia" w:ascii="仿宋_GB2312" w:hAnsi="仿宋_GB2312" w:eastAsia="仿宋_GB2312"/>
          <w:b w:val="0"/>
          <w:bCs w:val="0"/>
          <w:color w:val="000000" w:themeColor="text1"/>
          <w:kern w:val="2"/>
          <w:sz w:val="32"/>
          <w:szCs w:val="24"/>
          <w14:textFill>
            <w14:solidFill>
              <w14:schemeClr w14:val="tx1"/>
            </w14:solidFill>
          </w14:textFill>
        </w:rPr>
        <w:t>辆、金额</w:t>
      </w:r>
      <w:r>
        <w:rPr>
          <w:rFonts w:hint="eastAsia" w:ascii="Times New Roman" w:hAnsi="Times New Roman" w:eastAsia="仿宋_GB2312"/>
          <w:b w:val="0"/>
          <w:bCs w:val="0"/>
          <w:color w:val="000000" w:themeColor="text1"/>
          <w:kern w:val="2"/>
          <w:sz w:val="32"/>
          <w:szCs w:val="24"/>
          <w14:textFill>
            <w14:solidFill>
              <w14:schemeClr w14:val="tx1"/>
            </w14:solidFill>
          </w14:textFill>
        </w:rPr>
        <w:t>0</w:t>
      </w:r>
      <w:r>
        <w:rPr>
          <w:rFonts w:hint="eastAsia" w:ascii="仿宋_GB2312" w:hAnsi="仿宋_GB2312" w:eastAsia="仿宋_GB2312"/>
          <w:b w:val="0"/>
          <w:bCs w:val="0"/>
          <w:color w:val="000000" w:themeColor="text1"/>
          <w:kern w:val="2"/>
          <w:sz w:val="32"/>
          <w:szCs w:val="24"/>
          <w14:textFill>
            <w14:solidFill>
              <w14:schemeClr w14:val="tx1"/>
            </w14:solidFill>
          </w14:textFill>
        </w:rPr>
        <w:t>万元。截至</w:t>
      </w:r>
      <w:r>
        <w:rPr>
          <w:rFonts w:hint="eastAsia" w:ascii="Times New Roman" w:hAnsi="Times New Roman" w:eastAsia="仿宋_GB2312"/>
          <w:b w:val="0"/>
          <w:bCs w:val="0"/>
          <w:color w:val="000000" w:themeColor="text1"/>
          <w:kern w:val="2"/>
          <w:sz w:val="32"/>
          <w:szCs w:val="24"/>
          <w14:textFill>
            <w14:solidFill>
              <w14:schemeClr w14:val="tx1"/>
            </w14:solidFill>
          </w14:textFill>
        </w:rPr>
        <w:t>2023</w:t>
      </w:r>
      <w:r>
        <w:rPr>
          <w:rFonts w:hint="eastAsia" w:ascii="仿宋_GB2312" w:hAnsi="仿宋_GB2312" w:eastAsia="仿宋_GB2312"/>
          <w:b w:val="0"/>
          <w:bCs w:val="0"/>
          <w:color w:val="000000" w:themeColor="text1"/>
          <w:kern w:val="2"/>
          <w:sz w:val="32"/>
          <w:szCs w:val="24"/>
          <w14:textFill>
            <w14:solidFill>
              <w14:schemeClr w14:val="tx1"/>
            </w14:solidFill>
          </w14:textFill>
        </w:rPr>
        <w:t>年</w:t>
      </w:r>
      <w:r>
        <w:rPr>
          <w:rFonts w:hint="eastAsia" w:ascii="Times New Roman" w:hAnsi="Times New Roman" w:eastAsia="仿宋_GB2312"/>
          <w:b w:val="0"/>
          <w:bCs w:val="0"/>
          <w:color w:val="000000" w:themeColor="text1"/>
          <w:kern w:val="2"/>
          <w:sz w:val="32"/>
          <w:szCs w:val="24"/>
          <w14:textFill>
            <w14:solidFill>
              <w14:schemeClr w14:val="tx1"/>
            </w14:solidFill>
          </w14:textFill>
        </w:rPr>
        <w:t>12</w:t>
      </w:r>
      <w:r>
        <w:rPr>
          <w:rFonts w:hint="eastAsia" w:ascii="仿宋_GB2312" w:hAnsi="仿宋_GB2312" w:eastAsia="仿宋_GB2312"/>
          <w:b w:val="0"/>
          <w:bCs w:val="0"/>
          <w:color w:val="000000" w:themeColor="text1"/>
          <w:kern w:val="2"/>
          <w:sz w:val="32"/>
          <w:szCs w:val="24"/>
          <w14:textFill>
            <w14:solidFill>
              <w14:schemeClr w14:val="tx1"/>
            </w14:solidFill>
          </w14:textFill>
        </w:rPr>
        <w:t>月</w:t>
      </w:r>
      <w:r>
        <w:rPr>
          <w:rFonts w:hint="eastAsia" w:ascii="Times New Roman" w:hAnsi="Times New Roman" w:eastAsia="仿宋_GB2312"/>
          <w:b w:val="0"/>
          <w:bCs w:val="0"/>
          <w:color w:val="000000" w:themeColor="text1"/>
          <w:kern w:val="2"/>
          <w:sz w:val="32"/>
          <w:szCs w:val="24"/>
          <w14:textFill>
            <w14:solidFill>
              <w14:schemeClr w14:val="tx1"/>
            </w14:solidFill>
          </w14:textFill>
        </w:rPr>
        <w:t>31</w:t>
      </w:r>
      <w:r>
        <w:rPr>
          <w:rFonts w:hint="eastAsia" w:ascii="仿宋_GB2312" w:hAnsi="仿宋_GB2312" w:eastAsia="仿宋_GB2312"/>
          <w:b w:val="0"/>
          <w:bCs w:val="0"/>
          <w:color w:val="000000" w:themeColor="text1"/>
          <w:kern w:val="2"/>
          <w:sz w:val="32"/>
          <w:szCs w:val="24"/>
          <w14:textFill>
            <w14:solidFill>
              <w14:schemeClr w14:val="tx1"/>
            </w14:solidFill>
          </w14:textFill>
        </w:rPr>
        <w:t>日，本部门共有公务用车</w:t>
      </w:r>
      <w:r>
        <w:rPr>
          <w:rFonts w:hint="eastAsia" w:ascii="Times New Roman" w:hAnsi="Times New Roman" w:eastAsia="仿宋_GB2312"/>
          <w:b w:val="0"/>
          <w:bCs w:val="0"/>
          <w:color w:val="000000" w:themeColor="text1"/>
          <w:kern w:val="2"/>
          <w:sz w:val="32"/>
          <w:szCs w:val="24"/>
          <w14:textFill>
            <w14:solidFill>
              <w14:schemeClr w14:val="tx1"/>
            </w14:solidFill>
          </w14:textFill>
        </w:rPr>
        <w:t>0</w:t>
      </w:r>
      <w:r>
        <w:rPr>
          <w:rFonts w:hint="eastAsia" w:ascii="仿宋_GB2312" w:hAnsi="仿宋_GB2312" w:eastAsia="仿宋_GB2312"/>
          <w:b w:val="0"/>
          <w:bCs w:val="0"/>
          <w:color w:val="000000" w:themeColor="text1"/>
          <w:kern w:val="2"/>
          <w:sz w:val="32"/>
          <w:szCs w:val="24"/>
          <w14:textFill>
            <w14:solidFill>
              <w14:schemeClr w14:val="tx1"/>
            </w14:solidFill>
          </w14:textFill>
        </w:rPr>
        <w:t>辆，其中：轿车</w:t>
      </w:r>
      <w:r>
        <w:rPr>
          <w:rFonts w:hint="eastAsia" w:ascii="Times New Roman" w:hAnsi="Times New Roman" w:eastAsia="仿宋_GB2312"/>
          <w:b w:val="0"/>
          <w:bCs w:val="0"/>
          <w:color w:val="000000" w:themeColor="text1"/>
          <w:kern w:val="2"/>
          <w:sz w:val="32"/>
          <w:szCs w:val="24"/>
          <w14:textFill>
            <w14:solidFill>
              <w14:schemeClr w14:val="tx1"/>
            </w14:solidFill>
          </w14:textFill>
        </w:rPr>
        <w:t>0</w:t>
      </w:r>
      <w:r>
        <w:rPr>
          <w:rFonts w:hint="eastAsia" w:ascii="仿宋_GB2312" w:hAnsi="仿宋_GB2312" w:eastAsia="仿宋_GB2312"/>
          <w:b w:val="0"/>
          <w:bCs w:val="0"/>
          <w:color w:val="000000" w:themeColor="text1"/>
          <w:kern w:val="2"/>
          <w:sz w:val="32"/>
          <w:szCs w:val="24"/>
          <w14:textFill>
            <w14:solidFill>
              <w14:schemeClr w14:val="tx1"/>
            </w14:solidFill>
          </w14:textFill>
        </w:rPr>
        <w:t>辆、越野车</w:t>
      </w:r>
      <w:r>
        <w:rPr>
          <w:rFonts w:hint="eastAsia" w:ascii="Times New Roman" w:eastAsia="仿宋_GB2312"/>
          <w:b w:val="0"/>
          <w:bCs w:val="0"/>
          <w:color w:val="000000" w:themeColor="text1"/>
          <w:kern w:val="2"/>
          <w:sz w:val="32"/>
          <w:szCs w:val="24"/>
          <w:lang w:val="en-US" w:eastAsia="zh-CN"/>
          <w14:textFill>
            <w14:solidFill>
              <w14:schemeClr w14:val="tx1"/>
            </w14:solidFill>
          </w14:textFill>
        </w:rPr>
        <w:t>0</w:t>
      </w:r>
      <w:r>
        <w:rPr>
          <w:rFonts w:hint="eastAsia" w:ascii="仿宋_GB2312" w:hAnsi="仿宋_GB2312" w:eastAsia="仿宋_GB2312"/>
          <w:b w:val="0"/>
          <w:bCs w:val="0"/>
          <w:color w:val="000000" w:themeColor="text1"/>
          <w:kern w:val="2"/>
          <w:sz w:val="32"/>
          <w:szCs w:val="24"/>
          <w14:textFill>
            <w14:solidFill>
              <w14:schemeClr w14:val="tx1"/>
            </w14:solidFill>
          </w14:textFill>
        </w:rPr>
        <w:t>辆、小型客车</w:t>
      </w:r>
      <w:r>
        <w:rPr>
          <w:rFonts w:hint="eastAsia" w:ascii="Times New Roman" w:hAnsi="Times New Roman" w:eastAsia="仿宋_GB2312"/>
          <w:b w:val="0"/>
          <w:bCs w:val="0"/>
          <w:color w:val="000000" w:themeColor="text1"/>
          <w:kern w:val="2"/>
          <w:sz w:val="32"/>
          <w:szCs w:val="24"/>
          <w14:textFill>
            <w14:solidFill>
              <w14:schemeClr w14:val="tx1"/>
            </w14:solidFill>
          </w14:textFill>
        </w:rPr>
        <w:t>0</w:t>
      </w:r>
      <w:r>
        <w:rPr>
          <w:rFonts w:hint="eastAsia" w:ascii="仿宋_GB2312" w:hAnsi="仿宋_GB2312" w:eastAsia="仿宋_GB2312"/>
          <w:b w:val="0"/>
          <w:bCs w:val="0"/>
          <w:color w:val="000000" w:themeColor="text1"/>
          <w:kern w:val="2"/>
          <w:sz w:val="32"/>
          <w:szCs w:val="24"/>
          <w14:textFill>
            <w14:solidFill>
              <w14:schemeClr w14:val="tx1"/>
            </w14:solidFill>
          </w14:textFill>
        </w:rPr>
        <w:t>辆、中型客车和大型客车</w:t>
      </w:r>
      <w:r>
        <w:rPr>
          <w:rFonts w:hint="eastAsia" w:ascii="Times New Roman" w:hAnsi="Times New Roman" w:eastAsia="仿宋_GB2312"/>
          <w:b w:val="0"/>
          <w:bCs w:val="0"/>
          <w:color w:val="000000" w:themeColor="text1"/>
          <w:kern w:val="2"/>
          <w:sz w:val="32"/>
          <w:szCs w:val="24"/>
          <w14:textFill>
            <w14:solidFill>
              <w14:schemeClr w14:val="tx1"/>
            </w14:solidFill>
          </w14:textFill>
        </w:rPr>
        <w:t>0</w:t>
      </w:r>
      <w:r>
        <w:rPr>
          <w:rFonts w:hint="eastAsia" w:ascii="仿宋_GB2312" w:hAnsi="仿宋_GB2312" w:eastAsia="仿宋_GB2312"/>
          <w:b w:val="0"/>
          <w:bCs w:val="0"/>
          <w:color w:val="000000" w:themeColor="text1"/>
          <w:kern w:val="2"/>
          <w:sz w:val="32"/>
          <w:szCs w:val="24"/>
          <w14:textFill>
            <w14:solidFill>
              <w14:schemeClr w14:val="tx1"/>
            </w14:solidFill>
          </w14:textFill>
        </w:rPr>
        <w:t>辆、其他车型</w:t>
      </w:r>
      <w:r>
        <w:rPr>
          <w:rFonts w:hint="eastAsia" w:ascii="Times New Roman" w:hAnsi="Times New Roman" w:eastAsia="仿宋_GB2312"/>
          <w:b w:val="0"/>
          <w:bCs w:val="0"/>
          <w:color w:val="000000" w:themeColor="text1"/>
          <w:kern w:val="2"/>
          <w:sz w:val="32"/>
          <w:szCs w:val="24"/>
          <w14:textFill>
            <w14:solidFill>
              <w14:schemeClr w14:val="tx1"/>
            </w14:solidFill>
          </w14:textFill>
        </w:rPr>
        <w:t>0</w:t>
      </w:r>
      <w:r>
        <w:rPr>
          <w:rFonts w:hint="eastAsia" w:ascii="仿宋_GB2312" w:hAnsi="仿宋_GB2312" w:eastAsia="仿宋_GB2312"/>
          <w:b w:val="0"/>
          <w:bCs w:val="0"/>
          <w:color w:val="000000" w:themeColor="text1"/>
          <w:kern w:val="2"/>
          <w:sz w:val="32"/>
          <w:szCs w:val="24"/>
          <w14:textFill>
            <w14:solidFill>
              <w14:schemeClr w14:val="tx1"/>
            </w14:solidFill>
          </w14:textFill>
        </w:rPr>
        <w:t>辆。</w:t>
      </w:r>
    </w:p>
    <w:p w14:paraId="6F682750">
      <w:pPr>
        <w:keepNext w:val="0"/>
        <w:keepLines w:val="0"/>
        <w:pageBreakBefore w:val="0"/>
        <w:widowControl w:val="0"/>
        <w:kinsoku/>
        <w:wordWrap/>
        <w:overflowPunct w:val="0"/>
        <w:topLinePunct/>
        <w:bidi w:val="0"/>
        <w:snapToGrid/>
        <w:spacing w:line="576" w:lineRule="exact"/>
        <w:ind w:firstLine="640" w:firstLineChars="200"/>
        <w:jc w:val="both"/>
        <w:textAlignment w:val="auto"/>
        <w:rPr>
          <w:rFonts w:hint="eastAsia" w:ascii="仿宋_GB2312" w:hAnsi="仿宋_GB2312" w:eastAsia="仿宋_GB2312"/>
          <w:b w:val="0"/>
          <w:bCs w:val="0"/>
          <w:color w:val="000000" w:themeColor="text1"/>
          <w:kern w:val="2"/>
          <w:sz w:val="32"/>
          <w:szCs w:val="24"/>
          <w14:textFill>
            <w14:solidFill>
              <w14:schemeClr w14:val="tx1"/>
            </w14:solidFill>
          </w14:textFill>
        </w:rPr>
      </w:pPr>
      <w:r>
        <w:rPr>
          <w:rFonts w:hint="eastAsia" w:ascii="仿宋_GB2312" w:hAnsi="仿宋_GB2312" w:eastAsia="仿宋_GB2312"/>
          <w:b w:val="0"/>
          <w:bCs w:val="0"/>
          <w:color w:val="000000" w:themeColor="text1"/>
          <w:kern w:val="2"/>
          <w:sz w:val="32"/>
          <w:szCs w:val="24"/>
          <w14:textFill>
            <w14:solidFill>
              <w14:schemeClr w14:val="tx1"/>
            </w14:solidFill>
          </w14:textFill>
        </w:rPr>
        <w:t>公务用车运行维护费支出</w:t>
      </w:r>
      <w:r>
        <w:rPr>
          <w:rFonts w:hint="eastAsia" w:ascii="Times New Roman" w:hAnsi="Times New Roman" w:eastAsia="仿宋_GB2312"/>
          <w:b w:val="0"/>
          <w:bCs w:val="0"/>
          <w:color w:val="000000" w:themeColor="text1"/>
          <w:kern w:val="2"/>
          <w:sz w:val="32"/>
          <w:szCs w:val="24"/>
          <w14:textFill>
            <w14:solidFill>
              <w14:schemeClr w14:val="tx1"/>
            </w14:solidFill>
          </w14:textFill>
        </w:rPr>
        <w:t>0</w:t>
      </w:r>
      <w:r>
        <w:rPr>
          <w:rFonts w:hint="eastAsia" w:ascii="仿宋_GB2312" w:hAnsi="仿宋_GB2312" w:eastAsia="仿宋_GB2312"/>
          <w:b w:val="0"/>
          <w:bCs w:val="0"/>
          <w:color w:val="000000" w:themeColor="text1"/>
          <w:kern w:val="2"/>
          <w:sz w:val="32"/>
          <w:szCs w:val="24"/>
          <w14:textFill>
            <w14:solidFill>
              <w14:schemeClr w14:val="tx1"/>
            </w14:solidFill>
          </w14:textFill>
        </w:rPr>
        <w:t>万元。</w:t>
      </w:r>
    </w:p>
    <w:p w14:paraId="337697CD">
      <w:pPr>
        <w:keepNext w:val="0"/>
        <w:keepLines w:val="0"/>
        <w:pageBreakBefore w:val="0"/>
        <w:widowControl w:val="0"/>
        <w:kinsoku/>
        <w:wordWrap/>
        <w:overflowPunct w:val="0"/>
        <w:bidi w:val="0"/>
        <w:snapToGrid/>
        <w:spacing w:line="576" w:lineRule="exact"/>
        <w:ind w:firstLine="640" w:firstLineChars="200"/>
        <w:jc w:val="both"/>
        <w:textAlignment w:val="auto"/>
        <w:rPr>
          <w:rFonts w:hint="eastAsia" w:ascii="仿宋_GB2312" w:hAnsi="仿宋_GB2312" w:eastAsia="仿宋_GB2312"/>
          <w:b w:val="0"/>
          <w:bCs w:val="0"/>
          <w:color w:val="000000" w:themeColor="text1"/>
          <w:kern w:val="2"/>
          <w:sz w:val="32"/>
          <w:szCs w:val="24"/>
          <w14:textFill>
            <w14:solidFill>
              <w14:schemeClr w14:val="tx1"/>
            </w14:solidFill>
          </w14:textFill>
        </w:rPr>
      </w:pPr>
      <w:r>
        <w:rPr>
          <w:rFonts w:hint="eastAsia" w:ascii="Times New Roman" w:hAnsi="Times New Roman" w:eastAsia="仿宋_GB2312"/>
          <w:b w:val="0"/>
          <w:bCs w:val="0"/>
          <w:color w:val="000000" w:themeColor="text1"/>
          <w:kern w:val="2"/>
          <w:sz w:val="32"/>
          <w:szCs w:val="24"/>
          <w14:textFill>
            <w14:solidFill>
              <w14:schemeClr w14:val="tx1"/>
            </w14:solidFill>
          </w14:textFill>
        </w:rPr>
        <w:t>3</w:t>
      </w:r>
      <w:r>
        <w:rPr>
          <w:rFonts w:hint="eastAsia" w:ascii="仿宋_GB2312" w:hAnsi="仿宋_GB2312" w:eastAsia="仿宋_GB2312"/>
          <w:b w:val="0"/>
          <w:bCs w:val="0"/>
          <w:color w:val="000000" w:themeColor="text1"/>
          <w:kern w:val="2"/>
          <w:sz w:val="32"/>
          <w:szCs w:val="24"/>
          <w14:textFill>
            <w14:solidFill>
              <w14:schemeClr w14:val="tx1"/>
            </w14:solidFill>
          </w14:textFill>
        </w:rPr>
        <w:t>.公务接待费预算为</w:t>
      </w:r>
      <w:r>
        <w:rPr>
          <w:rFonts w:hint="eastAsia" w:ascii="Times New Roman" w:hAnsi="Times New Roman" w:eastAsia="仿宋_GB2312"/>
          <w:b w:val="0"/>
          <w:bCs w:val="0"/>
          <w:color w:val="000000" w:themeColor="text1"/>
          <w:kern w:val="2"/>
          <w:sz w:val="32"/>
          <w:szCs w:val="24"/>
          <w14:textFill>
            <w14:solidFill>
              <w14:schemeClr w14:val="tx1"/>
            </w14:solidFill>
          </w14:textFill>
        </w:rPr>
        <w:t>2</w:t>
      </w:r>
      <w:r>
        <w:rPr>
          <w:rFonts w:hint="eastAsia" w:ascii="仿宋_GB2312" w:hAnsi="仿宋_GB2312" w:eastAsia="仿宋_GB2312"/>
          <w:b w:val="0"/>
          <w:bCs w:val="0"/>
          <w:color w:val="000000" w:themeColor="text1"/>
          <w:kern w:val="2"/>
          <w:sz w:val="32"/>
          <w:szCs w:val="24"/>
          <w14:textFill>
            <w14:solidFill>
              <w14:schemeClr w14:val="tx1"/>
            </w14:solidFill>
          </w14:textFill>
        </w:rPr>
        <w:t>.</w:t>
      </w:r>
      <w:r>
        <w:rPr>
          <w:rFonts w:hint="eastAsia" w:ascii="Times New Roman" w:hAnsi="Times New Roman" w:eastAsia="仿宋_GB2312"/>
          <w:b w:val="0"/>
          <w:bCs w:val="0"/>
          <w:color w:val="000000" w:themeColor="text1"/>
          <w:kern w:val="2"/>
          <w:sz w:val="32"/>
          <w:szCs w:val="24"/>
          <w14:textFill>
            <w14:solidFill>
              <w14:schemeClr w14:val="tx1"/>
            </w14:solidFill>
          </w14:textFill>
        </w:rPr>
        <w:t>95</w:t>
      </w:r>
      <w:r>
        <w:rPr>
          <w:rFonts w:hint="eastAsia" w:ascii="仿宋_GB2312" w:hAnsi="仿宋_GB2312" w:eastAsia="仿宋_GB2312"/>
          <w:b w:val="0"/>
          <w:bCs w:val="0"/>
          <w:color w:val="000000" w:themeColor="text1"/>
          <w:kern w:val="2"/>
          <w:sz w:val="32"/>
          <w:szCs w:val="24"/>
          <w14:textFill>
            <w14:solidFill>
              <w14:schemeClr w14:val="tx1"/>
            </w14:solidFill>
          </w14:textFill>
        </w:rPr>
        <w:t>万元，支出决算为</w:t>
      </w:r>
      <w:r>
        <w:rPr>
          <w:rFonts w:hint="eastAsia" w:ascii="Times New Roman" w:hAnsi="Times New Roman" w:eastAsia="仿宋_GB2312"/>
          <w:b w:val="0"/>
          <w:bCs w:val="0"/>
          <w:color w:val="000000" w:themeColor="text1"/>
          <w:kern w:val="2"/>
          <w:sz w:val="32"/>
          <w:szCs w:val="24"/>
          <w14:textFill>
            <w14:solidFill>
              <w14:schemeClr w14:val="tx1"/>
            </w14:solidFill>
          </w14:textFill>
        </w:rPr>
        <w:t>2</w:t>
      </w:r>
      <w:r>
        <w:rPr>
          <w:rFonts w:hint="eastAsia" w:ascii="仿宋_GB2312" w:hAnsi="仿宋_GB2312" w:eastAsia="仿宋_GB2312"/>
          <w:b w:val="0"/>
          <w:bCs w:val="0"/>
          <w:color w:val="000000" w:themeColor="text1"/>
          <w:kern w:val="2"/>
          <w:sz w:val="32"/>
          <w:szCs w:val="24"/>
          <w14:textFill>
            <w14:solidFill>
              <w14:schemeClr w14:val="tx1"/>
            </w14:solidFill>
          </w14:textFill>
        </w:rPr>
        <w:t>.</w:t>
      </w:r>
      <w:r>
        <w:rPr>
          <w:rFonts w:hint="eastAsia" w:ascii="Times New Roman" w:hAnsi="Times New Roman" w:eastAsia="仿宋_GB2312"/>
          <w:b w:val="0"/>
          <w:bCs w:val="0"/>
          <w:color w:val="000000" w:themeColor="text1"/>
          <w:kern w:val="2"/>
          <w:sz w:val="32"/>
          <w:szCs w:val="24"/>
          <w14:textFill>
            <w14:solidFill>
              <w14:schemeClr w14:val="tx1"/>
            </w14:solidFill>
          </w14:textFill>
        </w:rPr>
        <w:t>95</w:t>
      </w:r>
      <w:r>
        <w:rPr>
          <w:rFonts w:hint="eastAsia" w:ascii="仿宋_GB2312" w:hAnsi="仿宋_GB2312" w:eastAsia="仿宋_GB2312"/>
          <w:b w:val="0"/>
          <w:bCs w:val="0"/>
          <w:color w:val="000000" w:themeColor="text1"/>
          <w:kern w:val="2"/>
          <w:sz w:val="32"/>
          <w:szCs w:val="24"/>
          <w14:textFill>
            <w14:solidFill>
              <w14:schemeClr w14:val="tx1"/>
            </w14:solidFill>
          </w14:textFill>
        </w:rPr>
        <w:t>万元，完成预算的</w:t>
      </w:r>
      <w:r>
        <w:rPr>
          <w:rFonts w:hint="eastAsia" w:ascii="Times New Roman" w:hAnsi="Times New Roman" w:eastAsia="仿宋_GB2312"/>
          <w:b w:val="0"/>
          <w:bCs w:val="0"/>
          <w:color w:val="000000" w:themeColor="text1"/>
          <w:kern w:val="2"/>
          <w:sz w:val="32"/>
          <w:szCs w:val="24"/>
          <w14:textFill>
            <w14:solidFill>
              <w14:schemeClr w14:val="tx1"/>
            </w14:solidFill>
          </w14:textFill>
        </w:rPr>
        <w:t>100</w:t>
      </w:r>
      <w:r>
        <w:rPr>
          <w:rFonts w:hint="eastAsia" w:ascii="仿宋_GB2312" w:hAnsi="仿宋_GB2312" w:eastAsia="仿宋_GB2312"/>
          <w:b w:val="0"/>
          <w:bCs w:val="0"/>
          <w:color w:val="000000" w:themeColor="text1"/>
          <w:kern w:val="2"/>
          <w:sz w:val="32"/>
          <w:szCs w:val="24"/>
          <w14:textFill>
            <w14:solidFill>
              <w14:schemeClr w14:val="tx1"/>
            </w14:solidFill>
          </w14:textFill>
        </w:rPr>
        <w:t>%。公务接待费支出决算比</w:t>
      </w:r>
      <w:r>
        <w:rPr>
          <w:rFonts w:hint="eastAsia" w:ascii="Times New Roman" w:hAnsi="Times New Roman" w:eastAsia="仿宋_GB2312"/>
          <w:b w:val="0"/>
          <w:bCs w:val="0"/>
          <w:color w:val="000000" w:themeColor="text1"/>
          <w:kern w:val="2"/>
          <w:sz w:val="32"/>
          <w:szCs w:val="24"/>
          <w14:textFill>
            <w14:solidFill>
              <w14:schemeClr w14:val="tx1"/>
            </w14:solidFill>
          </w14:textFill>
        </w:rPr>
        <w:t>2022</w:t>
      </w:r>
      <w:r>
        <w:rPr>
          <w:rFonts w:hint="eastAsia" w:ascii="仿宋_GB2312" w:hAnsi="仿宋_GB2312" w:eastAsia="仿宋_GB2312"/>
          <w:b w:val="0"/>
          <w:bCs w:val="0"/>
          <w:color w:val="000000" w:themeColor="text1"/>
          <w:kern w:val="2"/>
          <w:sz w:val="32"/>
          <w:szCs w:val="24"/>
          <w14:textFill>
            <w14:solidFill>
              <w14:schemeClr w14:val="tx1"/>
            </w14:solidFill>
          </w14:textFill>
        </w:rPr>
        <w:t>年度增加</w:t>
      </w:r>
      <w:r>
        <w:rPr>
          <w:rFonts w:hint="eastAsia" w:ascii="Times New Roman" w:hAnsi="Times New Roman" w:eastAsia="仿宋_GB2312"/>
          <w:b w:val="0"/>
          <w:bCs w:val="0"/>
          <w:color w:val="000000" w:themeColor="text1"/>
          <w:kern w:val="2"/>
          <w:sz w:val="32"/>
          <w:szCs w:val="24"/>
          <w14:textFill>
            <w14:solidFill>
              <w14:schemeClr w14:val="tx1"/>
            </w14:solidFill>
          </w14:textFill>
        </w:rPr>
        <w:t>0</w:t>
      </w:r>
      <w:r>
        <w:rPr>
          <w:rFonts w:hint="eastAsia" w:ascii="仿宋_GB2312" w:hAnsi="仿宋_GB2312" w:eastAsia="仿宋_GB2312"/>
          <w:b w:val="0"/>
          <w:bCs w:val="0"/>
          <w:color w:val="000000" w:themeColor="text1"/>
          <w:kern w:val="2"/>
          <w:sz w:val="32"/>
          <w:szCs w:val="24"/>
          <w14:textFill>
            <w14:solidFill>
              <w14:schemeClr w14:val="tx1"/>
            </w14:solidFill>
          </w14:textFill>
        </w:rPr>
        <w:t>.</w:t>
      </w:r>
      <w:r>
        <w:rPr>
          <w:rFonts w:hint="eastAsia" w:ascii="Times New Roman" w:hAnsi="Times New Roman" w:eastAsia="仿宋_GB2312"/>
          <w:b w:val="0"/>
          <w:bCs w:val="0"/>
          <w:color w:val="000000" w:themeColor="text1"/>
          <w:kern w:val="2"/>
          <w:sz w:val="32"/>
          <w:szCs w:val="24"/>
          <w14:textFill>
            <w14:solidFill>
              <w14:schemeClr w14:val="tx1"/>
            </w14:solidFill>
          </w14:textFill>
        </w:rPr>
        <w:t>59</w:t>
      </w:r>
      <w:r>
        <w:rPr>
          <w:rFonts w:hint="eastAsia" w:ascii="仿宋_GB2312" w:hAnsi="仿宋_GB2312" w:eastAsia="仿宋_GB2312"/>
          <w:b w:val="0"/>
          <w:bCs w:val="0"/>
          <w:color w:val="000000" w:themeColor="text1"/>
          <w:kern w:val="2"/>
          <w:sz w:val="32"/>
          <w:szCs w:val="24"/>
          <w14:textFill>
            <w14:solidFill>
              <w14:schemeClr w14:val="tx1"/>
            </w14:solidFill>
          </w14:textFill>
        </w:rPr>
        <w:t>万元，增长</w:t>
      </w:r>
      <w:r>
        <w:rPr>
          <w:rFonts w:hint="eastAsia" w:ascii="Times New Roman" w:hAnsi="Times New Roman" w:eastAsia="仿宋_GB2312"/>
          <w:b w:val="0"/>
          <w:bCs w:val="0"/>
          <w:color w:val="000000" w:themeColor="text1"/>
          <w:kern w:val="2"/>
          <w:sz w:val="32"/>
          <w:szCs w:val="24"/>
          <w14:textFill>
            <w14:solidFill>
              <w14:schemeClr w14:val="tx1"/>
            </w14:solidFill>
          </w14:textFill>
        </w:rPr>
        <w:t>2</w:t>
      </w:r>
      <w:r>
        <w:rPr>
          <w:rFonts w:hint="eastAsia" w:ascii="仿宋_GB2312" w:hAnsi="仿宋_GB2312" w:eastAsia="仿宋_GB2312"/>
          <w:b w:val="0"/>
          <w:bCs w:val="0"/>
          <w:color w:val="000000" w:themeColor="text1"/>
          <w:kern w:val="2"/>
          <w:sz w:val="32"/>
          <w:szCs w:val="24"/>
          <w14:textFill>
            <w14:solidFill>
              <w14:schemeClr w14:val="tx1"/>
            </w14:solidFill>
          </w14:textFill>
        </w:rPr>
        <w:t>%。主要原因是</w:t>
      </w:r>
      <w:r>
        <w:rPr>
          <w:rFonts w:hint="eastAsia" w:ascii="仿宋_GB2312" w:hAnsi="仿宋_GB2312" w:eastAsia="仿宋_GB2312" w:cs="仿宋_GB2312"/>
          <w:b w:val="0"/>
          <w:bCs w:val="0"/>
          <w:color w:val="000000" w:themeColor="text1"/>
          <w:sz w:val="32"/>
          <w:szCs w:val="32"/>
          <w14:textFill>
            <w14:solidFill>
              <w14:schemeClr w14:val="tx1"/>
            </w14:solidFill>
          </w14:textFill>
        </w:rPr>
        <w:t>今年维稳任务重，工作压力大，公务接待多。</w:t>
      </w:r>
      <w:r>
        <w:rPr>
          <w:rFonts w:hint="eastAsia" w:ascii="仿宋_GB2312" w:hAnsi="仿宋_GB2312" w:eastAsia="仿宋_GB2312"/>
          <w:b w:val="0"/>
          <w:bCs w:val="0"/>
          <w:color w:val="000000" w:themeColor="text1"/>
          <w:kern w:val="2"/>
          <w:sz w:val="32"/>
          <w:szCs w:val="24"/>
          <w14:textFill>
            <w14:solidFill>
              <w14:schemeClr w14:val="tx1"/>
            </w14:solidFill>
          </w14:textFill>
        </w:rPr>
        <w:t>其中：</w:t>
      </w:r>
    </w:p>
    <w:p w14:paraId="19C8D858">
      <w:pPr>
        <w:keepNext w:val="0"/>
        <w:keepLines w:val="0"/>
        <w:pageBreakBefore w:val="0"/>
        <w:widowControl w:val="0"/>
        <w:kinsoku/>
        <w:wordWrap/>
        <w:overflowPunct w:val="0"/>
        <w:bidi w:val="0"/>
        <w:snapToGrid/>
        <w:spacing w:line="576" w:lineRule="exact"/>
        <w:ind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b w:val="0"/>
          <w:bCs w:val="0"/>
          <w:color w:val="000000" w:themeColor="text1"/>
          <w:kern w:val="2"/>
          <w:sz w:val="32"/>
          <w:szCs w:val="24"/>
          <w14:textFill>
            <w14:solidFill>
              <w14:schemeClr w14:val="tx1"/>
            </w14:solidFill>
          </w14:textFill>
        </w:rPr>
        <w:t>国内公务接待支出</w:t>
      </w:r>
      <w:r>
        <w:rPr>
          <w:rFonts w:hint="eastAsia" w:ascii="Times New Roman" w:hAnsi="Times New Roman" w:eastAsia="仿宋_GB2312"/>
          <w:b w:val="0"/>
          <w:bCs w:val="0"/>
          <w:color w:val="000000" w:themeColor="text1"/>
          <w:kern w:val="2"/>
          <w:sz w:val="32"/>
          <w:szCs w:val="24"/>
          <w14:textFill>
            <w14:solidFill>
              <w14:schemeClr w14:val="tx1"/>
            </w14:solidFill>
          </w14:textFill>
        </w:rPr>
        <w:t>2</w:t>
      </w:r>
      <w:r>
        <w:rPr>
          <w:rFonts w:hint="eastAsia" w:ascii="仿宋_GB2312" w:hAnsi="仿宋_GB2312" w:eastAsia="仿宋_GB2312"/>
          <w:b w:val="0"/>
          <w:bCs w:val="0"/>
          <w:color w:val="000000" w:themeColor="text1"/>
          <w:kern w:val="2"/>
          <w:sz w:val="32"/>
          <w:szCs w:val="24"/>
          <w14:textFill>
            <w14:solidFill>
              <w14:schemeClr w14:val="tx1"/>
            </w14:solidFill>
          </w14:textFill>
        </w:rPr>
        <w:t>.</w:t>
      </w:r>
      <w:r>
        <w:rPr>
          <w:rFonts w:hint="eastAsia" w:ascii="Times New Roman" w:hAnsi="Times New Roman" w:eastAsia="仿宋_GB2312"/>
          <w:b w:val="0"/>
          <w:bCs w:val="0"/>
          <w:color w:val="000000" w:themeColor="text1"/>
          <w:kern w:val="2"/>
          <w:sz w:val="32"/>
          <w:szCs w:val="24"/>
          <w14:textFill>
            <w14:solidFill>
              <w14:schemeClr w14:val="tx1"/>
            </w14:solidFill>
          </w14:textFill>
        </w:rPr>
        <w:t>95</w:t>
      </w:r>
      <w:r>
        <w:rPr>
          <w:rFonts w:hint="eastAsia" w:ascii="仿宋_GB2312" w:hAnsi="仿宋_GB2312" w:eastAsia="仿宋_GB2312"/>
          <w:b w:val="0"/>
          <w:bCs w:val="0"/>
          <w:color w:val="000000" w:themeColor="text1"/>
          <w:kern w:val="2"/>
          <w:sz w:val="32"/>
          <w:szCs w:val="24"/>
          <w14:textFill>
            <w14:solidFill>
              <w14:schemeClr w14:val="tx1"/>
            </w14:solidFill>
          </w14:textFill>
        </w:rPr>
        <w:t>万元。</w:t>
      </w:r>
      <w:r>
        <w:rPr>
          <w:rFonts w:hint="eastAsia" w:ascii="仿宋_GB2312" w:hAnsi="仿宋_GB2312" w:eastAsia="仿宋_GB2312" w:cs="仿宋_GB2312"/>
          <w:b w:val="0"/>
          <w:bCs w:val="0"/>
          <w:color w:val="000000" w:themeColor="text1"/>
          <w:sz w:val="32"/>
          <w:szCs w:val="32"/>
          <w14:textFill>
            <w14:solidFill>
              <w14:schemeClr w14:val="tx1"/>
            </w14:solidFill>
          </w14:textFill>
        </w:rPr>
        <w:t>主要用于执行公务、开展业务活动公务用餐。</w:t>
      </w:r>
      <w:r>
        <w:rPr>
          <w:rFonts w:hint="eastAsia" w:ascii="仿宋_GB2312" w:hAnsi="仿宋_GB2312" w:eastAsia="仿宋_GB2312"/>
          <w:b w:val="0"/>
          <w:bCs w:val="0"/>
          <w:color w:val="000000" w:themeColor="text1"/>
          <w:kern w:val="2"/>
          <w:sz w:val="32"/>
          <w:szCs w:val="24"/>
          <w14:textFill>
            <w14:solidFill>
              <w14:schemeClr w14:val="tx1"/>
            </w14:solidFill>
          </w14:textFill>
        </w:rPr>
        <w:t>国内公务接待</w:t>
      </w:r>
      <w:r>
        <w:rPr>
          <w:rFonts w:hint="eastAsia" w:ascii="Times New Roman" w:hAnsi="Times New Roman" w:eastAsia="仿宋_GB2312"/>
          <w:b w:val="0"/>
          <w:bCs w:val="0"/>
          <w:color w:val="000000" w:themeColor="text1"/>
          <w:kern w:val="2"/>
          <w:sz w:val="32"/>
          <w:szCs w:val="24"/>
          <w14:textFill>
            <w14:solidFill>
              <w14:schemeClr w14:val="tx1"/>
            </w14:solidFill>
          </w14:textFill>
        </w:rPr>
        <w:t>58</w:t>
      </w:r>
      <w:r>
        <w:rPr>
          <w:rFonts w:hint="eastAsia" w:ascii="仿宋_GB2312" w:hAnsi="仿宋_GB2312" w:eastAsia="仿宋_GB2312"/>
          <w:b w:val="0"/>
          <w:bCs w:val="0"/>
          <w:color w:val="000000" w:themeColor="text1"/>
          <w:kern w:val="2"/>
          <w:sz w:val="32"/>
          <w:szCs w:val="24"/>
          <w14:textFill>
            <w14:solidFill>
              <w14:schemeClr w14:val="tx1"/>
            </w14:solidFill>
          </w14:textFill>
        </w:rPr>
        <w:t>批次，</w:t>
      </w:r>
      <w:r>
        <w:rPr>
          <w:rFonts w:hint="eastAsia" w:ascii="Times New Roman" w:hAnsi="Times New Roman" w:eastAsia="仿宋_GB2312"/>
          <w:b w:val="0"/>
          <w:bCs w:val="0"/>
          <w:color w:val="000000" w:themeColor="text1"/>
          <w:kern w:val="2"/>
          <w:sz w:val="32"/>
          <w:szCs w:val="24"/>
          <w14:textFill>
            <w14:solidFill>
              <w14:schemeClr w14:val="tx1"/>
            </w14:solidFill>
          </w14:textFill>
        </w:rPr>
        <w:t>26</w:t>
      </w:r>
      <w:r>
        <w:rPr>
          <w:rFonts w:hint="eastAsia" w:ascii="Times New Roman" w:eastAsia="仿宋_GB2312"/>
          <w:b w:val="0"/>
          <w:bCs w:val="0"/>
          <w:color w:val="000000" w:themeColor="text1"/>
          <w:kern w:val="2"/>
          <w:sz w:val="32"/>
          <w:szCs w:val="24"/>
          <w:lang w:val="en-US" w:eastAsia="zh-CN"/>
          <w14:textFill>
            <w14:solidFill>
              <w14:schemeClr w14:val="tx1"/>
            </w14:solidFill>
          </w14:textFill>
        </w:rPr>
        <w:t>8</w:t>
      </w:r>
      <w:r>
        <w:rPr>
          <w:rFonts w:hint="eastAsia" w:ascii="仿宋_GB2312" w:hAnsi="仿宋_GB2312" w:eastAsia="仿宋_GB2312"/>
          <w:b w:val="0"/>
          <w:bCs w:val="0"/>
          <w:color w:val="000000" w:themeColor="text1"/>
          <w:kern w:val="2"/>
          <w:sz w:val="32"/>
          <w:szCs w:val="24"/>
          <w14:textFill>
            <w14:solidFill>
              <w14:schemeClr w14:val="tx1"/>
            </w14:solidFill>
          </w14:textFill>
        </w:rPr>
        <w:t>人次，共计支出</w:t>
      </w:r>
      <w:r>
        <w:rPr>
          <w:rFonts w:hint="eastAsia" w:ascii="Times New Roman" w:hAnsi="Times New Roman" w:eastAsia="仿宋_GB2312"/>
          <w:b w:val="0"/>
          <w:bCs w:val="0"/>
          <w:color w:val="000000" w:themeColor="text1"/>
          <w:kern w:val="2"/>
          <w:sz w:val="32"/>
          <w:szCs w:val="24"/>
          <w14:textFill>
            <w14:solidFill>
              <w14:schemeClr w14:val="tx1"/>
            </w14:solidFill>
          </w14:textFill>
        </w:rPr>
        <w:t>2</w:t>
      </w:r>
      <w:r>
        <w:rPr>
          <w:rFonts w:hint="eastAsia" w:ascii="仿宋_GB2312" w:hAnsi="仿宋_GB2312" w:eastAsia="仿宋_GB2312"/>
          <w:b w:val="0"/>
          <w:bCs w:val="0"/>
          <w:color w:val="000000" w:themeColor="text1"/>
          <w:kern w:val="2"/>
          <w:sz w:val="32"/>
          <w:szCs w:val="24"/>
          <w14:textFill>
            <w14:solidFill>
              <w14:schemeClr w14:val="tx1"/>
            </w14:solidFill>
          </w14:textFill>
        </w:rPr>
        <w:t>.</w:t>
      </w:r>
      <w:r>
        <w:rPr>
          <w:rFonts w:hint="eastAsia" w:ascii="Times New Roman" w:hAnsi="Times New Roman" w:eastAsia="仿宋_GB2312"/>
          <w:b w:val="0"/>
          <w:bCs w:val="0"/>
          <w:color w:val="000000" w:themeColor="text1"/>
          <w:kern w:val="2"/>
          <w:sz w:val="32"/>
          <w:szCs w:val="24"/>
          <w14:textFill>
            <w14:solidFill>
              <w14:schemeClr w14:val="tx1"/>
            </w14:solidFill>
          </w14:textFill>
        </w:rPr>
        <w:t>95</w:t>
      </w:r>
      <w:r>
        <w:rPr>
          <w:rFonts w:hint="eastAsia" w:ascii="仿宋_GB2312" w:hAnsi="仿宋_GB2312" w:eastAsia="仿宋_GB2312"/>
          <w:b w:val="0"/>
          <w:bCs w:val="0"/>
          <w:color w:val="000000" w:themeColor="text1"/>
          <w:kern w:val="2"/>
          <w:sz w:val="32"/>
          <w:szCs w:val="24"/>
          <w14:textFill>
            <w14:solidFill>
              <w14:schemeClr w14:val="tx1"/>
            </w14:solidFill>
          </w14:textFill>
        </w:rPr>
        <w:t>万元</w:t>
      </w:r>
      <w:r>
        <w:rPr>
          <w:rFonts w:hint="eastAsia" w:ascii="仿宋_GB2312" w:hAnsi="仿宋_GB2312" w:eastAsia="仿宋_GB2312" w:cs="仿宋_GB2312"/>
          <w:b w:val="0"/>
          <w:bCs w:val="0"/>
          <w:color w:val="000000" w:themeColor="text1"/>
          <w:sz w:val="32"/>
          <w:szCs w:val="32"/>
          <w14:textFill>
            <w14:solidFill>
              <w14:schemeClr w14:val="tx1"/>
            </w14:solidFill>
          </w14:textFill>
        </w:rPr>
        <w:t>（不包括陪同人员）主要用于接待兄弟县区来昭化区执行公务和乡镇领导来我局请示汇报工作等开支的餐费。具体内容包括：本市州兄弟县区来我局检查指导、考察调研、乡镇领导来我局请示汇报工作，协调有关信访维稳事宜等服务保障。</w:t>
      </w:r>
    </w:p>
    <w:p w14:paraId="66C0E7AD">
      <w:pPr>
        <w:keepNext w:val="0"/>
        <w:keepLines w:val="0"/>
        <w:pageBreakBefore w:val="0"/>
        <w:widowControl w:val="0"/>
        <w:kinsoku/>
        <w:wordWrap/>
        <w:overflowPunct w:val="0"/>
        <w:topLinePunct/>
        <w:bidi w:val="0"/>
        <w:snapToGrid/>
        <w:spacing w:line="576" w:lineRule="exact"/>
        <w:ind w:firstLine="640" w:firstLineChars="200"/>
        <w:jc w:val="both"/>
        <w:textAlignment w:val="auto"/>
        <w:rPr>
          <w:rFonts w:hint="eastAsia" w:ascii="仿宋_GB2312" w:hAnsi="仿宋_GB2312" w:eastAsia="仿宋_GB2312"/>
          <w:b w:val="0"/>
          <w:bCs w:val="0"/>
          <w:color w:val="000000" w:themeColor="text1"/>
          <w:kern w:val="2"/>
          <w:sz w:val="32"/>
          <w:szCs w:val="24"/>
          <w14:textFill>
            <w14:solidFill>
              <w14:schemeClr w14:val="tx1"/>
            </w14:solidFill>
          </w14:textFill>
        </w:rPr>
      </w:pPr>
      <w:r>
        <w:rPr>
          <w:rFonts w:hint="eastAsia" w:ascii="仿宋_GB2312" w:hAnsi="仿宋_GB2312" w:eastAsia="仿宋_GB2312"/>
          <w:b w:val="0"/>
          <w:bCs w:val="0"/>
          <w:color w:val="000000" w:themeColor="text1"/>
          <w:kern w:val="2"/>
          <w:sz w:val="32"/>
          <w:szCs w:val="24"/>
          <w14:textFill>
            <w14:solidFill>
              <w14:schemeClr w14:val="tx1"/>
            </w14:solidFill>
          </w14:textFill>
        </w:rPr>
        <w:t>外事接待支出</w:t>
      </w:r>
      <w:r>
        <w:rPr>
          <w:rFonts w:hint="eastAsia" w:ascii="Times New Roman" w:hAnsi="Times New Roman" w:eastAsia="仿宋_GB2312"/>
          <w:b w:val="0"/>
          <w:bCs w:val="0"/>
          <w:color w:val="000000" w:themeColor="text1"/>
          <w:kern w:val="2"/>
          <w:sz w:val="32"/>
          <w:szCs w:val="24"/>
          <w14:textFill>
            <w14:solidFill>
              <w14:schemeClr w14:val="tx1"/>
            </w14:solidFill>
          </w14:textFill>
        </w:rPr>
        <w:t>0</w:t>
      </w:r>
      <w:r>
        <w:rPr>
          <w:rFonts w:hint="eastAsia" w:ascii="仿宋_GB2312" w:hAnsi="仿宋_GB2312" w:eastAsia="仿宋_GB2312"/>
          <w:b w:val="0"/>
          <w:bCs w:val="0"/>
          <w:color w:val="000000" w:themeColor="text1"/>
          <w:kern w:val="2"/>
          <w:sz w:val="32"/>
          <w:szCs w:val="24"/>
          <w14:textFill>
            <w14:solidFill>
              <w14:schemeClr w14:val="tx1"/>
            </w14:solidFill>
          </w14:textFill>
        </w:rPr>
        <w:t>万元，外事接待</w:t>
      </w:r>
      <w:r>
        <w:rPr>
          <w:rFonts w:hint="eastAsia" w:ascii="Times New Roman" w:hAnsi="Times New Roman" w:eastAsia="仿宋_GB2312"/>
          <w:b w:val="0"/>
          <w:bCs w:val="0"/>
          <w:color w:val="000000" w:themeColor="text1"/>
          <w:kern w:val="2"/>
          <w:sz w:val="32"/>
          <w:szCs w:val="24"/>
          <w14:textFill>
            <w14:solidFill>
              <w14:schemeClr w14:val="tx1"/>
            </w14:solidFill>
          </w14:textFill>
        </w:rPr>
        <w:t>0</w:t>
      </w:r>
      <w:r>
        <w:rPr>
          <w:rFonts w:hint="eastAsia" w:ascii="仿宋_GB2312" w:hAnsi="仿宋_GB2312" w:eastAsia="仿宋_GB2312"/>
          <w:b w:val="0"/>
          <w:bCs w:val="0"/>
          <w:color w:val="000000" w:themeColor="text1"/>
          <w:kern w:val="2"/>
          <w:sz w:val="32"/>
          <w:szCs w:val="24"/>
          <w14:textFill>
            <w14:solidFill>
              <w14:schemeClr w14:val="tx1"/>
            </w14:solidFill>
          </w14:textFill>
        </w:rPr>
        <w:t>批次，</w:t>
      </w:r>
      <w:r>
        <w:rPr>
          <w:rFonts w:hint="eastAsia" w:ascii="Times New Roman" w:hAnsi="Times New Roman" w:eastAsia="仿宋_GB2312"/>
          <w:b w:val="0"/>
          <w:bCs w:val="0"/>
          <w:color w:val="000000" w:themeColor="text1"/>
          <w:kern w:val="2"/>
          <w:sz w:val="32"/>
          <w:szCs w:val="24"/>
          <w14:textFill>
            <w14:solidFill>
              <w14:schemeClr w14:val="tx1"/>
            </w14:solidFill>
          </w14:textFill>
        </w:rPr>
        <w:t>0</w:t>
      </w:r>
      <w:r>
        <w:rPr>
          <w:rFonts w:hint="eastAsia" w:ascii="仿宋_GB2312" w:hAnsi="仿宋_GB2312" w:eastAsia="仿宋_GB2312"/>
          <w:b w:val="0"/>
          <w:bCs w:val="0"/>
          <w:color w:val="000000" w:themeColor="text1"/>
          <w:kern w:val="2"/>
          <w:sz w:val="32"/>
          <w:szCs w:val="24"/>
          <w14:textFill>
            <w14:solidFill>
              <w14:schemeClr w14:val="tx1"/>
            </w14:solidFill>
          </w14:textFill>
        </w:rPr>
        <w:t>人，共计支出</w:t>
      </w:r>
      <w:r>
        <w:rPr>
          <w:rFonts w:hint="eastAsia" w:ascii="Times New Roman" w:hAnsi="Times New Roman" w:eastAsia="仿宋_GB2312"/>
          <w:b w:val="0"/>
          <w:bCs w:val="0"/>
          <w:color w:val="000000" w:themeColor="text1"/>
          <w:kern w:val="2"/>
          <w:sz w:val="32"/>
          <w:szCs w:val="24"/>
          <w14:textFill>
            <w14:solidFill>
              <w14:schemeClr w14:val="tx1"/>
            </w14:solidFill>
          </w14:textFill>
        </w:rPr>
        <w:t>0</w:t>
      </w:r>
      <w:r>
        <w:rPr>
          <w:rFonts w:hint="eastAsia" w:ascii="仿宋_GB2312" w:hAnsi="仿宋_GB2312" w:eastAsia="仿宋_GB2312"/>
          <w:b w:val="0"/>
          <w:bCs w:val="0"/>
          <w:color w:val="000000" w:themeColor="text1"/>
          <w:kern w:val="2"/>
          <w:sz w:val="32"/>
          <w:szCs w:val="24"/>
          <w14:textFill>
            <w14:solidFill>
              <w14:schemeClr w14:val="tx1"/>
            </w14:solidFill>
          </w14:textFill>
        </w:rPr>
        <w:t>万元。</w:t>
      </w:r>
    </w:p>
    <w:p w14:paraId="529A6544">
      <w:pPr>
        <w:keepNext w:val="0"/>
        <w:keepLines w:val="0"/>
        <w:pageBreakBefore w:val="0"/>
        <w:widowControl w:val="0"/>
        <w:kinsoku/>
        <w:wordWrap/>
        <w:overflowPunct w:val="0"/>
        <w:topLinePunct/>
        <w:bidi w:val="0"/>
        <w:snapToGrid/>
        <w:spacing w:line="576" w:lineRule="exact"/>
        <w:ind w:firstLine="640" w:firstLineChars="200"/>
        <w:jc w:val="both"/>
        <w:textAlignment w:val="auto"/>
        <w:rPr>
          <w:rFonts w:hint="eastAsia" w:ascii="黑体" w:hAnsi="黑体" w:eastAsia="黑体"/>
          <w:b w:val="0"/>
          <w:bCs w:val="0"/>
          <w:color w:val="000000" w:themeColor="text1"/>
          <w:kern w:val="2"/>
          <w:sz w:val="32"/>
          <w:szCs w:val="24"/>
          <w14:textFill>
            <w14:solidFill>
              <w14:schemeClr w14:val="tx1"/>
            </w14:solidFill>
          </w14:textFill>
        </w:rPr>
      </w:pPr>
      <w:r>
        <w:rPr>
          <w:rFonts w:hint="eastAsia" w:ascii="黑体" w:hAnsi="黑体" w:eastAsia="黑体"/>
          <w:b w:val="0"/>
          <w:bCs w:val="0"/>
          <w:color w:val="000000" w:themeColor="text1"/>
          <w:kern w:val="2"/>
          <w:sz w:val="32"/>
          <w:szCs w:val="24"/>
          <w14:textFill>
            <w14:solidFill>
              <w14:schemeClr w14:val="tx1"/>
            </w14:solidFill>
          </w14:textFill>
        </w:rPr>
        <w:t>八、政府性基金预算支出决算情况说明</w:t>
      </w:r>
    </w:p>
    <w:p w14:paraId="1F67E0E8">
      <w:pPr>
        <w:keepNext w:val="0"/>
        <w:keepLines w:val="0"/>
        <w:pageBreakBefore w:val="0"/>
        <w:widowControl w:val="0"/>
        <w:kinsoku/>
        <w:wordWrap/>
        <w:overflowPunct w:val="0"/>
        <w:topLinePunct/>
        <w:bidi w:val="0"/>
        <w:snapToGrid/>
        <w:spacing w:line="576" w:lineRule="exact"/>
        <w:ind w:firstLine="640" w:firstLineChars="200"/>
        <w:jc w:val="both"/>
        <w:textAlignment w:val="auto"/>
        <w:rPr>
          <w:rFonts w:hint="eastAsia" w:ascii="仿宋_GB2312" w:hAnsi="仿宋_GB2312" w:eastAsia="仿宋_GB2312"/>
          <w:b w:val="0"/>
          <w:bCs w:val="0"/>
          <w:color w:val="000000" w:themeColor="text1"/>
          <w:kern w:val="2"/>
          <w:sz w:val="32"/>
          <w:szCs w:val="24"/>
          <w14:textFill>
            <w14:solidFill>
              <w14:schemeClr w14:val="tx1"/>
            </w14:solidFill>
          </w14:textFill>
        </w:rPr>
      </w:pPr>
      <w:r>
        <w:rPr>
          <w:rFonts w:hint="eastAsia" w:ascii="Times New Roman" w:hAnsi="Times New Roman" w:eastAsia="仿宋_GB2312"/>
          <w:b w:val="0"/>
          <w:bCs w:val="0"/>
          <w:color w:val="000000" w:themeColor="text1"/>
          <w:kern w:val="2"/>
          <w:sz w:val="32"/>
          <w:szCs w:val="24"/>
          <w14:textFill>
            <w14:solidFill>
              <w14:schemeClr w14:val="tx1"/>
            </w14:solidFill>
          </w14:textFill>
        </w:rPr>
        <w:t>2023</w:t>
      </w:r>
      <w:r>
        <w:rPr>
          <w:rFonts w:hint="eastAsia" w:ascii="仿宋_GB2312" w:hAnsi="仿宋_GB2312" w:eastAsia="仿宋_GB2312"/>
          <w:b w:val="0"/>
          <w:bCs w:val="0"/>
          <w:color w:val="000000" w:themeColor="text1"/>
          <w:kern w:val="2"/>
          <w:sz w:val="32"/>
          <w:szCs w:val="24"/>
          <w14:textFill>
            <w14:solidFill>
              <w14:schemeClr w14:val="tx1"/>
            </w14:solidFill>
          </w14:textFill>
        </w:rPr>
        <w:t>年政府性基金预算拨款支出</w:t>
      </w:r>
      <w:r>
        <w:rPr>
          <w:rFonts w:hint="eastAsia" w:ascii="Times New Roman" w:hAnsi="Times New Roman" w:eastAsia="仿宋_GB2312"/>
          <w:b w:val="0"/>
          <w:bCs w:val="0"/>
          <w:color w:val="000000" w:themeColor="text1"/>
          <w:kern w:val="2"/>
          <w:sz w:val="32"/>
          <w:szCs w:val="24"/>
          <w14:textFill>
            <w14:solidFill>
              <w14:schemeClr w14:val="tx1"/>
            </w14:solidFill>
          </w14:textFill>
        </w:rPr>
        <w:t>0</w:t>
      </w:r>
      <w:r>
        <w:rPr>
          <w:rFonts w:hint="eastAsia" w:ascii="仿宋_GB2312" w:hAnsi="仿宋_GB2312" w:eastAsia="仿宋_GB2312"/>
          <w:b w:val="0"/>
          <w:bCs w:val="0"/>
          <w:color w:val="000000" w:themeColor="text1"/>
          <w:kern w:val="2"/>
          <w:sz w:val="32"/>
          <w:szCs w:val="24"/>
          <w14:textFill>
            <w14:solidFill>
              <w14:schemeClr w14:val="tx1"/>
            </w14:solidFill>
          </w14:textFill>
        </w:rPr>
        <w:t>万元。</w:t>
      </w:r>
    </w:p>
    <w:p w14:paraId="739856EA">
      <w:pPr>
        <w:keepNext w:val="0"/>
        <w:keepLines w:val="0"/>
        <w:pageBreakBefore w:val="0"/>
        <w:widowControl w:val="0"/>
        <w:kinsoku/>
        <w:wordWrap/>
        <w:overflowPunct w:val="0"/>
        <w:topLinePunct/>
        <w:bidi w:val="0"/>
        <w:snapToGrid/>
        <w:spacing w:line="576" w:lineRule="exact"/>
        <w:ind w:firstLine="640" w:firstLineChars="200"/>
        <w:jc w:val="both"/>
        <w:textAlignment w:val="auto"/>
        <w:rPr>
          <w:rFonts w:hint="eastAsia" w:ascii="黑体" w:hAnsi="黑体" w:eastAsia="黑体"/>
          <w:b w:val="0"/>
          <w:bCs w:val="0"/>
          <w:color w:val="000000" w:themeColor="text1"/>
          <w:kern w:val="2"/>
          <w:sz w:val="32"/>
          <w:szCs w:val="24"/>
          <w14:textFill>
            <w14:solidFill>
              <w14:schemeClr w14:val="tx1"/>
            </w14:solidFill>
          </w14:textFill>
        </w:rPr>
      </w:pPr>
      <w:r>
        <w:rPr>
          <w:rFonts w:hint="eastAsia" w:ascii="黑体" w:hAnsi="黑体" w:eastAsia="黑体"/>
          <w:b w:val="0"/>
          <w:bCs w:val="0"/>
          <w:color w:val="000000" w:themeColor="text1"/>
          <w:kern w:val="2"/>
          <w:sz w:val="32"/>
          <w:szCs w:val="24"/>
          <w14:textFill>
            <w14:solidFill>
              <w14:schemeClr w14:val="tx1"/>
            </w14:solidFill>
          </w14:textFill>
        </w:rPr>
        <w:t>九、国有资本经营预算支出决算情况说明</w:t>
      </w:r>
    </w:p>
    <w:p w14:paraId="24232E9A">
      <w:pPr>
        <w:keepNext w:val="0"/>
        <w:keepLines w:val="0"/>
        <w:pageBreakBefore w:val="0"/>
        <w:widowControl w:val="0"/>
        <w:kinsoku/>
        <w:wordWrap/>
        <w:overflowPunct w:val="0"/>
        <w:topLinePunct/>
        <w:bidi w:val="0"/>
        <w:snapToGrid/>
        <w:spacing w:line="576" w:lineRule="exact"/>
        <w:ind w:firstLine="640" w:firstLineChars="200"/>
        <w:jc w:val="both"/>
        <w:textAlignment w:val="auto"/>
        <w:rPr>
          <w:rFonts w:hint="eastAsia" w:ascii="仿宋_GB2312" w:hAnsi="仿宋_GB2312" w:eastAsia="仿宋_GB2312"/>
          <w:b w:val="0"/>
          <w:bCs w:val="0"/>
          <w:color w:val="000000" w:themeColor="text1"/>
          <w:kern w:val="2"/>
          <w:sz w:val="32"/>
          <w:szCs w:val="24"/>
          <w14:textFill>
            <w14:solidFill>
              <w14:schemeClr w14:val="tx1"/>
            </w14:solidFill>
          </w14:textFill>
        </w:rPr>
      </w:pPr>
      <w:r>
        <w:rPr>
          <w:rFonts w:hint="eastAsia" w:ascii="Times New Roman" w:hAnsi="Times New Roman" w:eastAsia="仿宋_GB2312"/>
          <w:b w:val="0"/>
          <w:bCs w:val="0"/>
          <w:color w:val="000000" w:themeColor="text1"/>
          <w:kern w:val="2"/>
          <w:sz w:val="32"/>
          <w:szCs w:val="24"/>
          <w14:textFill>
            <w14:solidFill>
              <w14:schemeClr w14:val="tx1"/>
            </w14:solidFill>
          </w14:textFill>
        </w:rPr>
        <w:t>2023</w:t>
      </w:r>
      <w:r>
        <w:rPr>
          <w:rFonts w:hint="eastAsia" w:ascii="仿宋_GB2312" w:hAnsi="仿宋_GB2312" w:eastAsia="仿宋_GB2312"/>
          <w:b w:val="0"/>
          <w:bCs w:val="0"/>
          <w:color w:val="000000" w:themeColor="text1"/>
          <w:kern w:val="2"/>
          <w:sz w:val="32"/>
          <w:szCs w:val="24"/>
          <w14:textFill>
            <w14:solidFill>
              <w14:schemeClr w14:val="tx1"/>
            </w14:solidFill>
          </w14:textFill>
        </w:rPr>
        <w:t>年国有资本经营预算拨款支出</w:t>
      </w:r>
      <w:r>
        <w:rPr>
          <w:rFonts w:hint="eastAsia" w:ascii="Times New Roman" w:hAnsi="Times New Roman" w:eastAsia="仿宋_GB2312"/>
          <w:b w:val="0"/>
          <w:bCs w:val="0"/>
          <w:color w:val="000000" w:themeColor="text1"/>
          <w:kern w:val="2"/>
          <w:sz w:val="32"/>
          <w:szCs w:val="24"/>
          <w14:textFill>
            <w14:solidFill>
              <w14:schemeClr w14:val="tx1"/>
            </w14:solidFill>
          </w14:textFill>
        </w:rPr>
        <w:t>0</w:t>
      </w:r>
      <w:r>
        <w:rPr>
          <w:rFonts w:hint="eastAsia" w:ascii="仿宋_GB2312" w:hAnsi="仿宋_GB2312" w:eastAsia="仿宋_GB2312"/>
          <w:b w:val="0"/>
          <w:bCs w:val="0"/>
          <w:color w:val="000000" w:themeColor="text1"/>
          <w:kern w:val="2"/>
          <w:sz w:val="32"/>
          <w:szCs w:val="24"/>
          <w14:textFill>
            <w14:solidFill>
              <w14:schemeClr w14:val="tx1"/>
            </w14:solidFill>
          </w14:textFill>
        </w:rPr>
        <w:t>万元。</w:t>
      </w:r>
    </w:p>
    <w:p w14:paraId="1695D023">
      <w:pPr>
        <w:keepNext w:val="0"/>
        <w:keepLines w:val="0"/>
        <w:pageBreakBefore w:val="0"/>
        <w:widowControl w:val="0"/>
        <w:kinsoku/>
        <w:wordWrap/>
        <w:overflowPunct w:val="0"/>
        <w:topLinePunct/>
        <w:bidi w:val="0"/>
        <w:snapToGrid/>
        <w:spacing w:line="576" w:lineRule="exact"/>
        <w:ind w:firstLine="640" w:firstLineChars="200"/>
        <w:jc w:val="both"/>
        <w:textAlignment w:val="auto"/>
        <w:rPr>
          <w:rFonts w:hint="eastAsia" w:ascii="黑体" w:hAnsi="黑体" w:eastAsia="黑体"/>
          <w:b w:val="0"/>
          <w:bCs w:val="0"/>
          <w:color w:val="000000" w:themeColor="text1"/>
          <w:kern w:val="2"/>
          <w:sz w:val="32"/>
          <w:szCs w:val="24"/>
          <w14:textFill>
            <w14:solidFill>
              <w14:schemeClr w14:val="tx1"/>
            </w14:solidFill>
          </w14:textFill>
        </w:rPr>
      </w:pPr>
      <w:r>
        <w:rPr>
          <w:rFonts w:hint="eastAsia" w:ascii="黑体" w:hAnsi="黑体" w:eastAsia="黑体"/>
          <w:b w:val="0"/>
          <w:bCs w:val="0"/>
          <w:color w:val="000000" w:themeColor="text1"/>
          <w:kern w:val="2"/>
          <w:sz w:val="32"/>
          <w:szCs w:val="24"/>
          <w14:textFill>
            <w14:solidFill>
              <w14:schemeClr w14:val="tx1"/>
            </w14:solidFill>
          </w14:textFill>
        </w:rPr>
        <w:t>十、其他重要事项的情况说明</w:t>
      </w:r>
    </w:p>
    <w:p w14:paraId="275E669B">
      <w:pPr>
        <w:keepNext w:val="0"/>
        <w:keepLines w:val="0"/>
        <w:pageBreakBefore w:val="0"/>
        <w:widowControl w:val="0"/>
        <w:kinsoku/>
        <w:wordWrap/>
        <w:overflowPunct w:val="0"/>
        <w:topLinePunct/>
        <w:bidi w:val="0"/>
        <w:snapToGrid/>
        <w:spacing w:line="576" w:lineRule="exact"/>
        <w:ind w:firstLine="640" w:firstLineChars="200"/>
        <w:jc w:val="both"/>
        <w:textAlignment w:val="auto"/>
        <w:rPr>
          <w:rFonts w:hint="eastAsia" w:ascii="楷体_GB2312" w:hAnsi="楷体_GB2312" w:eastAsia="楷体_GB2312" w:cs="楷体_GB2312"/>
          <w:b w:val="0"/>
          <w:bCs w:val="0"/>
          <w:color w:val="000000" w:themeColor="text1"/>
          <w:kern w:val="2"/>
          <w:sz w:val="32"/>
          <w:szCs w:val="24"/>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24"/>
          <w14:textFill>
            <w14:solidFill>
              <w14:schemeClr w14:val="tx1"/>
            </w14:solidFill>
          </w14:textFill>
        </w:rPr>
        <w:t>（一）机关运行经费支出情况</w:t>
      </w:r>
    </w:p>
    <w:p w14:paraId="5D9945A1">
      <w:pPr>
        <w:keepNext w:val="0"/>
        <w:keepLines w:val="0"/>
        <w:pageBreakBefore w:val="0"/>
        <w:widowControl w:val="0"/>
        <w:kinsoku/>
        <w:wordWrap/>
        <w:overflowPunct w:val="0"/>
        <w:bidi w:val="0"/>
        <w:snapToGrid/>
        <w:spacing w:line="576" w:lineRule="exact"/>
        <w:ind w:firstLine="640" w:firstLineChars="200"/>
        <w:jc w:val="both"/>
        <w:textAlignment w:val="auto"/>
        <w:rPr>
          <w:rFonts w:hint="eastAsia" w:ascii="仿宋_GB2312" w:eastAsia="仿宋_GB2312"/>
          <w:b w:val="0"/>
          <w:bCs w:val="0"/>
          <w:color w:val="000000" w:themeColor="text1"/>
          <w:sz w:val="32"/>
          <w:szCs w:val="32"/>
          <w14:textFill>
            <w14:solidFill>
              <w14:schemeClr w14:val="tx1"/>
            </w14:solidFill>
          </w14:textFill>
        </w:rPr>
      </w:pPr>
      <w:r>
        <w:rPr>
          <w:rFonts w:hint="eastAsia" w:ascii="Times New Roman" w:hAnsi="Times New Roman" w:eastAsia="仿宋_GB2312"/>
          <w:b w:val="0"/>
          <w:bCs w:val="0"/>
          <w:color w:val="000000" w:themeColor="text1"/>
          <w:sz w:val="32"/>
          <w:szCs w:val="32"/>
          <w14:textFill>
            <w14:solidFill>
              <w14:schemeClr w14:val="tx1"/>
            </w14:solidFill>
          </w14:textFill>
        </w:rPr>
        <w:t>2023</w:t>
      </w:r>
      <w:r>
        <w:rPr>
          <w:rFonts w:hint="eastAsia" w:ascii="仿宋_GB2312" w:eastAsia="仿宋_GB2312"/>
          <w:b w:val="0"/>
          <w:bCs w:val="0"/>
          <w:color w:val="000000" w:themeColor="text1"/>
          <w:sz w:val="32"/>
          <w:szCs w:val="32"/>
          <w14:textFill>
            <w14:solidFill>
              <w14:schemeClr w14:val="tx1"/>
            </w14:solidFill>
          </w14:textFill>
        </w:rPr>
        <w:t>年度，</w:t>
      </w:r>
      <w:r>
        <w:rPr>
          <w:rFonts w:hint="eastAsia" w:ascii="仿宋_GB2312" w:hAnsi="仿宋_GB2312" w:eastAsia="仿宋_GB2312" w:cs="仿宋_GB2312"/>
          <w:b w:val="0"/>
          <w:bCs w:val="0"/>
          <w:color w:val="000000" w:themeColor="text1"/>
          <w:sz w:val="32"/>
          <w:szCs w:val="32"/>
          <w14:textFill>
            <w14:solidFill>
              <w14:schemeClr w14:val="tx1"/>
            </w14:solidFill>
          </w14:textFill>
        </w:rPr>
        <w:t>区委群工局</w:t>
      </w:r>
      <w:r>
        <w:rPr>
          <w:rFonts w:hint="eastAsia" w:ascii="仿宋_GB2312" w:eastAsia="仿宋_GB2312"/>
          <w:b w:val="0"/>
          <w:bCs w:val="0"/>
          <w:color w:val="000000" w:themeColor="text1"/>
          <w:sz w:val="32"/>
          <w:szCs w:val="32"/>
          <w14:textFill>
            <w14:solidFill>
              <w14:schemeClr w14:val="tx1"/>
            </w14:solidFill>
          </w14:textFill>
        </w:rPr>
        <w:t>机关运行经费支出</w:t>
      </w:r>
      <w:r>
        <w:rPr>
          <w:rFonts w:hint="eastAsia" w:ascii="Times New Roman" w:hAnsi="Times New Roman" w:eastAsia="仿宋_GB2312"/>
          <w:b w:val="0"/>
          <w:bCs w:val="0"/>
          <w:color w:val="000000" w:themeColor="text1"/>
          <w:sz w:val="32"/>
          <w:szCs w:val="32"/>
          <w14:textFill>
            <w14:solidFill>
              <w14:schemeClr w14:val="tx1"/>
            </w14:solidFill>
          </w14:textFill>
        </w:rPr>
        <w:t>15</w:t>
      </w:r>
      <w:r>
        <w:rPr>
          <w:rFonts w:hint="eastAsia" w:ascii="仿宋_GB2312" w:eastAsia="仿宋_GB2312"/>
          <w:b w:val="0"/>
          <w:bCs w:val="0"/>
          <w:color w:val="000000" w:themeColor="text1"/>
          <w:sz w:val="32"/>
          <w:szCs w:val="32"/>
          <w14:textFill>
            <w14:solidFill>
              <w14:schemeClr w14:val="tx1"/>
            </w14:solidFill>
          </w14:textFill>
        </w:rPr>
        <w:t>.</w:t>
      </w:r>
      <w:r>
        <w:rPr>
          <w:rFonts w:hint="eastAsia" w:ascii="Times New Roman" w:hAnsi="Times New Roman" w:eastAsia="仿宋_GB2312"/>
          <w:b w:val="0"/>
          <w:bCs w:val="0"/>
          <w:color w:val="000000" w:themeColor="text1"/>
          <w:sz w:val="32"/>
          <w:szCs w:val="32"/>
          <w14:textFill>
            <w14:solidFill>
              <w14:schemeClr w14:val="tx1"/>
            </w14:solidFill>
          </w14:textFill>
        </w:rPr>
        <w:t>51</w:t>
      </w:r>
      <w:r>
        <w:rPr>
          <w:rFonts w:hint="eastAsia" w:ascii="仿宋_GB2312" w:eastAsia="仿宋_GB2312"/>
          <w:b w:val="0"/>
          <w:bCs w:val="0"/>
          <w:color w:val="000000" w:themeColor="text1"/>
          <w:sz w:val="32"/>
          <w:szCs w:val="32"/>
          <w14:textFill>
            <w14:solidFill>
              <w14:schemeClr w14:val="tx1"/>
            </w14:solidFill>
          </w14:textFill>
        </w:rPr>
        <w:t>万元，比</w:t>
      </w:r>
      <w:r>
        <w:rPr>
          <w:rFonts w:hint="eastAsia" w:ascii="Times New Roman" w:hAnsi="Times New Roman" w:eastAsia="仿宋_GB2312"/>
          <w:b w:val="0"/>
          <w:bCs w:val="0"/>
          <w:color w:val="000000" w:themeColor="text1"/>
          <w:sz w:val="32"/>
          <w:szCs w:val="32"/>
          <w14:textFill>
            <w14:solidFill>
              <w14:schemeClr w14:val="tx1"/>
            </w14:solidFill>
          </w14:textFill>
        </w:rPr>
        <w:t>2022</w:t>
      </w:r>
      <w:r>
        <w:rPr>
          <w:rFonts w:hint="eastAsia" w:ascii="仿宋_GB2312" w:eastAsia="仿宋_GB2312"/>
          <w:b w:val="0"/>
          <w:bCs w:val="0"/>
          <w:color w:val="000000" w:themeColor="text1"/>
          <w:sz w:val="32"/>
          <w:szCs w:val="32"/>
          <w14:textFill>
            <w14:solidFill>
              <w14:schemeClr w14:val="tx1"/>
            </w14:solidFill>
          </w14:textFill>
        </w:rPr>
        <w:t>年度减少</w:t>
      </w:r>
      <w:r>
        <w:rPr>
          <w:rFonts w:hint="eastAsia" w:ascii="Times New Roman" w:hAnsi="Times New Roman" w:eastAsia="仿宋_GB2312"/>
          <w:b w:val="0"/>
          <w:bCs w:val="0"/>
          <w:color w:val="000000" w:themeColor="text1"/>
          <w:sz w:val="32"/>
          <w:szCs w:val="32"/>
          <w14:textFill>
            <w14:solidFill>
              <w14:schemeClr w14:val="tx1"/>
            </w14:solidFill>
          </w14:textFill>
        </w:rPr>
        <w:t>39</w:t>
      </w:r>
      <w:r>
        <w:rPr>
          <w:rFonts w:hint="eastAsia" w:ascii="仿宋_GB2312" w:eastAsia="仿宋_GB2312"/>
          <w:b w:val="0"/>
          <w:bCs w:val="0"/>
          <w:color w:val="000000" w:themeColor="text1"/>
          <w:sz w:val="32"/>
          <w:szCs w:val="32"/>
          <w14:textFill>
            <w14:solidFill>
              <w14:schemeClr w14:val="tx1"/>
            </w14:solidFill>
          </w14:textFill>
        </w:rPr>
        <w:t>.</w:t>
      </w:r>
      <w:r>
        <w:rPr>
          <w:rFonts w:hint="eastAsia" w:ascii="Times New Roman" w:hAnsi="Times New Roman" w:eastAsia="仿宋_GB2312"/>
          <w:b w:val="0"/>
          <w:bCs w:val="0"/>
          <w:color w:val="000000" w:themeColor="text1"/>
          <w:sz w:val="32"/>
          <w:szCs w:val="32"/>
          <w14:textFill>
            <w14:solidFill>
              <w14:schemeClr w14:val="tx1"/>
            </w14:solidFill>
          </w14:textFill>
        </w:rPr>
        <w:t>59</w:t>
      </w:r>
      <w:r>
        <w:rPr>
          <w:rFonts w:hint="eastAsia" w:ascii="仿宋_GB2312" w:eastAsia="仿宋_GB2312"/>
          <w:b w:val="0"/>
          <w:bCs w:val="0"/>
          <w:color w:val="000000" w:themeColor="text1"/>
          <w:sz w:val="32"/>
          <w:szCs w:val="32"/>
          <w14:textFill>
            <w14:solidFill>
              <w14:schemeClr w14:val="tx1"/>
            </w14:solidFill>
          </w14:textFill>
        </w:rPr>
        <w:t>万元，下降</w:t>
      </w:r>
      <w:r>
        <w:rPr>
          <w:rFonts w:hint="eastAsia" w:ascii="Times New Roman" w:hAnsi="Times New Roman" w:eastAsia="仿宋_GB2312"/>
          <w:b w:val="0"/>
          <w:bCs w:val="0"/>
          <w:color w:val="000000" w:themeColor="text1"/>
          <w:sz w:val="32"/>
          <w:szCs w:val="32"/>
          <w14:textFill>
            <w14:solidFill>
              <w14:schemeClr w14:val="tx1"/>
            </w14:solidFill>
          </w14:textFill>
        </w:rPr>
        <w:t>71</w:t>
      </w:r>
      <w:r>
        <w:rPr>
          <w:rFonts w:hint="eastAsia" w:ascii="仿宋_GB2312" w:eastAsia="仿宋_GB2312"/>
          <w:b w:val="0"/>
          <w:bCs w:val="0"/>
          <w:color w:val="000000" w:themeColor="text1"/>
          <w:sz w:val="32"/>
          <w:szCs w:val="32"/>
          <w14:textFill>
            <w14:solidFill>
              <w14:schemeClr w14:val="tx1"/>
            </w14:solidFill>
          </w14:textFill>
        </w:rPr>
        <w:t>.</w:t>
      </w:r>
      <w:r>
        <w:rPr>
          <w:rFonts w:hint="eastAsia" w:ascii="Times New Roman" w:hAnsi="Times New Roman" w:eastAsia="仿宋_GB2312"/>
          <w:b w:val="0"/>
          <w:bCs w:val="0"/>
          <w:color w:val="000000" w:themeColor="text1"/>
          <w:sz w:val="32"/>
          <w:szCs w:val="32"/>
          <w14:textFill>
            <w14:solidFill>
              <w14:schemeClr w14:val="tx1"/>
            </w14:solidFill>
          </w14:textFill>
        </w:rPr>
        <w:t>9</w:t>
      </w:r>
      <w:r>
        <w:rPr>
          <w:rFonts w:hint="eastAsia" w:ascii="仿宋_GB2312" w:eastAsia="仿宋_GB2312"/>
          <w:b w:val="0"/>
          <w:bCs w:val="0"/>
          <w:color w:val="000000" w:themeColor="text1"/>
          <w:sz w:val="32"/>
          <w:szCs w:val="32"/>
          <w14:textFill>
            <w14:solidFill>
              <w14:schemeClr w14:val="tx1"/>
            </w14:solidFill>
          </w14:textFill>
        </w:rPr>
        <w:t>%。主要是压减公用经费。</w:t>
      </w:r>
    </w:p>
    <w:p w14:paraId="06B73ABF">
      <w:pPr>
        <w:keepNext w:val="0"/>
        <w:keepLines w:val="0"/>
        <w:pageBreakBefore w:val="0"/>
        <w:widowControl w:val="0"/>
        <w:kinsoku/>
        <w:wordWrap/>
        <w:overflowPunct w:val="0"/>
        <w:topLinePunct/>
        <w:bidi w:val="0"/>
        <w:snapToGrid/>
        <w:spacing w:line="576" w:lineRule="exact"/>
        <w:ind w:firstLine="640" w:firstLineChars="200"/>
        <w:jc w:val="both"/>
        <w:textAlignment w:val="auto"/>
        <w:rPr>
          <w:rFonts w:hint="eastAsia" w:ascii="楷体_GB2312" w:hAnsi="楷体_GB2312" w:eastAsia="楷体_GB2312" w:cs="楷体_GB2312"/>
          <w:b w:val="0"/>
          <w:bCs w:val="0"/>
          <w:color w:val="000000" w:themeColor="text1"/>
          <w:kern w:val="2"/>
          <w:sz w:val="32"/>
          <w:szCs w:val="24"/>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24"/>
          <w14:textFill>
            <w14:solidFill>
              <w14:schemeClr w14:val="tx1"/>
            </w14:solidFill>
          </w14:textFill>
        </w:rPr>
        <w:t>（二）政府采购支出情况</w:t>
      </w:r>
    </w:p>
    <w:p w14:paraId="3B41C0F2">
      <w:pPr>
        <w:keepNext w:val="0"/>
        <w:keepLines w:val="0"/>
        <w:pageBreakBefore w:val="0"/>
        <w:widowControl w:val="0"/>
        <w:kinsoku/>
        <w:wordWrap/>
        <w:overflowPunct w:val="0"/>
        <w:topLinePunct/>
        <w:bidi w:val="0"/>
        <w:snapToGrid/>
        <w:spacing w:line="576" w:lineRule="exact"/>
        <w:ind w:firstLine="640" w:firstLineChars="200"/>
        <w:jc w:val="both"/>
        <w:textAlignment w:val="auto"/>
        <w:rPr>
          <w:rFonts w:hint="eastAsia" w:ascii="仿宋_GB2312" w:hAnsi="仿宋_GB2312" w:eastAsia="仿宋_GB2312"/>
          <w:b w:val="0"/>
          <w:bCs w:val="0"/>
          <w:color w:val="000000" w:themeColor="text1"/>
          <w:kern w:val="2"/>
          <w:sz w:val="32"/>
          <w:szCs w:val="24"/>
          <w14:textFill>
            <w14:solidFill>
              <w14:schemeClr w14:val="tx1"/>
            </w14:solidFill>
          </w14:textFill>
        </w:rPr>
      </w:pPr>
      <w:r>
        <w:rPr>
          <w:rFonts w:hint="eastAsia" w:ascii="Times New Roman" w:hAnsi="Times New Roman" w:eastAsia="仿宋_GB2312"/>
          <w:b w:val="0"/>
          <w:bCs w:val="0"/>
          <w:color w:val="000000" w:themeColor="text1"/>
          <w:kern w:val="2"/>
          <w:sz w:val="32"/>
          <w:szCs w:val="24"/>
          <w14:textFill>
            <w14:solidFill>
              <w14:schemeClr w14:val="tx1"/>
            </w14:solidFill>
          </w14:textFill>
        </w:rPr>
        <w:t>2023</w:t>
      </w:r>
      <w:r>
        <w:rPr>
          <w:rFonts w:hint="eastAsia" w:ascii="仿宋_GB2312" w:hAnsi="仿宋_GB2312" w:eastAsia="仿宋_GB2312"/>
          <w:b w:val="0"/>
          <w:bCs w:val="0"/>
          <w:color w:val="000000" w:themeColor="text1"/>
          <w:kern w:val="2"/>
          <w:sz w:val="32"/>
          <w:szCs w:val="24"/>
          <w14:textFill>
            <w14:solidFill>
              <w14:schemeClr w14:val="tx1"/>
            </w14:solidFill>
          </w14:textFill>
        </w:rPr>
        <w:t>年，区委群工局未发生政府采购支出。</w:t>
      </w:r>
    </w:p>
    <w:p w14:paraId="4237D2A7">
      <w:pPr>
        <w:keepNext w:val="0"/>
        <w:keepLines w:val="0"/>
        <w:pageBreakBefore w:val="0"/>
        <w:widowControl w:val="0"/>
        <w:kinsoku/>
        <w:wordWrap/>
        <w:overflowPunct w:val="0"/>
        <w:topLinePunct/>
        <w:bidi w:val="0"/>
        <w:snapToGrid/>
        <w:spacing w:line="576" w:lineRule="exact"/>
        <w:ind w:firstLine="640" w:firstLineChars="200"/>
        <w:jc w:val="both"/>
        <w:textAlignment w:val="auto"/>
        <w:rPr>
          <w:rFonts w:hint="eastAsia" w:ascii="楷体_GB2312" w:hAnsi="楷体_GB2312" w:eastAsia="楷体_GB2312" w:cs="楷体_GB2312"/>
          <w:b w:val="0"/>
          <w:bCs w:val="0"/>
          <w:color w:val="000000" w:themeColor="text1"/>
          <w:kern w:val="2"/>
          <w:sz w:val="32"/>
          <w:szCs w:val="24"/>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24"/>
          <w14:textFill>
            <w14:solidFill>
              <w14:schemeClr w14:val="tx1"/>
            </w14:solidFill>
          </w14:textFill>
        </w:rPr>
        <w:t>（三）国有资产占有使用情况</w:t>
      </w:r>
    </w:p>
    <w:p w14:paraId="74726B4B">
      <w:pPr>
        <w:keepNext w:val="0"/>
        <w:keepLines w:val="0"/>
        <w:pageBreakBefore w:val="0"/>
        <w:widowControl w:val="0"/>
        <w:kinsoku/>
        <w:wordWrap/>
        <w:overflowPunct w:val="0"/>
        <w:topLinePunct/>
        <w:bidi w:val="0"/>
        <w:snapToGrid/>
        <w:spacing w:line="576" w:lineRule="exact"/>
        <w:ind w:firstLine="640"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b w:val="0"/>
          <w:bCs w:val="0"/>
          <w:color w:val="000000" w:themeColor="text1"/>
          <w:kern w:val="2"/>
          <w:sz w:val="32"/>
          <w:szCs w:val="24"/>
          <w14:textFill>
            <w14:solidFill>
              <w14:schemeClr w14:val="tx1"/>
            </w14:solidFill>
          </w14:textFill>
        </w:rPr>
        <w:t>截至</w:t>
      </w:r>
      <w:r>
        <w:rPr>
          <w:rFonts w:hint="eastAsia" w:ascii="Times New Roman" w:hAnsi="Times New Roman" w:eastAsia="仿宋_GB2312"/>
          <w:b w:val="0"/>
          <w:bCs w:val="0"/>
          <w:color w:val="000000" w:themeColor="text1"/>
          <w:kern w:val="2"/>
          <w:sz w:val="32"/>
          <w:szCs w:val="24"/>
          <w14:textFill>
            <w14:solidFill>
              <w14:schemeClr w14:val="tx1"/>
            </w14:solidFill>
          </w14:textFill>
        </w:rPr>
        <w:t>2023</w:t>
      </w:r>
      <w:r>
        <w:rPr>
          <w:rFonts w:hint="eastAsia" w:ascii="仿宋_GB2312" w:hAnsi="仿宋_GB2312" w:eastAsia="仿宋_GB2312"/>
          <w:b w:val="0"/>
          <w:bCs w:val="0"/>
          <w:color w:val="000000" w:themeColor="text1"/>
          <w:kern w:val="2"/>
          <w:sz w:val="32"/>
          <w:szCs w:val="24"/>
          <w14:textFill>
            <w14:solidFill>
              <w14:schemeClr w14:val="tx1"/>
            </w14:solidFill>
          </w14:textFill>
        </w:rPr>
        <w:t>年</w:t>
      </w:r>
      <w:r>
        <w:rPr>
          <w:rFonts w:hint="eastAsia" w:ascii="Times New Roman" w:hAnsi="Times New Roman" w:eastAsia="仿宋_GB2312"/>
          <w:b w:val="0"/>
          <w:bCs w:val="0"/>
          <w:color w:val="000000" w:themeColor="text1"/>
          <w:kern w:val="2"/>
          <w:sz w:val="32"/>
          <w:szCs w:val="24"/>
          <w14:textFill>
            <w14:solidFill>
              <w14:schemeClr w14:val="tx1"/>
            </w14:solidFill>
          </w14:textFill>
        </w:rPr>
        <w:t>12</w:t>
      </w:r>
      <w:r>
        <w:rPr>
          <w:rFonts w:hint="eastAsia" w:ascii="仿宋_GB2312" w:hAnsi="仿宋_GB2312" w:eastAsia="仿宋_GB2312"/>
          <w:b w:val="0"/>
          <w:bCs w:val="0"/>
          <w:color w:val="000000" w:themeColor="text1"/>
          <w:kern w:val="2"/>
          <w:sz w:val="32"/>
          <w:szCs w:val="24"/>
          <w14:textFill>
            <w14:solidFill>
              <w14:schemeClr w14:val="tx1"/>
            </w14:solidFill>
          </w14:textFill>
        </w:rPr>
        <w:t>月</w:t>
      </w:r>
      <w:r>
        <w:rPr>
          <w:rFonts w:hint="eastAsia" w:ascii="Times New Roman" w:hAnsi="Times New Roman" w:eastAsia="仿宋_GB2312"/>
          <w:b w:val="0"/>
          <w:bCs w:val="0"/>
          <w:color w:val="000000" w:themeColor="text1"/>
          <w:kern w:val="2"/>
          <w:sz w:val="32"/>
          <w:szCs w:val="24"/>
          <w14:textFill>
            <w14:solidFill>
              <w14:schemeClr w14:val="tx1"/>
            </w14:solidFill>
          </w14:textFill>
        </w:rPr>
        <w:t>31</w:t>
      </w:r>
      <w:r>
        <w:rPr>
          <w:rFonts w:hint="eastAsia" w:ascii="仿宋_GB2312" w:hAnsi="仿宋_GB2312" w:eastAsia="仿宋_GB2312"/>
          <w:b w:val="0"/>
          <w:bCs w:val="0"/>
          <w:color w:val="000000" w:themeColor="text1"/>
          <w:kern w:val="2"/>
          <w:sz w:val="32"/>
          <w:szCs w:val="24"/>
          <w14:textFill>
            <w14:solidFill>
              <w14:schemeClr w14:val="tx1"/>
            </w14:solidFill>
          </w14:textFill>
        </w:rPr>
        <w:t>日，本单位无公务用车辆。</w:t>
      </w:r>
      <w:r>
        <w:rPr>
          <w:rFonts w:hint="eastAsia" w:ascii="仿宋_GB2312" w:hAnsi="仿宋_GB2312" w:eastAsia="仿宋_GB2312"/>
          <w:color w:val="000000"/>
          <w:kern w:val="2"/>
          <w:sz w:val="32"/>
          <w:szCs w:val="24"/>
        </w:rPr>
        <w:t>其中：副部（省）级及以上领导用车0辆、主要负责人用车0辆、机要通信用车*辆、应急保障用车0辆、执法执勤用车0辆、特种专业技术用车0辆、离退休干部服务用车0辆、其他用车0辆。</w:t>
      </w:r>
    </w:p>
    <w:p w14:paraId="09E6808C">
      <w:pPr>
        <w:pStyle w:val="2"/>
        <w:ind w:firstLine="640" w:firstLineChars="200"/>
        <w:rPr>
          <w:rFonts w:hint="eastAsia"/>
        </w:rPr>
      </w:pPr>
      <w:r>
        <w:rPr>
          <w:rFonts w:hint="eastAsia" w:ascii="仿宋_GB2312" w:hAnsi="仿宋_GB2312" w:eastAsia="仿宋_GB2312"/>
          <w:color w:val="000000"/>
          <w:kern w:val="2"/>
          <w:sz w:val="32"/>
          <w:szCs w:val="24"/>
        </w:rPr>
        <w:t>单价100万元（含）以上设备0台（套）。</w:t>
      </w:r>
    </w:p>
    <w:p w14:paraId="6C65995F">
      <w:pPr>
        <w:keepNext w:val="0"/>
        <w:keepLines w:val="0"/>
        <w:pageBreakBefore w:val="0"/>
        <w:widowControl w:val="0"/>
        <w:kinsoku/>
        <w:wordWrap/>
        <w:overflowPunct w:val="0"/>
        <w:topLinePunct/>
        <w:bidi w:val="0"/>
        <w:snapToGrid/>
        <w:spacing w:line="576" w:lineRule="exact"/>
        <w:ind w:firstLine="640" w:firstLineChars="200"/>
        <w:jc w:val="both"/>
        <w:textAlignment w:val="auto"/>
        <w:rPr>
          <w:rFonts w:hint="eastAsia" w:ascii="楷体_GB2312" w:hAnsi="楷体_GB2312" w:eastAsia="楷体_GB2312" w:cs="楷体_GB2312"/>
          <w:b w:val="0"/>
          <w:bCs w:val="0"/>
          <w:color w:val="000000" w:themeColor="text1"/>
          <w:kern w:val="2"/>
          <w:sz w:val="32"/>
          <w:szCs w:val="24"/>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24"/>
          <w14:textFill>
            <w14:solidFill>
              <w14:schemeClr w14:val="tx1"/>
            </w14:solidFill>
          </w14:textFill>
        </w:rPr>
        <w:t>（四）预算绩效管理情况</w:t>
      </w:r>
    </w:p>
    <w:p w14:paraId="62A80167">
      <w:pPr>
        <w:keepNext w:val="0"/>
        <w:keepLines w:val="0"/>
        <w:pageBreakBefore w:val="0"/>
        <w:widowControl w:val="0"/>
        <w:kinsoku/>
        <w:wordWrap/>
        <w:overflowPunct w:val="0"/>
        <w:topLinePunct/>
        <w:bidi w:val="0"/>
        <w:snapToGrid/>
        <w:spacing w:line="576" w:lineRule="exact"/>
        <w:ind w:firstLine="640" w:firstLineChars="200"/>
        <w:jc w:val="both"/>
        <w:textAlignment w:val="auto"/>
        <w:rPr>
          <w:rFonts w:hint="eastAsia" w:ascii="仿宋_GB2312" w:hAnsi="仿宋_GB2312" w:eastAsia="仿宋_GB2312"/>
          <w:b w:val="0"/>
          <w:bCs w:val="0"/>
          <w:color w:val="000000" w:themeColor="text1"/>
          <w:kern w:val="2"/>
          <w:sz w:val="32"/>
          <w:szCs w:val="24"/>
          <w14:textFill>
            <w14:solidFill>
              <w14:schemeClr w14:val="tx1"/>
            </w14:solidFill>
          </w14:textFill>
        </w:rPr>
      </w:pPr>
      <w:r>
        <w:rPr>
          <w:rFonts w:hint="eastAsia" w:ascii="仿宋_GB2312" w:hAnsi="仿宋_GB2312" w:eastAsia="仿宋_GB2312"/>
          <w:b w:val="0"/>
          <w:bCs w:val="0"/>
          <w:color w:val="000000" w:themeColor="text1"/>
          <w:kern w:val="2"/>
          <w:sz w:val="32"/>
          <w:szCs w:val="24"/>
          <w14:textFill>
            <w14:solidFill>
              <w14:schemeClr w14:val="tx1"/>
            </w14:solidFill>
          </w14:textFill>
        </w:rPr>
        <w:t>根据预算绩效管理要求，本</w:t>
      </w:r>
      <w:r>
        <w:rPr>
          <w:rFonts w:hint="eastAsia" w:ascii="仿宋_GB2312" w:hAnsi="仿宋_GB2312" w:eastAsia="仿宋_GB2312"/>
          <w:b w:val="0"/>
          <w:bCs w:val="0"/>
          <w:color w:val="000000" w:themeColor="text1"/>
          <w:kern w:val="2"/>
          <w:sz w:val="32"/>
          <w:szCs w:val="24"/>
          <w:lang w:val="en-US" w:eastAsia="zh-CN"/>
          <w14:textFill>
            <w14:solidFill>
              <w14:schemeClr w14:val="tx1"/>
            </w14:solidFill>
          </w14:textFill>
        </w:rPr>
        <w:t>部门</w:t>
      </w:r>
      <w:r>
        <w:rPr>
          <w:rFonts w:hint="eastAsia" w:ascii="仿宋_GB2312" w:hAnsi="仿宋_GB2312" w:eastAsia="仿宋_GB2312"/>
          <w:b w:val="0"/>
          <w:bCs w:val="0"/>
          <w:color w:val="000000" w:themeColor="text1"/>
          <w:kern w:val="2"/>
          <w:sz w:val="32"/>
          <w:szCs w:val="24"/>
          <w14:textFill>
            <w14:solidFill>
              <w14:schemeClr w14:val="tx1"/>
            </w14:solidFill>
          </w14:textFill>
        </w:rPr>
        <w:t>在</w:t>
      </w:r>
      <w:r>
        <w:rPr>
          <w:rFonts w:hint="eastAsia" w:ascii="Times New Roman" w:hAnsi="Times New Roman" w:eastAsia="仿宋_GB2312"/>
          <w:b w:val="0"/>
          <w:bCs w:val="0"/>
          <w:color w:val="000000" w:themeColor="text1"/>
          <w:kern w:val="2"/>
          <w:sz w:val="32"/>
          <w:szCs w:val="24"/>
          <w14:textFill>
            <w14:solidFill>
              <w14:schemeClr w14:val="tx1"/>
            </w14:solidFill>
          </w14:textFill>
        </w:rPr>
        <w:t>2023</w:t>
      </w:r>
      <w:r>
        <w:rPr>
          <w:rFonts w:hint="eastAsia" w:ascii="仿宋_GB2312" w:hAnsi="仿宋_GB2312" w:eastAsia="仿宋_GB2312"/>
          <w:b w:val="0"/>
          <w:bCs w:val="0"/>
          <w:color w:val="000000" w:themeColor="text1"/>
          <w:kern w:val="2"/>
          <w:sz w:val="32"/>
          <w:szCs w:val="24"/>
          <w14:textFill>
            <w14:solidFill>
              <w14:schemeClr w14:val="tx1"/>
            </w14:solidFill>
          </w14:textFill>
        </w:rPr>
        <w:t>年度预算编制阶段，组织对</w:t>
      </w:r>
      <w:r>
        <w:rPr>
          <w:rFonts w:hint="eastAsia" w:ascii="仿宋_GB2312" w:hAnsi="仿宋_GB2312" w:eastAsia="仿宋_GB2312" w:cs="仿宋_GB2312"/>
          <w:b w:val="0"/>
          <w:bCs w:val="0"/>
          <w:color w:val="000000" w:themeColor="text1"/>
          <w:sz w:val="32"/>
          <w:szCs w:val="32"/>
          <w14:textFill>
            <w14:solidFill>
              <w14:schemeClr w14:val="tx1"/>
            </w14:solidFill>
          </w14:textFill>
        </w:rPr>
        <w:t>信访维稳应急经费和解决特殊疑难信访问题中央补助资金项目等</w:t>
      </w:r>
      <w:r>
        <w:rPr>
          <w:rFonts w:hint="eastAsia" w:ascii="Times New Roman" w:hAnsi="Times New Roman" w:eastAsia="仿宋_GB2312" w:cs="仿宋_GB2312"/>
          <w:b w:val="0"/>
          <w:bCs w:val="0"/>
          <w:color w:val="000000" w:themeColor="text1"/>
          <w:sz w:val="32"/>
          <w:szCs w:val="32"/>
          <w14:textFill>
            <w14:solidFill>
              <w14:schemeClr w14:val="tx1"/>
            </w14:solidFill>
          </w14:textFill>
        </w:rPr>
        <w:t>2</w:t>
      </w:r>
      <w:r>
        <w:rPr>
          <w:rFonts w:hint="eastAsia" w:ascii="仿宋_GB2312" w:hAnsi="仿宋_GB2312" w:eastAsia="仿宋_GB2312"/>
          <w:b w:val="0"/>
          <w:bCs w:val="0"/>
          <w:color w:val="000000" w:themeColor="text1"/>
          <w:kern w:val="2"/>
          <w:sz w:val="32"/>
          <w:szCs w:val="24"/>
          <w14:textFill>
            <w14:solidFill>
              <w14:schemeClr w14:val="tx1"/>
            </w14:solidFill>
          </w14:textFill>
        </w:rPr>
        <w:t>个项目开展了预算事前绩效评估，对</w:t>
      </w:r>
      <w:r>
        <w:rPr>
          <w:rFonts w:hint="eastAsia" w:ascii="Times New Roman" w:hAnsi="Times New Roman" w:eastAsia="仿宋_GB2312"/>
          <w:b w:val="0"/>
          <w:bCs w:val="0"/>
          <w:color w:val="000000" w:themeColor="text1"/>
          <w:kern w:val="2"/>
          <w:sz w:val="32"/>
          <w:szCs w:val="24"/>
          <w14:textFill>
            <w14:solidFill>
              <w14:schemeClr w14:val="tx1"/>
            </w14:solidFill>
          </w14:textFill>
        </w:rPr>
        <w:t>2</w:t>
      </w:r>
      <w:r>
        <w:rPr>
          <w:rFonts w:hint="eastAsia" w:ascii="仿宋_GB2312" w:hAnsi="仿宋_GB2312" w:eastAsia="仿宋_GB2312"/>
          <w:b w:val="0"/>
          <w:bCs w:val="0"/>
          <w:color w:val="000000" w:themeColor="text1"/>
          <w:kern w:val="2"/>
          <w:sz w:val="32"/>
          <w:szCs w:val="24"/>
          <w14:textFill>
            <w14:solidFill>
              <w14:schemeClr w14:val="tx1"/>
            </w14:solidFill>
          </w14:textFill>
        </w:rPr>
        <w:t>个项目编制了绩效目标，预算执行过程中，选取</w:t>
      </w:r>
      <w:r>
        <w:rPr>
          <w:rFonts w:hint="eastAsia" w:ascii="Times New Roman" w:hAnsi="Times New Roman" w:eastAsia="仿宋_GB2312"/>
          <w:b w:val="0"/>
          <w:bCs w:val="0"/>
          <w:color w:val="000000" w:themeColor="text1"/>
          <w:kern w:val="2"/>
          <w:sz w:val="32"/>
          <w:szCs w:val="24"/>
          <w14:textFill>
            <w14:solidFill>
              <w14:schemeClr w14:val="tx1"/>
            </w14:solidFill>
          </w14:textFill>
        </w:rPr>
        <w:t>7</w:t>
      </w:r>
      <w:r>
        <w:rPr>
          <w:rFonts w:hint="eastAsia" w:ascii="仿宋_GB2312" w:hAnsi="仿宋_GB2312" w:eastAsia="仿宋_GB2312"/>
          <w:b w:val="0"/>
          <w:bCs w:val="0"/>
          <w:color w:val="000000" w:themeColor="text1"/>
          <w:kern w:val="2"/>
          <w:sz w:val="32"/>
          <w:szCs w:val="24"/>
          <w14:textFill>
            <w14:solidFill>
              <w14:schemeClr w14:val="tx1"/>
            </w14:solidFill>
          </w14:textFill>
        </w:rPr>
        <w:t>个项目开展绩效监控，组织对</w:t>
      </w:r>
      <w:r>
        <w:rPr>
          <w:rFonts w:hint="eastAsia" w:ascii="Times New Roman" w:hAnsi="Times New Roman" w:eastAsia="仿宋_GB2312"/>
          <w:b w:val="0"/>
          <w:bCs w:val="0"/>
          <w:color w:val="000000" w:themeColor="text1"/>
          <w:kern w:val="2"/>
          <w:sz w:val="32"/>
          <w:szCs w:val="24"/>
          <w14:textFill>
            <w14:solidFill>
              <w14:schemeClr w14:val="tx1"/>
            </w14:solidFill>
          </w14:textFill>
        </w:rPr>
        <w:t>2</w:t>
      </w:r>
      <w:r>
        <w:rPr>
          <w:rFonts w:hint="eastAsia" w:ascii="仿宋_GB2312" w:hAnsi="仿宋_GB2312" w:eastAsia="仿宋_GB2312"/>
          <w:b w:val="0"/>
          <w:bCs w:val="0"/>
          <w:color w:val="000000" w:themeColor="text1"/>
          <w:kern w:val="2"/>
          <w:sz w:val="32"/>
          <w:szCs w:val="24"/>
          <w14:textFill>
            <w14:solidFill>
              <w14:schemeClr w14:val="tx1"/>
            </w14:solidFill>
          </w14:textFill>
        </w:rPr>
        <w:t>个项目开展绩效评价，绩效自评报表见第四部分附件。</w:t>
      </w:r>
    </w:p>
    <w:p w14:paraId="2192A58C">
      <w:pPr>
        <w:keepNext w:val="0"/>
        <w:keepLines w:val="0"/>
        <w:pageBreakBefore w:val="0"/>
        <w:widowControl w:val="0"/>
        <w:kinsoku/>
        <w:wordWrap/>
        <w:overflowPunct w:val="0"/>
        <w:bidi w:val="0"/>
        <w:snapToGrid/>
        <w:spacing w:line="576" w:lineRule="exact"/>
        <w:ind w:firstLine="640" w:firstLineChars="200"/>
        <w:jc w:val="both"/>
        <w:textAlignment w:val="auto"/>
        <w:rPr>
          <w:rFonts w:hint="eastAsia" w:ascii="仿宋_GB2312" w:hAnsi="仿宋_GB2312" w:eastAsia="仿宋_GB2312"/>
          <w:b w:val="0"/>
          <w:bCs w:val="0"/>
          <w:color w:val="000000" w:themeColor="text1"/>
          <w:kern w:val="2"/>
          <w:sz w:val="32"/>
          <w:szCs w:val="24"/>
          <w14:textFill>
            <w14:solidFill>
              <w14:schemeClr w14:val="tx1"/>
            </w14:solidFill>
          </w14:textFill>
        </w:rPr>
      </w:pPr>
      <w:r>
        <w:rPr>
          <w:rFonts w:hint="eastAsia" w:ascii="Times New Roman" w:hAnsi="Times New Roman" w:eastAsia="仿宋_GB2312"/>
          <w:b w:val="0"/>
          <w:bCs w:val="0"/>
          <w:color w:val="000000" w:themeColor="text1"/>
          <w:kern w:val="2"/>
          <w:sz w:val="32"/>
          <w:szCs w:val="24"/>
          <w14:textFill>
            <w14:solidFill>
              <w14:schemeClr w14:val="tx1"/>
            </w14:solidFill>
          </w14:textFill>
        </w:rPr>
        <w:t>2023</w:t>
      </w:r>
      <w:r>
        <w:rPr>
          <w:rFonts w:hint="eastAsia" w:ascii="仿宋_GB2312" w:hAnsi="仿宋_GB2312" w:eastAsia="仿宋_GB2312"/>
          <w:b w:val="0"/>
          <w:bCs w:val="0"/>
          <w:color w:val="000000" w:themeColor="text1"/>
          <w:kern w:val="2"/>
          <w:sz w:val="32"/>
          <w:szCs w:val="24"/>
          <w14:textFill>
            <w14:solidFill>
              <w14:schemeClr w14:val="tx1"/>
            </w14:solidFill>
          </w14:textFill>
        </w:rPr>
        <w:t>年度组织一般公共预算全面开展绩效自评，形成</w:t>
      </w:r>
      <w:r>
        <w:rPr>
          <w:rFonts w:hint="eastAsia" w:ascii="Times New Roman" w:hAnsi="Times New Roman" w:eastAsia="仿宋_GB2312"/>
          <w:b w:val="0"/>
          <w:bCs w:val="0"/>
          <w:color w:val="000000" w:themeColor="text1"/>
          <w:kern w:val="2"/>
          <w:sz w:val="32"/>
          <w:szCs w:val="24"/>
          <w14:textFill>
            <w14:solidFill>
              <w14:schemeClr w14:val="tx1"/>
            </w14:solidFill>
          </w14:textFill>
        </w:rPr>
        <w:t>202</w:t>
      </w:r>
      <w:r>
        <w:rPr>
          <w:rFonts w:hint="eastAsia" w:ascii="Times New Roman" w:eastAsia="仿宋_GB2312"/>
          <w:b w:val="0"/>
          <w:bCs w:val="0"/>
          <w:color w:val="000000" w:themeColor="text1"/>
          <w:kern w:val="2"/>
          <w:sz w:val="32"/>
          <w:szCs w:val="24"/>
          <w:lang w:val="en-US" w:eastAsia="zh-CN"/>
          <w14:textFill>
            <w14:solidFill>
              <w14:schemeClr w14:val="tx1"/>
            </w14:solidFill>
          </w14:textFill>
        </w:rPr>
        <w:t>3</w:t>
      </w:r>
      <w:r>
        <w:rPr>
          <w:rFonts w:hint="eastAsia" w:ascii="仿宋_GB2312" w:hAnsi="仿宋_GB2312" w:eastAsia="仿宋_GB2312"/>
          <w:b w:val="0"/>
          <w:bCs w:val="0"/>
          <w:color w:val="000000" w:themeColor="text1"/>
          <w:kern w:val="2"/>
          <w:sz w:val="32"/>
          <w:szCs w:val="24"/>
          <w14:textFill>
            <w14:solidFill>
              <w14:schemeClr w14:val="tx1"/>
            </w14:solidFill>
          </w14:textFill>
        </w:rPr>
        <w:t>年中共广元市昭化区委群众工作局（部门）整体绩效自评报告、对我局的预算</w:t>
      </w:r>
      <w:r>
        <w:rPr>
          <w:rFonts w:hint="eastAsia" w:ascii="仿宋_GB2312" w:hAnsi="仿宋_GB2312" w:eastAsia="仿宋_GB2312" w:cs="仿宋_GB2312"/>
          <w:b w:val="0"/>
          <w:bCs w:val="0"/>
          <w:color w:val="000000" w:themeColor="text1"/>
          <w:sz w:val="32"/>
          <w:szCs w:val="32"/>
          <w14:textFill>
            <w14:solidFill>
              <w14:schemeClr w14:val="tx1"/>
            </w14:solidFill>
          </w14:textFill>
        </w:rPr>
        <w:t>信访维稳应急经费和追加解决特殊疑难信访问题中央补助资金</w:t>
      </w:r>
      <w:r>
        <w:rPr>
          <w:rFonts w:hint="eastAsia" w:ascii="Times New Roman" w:hAnsi="Times New Roman" w:eastAsia="仿宋_GB2312" w:cs="仿宋_GB2312"/>
          <w:b w:val="0"/>
          <w:bCs w:val="0"/>
          <w:color w:val="000000" w:themeColor="text1"/>
          <w:sz w:val="32"/>
          <w:szCs w:val="32"/>
          <w14:textFill>
            <w14:solidFill>
              <w14:schemeClr w14:val="tx1"/>
            </w14:solidFill>
          </w14:textFill>
        </w:rPr>
        <w:t>2</w:t>
      </w:r>
      <w:r>
        <w:rPr>
          <w:rFonts w:hint="eastAsia" w:ascii="仿宋_GB2312" w:hAnsi="仿宋_GB2312" w:eastAsia="仿宋_GB2312" w:cs="仿宋_GB2312"/>
          <w:b w:val="0"/>
          <w:bCs w:val="0"/>
          <w:color w:val="000000" w:themeColor="text1"/>
          <w:sz w:val="32"/>
          <w:szCs w:val="32"/>
          <w14:textFill>
            <w14:solidFill>
              <w14:schemeClr w14:val="tx1"/>
            </w14:solidFill>
          </w14:textFill>
        </w:rPr>
        <w:t>个</w:t>
      </w:r>
      <w:r>
        <w:rPr>
          <w:rFonts w:hint="eastAsia" w:ascii="仿宋_GB2312" w:hAnsi="仿宋_GB2312" w:eastAsia="仿宋_GB2312"/>
          <w:b w:val="0"/>
          <w:bCs w:val="0"/>
          <w:color w:val="000000" w:themeColor="text1"/>
          <w:kern w:val="2"/>
          <w:sz w:val="32"/>
          <w:szCs w:val="24"/>
          <w14:textFill>
            <w14:solidFill>
              <w14:schemeClr w14:val="tx1"/>
            </w14:solidFill>
          </w14:textFill>
        </w:rPr>
        <w:t>项目绩效自评报告，</w:t>
      </w:r>
      <w:r>
        <w:rPr>
          <w:rFonts w:hint="eastAsia" w:ascii="仿宋_GB2312" w:hAnsi="仿宋_GB2312" w:eastAsia="仿宋_GB2312" w:cs="仿宋_GB2312"/>
          <w:b w:val="0"/>
          <w:bCs w:val="0"/>
          <w:color w:val="000000" w:themeColor="text1"/>
          <w:sz w:val="32"/>
          <w:szCs w:val="32"/>
          <w14:textFill>
            <w14:solidFill>
              <w14:schemeClr w14:val="tx1"/>
            </w14:solidFill>
          </w14:textFill>
        </w:rPr>
        <w:t>其中，</w:t>
      </w:r>
      <w:r>
        <w:rPr>
          <w:rFonts w:hint="eastAsia" w:ascii="仿宋_GB2312" w:hAnsi="仿宋_GB2312" w:eastAsia="仿宋_GB2312"/>
          <w:b w:val="0"/>
          <w:bCs w:val="0"/>
          <w:color w:val="000000" w:themeColor="text1"/>
          <w:kern w:val="2"/>
          <w:sz w:val="32"/>
          <w:szCs w:val="24"/>
          <w14:textFill>
            <w14:solidFill>
              <w14:schemeClr w14:val="tx1"/>
            </w14:solidFill>
          </w14:textFill>
        </w:rPr>
        <w:t>中共广元市昭化区委群众工作局</w:t>
      </w:r>
      <w:r>
        <w:rPr>
          <w:rFonts w:hint="eastAsia" w:ascii="仿宋_GB2312" w:hAnsi="仿宋_GB2312" w:eastAsia="仿宋_GB2312" w:cs="仿宋_GB2312"/>
          <w:b w:val="0"/>
          <w:bCs w:val="0"/>
          <w:color w:val="000000" w:themeColor="text1"/>
          <w:sz w:val="32"/>
          <w:szCs w:val="32"/>
          <w14:textFill>
            <w14:solidFill>
              <w14:schemeClr w14:val="tx1"/>
            </w14:solidFill>
          </w14:textFill>
        </w:rPr>
        <w:t>部门整体绩效自评得分为</w:t>
      </w:r>
      <w:r>
        <w:rPr>
          <w:rFonts w:hint="eastAsia" w:ascii="Times New Roman" w:hAnsi="Times New Roman" w:eastAsia="仿宋_GB2312" w:cs="仿宋_GB2312"/>
          <w:b w:val="0"/>
          <w:bCs w:val="0"/>
          <w:color w:val="000000" w:themeColor="text1"/>
          <w:sz w:val="32"/>
          <w:szCs w:val="32"/>
          <w14:textFill>
            <w14:solidFill>
              <w14:schemeClr w14:val="tx1"/>
            </w14:solidFill>
          </w14:textFill>
        </w:rPr>
        <w:t>100</w:t>
      </w:r>
      <w:r>
        <w:rPr>
          <w:rFonts w:hint="eastAsia" w:ascii="仿宋_GB2312" w:hAnsi="仿宋_GB2312" w:eastAsia="仿宋_GB2312" w:cs="仿宋_GB2312"/>
          <w:b w:val="0"/>
          <w:bCs w:val="0"/>
          <w:color w:val="000000" w:themeColor="text1"/>
          <w:sz w:val="32"/>
          <w:szCs w:val="32"/>
          <w14:textFill>
            <w14:solidFill>
              <w14:schemeClr w14:val="tx1"/>
            </w14:solidFill>
          </w14:textFill>
        </w:rPr>
        <w:t>分；信访维稳应急经费全面完成全年各项工作，运转正常，该项目评价得分</w:t>
      </w:r>
      <w:r>
        <w:rPr>
          <w:rFonts w:hint="eastAsia" w:ascii="Times New Roman" w:hAnsi="Times New Roman" w:eastAsia="仿宋_GB2312" w:cs="仿宋_GB2312"/>
          <w:b w:val="0"/>
          <w:bCs w:val="0"/>
          <w:color w:val="000000" w:themeColor="text1"/>
          <w:sz w:val="32"/>
          <w:szCs w:val="32"/>
          <w14:textFill>
            <w14:solidFill>
              <w14:schemeClr w14:val="tx1"/>
            </w14:solidFill>
          </w14:textFill>
        </w:rPr>
        <w:t>98</w:t>
      </w:r>
      <w:r>
        <w:rPr>
          <w:rFonts w:hint="eastAsia" w:ascii="仿宋_GB2312" w:hAnsi="仿宋_GB2312" w:eastAsia="仿宋_GB2312" w:cs="仿宋_GB2312"/>
          <w:b w:val="0"/>
          <w:bCs w:val="0"/>
          <w:color w:val="000000" w:themeColor="text1"/>
          <w:sz w:val="32"/>
          <w:szCs w:val="32"/>
          <w14:textFill>
            <w14:solidFill>
              <w14:schemeClr w14:val="tx1"/>
            </w14:solidFill>
          </w14:textFill>
        </w:rPr>
        <w:t>分。追加解决特殊疑难信访问题中央补助资金，项目全面完成全年各项工作，运转正常，该项目评价得分</w:t>
      </w:r>
      <w:r>
        <w:rPr>
          <w:rFonts w:hint="eastAsia" w:ascii="Times New Roman" w:hAnsi="Times New Roman" w:eastAsia="仿宋_GB2312" w:cs="仿宋_GB2312"/>
          <w:b w:val="0"/>
          <w:bCs w:val="0"/>
          <w:color w:val="000000" w:themeColor="text1"/>
          <w:sz w:val="32"/>
          <w:szCs w:val="32"/>
          <w14:textFill>
            <w14:solidFill>
              <w14:schemeClr w14:val="tx1"/>
            </w14:solidFill>
          </w14:textFill>
        </w:rPr>
        <w:t>98</w:t>
      </w:r>
      <w:r>
        <w:rPr>
          <w:rFonts w:hint="eastAsia" w:ascii="仿宋_GB2312" w:hAnsi="仿宋_GB2312" w:eastAsia="仿宋_GB2312" w:cs="仿宋_GB2312"/>
          <w:b w:val="0"/>
          <w:bCs w:val="0"/>
          <w:color w:val="000000" w:themeColor="text1"/>
          <w:sz w:val="32"/>
          <w:szCs w:val="32"/>
          <w14:textFill>
            <w14:solidFill>
              <w14:schemeClr w14:val="tx1"/>
            </w14:solidFill>
          </w14:textFill>
        </w:rPr>
        <w:t>分。</w:t>
      </w:r>
      <w:r>
        <w:rPr>
          <w:rFonts w:hint="eastAsia" w:ascii="仿宋_GB2312" w:hAnsi="仿宋_GB2312" w:eastAsia="仿宋_GB2312"/>
          <w:b w:val="0"/>
          <w:bCs w:val="0"/>
          <w:color w:val="000000" w:themeColor="text1"/>
          <w:kern w:val="2"/>
          <w:sz w:val="32"/>
          <w:szCs w:val="24"/>
          <w14:textFill>
            <w14:solidFill>
              <w14:schemeClr w14:val="tx1"/>
            </w14:solidFill>
          </w14:textFill>
        </w:rPr>
        <w:t>绩效自评报告详见附件（第四部分）。</w:t>
      </w:r>
    </w:p>
    <w:p w14:paraId="760D7F2F">
      <w:pPr>
        <w:keepNext/>
        <w:keepLines/>
        <w:pageBreakBefore/>
        <w:widowControl w:val="0"/>
        <w:kinsoku/>
        <w:wordWrap/>
        <w:bidi w:val="0"/>
        <w:snapToGrid/>
        <w:spacing w:line="576" w:lineRule="exact"/>
        <w:jc w:val="center"/>
        <w:textAlignment w:val="auto"/>
        <w:rPr>
          <w:rFonts w:hint="eastAsia" w:ascii="方正小标宋简体" w:hAnsi="方正小标宋简体" w:eastAsia="方正小标宋简体" w:cs="方正小标宋简体"/>
          <w:color w:val="000000" w:themeColor="text1"/>
          <w:kern w:val="44"/>
          <w:sz w:val="44"/>
          <w:szCs w:val="24"/>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44"/>
          <w:szCs w:val="24"/>
          <w14:textFill>
            <w14:solidFill>
              <w14:schemeClr w14:val="tx1"/>
            </w14:solidFill>
          </w14:textFill>
        </w:rPr>
        <w:t>第三部分  名</w:t>
      </w:r>
      <w:r>
        <w:rPr>
          <w:rFonts w:hint="eastAsia" w:ascii="方正小标宋简体" w:hAnsi="方正小标宋简体" w:eastAsia="方正小标宋简体" w:cs="方正小标宋简体"/>
          <w:color w:val="000000" w:themeColor="text1"/>
          <w:kern w:val="44"/>
          <w:sz w:val="44"/>
          <w:szCs w:val="24"/>
          <w14:textFill>
            <w14:solidFill>
              <w14:schemeClr w14:val="tx1"/>
            </w14:solidFill>
          </w14:textFill>
        </w:rPr>
        <w:t>词解释</w:t>
      </w:r>
    </w:p>
    <w:p w14:paraId="70BCE62E">
      <w:pPr>
        <w:widowControl w:val="0"/>
        <w:kinsoku/>
        <w:wordWrap/>
        <w:overflowPunct w:val="0"/>
        <w:topLinePunct/>
        <w:bidi w:val="0"/>
        <w:snapToGrid/>
        <w:spacing w:line="576" w:lineRule="exact"/>
        <w:ind w:firstLine="640" w:firstLineChars="200"/>
        <w:jc w:val="both"/>
        <w:textAlignment w:val="auto"/>
        <w:rPr>
          <w:rFonts w:hint="eastAsia" w:ascii="黑体" w:hAnsi="黑体" w:eastAsia="黑体" w:cs="黑体"/>
          <w:color w:val="000000" w:themeColor="text1"/>
          <w:sz w:val="32"/>
          <w:szCs w:val="24"/>
          <w14:textFill>
            <w14:solidFill>
              <w14:schemeClr w14:val="tx1"/>
            </w14:solidFill>
          </w14:textFill>
        </w:rPr>
      </w:pPr>
    </w:p>
    <w:p w14:paraId="12A09595">
      <w:pPr>
        <w:keepNext w:val="0"/>
        <w:keepLines w:val="0"/>
        <w:pageBreakBefore w:val="0"/>
        <w:widowControl w:val="0"/>
        <w:kinsoku/>
        <w:wordWrap/>
        <w:overflowPunct w:val="0"/>
        <w:topLinePunct/>
        <w:autoSpaceDE w:val="0"/>
        <w:autoSpaceDN w:val="0"/>
        <w:bidi w:val="0"/>
        <w:adjustRightInd w:val="0"/>
        <w:snapToGrid/>
        <w:spacing w:beforeLines="0" w:afterLines="0" w:line="520" w:lineRule="exact"/>
        <w:ind w:firstLine="640" w:firstLineChars="200"/>
        <w:jc w:val="both"/>
        <w:textAlignment w:val="auto"/>
        <w:rPr>
          <w:rFonts w:hint="eastAsia" w:ascii="仿宋_GB2312" w:hAnsi="仿宋_GB2312" w:eastAsia="仿宋_GB2312"/>
          <w:color w:val="000000"/>
          <w:sz w:val="32"/>
          <w:szCs w:val="24"/>
        </w:rPr>
      </w:pPr>
      <w:r>
        <w:rPr>
          <w:rFonts w:hint="eastAsia" w:ascii="黑体" w:hAnsi="黑体" w:eastAsia="黑体" w:cs="黑体"/>
          <w:color w:val="000000"/>
          <w:sz w:val="32"/>
          <w:szCs w:val="24"/>
        </w:rPr>
        <w:t>一、财政拨款收入：</w:t>
      </w:r>
      <w:r>
        <w:rPr>
          <w:rFonts w:hint="eastAsia" w:ascii="仿宋_GB2312" w:hAnsi="仿宋_GB2312" w:eastAsia="仿宋_GB2312"/>
          <w:color w:val="000000"/>
          <w:sz w:val="32"/>
          <w:szCs w:val="24"/>
        </w:rPr>
        <w:t>指单位从同级财政部门取得的财政预算资金。</w:t>
      </w:r>
    </w:p>
    <w:p w14:paraId="2A474AC9">
      <w:pPr>
        <w:keepNext w:val="0"/>
        <w:keepLines w:val="0"/>
        <w:pageBreakBefore w:val="0"/>
        <w:widowControl w:val="0"/>
        <w:kinsoku/>
        <w:wordWrap/>
        <w:overflowPunct w:val="0"/>
        <w:topLinePunct/>
        <w:autoSpaceDE w:val="0"/>
        <w:autoSpaceDN w:val="0"/>
        <w:bidi w:val="0"/>
        <w:adjustRightInd w:val="0"/>
        <w:snapToGrid/>
        <w:spacing w:beforeLines="0" w:afterLines="0" w:line="520" w:lineRule="exact"/>
        <w:ind w:firstLine="640" w:firstLineChars="200"/>
        <w:jc w:val="both"/>
        <w:textAlignment w:val="auto"/>
        <w:rPr>
          <w:rFonts w:hint="eastAsia" w:ascii="仿宋_GB2312" w:hAnsi="仿宋_GB2312" w:eastAsia="仿宋_GB2312"/>
          <w:color w:val="000000"/>
          <w:sz w:val="32"/>
          <w:szCs w:val="24"/>
          <w:highlight w:val="none"/>
        </w:rPr>
      </w:pPr>
      <w:r>
        <w:rPr>
          <w:rFonts w:hint="eastAsia" w:ascii="黑体" w:hAnsi="黑体" w:eastAsia="黑体" w:cs="黑体"/>
          <w:color w:val="000000"/>
          <w:sz w:val="32"/>
          <w:szCs w:val="24"/>
          <w:highlight w:val="none"/>
        </w:rPr>
        <w:t>二、事业收入：</w:t>
      </w:r>
      <w:r>
        <w:rPr>
          <w:rFonts w:hint="eastAsia" w:ascii="仿宋_GB2312" w:hAnsi="仿宋_GB2312" w:eastAsia="仿宋_GB2312"/>
          <w:color w:val="000000"/>
          <w:sz w:val="32"/>
          <w:szCs w:val="24"/>
          <w:highlight w:val="none"/>
        </w:rPr>
        <w:t>指事业单位开展专业业务活动及辅助活动取得的收入。</w:t>
      </w:r>
    </w:p>
    <w:p w14:paraId="27646F73">
      <w:pPr>
        <w:keepNext w:val="0"/>
        <w:keepLines w:val="0"/>
        <w:pageBreakBefore w:val="0"/>
        <w:widowControl w:val="0"/>
        <w:kinsoku/>
        <w:wordWrap/>
        <w:overflowPunct w:val="0"/>
        <w:topLinePunct/>
        <w:autoSpaceDE w:val="0"/>
        <w:autoSpaceDN w:val="0"/>
        <w:bidi w:val="0"/>
        <w:adjustRightInd w:val="0"/>
        <w:snapToGrid/>
        <w:spacing w:beforeLines="0" w:afterLines="0" w:line="520" w:lineRule="exact"/>
        <w:ind w:firstLine="640" w:firstLineChars="200"/>
        <w:jc w:val="both"/>
        <w:textAlignment w:val="auto"/>
        <w:rPr>
          <w:rFonts w:hint="eastAsia" w:ascii="仿宋_GB2312" w:hAnsi="仿宋_GB2312" w:eastAsia="仿宋_GB2312"/>
          <w:color w:val="000000"/>
          <w:sz w:val="32"/>
          <w:szCs w:val="24"/>
          <w:highlight w:val="none"/>
        </w:rPr>
      </w:pPr>
      <w:r>
        <w:rPr>
          <w:rFonts w:hint="eastAsia" w:ascii="黑体" w:hAnsi="黑体" w:eastAsia="黑体" w:cs="黑体"/>
          <w:color w:val="000000"/>
          <w:sz w:val="32"/>
          <w:szCs w:val="24"/>
          <w:highlight w:val="none"/>
        </w:rPr>
        <w:t>三、经营收入：</w:t>
      </w:r>
      <w:r>
        <w:rPr>
          <w:rFonts w:hint="eastAsia" w:ascii="仿宋_GB2312" w:hAnsi="仿宋_GB2312" w:eastAsia="仿宋_GB2312"/>
          <w:color w:val="000000"/>
          <w:sz w:val="32"/>
          <w:szCs w:val="24"/>
          <w:highlight w:val="none"/>
        </w:rPr>
        <w:t>指事业单位在专业业务活动及其辅助活动之外开展非独立核算经营活动取得的收入。、</w:t>
      </w:r>
    </w:p>
    <w:p w14:paraId="6CCA0FBA">
      <w:pPr>
        <w:keepNext w:val="0"/>
        <w:keepLines w:val="0"/>
        <w:pageBreakBefore w:val="0"/>
        <w:widowControl w:val="0"/>
        <w:kinsoku/>
        <w:wordWrap/>
        <w:overflowPunct w:val="0"/>
        <w:topLinePunct/>
        <w:autoSpaceDE w:val="0"/>
        <w:autoSpaceDN w:val="0"/>
        <w:bidi w:val="0"/>
        <w:adjustRightInd w:val="0"/>
        <w:snapToGrid/>
        <w:spacing w:beforeLines="0" w:afterLines="0" w:line="520" w:lineRule="exact"/>
        <w:ind w:firstLine="640" w:firstLineChars="200"/>
        <w:jc w:val="both"/>
        <w:textAlignment w:val="auto"/>
        <w:rPr>
          <w:rFonts w:hint="eastAsia" w:ascii="仿宋_GB2312" w:hAnsi="仿宋_GB2312" w:eastAsia="仿宋_GB2312"/>
          <w:color w:val="000000"/>
          <w:sz w:val="32"/>
          <w:szCs w:val="24"/>
          <w:highlight w:val="none"/>
        </w:rPr>
      </w:pPr>
      <w:r>
        <w:rPr>
          <w:rFonts w:hint="eastAsia" w:ascii="黑体" w:hAnsi="黑体" w:eastAsia="黑体" w:cs="黑体"/>
          <w:color w:val="000000"/>
          <w:sz w:val="32"/>
          <w:szCs w:val="24"/>
          <w:highlight w:val="none"/>
        </w:rPr>
        <w:t>四、其他收入：</w:t>
      </w:r>
      <w:r>
        <w:rPr>
          <w:rFonts w:hint="eastAsia" w:ascii="仿宋_GB2312" w:hAnsi="仿宋_GB2312" w:eastAsia="仿宋_GB2312"/>
          <w:color w:val="000000"/>
          <w:sz w:val="32"/>
          <w:szCs w:val="24"/>
          <w:highlight w:val="none"/>
        </w:rPr>
        <w:t>指单位取得的除上述收入以外的各项收入。</w:t>
      </w:r>
    </w:p>
    <w:p w14:paraId="01F97E02">
      <w:pPr>
        <w:pStyle w:val="15"/>
        <w:keepNext w:val="0"/>
        <w:keepLines w:val="0"/>
        <w:pageBreakBefore w:val="0"/>
        <w:widowControl w:val="0"/>
        <w:kinsoku/>
        <w:wordWrap/>
        <w:autoSpaceDE w:val="0"/>
        <w:autoSpaceDN w:val="0"/>
        <w:bidi w:val="0"/>
        <w:adjustRightInd w:val="0"/>
        <w:snapToGrid/>
        <w:spacing w:line="520" w:lineRule="exact"/>
        <w:ind w:firstLine="640" w:firstLineChars="200"/>
        <w:textAlignment w:val="auto"/>
        <w:rPr>
          <w:rFonts w:hint="eastAsia" w:ascii="仿宋_GB2312" w:eastAsia="仿宋_GB2312"/>
          <w:sz w:val="32"/>
          <w:szCs w:val="32"/>
          <w:highlight w:val="none"/>
        </w:rPr>
      </w:pPr>
      <w:r>
        <w:rPr>
          <w:rFonts w:hint="eastAsia" w:ascii="黑体" w:hAnsi="黑体" w:eastAsia="黑体" w:cs="黑体"/>
          <w:sz w:val="32"/>
          <w:szCs w:val="24"/>
          <w:highlight w:val="none"/>
        </w:rPr>
        <w:t>五、使用非财政拨款结余（含专用结余）：</w:t>
      </w:r>
      <w:r>
        <w:rPr>
          <w:rFonts w:hint="eastAsia" w:ascii="仿宋_GB2312" w:eastAsia="仿宋_GB2312"/>
          <w:sz w:val="32"/>
          <w:szCs w:val="32"/>
          <w:highlight w:val="none"/>
        </w:rPr>
        <w:t xml:space="preserve">指事业单位使用以前年度积累的非财政拨款结余弥补当年收支差额的金额。 </w:t>
      </w:r>
    </w:p>
    <w:p w14:paraId="0B020216">
      <w:pPr>
        <w:keepNext w:val="0"/>
        <w:keepLines w:val="0"/>
        <w:pageBreakBefore w:val="0"/>
        <w:widowControl w:val="0"/>
        <w:kinsoku/>
        <w:wordWrap/>
        <w:overflowPunct w:val="0"/>
        <w:topLinePunct/>
        <w:autoSpaceDE w:val="0"/>
        <w:autoSpaceDN w:val="0"/>
        <w:bidi w:val="0"/>
        <w:adjustRightInd w:val="0"/>
        <w:snapToGrid/>
        <w:spacing w:beforeLines="0" w:afterLines="0" w:line="520" w:lineRule="exact"/>
        <w:ind w:firstLine="640" w:firstLineChars="200"/>
        <w:jc w:val="both"/>
        <w:textAlignment w:val="auto"/>
        <w:rPr>
          <w:rFonts w:hint="eastAsia" w:ascii="仿宋_GB2312" w:hAnsi="仿宋_GB2312" w:eastAsia="仿宋_GB2312"/>
          <w:color w:val="000000"/>
          <w:sz w:val="32"/>
          <w:szCs w:val="24"/>
          <w:highlight w:val="none"/>
        </w:rPr>
      </w:pPr>
      <w:r>
        <w:rPr>
          <w:rFonts w:hint="eastAsia" w:ascii="黑体" w:hAnsi="黑体" w:eastAsia="黑体" w:cs="黑体"/>
          <w:color w:val="000000"/>
          <w:sz w:val="32"/>
          <w:szCs w:val="24"/>
          <w:highlight w:val="none"/>
        </w:rPr>
        <w:t>六、年初结转和结余：</w:t>
      </w:r>
      <w:r>
        <w:rPr>
          <w:rFonts w:hint="eastAsia" w:ascii="仿宋_GB2312" w:hAnsi="仿宋_GB2312" w:eastAsia="仿宋_GB2312"/>
          <w:color w:val="000000"/>
          <w:sz w:val="32"/>
          <w:szCs w:val="24"/>
          <w:highlight w:val="none"/>
        </w:rPr>
        <w:t xml:space="preserve">指以前年度尚未完成、结转到本年按有关规定继续使用的资金。 </w:t>
      </w:r>
    </w:p>
    <w:p w14:paraId="6B096B20">
      <w:pPr>
        <w:keepNext w:val="0"/>
        <w:keepLines w:val="0"/>
        <w:pageBreakBefore w:val="0"/>
        <w:widowControl w:val="0"/>
        <w:kinsoku/>
        <w:wordWrap/>
        <w:overflowPunct w:val="0"/>
        <w:topLinePunct/>
        <w:autoSpaceDE w:val="0"/>
        <w:autoSpaceDN w:val="0"/>
        <w:bidi w:val="0"/>
        <w:adjustRightInd w:val="0"/>
        <w:snapToGrid/>
        <w:spacing w:beforeLines="0" w:afterLines="0" w:line="520" w:lineRule="exact"/>
        <w:ind w:firstLine="640" w:firstLineChars="200"/>
        <w:jc w:val="both"/>
        <w:textAlignment w:val="auto"/>
        <w:rPr>
          <w:rFonts w:hint="eastAsia" w:ascii="仿宋_GB2312" w:hAnsi="仿宋_GB2312" w:eastAsia="仿宋_GB2312"/>
          <w:color w:val="000000"/>
          <w:sz w:val="32"/>
          <w:szCs w:val="24"/>
          <w:highlight w:val="none"/>
        </w:rPr>
      </w:pPr>
      <w:r>
        <w:rPr>
          <w:rFonts w:hint="eastAsia" w:ascii="黑体" w:hAnsi="黑体" w:eastAsia="黑体" w:cs="黑体"/>
          <w:color w:val="000000"/>
          <w:sz w:val="32"/>
          <w:szCs w:val="24"/>
          <w:highlight w:val="none"/>
        </w:rPr>
        <w:t>七、结余分配：</w:t>
      </w:r>
      <w:r>
        <w:rPr>
          <w:rFonts w:hint="eastAsia" w:ascii="仿宋_GB2312" w:hAnsi="仿宋_GB2312" w:eastAsia="仿宋_GB2312"/>
          <w:color w:val="000000"/>
          <w:sz w:val="32"/>
          <w:szCs w:val="24"/>
          <w:highlight w:val="none"/>
        </w:rPr>
        <w:t>指事业单位按照会计制度规定缴纳的所得税、提取的专用结余以及转入非财政拨款结余的金额等。</w:t>
      </w:r>
    </w:p>
    <w:p w14:paraId="1622B8C3">
      <w:pPr>
        <w:keepNext w:val="0"/>
        <w:keepLines w:val="0"/>
        <w:pageBreakBefore w:val="0"/>
        <w:widowControl w:val="0"/>
        <w:kinsoku/>
        <w:wordWrap/>
        <w:overflowPunct w:val="0"/>
        <w:topLinePunct/>
        <w:autoSpaceDE w:val="0"/>
        <w:autoSpaceDN w:val="0"/>
        <w:bidi w:val="0"/>
        <w:adjustRightInd w:val="0"/>
        <w:snapToGrid/>
        <w:spacing w:beforeLines="0" w:afterLines="0" w:line="520" w:lineRule="exact"/>
        <w:ind w:firstLine="640" w:firstLineChars="200"/>
        <w:jc w:val="both"/>
        <w:textAlignment w:val="auto"/>
        <w:rPr>
          <w:rFonts w:hint="eastAsia" w:ascii="仿宋_GB2312" w:hAnsi="仿宋_GB2312" w:eastAsia="仿宋_GB2312"/>
          <w:color w:val="000000"/>
          <w:sz w:val="32"/>
          <w:szCs w:val="24"/>
          <w:highlight w:val="none"/>
        </w:rPr>
      </w:pPr>
      <w:r>
        <w:rPr>
          <w:rFonts w:hint="eastAsia" w:ascii="黑体" w:hAnsi="黑体" w:eastAsia="黑体" w:cs="黑体"/>
          <w:color w:val="000000"/>
          <w:sz w:val="32"/>
          <w:szCs w:val="24"/>
          <w:highlight w:val="none"/>
        </w:rPr>
        <w:t>八、年末结转和结余：</w:t>
      </w:r>
      <w:r>
        <w:rPr>
          <w:rFonts w:hint="eastAsia" w:ascii="仿宋_GB2312" w:hAnsi="仿宋_GB2312" w:eastAsia="仿宋_GB2312"/>
          <w:color w:val="000000"/>
          <w:sz w:val="32"/>
          <w:szCs w:val="24"/>
          <w:highlight w:val="none"/>
        </w:rPr>
        <w:t>指单位按有关规定结转到下年或以后年度继续使用的资金。</w:t>
      </w:r>
    </w:p>
    <w:p w14:paraId="660A6FD4">
      <w:pPr>
        <w:keepNext w:val="0"/>
        <w:keepLines w:val="0"/>
        <w:pageBreakBefore w:val="0"/>
        <w:widowControl w:val="0"/>
        <w:kinsoku/>
        <w:wordWrap/>
        <w:overflowPunct w:val="0"/>
        <w:autoSpaceDE w:val="0"/>
        <w:autoSpaceDN w:val="0"/>
        <w:bidi w:val="0"/>
        <w:adjustRightInd w:val="0"/>
        <w:snapToGrid/>
        <w:spacing w:beforeLines="0" w:afterLines="0" w:line="520" w:lineRule="exact"/>
        <w:ind w:firstLine="640" w:firstLineChars="200"/>
        <w:jc w:val="both"/>
        <w:textAlignment w:val="auto"/>
        <w:rPr>
          <w:rStyle w:val="12"/>
          <w:rFonts w:hint="eastAsia" w:ascii="仿宋_GB2312" w:hAnsi="仿宋_GB2312" w:eastAsia="仿宋_GB2312" w:cs="仿宋_GB2312"/>
          <w:b w:val="0"/>
          <w:color w:val="000000"/>
          <w:sz w:val="32"/>
          <w:szCs w:val="32"/>
        </w:rPr>
      </w:pPr>
      <w:r>
        <w:rPr>
          <w:rFonts w:hint="eastAsia" w:ascii="黑体" w:hAnsi="黑体" w:eastAsia="黑体" w:cs="黑体"/>
          <w:color w:val="000000"/>
          <w:sz w:val="32"/>
          <w:szCs w:val="24"/>
        </w:rPr>
        <w:t>九、一般公共服务（类）政府办公厅（室）及相关机构事务（款）行政运行（项）：</w:t>
      </w:r>
      <w:r>
        <w:rPr>
          <w:rStyle w:val="12"/>
          <w:rFonts w:hint="eastAsia" w:ascii="仿宋_GB2312" w:hAnsi="仿宋_GB2312" w:eastAsia="仿宋_GB2312" w:cs="仿宋_GB2312"/>
          <w:b w:val="0"/>
          <w:color w:val="000000"/>
          <w:sz w:val="32"/>
          <w:szCs w:val="32"/>
        </w:rPr>
        <w:t>指区委群工局的</w:t>
      </w:r>
      <w:r>
        <w:rPr>
          <w:rStyle w:val="12"/>
          <w:rFonts w:hint="eastAsia" w:ascii="仿宋_GB2312" w:hAnsi="仿宋_GB2312" w:eastAsia="仿宋_GB2312" w:cs="仿宋_GB2312"/>
          <w:b w:val="0"/>
          <w:color w:val="000000"/>
          <w:sz w:val="32"/>
          <w:szCs w:val="32"/>
          <w:lang w:val="en-US" w:eastAsia="zh-CN"/>
        </w:rPr>
        <w:t>信访事务</w:t>
      </w:r>
      <w:r>
        <w:rPr>
          <w:rStyle w:val="12"/>
          <w:rFonts w:hint="eastAsia" w:ascii="仿宋_GB2312" w:hAnsi="仿宋_GB2312" w:eastAsia="仿宋_GB2312" w:cs="仿宋_GB2312"/>
          <w:b w:val="0"/>
          <w:color w:val="000000"/>
          <w:sz w:val="32"/>
          <w:szCs w:val="32"/>
        </w:rPr>
        <w:t>支出。</w:t>
      </w:r>
    </w:p>
    <w:p w14:paraId="6F1CB143">
      <w:pPr>
        <w:pStyle w:val="2"/>
        <w:keepNext w:val="0"/>
        <w:keepLines w:val="0"/>
        <w:pageBreakBefore w:val="0"/>
        <w:widowControl w:val="0"/>
        <w:kinsoku/>
        <w:wordWrap/>
        <w:autoSpaceDE w:val="0"/>
        <w:autoSpaceDN w:val="0"/>
        <w:bidi w:val="0"/>
        <w:adjustRightInd w:val="0"/>
        <w:snapToGrid/>
        <w:spacing w:line="520" w:lineRule="exact"/>
        <w:ind w:firstLine="640" w:firstLineChars="200"/>
        <w:textAlignment w:val="auto"/>
        <w:rPr>
          <w:rFonts w:hint="eastAsia"/>
        </w:rPr>
      </w:pPr>
      <w:r>
        <w:rPr>
          <w:rFonts w:hint="eastAsia" w:ascii="黑体" w:hAnsi="黑体" w:eastAsia="黑体" w:cs="黑体"/>
          <w:color w:val="000000"/>
          <w:sz w:val="32"/>
          <w:szCs w:val="24"/>
          <w:lang w:val="en-US" w:eastAsia="zh-CN"/>
        </w:rPr>
        <w:t>十</w:t>
      </w:r>
      <w:r>
        <w:rPr>
          <w:rFonts w:hint="eastAsia" w:ascii="黑体" w:hAnsi="黑体" w:eastAsia="黑体" w:cs="黑体"/>
          <w:color w:val="000000"/>
          <w:sz w:val="32"/>
          <w:szCs w:val="24"/>
        </w:rPr>
        <w:t>、一般公共服务（类）</w:t>
      </w:r>
      <w:r>
        <w:rPr>
          <w:rFonts w:hint="eastAsia" w:ascii="黑体" w:hAnsi="黑体" w:eastAsia="黑体" w:cs="黑体"/>
          <w:color w:val="000000"/>
          <w:sz w:val="32"/>
          <w:szCs w:val="24"/>
          <w:lang w:val="en-US" w:eastAsia="zh-CN"/>
        </w:rPr>
        <w:t>党委</w:t>
      </w:r>
      <w:r>
        <w:rPr>
          <w:rFonts w:hint="eastAsia" w:ascii="黑体" w:hAnsi="黑体" w:eastAsia="黑体" w:cs="黑体"/>
          <w:color w:val="000000"/>
          <w:sz w:val="32"/>
          <w:szCs w:val="24"/>
        </w:rPr>
        <w:t>办公厅（室）及相关机构事务（款）行政运行（项）：</w:t>
      </w:r>
      <w:r>
        <w:rPr>
          <w:rStyle w:val="12"/>
          <w:rFonts w:hint="eastAsia" w:ascii="仿宋_GB2312" w:hAnsi="仿宋_GB2312" w:eastAsia="仿宋_GB2312" w:cs="仿宋_GB2312"/>
          <w:b w:val="0"/>
          <w:color w:val="000000"/>
          <w:sz w:val="32"/>
          <w:szCs w:val="32"/>
        </w:rPr>
        <w:t>指区委群工局的基本支出。</w:t>
      </w:r>
    </w:p>
    <w:p w14:paraId="4454929E">
      <w:pPr>
        <w:keepNext w:val="0"/>
        <w:keepLines w:val="0"/>
        <w:pageBreakBefore w:val="0"/>
        <w:widowControl w:val="0"/>
        <w:kinsoku/>
        <w:wordWrap/>
        <w:overflowPunct w:val="0"/>
        <w:autoSpaceDE w:val="0"/>
        <w:autoSpaceDN w:val="0"/>
        <w:bidi w:val="0"/>
        <w:adjustRightInd w:val="0"/>
        <w:snapToGrid/>
        <w:spacing w:beforeLines="0" w:afterLines="0" w:line="52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24"/>
        </w:rPr>
        <w:t>十</w:t>
      </w:r>
      <w:r>
        <w:rPr>
          <w:rFonts w:hint="eastAsia" w:ascii="黑体" w:hAnsi="黑体" w:eastAsia="黑体" w:cs="黑体"/>
          <w:color w:val="000000"/>
          <w:sz w:val="32"/>
          <w:szCs w:val="24"/>
          <w:lang w:val="en-US" w:eastAsia="zh-CN"/>
        </w:rPr>
        <w:t>一</w:t>
      </w:r>
      <w:r>
        <w:rPr>
          <w:rFonts w:hint="eastAsia" w:ascii="黑体" w:hAnsi="黑体" w:eastAsia="黑体" w:cs="黑体"/>
          <w:color w:val="000000"/>
          <w:sz w:val="32"/>
          <w:szCs w:val="24"/>
        </w:rPr>
        <w:t>、社会保障和就业（类）行政事业单位养老支出（款）行政事业单位养老支出（项）：</w:t>
      </w:r>
      <w:r>
        <w:rPr>
          <w:rStyle w:val="12"/>
          <w:rFonts w:hint="eastAsia" w:ascii="仿宋_GB2312" w:hAnsi="仿宋_GB2312" w:eastAsia="仿宋_GB2312" w:cs="仿宋_GB2312"/>
          <w:b w:val="0"/>
          <w:color w:val="000000"/>
          <w:sz w:val="32"/>
          <w:szCs w:val="32"/>
        </w:rPr>
        <w:t>指区委</w:t>
      </w:r>
      <w:r>
        <w:rPr>
          <w:rStyle w:val="12"/>
          <w:rFonts w:hint="eastAsia" w:ascii="仿宋_GB2312" w:hAnsi="仿宋_GB2312" w:eastAsia="仿宋_GB2312" w:cs="仿宋_GB2312"/>
          <w:b w:val="0"/>
          <w:color w:val="000000"/>
          <w:sz w:val="32"/>
          <w:szCs w:val="32"/>
          <w:lang w:val="en-US" w:eastAsia="zh-CN"/>
        </w:rPr>
        <w:t>群工局</w:t>
      </w:r>
      <w:r>
        <w:rPr>
          <w:rStyle w:val="12"/>
          <w:rFonts w:hint="eastAsia" w:ascii="仿宋_GB2312" w:hAnsi="仿宋_GB2312" w:eastAsia="仿宋_GB2312" w:cs="仿宋_GB2312"/>
          <w:b w:val="0"/>
          <w:color w:val="000000"/>
          <w:sz w:val="32"/>
          <w:szCs w:val="32"/>
        </w:rPr>
        <w:t>为单位职工缴纳基本养老保险缴费支出。</w:t>
      </w:r>
    </w:p>
    <w:p w14:paraId="172E235C">
      <w:pPr>
        <w:keepNext w:val="0"/>
        <w:keepLines w:val="0"/>
        <w:pageBreakBefore w:val="0"/>
        <w:widowControl w:val="0"/>
        <w:kinsoku/>
        <w:wordWrap/>
        <w:overflowPunct w:val="0"/>
        <w:autoSpaceDE w:val="0"/>
        <w:autoSpaceDN w:val="0"/>
        <w:bidi w:val="0"/>
        <w:adjustRightInd w:val="0"/>
        <w:snapToGrid/>
        <w:spacing w:beforeLines="0" w:afterLines="0" w:line="520" w:lineRule="exact"/>
        <w:ind w:firstLine="640" w:firstLineChars="200"/>
        <w:jc w:val="both"/>
        <w:textAlignment w:val="auto"/>
        <w:rPr>
          <w:rStyle w:val="12"/>
          <w:rFonts w:hint="eastAsia" w:ascii="仿宋_GB2312" w:hAnsi="仿宋_GB2312" w:eastAsia="仿宋_GB2312" w:cs="仿宋_GB2312"/>
          <w:b w:val="0"/>
          <w:color w:val="000000"/>
          <w:sz w:val="32"/>
          <w:szCs w:val="32"/>
          <w:highlight w:val="yellow"/>
        </w:rPr>
      </w:pPr>
      <w:r>
        <w:rPr>
          <w:rFonts w:hint="eastAsia" w:ascii="黑体" w:hAnsi="黑体" w:eastAsia="黑体" w:cs="黑体"/>
          <w:color w:val="000000"/>
          <w:sz w:val="32"/>
          <w:szCs w:val="24"/>
        </w:rPr>
        <w:t>十</w:t>
      </w:r>
      <w:r>
        <w:rPr>
          <w:rFonts w:hint="eastAsia" w:ascii="黑体" w:hAnsi="黑体" w:eastAsia="黑体" w:cs="黑体"/>
          <w:color w:val="000000"/>
          <w:sz w:val="32"/>
          <w:szCs w:val="24"/>
          <w:lang w:val="en-US" w:eastAsia="zh-CN"/>
        </w:rPr>
        <w:t>二</w:t>
      </w:r>
      <w:r>
        <w:rPr>
          <w:rFonts w:hint="eastAsia" w:ascii="黑体" w:hAnsi="黑体" w:eastAsia="黑体" w:cs="黑体"/>
          <w:color w:val="000000"/>
          <w:sz w:val="32"/>
          <w:szCs w:val="24"/>
        </w:rPr>
        <w:t>、医疗卫生与计划生育（类）医疗卫生与计划生育支出（款）行政事业单位医疗（项）行政单位医疗：</w:t>
      </w:r>
      <w:r>
        <w:rPr>
          <w:rStyle w:val="12"/>
          <w:rFonts w:hint="eastAsia" w:ascii="仿宋_GB2312" w:hAnsi="仿宋_GB2312" w:eastAsia="仿宋_GB2312" w:cs="仿宋_GB2312"/>
          <w:b w:val="0"/>
          <w:color w:val="000000"/>
          <w:sz w:val="32"/>
          <w:szCs w:val="32"/>
        </w:rPr>
        <w:t>指区委</w:t>
      </w:r>
      <w:r>
        <w:rPr>
          <w:rStyle w:val="12"/>
          <w:rFonts w:hint="eastAsia" w:ascii="仿宋_GB2312" w:hAnsi="仿宋_GB2312" w:eastAsia="仿宋_GB2312" w:cs="仿宋_GB2312"/>
          <w:b w:val="0"/>
          <w:color w:val="000000"/>
          <w:sz w:val="32"/>
          <w:szCs w:val="32"/>
          <w:lang w:val="en-US" w:eastAsia="zh-CN"/>
        </w:rPr>
        <w:t>群工局</w:t>
      </w:r>
      <w:r>
        <w:rPr>
          <w:rStyle w:val="12"/>
          <w:rFonts w:hint="eastAsia" w:ascii="仿宋_GB2312" w:hAnsi="仿宋_GB2312" w:eastAsia="仿宋_GB2312" w:cs="仿宋_GB2312"/>
          <w:b w:val="0"/>
          <w:color w:val="000000"/>
          <w:sz w:val="32"/>
          <w:szCs w:val="32"/>
        </w:rPr>
        <w:t>为单位职工缴纳的医疗保险支出。</w:t>
      </w:r>
    </w:p>
    <w:p w14:paraId="3526A67F">
      <w:pPr>
        <w:keepNext w:val="0"/>
        <w:keepLines w:val="0"/>
        <w:pageBreakBefore w:val="0"/>
        <w:widowControl w:val="0"/>
        <w:kinsoku/>
        <w:wordWrap/>
        <w:overflowPunct w:val="0"/>
        <w:autoSpaceDE w:val="0"/>
        <w:autoSpaceDN w:val="0"/>
        <w:bidi w:val="0"/>
        <w:adjustRightInd w:val="0"/>
        <w:snapToGrid/>
        <w:spacing w:beforeLines="0" w:afterLines="0" w:line="52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color w:val="000000"/>
          <w:sz w:val="32"/>
          <w:szCs w:val="24"/>
        </w:rPr>
        <w:t>十</w:t>
      </w:r>
      <w:r>
        <w:rPr>
          <w:rFonts w:hint="eastAsia" w:ascii="黑体" w:hAnsi="黑体" w:eastAsia="黑体" w:cs="黑体"/>
          <w:color w:val="000000"/>
          <w:sz w:val="32"/>
          <w:szCs w:val="24"/>
          <w:lang w:val="en-US" w:eastAsia="zh-CN"/>
        </w:rPr>
        <w:t>三</w:t>
      </w:r>
      <w:r>
        <w:rPr>
          <w:rFonts w:hint="eastAsia" w:ascii="黑体" w:hAnsi="黑体" w:eastAsia="黑体" w:cs="黑体"/>
          <w:color w:val="000000"/>
          <w:sz w:val="32"/>
          <w:szCs w:val="24"/>
        </w:rPr>
        <w:t>、住房保障支出（类）住房改革支出（款）住房公积金（项）：</w:t>
      </w:r>
      <w:r>
        <w:rPr>
          <w:rStyle w:val="12"/>
          <w:rFonts w:hint="eastAsia" w:ascii="仿宋_GB2312" w:hAnsi="仿宋_GB2312" w:eastAsia="仿宋_GB2312" w:cs="仿宋_GB2312"/>
          <w:b w:val="0"/>
          <w:color w:val="000000"/>
          <w:sz w:val="32"/>
          <w:szCs w:val="32"/>
        </w:rPr>
        <w:t>指区委</w:t>
      </w:r>
      <w:r>
        <w:rPr>
          <w:rStyle w:val="12"/>
          <w:rFonts w:hint="eastAsia" w:ascii="仿宋_GB2312" w:hAnsi="仿宋_GB2312" w:eastAsia="仿宋_GB2312" w:cs="仿宋_GB2312"/>
          <w:b w:val="0"/>
          <w:color w:val="000000"/>
          <w:sz w:val="32"/>
          <w:szCs w:val="32"/>
          <w:lang w:val="en-US" w:eastAsia="zh-CN"/>
        </w:rPr>
        <w:t>群工局</w:t>
      </w:r>
      <w:r>
        <w:rPr>
          <w:rStyle w:val="12"/>
          <w:rFonts w:hint="eastAsia" w:ascii="仿宋_GB2312" w:hAnsi="仿宋_GB2312" w:eastAsia="仿宋_GB2312" w:cs="仿宋_GB2312"/>
          <w:b w:val="0"/>
          <w:color w:val="000000"/>
          <w:sz w:val="32"/>
          <w:szCs w:val="32"/>
        </w:rPr>
        <w:t>为单位职工缴纳的住房公积金支出</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highlight w:val="none"/>
        </w:rPr>
        <w:t xml:space="preserve"> </w:t>
      </w:r>
    </w:p>
    <w:p w14:paraId="62BB6813">
      <w:pPr>
        <w:pStyle w:val="15"/>
        <w:keepNext w:val="0"/>
        <w:keepLines w:val="0"/>
        <w:pageBreakBefore w:val="0"/>
        <w:widowControl w:val="0"/>
        <w:kinsoku/>
        <w:wordWrap/>
        <w:overflowPunct w:val="0"/>
        <w:autoSpaceDE w:val="0"/>
        <w:autoSpaceDN w:val="0"/>
        <w:bidi w:val="0"/>
        <w:adjustRightInd w:val="0"/>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24"/>
        </w:rPr>
        <w:t>十</w:t>
      </w:r>
      <w:r>
        <w:rPr>
          <w:rFonts w:hint="eastAsia" w:ascii="黑体" w:hAnsi="黑体" w:eastAsia="黑体" w:cs="黑体"/>
          <w:sz w:val="32"/>
          <w:szCs w:val="24"/>
          <w:lang w:val="en-US" w:eastAsia="zh-CN"/>
        </w:rPr>
        <w:t>五</w:t>
      </w:r>
      <w:r>
        <w:rPr>
          <w:rFonts w:hint="eastAsia" w:ascii="黑体" w:hAnsi="黑体" w:eastAsia="黑体" w:cs="黑体"/>
          <w:sz w:val="32"/>
          <w:szCs w:val="24"/>
        </w:rPr>
        <w:t>、“三公”经费：</w:t>
      </w:r>
      <w:r>
        <w:rPr>
          <w:rFonts w:hint="eastAsia" w:ascii="仿宋_GB2312" w:hAnsi="仿宋_GB2312" w:eastAsia="仿宋_GB2312" w:cs="仿宋_GB2312"/>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1DE30BE">
      <w:pPr>
        <w:pStyle w:val="15"/>
        <w:keepNext w:val="0"/>
        <w:keepLines w:val="0"/>
        <w:pageBreakBefore w:val="0"/>
        <w:widowControl w:val="0"/>
        <w:kinsoku/>
        <w:wordWrap/>
        <w:overflowPunct w:val="0"/>
        <w:autoSpaceDE w:val="0"/>
        <w:autoSpaceDN w:val="0"/>
        <w:bidi w:val="0"/>
        <w:adjustRightInd w:val="0"/>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24"/>
        </w:rPr>
        <w:t>十</w:t>
      </w:r>
      <w:r>
        <w:rPr>
          <w:rFonts w:hint="eastAsia" w:ascii="黑体" w:hAnsi="黑体" w:eastAsia="黑体" w:cs="黑体"/>
          <w:sz w:val="32"/>
          <w:szCs w:val="24"/>
          <w:lang w:val="en-US" w:eastAsia="zh-CN"/>
        </w:rPr>
        <w:t>六</w:t>
      </w:r>
      <w:r>
        <w:rPr>
          <w:rFonts w:hint="eastAsia" w:ascii="黑体" w:hAnsi="黑体" w:eastAsia="黑体" w:cs="黑体"/>
          <w:sz w:val="32"/>
          <w:szCs w:val="24"/>
        </w:rPr>
        <w:t>、机关运行经费：</w:t>
      </w:r>
      <w:r>
        <w:rPr>
          <w:rFonts w:hint="eastAsia" w:ascii="仿宋_GB2312" w:hAnsi="仿宋_GB2312" w:eastAsia="仿宋_GB2312" w:cs="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14:paraId="26224F17">
      <w:pPr>
        <w:keepNext/>
        <w:keepLines/>
        <w:pageBreakBefore/>
        <w:widowControl w:val="0"/>
        <w:kinsoku/>
        <w:wordWrap/>
        <w:bidi w:val="0"/>
        <w:snapToGrid/>
        <w:spacing w:line="576" w:lineRule="exact"/>
        <w:jc w:val="center"/>
        <w:textAlignment w:val="auto"/>
        <w:rPr>
          <w:rFonts w:hint="eastAsia" w:ascii="方正小标宋简体" w:hAnsi="方正小标宋简体" w:eastAsia="方正小标宋简体" w:cs="方正小标宋简体"/>
          <w:color w:val="000000" w:themeColor="text1"/>
          <w:kern w:val="44"/>
          <w:sz w:val="44"/>
          <w:szCs w:val="24"/>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44"/>
          <w:szCs w:val="24"/>
          <w14:textFill>
            <w14:solidFill>
              <w14:schemeClr w14:val="tx1"/>
            </w14:solidFill>
          </w14:textFill>
        </w:rPr>
        <w:t>第</w:t>
      </w:r>
      <w:r>
        <w:rPr>
          <w:rFonts w:hint="eastAsia" w:ascii="方正小标宋简体" w:hAnsi="方正小标宋简体" w:eastAsia="方正小标宋简体" w:cs="方正小标宋简体"/>
          <w:color w:val="000000" w:themeColor="text1"/>
          <w:kern w:val="44"/>
          <w:sz w:val="44"/>
          <w:szCs w:val="24"/>
          <w14:textFill>
            <w14:solidFill>
              <w14:schemeClr w14:val="tx1"/>
            </w14:solidFill>
          </w14:textFill>
        </w:rPr>
        <w:t>四部分  附件</w:t>
      </w:r>
    </w:p>
    <w:p w14:paraId="1AA63568">
      <w:pPr>
        <w:widowControl w:val="0"/>
        <w:kinsoku/>
        <w:wordWrap/>
        <w:autoSpaceDE/>
        <w:autoSpaceDN/>
        <w:bidi w:val="0"/>
        <w:adjustRightInd/>
        <w:snapToGrid/>
        <w:spacing w:line="576" w:lineRule="exact"/>
        <w:jc w:val="center"/>
        <w:textAlignment w:val="auto"/>
        <w:rPr>
          <w:rStyle w:val="26"/>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14:paraId="375D5D00">
      <w:pPr>
        <w:widowControl w:val="0"/>
        <w:kinsoku/>
        <w:wordWrap/>
        <w:autoSpaceDE/>
        <w:autoSpaceDN/>
        <w:bidi w:val="0"/>
        <w:adjustRightInd/>
        <w:snapToGrid/>
        <w:spacing w:line="576" w:lineRule="exact"/>
        <w:jc w:val="center"/>
        <w:textAlignment w:val="auto"/>
        <w:rPr>
          <w:rStyle w:val="26"/>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Style w:val="26"/>
          <w:rFonts w:hint="eastAsia" w:ascii="方正小标宋简体" w:hAnsi="方正小标宋简体" w:eastAsia="方正小标宋简体" w:cs="方正小标宋简体"/>
          <w:color w:val="000000" w:themeColor="text1"/>
          <w:sz w:val="44"/>
          <w:szCs w:val="44"/>
          <w14:textFill>
            <w14:solidFill>
              <w14:schemeClr w14:val="tx1"/>
            </w14:solidFill>
          </w14:textFill>
        </w:rPr>
        <w:t>中共广元市昭化区委群众工作局</w:t>
      </w:r>
    </w:p>
    <w:p w14:paraId="76B4A32E">
      <w:pPr>
        <w:widowControl w:val="0"/>
        <w:kinsoku/>
        <w:wordWrap/>
        <w:bidi w:val="0"/>
        <w:snapToGrid/>
        <w:spacing w:line="576" w:lineRule="exact"/>
        <w:jc w:val="center"/>
        <w:textAlignment w:val="auto"/>
        <w:rPr>
          <w:rFonts w:hint="default" w:ascii="Times New Roman" w:eastAsia="方正小标宋简体"/>
          <w:color w:val="000000" w:themeColor="text1"/>
          <w:sz w:val="44"/>
          <w:szCs w:val="44"/>
          <w14:textFill>
            <w14:solidFill>
              <w14:schemeClr w14:val="tx1"/>
            </w14:solidFill>
          </w14:textFill>
        </w:rPr>
      </w:pPr>
      <w:r>
        <w:rPr>
          <w:rFonts w:hint="default" w:ascii="Times New Roman" w:hAnsi="Times New Roman" w:eastAsia="方正小标宋简体"/>
          <w:color w:val="000000" w:themeColor="text1"/>
          <w:sz w:val="44"/>
          <w:szCs w:val="44"/>
          <w14:textFill>
            <w14:solidFill>
              <w14:schemeClr w14:val="tx1"/>
            </w14:solidFill>
          </w14:textFill>
        </w:rPr>
        <w:t>202</w:t>
      </w:r>
      <w:r>
        <w:rPr>
          <w:rFonts w:hint="eastAsia" w:ascii="Times New Roman" w:hAnsi="Times New Roman" w:eastAsia="方正小标宋简体"/>
          <w:color w:val="000000" w:themeColor="text1"/>
          <w:sz w:val="44"/>
          <w:szCs w:val="44"/>
          <w14:textFill>
            <w14:solidFill>
              <w14:schemeClr w14:val="tx1"/>
            </w14:solidFill>
          </w14:textFill>
        </w:rPr>
        <w:t>3</w:t>
      </w:r>
      <w:r>
        <w:rPr>
          <w:rFonts w:hint="eastAsia" w:ascii="Times New Roman" w:eastAsia="方正小标宋简体"/>
          <w:color w:val="000000" w:themeColor="text1"/>
          <w:sz w:val="44"/>
          <w:szCs w:val="44"/>
          <w14:textFill>
            <w14:solidFill>
              <w14:schemeClr w14:val="tx1"/>
            </w14:solidFill>
          </w14:textFill>
        </w:rPr>
        <w:t>年部门整体支出绩效自评报告</w:t>
      </w:r>
    </w:p>
    <w:p w14:paraId="6D92C57E">
      <w:pPr>
        <w:widowControl w:val="0"/>
        <w:numPr>
          <w:ilvl w:val="0"/>
          <w:numId w:val="0"/>
        </w:numPr>
        <w:kinsoku/>
        <w:wordWrap/>
        <w:autoSpaceDE/>
        <w:autoSpaceDN/>
        <w:bidi w:val="0"/>
        <w:adjustRightInd/>
        <w:snapToGrid/>
        <w:spacing w:line="576"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p>
    <w:p w14:paraId="12771ECF">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一、单位概况</w:t>
      </w:r>
    </w:p>
    <w:p w14:paraId="72BCD9AF">
      <w:pPr>
        <w:keepNext w:val="0"/>
        <w:keepLines w:val="0"/>
        <w:pageBreakBefore w:val="0"/>
        <w:widowControl w:val="0"/>
        <w:kinsoku/>
        <w:wordWrap/>
        <w:overflowPunct w:val="0"/>
        <w:topLinePunct w:val="0"/>
        <w:autoSpaceDE/>
        <w:autoSpaceDN/>
        <w:bidi w:val="0"/>
        <w:adjustRightInd/>
        <w:snapToGrid/>
        <w:spacing w:line="576" w:lineRule="exact"/>
        <w:ind w:leftChars="0" w:firstLine="640" w:firstLineChars="200"/>
        <w:jc w:val="both"/>
        <w:textAlignment w:val="auto"/>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（一）机构组成</w:t>
      </w:r>
    </w:p>
    <w:p w14:paraId="48CFCAEA">
      <w:pPr>
        <w:keepNext w:val="0"/>
        <w:keepLines w:val="0"/>
        <w:pageBreakBefore w:val="0"/>
        <w:widowControl w:val="0"/>
        <w:kinsoku/>
        <w:wordWrap/>
        <w:overflowPunct w:val="0"/>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区委群工局是一级预算单位，下设</w:t>
      </w:r>
      <w:r>
        <w:rPr>
          <w:rFonts w:hint="eastAsia" w:ascii="Times New Roman" w:hAnsi="Times New Roman"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个股室，分别是办公室、群众来访接待中心、督查督办复核股。</w:t>
      </w:r>
    </w:p>
    <w:p w14:paraId="120A382B">
      <w:pPr>
        <w:keepNext w:val="0"/>
        <w:keepLines w:val="0"/>
        <w:pageBreakBefore w:val="0"/>
        <w:widowControl w:val="0"/>
        <w:kinsoku/>
        <w:wordWrap/>
        <w:overflowPunct w:val="0"/>
        <w:topLinePunct w:val="0"/>
        <w:autoSpaceDE/>
        <w:autoSpaceDN/>
        <w:bidi w:val="0"/>
        <w:adjustRightInd/>
        <w:snapToGrid/>
        <w:spacing w:line="576" w:lineRule="exact"/>
        <w:ind w:leftChars="0" w:firstLine="640" w:firstLineChars="200"/>
        <w:jc w:val="both"/>
        <w:textAlignment w:val="auto"/>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（二）机构职能</w:t>
      </w:r>
    </w:p>
    <w:p w14:paraId="27DEEE01">
      <w:pPr>
        <w:keepNext w:val="0"/>
        <w:keepLines w:val="0"/>
        <w:pageBreakBefore w:val="0"/>
        <w:widowControl w:val="0"/>
        <w:numPr>
          <w:ilvl w:val="0"/>
          <w:numId w:val="1"/>
        </w:numPr>
        <w:kinsoku/>
        <w:wordWrap/>
        <w:overflowPunct w:val="0"/>
        <w:topLinePunct w:val="0"/>
        <w:autoSpaceDE/>
        <w:autoSpaceDN/>
        <w:bidi w:val="0"/>
        <w:adjustRightInd/>
        <w:snapToGrid/>
        <w:spacing w:line="576" w:lineRule="exact"/>
        <w:ind w:leftChars="0" w:firstLine="640" w:firstLineChars="200"/>
        <w:jc w:val="both"/>
        <w:textAlignment w:val="auto"/>
        <w:rPr>
          <w:rStyle w:val="19"/>
          <w:rFonts w:hint="eastAsia" w:ascii="仿宋_GB2312" w:hAnsi="仿宋_GB2312" w:eastAsia="仿宋_GB2312" w:cs="仿宋_GB2312"/>
          <w:color w:val="000000" w:themeColor="text1"/>
          <w:sz w:val="32"/>
          <w:szCs w:val="32"/>
          <w14:textFill>
            <w14:solidFill>
              <w14:schemeClr w14:val="tx1"/>
            </w14:solidFill>
          </w14:textFill>
        </w:rPr>
      </w:pPr>
      <w:r>
        <w:rPr>
          <w:rStyle w:val="19"/>
          <w:rFonts w:hint="eastAsia" w:ascii="仿宋_GB2312" w:hAnsi="仿宋_GB2312" w:eastAsia="仿宋_GB2312" w:cs="仿宋_GB2312"/>
          <w:color w:val="000000" w:themeColor="text1"/>
          <w:sz w:val="32"/>
          <w:szCs w:val="32"/>
          <w14:textFill>
            <w14:solidFill>
              <w14:schemeClr w14:val="tx1"/>
            </w14:solidFill>
          </w14:textFill>
        </w:rPr>
        <w:t>负责处理区内给省、市、区领导的来信，接待群众来访，接听区长热线电话，并处理反映的有关问题；及时准确地向区委、区政府领导反映来信来访中提出的重要建议、意见和问题；综合分析信访信息，调查研究，提出制定有关政策的建议。</w:t>
      </w:r>
    </w:p>
    <w:p w14:paraId="6C711FEC">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leftChars="0" w:firstLine="640" w:firstLineChars="200"/>
        <w:jc w:val="both"/>
        <w:textAlignment w:val="auto"/>
        <w:rPr>
          <w:rStyle w:val="19"/>
          <w:rFonts w:hint="eastAsia" w:ascii="仿宋_GB2312" w:hAnsi="仿宋_GB2312" w:eastAsia="仿宋_GB2312" w:cs="仿宋_GB2312"/>
          <w:color w:val="000000" w:themeColor="text1"/>
          <w:sz w:val="32"/>
          <w:szCs w:val="32"/>
          <w14:textFill>
            <w14:solidFill>
              <w14:schemeClr w14:val="tx1"/>
            </w14:solidFill>
          </w14:textFill>
        </w:rPr>
      </w:pPr>
      <w:r>
        <w:rPr>
          <w:rStyle w:val="19"/>
          <w:rFonts w:hint="eastAsia" w:ascii="Times New Roman" w:hAnsi="Times New Roman" w:eastAsia="仿宋_GB2312" w:cs="仿宋_GB2312"/>
          <w:color w:val="000000" w:themeColor="text1"/>
          <w:sz w:val="32"/>
          <w:szCs w:val="32"/>
          <w14:textFill>
            <w14:solidFill>
              <w14:schemeClr w14:val="tx1"/>
            </w14:solidFill>
          </w14:textFill>
        </w:rPr>
        <w:t>2</w:t>
      </w:r>
      <w:r>
        <w:rPr>
          <w:rStyle w:val="19"/>
          <w:rFonts w:hint="eastAsia" w:ascii="仿宋_GB2312" w:hAnsi="仿宋_GB2312" w:eastAsia="仿宋_GB2312" w:cs="仿宋_GB2312"/>
          <w:color w:val="000000" w:themeColor="text1"/>
          <w:sz w:val="32"/>
          <w:szCs w:val="32"/>
          <w14:textFill>
            <w14:solidFill>
              <w14:schemeClr w14:val="tx1"/>
            </w14:solidFill>
          </w14:textFill>
        </w:rPr>
        <w:t>、承办党中央、国务院，省委、省政府，市委、市政府领导同志交办的群众工作和信访事项，督促检查领导同志对有关群众工作和信访批示的落实情况；向各乡镇和部门交办群众工作和信访事项，督促检查重要的群众信访事项的处理和落实；负责群众工作和信访案件的复查复核工作。</w:t>
      </w:r>
    </w:p>
    <w:p w14:paraId="052B999D">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leftChars="0" w:firstLine="640" w:firstLineChars="200"/>
        <w:jc w:val="both"/>
        <w:textAlignment w:val="auto"/>
        <w:rPr>
          <w:rStyle w:val="19"/>
          <w:rFonts w:hint="eastAsia" w:ascii="仿宋_GB2312" w:hAnsi="仿宋_GB2312" w:eastAsia="仿宋_GB2312" w:cs="仿宋_GB2312"/>
          <w:color w:val="000000" w:themeColor="text1"/>
          <w:sz w:val="32"/>
          <w:szCs w:val="32"/>
          <w14:textFill>
            <w14:solidFill>
              <w14:schemeClr w14:val="tx1"/>
            </w14:solidFill>
          </w14:textFill>
        </w:rPr>
      </w:pPr>
      <w:r>
        <w:rPr>
          <w:rStyle w:val="19"/>
          <w:rFonts w:hint="eastAsia" w:ascii="Times New Roman" w:hAnsi="Times New Roman" w:eastAsia="仿宋_GB2312" w:cs="仿宋_GB2312"/>
          <w:color w:val="000000" w:themeColor="text1"/>
          <w:sz w:val="32"/>
          <w:szCs w:val="32"/>
          <w14:textFill>
            <w14:solidFill>
              <w14:schemeClr w14:val="tx1"/>
            </w14:solidFill>
          </w14:textFill>
        </w:rPr>
        <w:t>3</w:t>
      </w:r>
      <w:r>
        <w:rPr>
          <w:rStyle w:val="19"/>
          <w:rFonts w:hint="eastAsia" w:ascii="仿宋_GB2312" w:hAnsi="仿宋_GB2312" w:eastAsia="仿宋_GB2312" w:cs="仿宋_GB2312"/>
          <w:color w:val="000000" w:themeColor="text1"/>
          <w:sz w:val="32"/>
          <w:szCs w:val="32"/>
          <w14:textFill>
            <w14:solidFill>
              <w14:schemeClr w14:val="tx1"/>
            </w14:solidFill>
          </w14:textFill>
        </w:rPr>
        <w:t>、协调处理跨县区和部门的重要群众工作和信访问题，协调处理群众集体到省委、省政府、市委、市政府上访和突发性群体事件。</w:t>
      </w:r>
    </w:p>
    <w:p w14:paraId="5032DACB">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leftChars="0" w:firstLine="640" w:firstLineChars="200"/>
        <w:jc w:val="both"/>
        <w:textAlignment w:val="auto"/>
        <w:rPr>
          <w:rStyle w:val="19"/>
          <w:rFonts w:hint="eastAsia" w:ascii="仿宋_GB2312" w:hAnsi="仿宋_GB2312" w:eastAsia="仿宋_GB2312" w:cs="仿宋_GB2312"/>
          <w:color w:val="000000" w:themeColor="text1"/>
          <w:sz w:val="32"/>
          <w:szCs w:val="32"/>
          <w14:textFill>
            <w14:solidFill>
              <w14:schemeClr w14:val="tx1"/>
            </w14:solidFill>
          </w14:textFill>
        </w:rPr>
      </w:pPr>
      <w:r>
        <w:rPr>
          <w:rStyle w:val="19"/>
          <w:rFonts w:hint="eastAsia" w:ascii="Times New Roman" w:hAnsi="Times New Roman" w:eastAsia="仿宋_GB2312" w:cs="仿宋_GB2312"/>
          <w:color w:val="000000" w:themeColor="text1"/>
          <w:sz w:val="32"/>
          <w:szCs w:val="32"/>
          <w14:textFill>
            <w14:solidFill>
              <w14:schemeClr w14:val="tx1"/>
            </w14:solidFill>
          </w14:textFill>
        </w:rPr>
        <w:t>4</w:t>
      </w:r>
      <w:r>
        <w:rPr>
          <w:rStyle w:val="19"/>
          <w:rFonts w:hint="eastAsia" w:ascii="仿宋_GB2312" w:hAnsi="仿宋_GB2312" w:eastAsia="仿宋_GB2312" w:cs="仿宋_GB2312"/>
          <w:color w:val="000000" w:themeColor="text1"/>
          <w:sz w:val="32"/>
          <w:szCs w:val="32"/>
          <w14:textFill>
            <w14:solidFill>
              <w14:schemeClr w14:val="tx1"/>
            </w14:solidFill>
          </w14:textFill>
        </w:rPr>
        <w:t>、检查、指导、协调全区群众和信访工作，负责全区信访信息系统的建设；研究起草全区群众信访工作规范性文件，总结推广各地各部门群众信访工作的经验，提出加强和改进群众信访工作的意见和建议，通报重大群众信访问题及事件。</w:t>
      </w:r>
    </w:p>
    <w:p w14:paraId="4D0F869E">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leftChars="0" w:firstLine="640" w:firstLineChars="200"/>
        <w:jc w:val="both"/>
        <w:textAlignment w:val="auto"/>
        <w:rPr>
          <w:rStyle w:val="19"/>
          <w:rFonts w:hint="eastAsia" w:ascii="仿宋_GB2312" w:hAnsi="仿宋_GB2312" w:eastAsia="仿宋_GB2312" w:cs="仿宋_GB2312"/>
          <w:color w:val="000000" w:themeColor="text1"/>
          <w:sz w:val="32"/>
          <w:szCs w:val="32"/>
          <w14:textFill>
            <w14:solidFill>
              <w14:schemeClr w14:val="tx1"/>
            </w14:solidFill>
          </w14:textFill>
        </w:rPr>
      </w:pPr>
      <w:r>
        <w:rPr>
          <w:rStyle w:val="19"/>
          <w:rFonts w:hint="eastAsia" w:ascii="Times New Roman" w:hAnsi="Times New Roman" w:eastAsia="仿宋_GB2312" w:cs="仿宋_GB2312"/>
          <w:color w:val="000000" w:themeColor="text1"/>
          <w:sz w:val="32"/>
          <w:szCs w:val="32"/>
          <w14:textFill>
            <w14:solidFill>
              <w14:schemeClr w14:val="tx1"/>
            </w14:solidFill>
          </w14:textFill>
        </w:rPr>
        <w:t>5</w:t>
      </w:r>
      <w:r>
        <w:rPr>
          <w:rStyle w:val="19"/>
          <w:rFonts w:hint="eastAsia" w:ascii="仿宋_GB2312" w:hAnsi="仿宋_GB2312" w:eastAsia="仿宋_GB2312" w:cs="仿宋_GB2312"/>
          <w:color w:val="000000" w:themeColor="text1"/>
          <w:sz w:val="32"/>
          <w:szCs w:val="32"/>
          <w14:textFill>
            <w14:solidFill>
              <w14:schemeClr w14:val="tx1"/>
            </w14:solidFill>
          </w14:textFill>
        </w:rPr>
        <w:t>、保证信访渠道畅通，负责协调区领导接待群众来访和包案处理信访案件，负责联系区党代表、区人大代表和区政协委员定期参与接待群众来访工作。</w:t>
      </w:r>
    </w:p>
    <w:p w14:paraId="3C1B3456">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leftChars="0" w:firstLine="640" w:firstLineChars="200"/>
        <w:jc w:val="both"/>
        <w:textAlignment w:val="auto"/>
        <w:rPr>
          <w:rStyle w:val="19"/>
          <w:rFonts w:hint="eastAsia" w:ascii="仿宋_GB2312" w:hAnsi="仿宋_GB2312" w:eastAsia="仿宋_GB2312" w:cs="仿宋_GB2312"/>
          <w:color w:val="000000" w:themeColor="text1"/>
          <w:sz w:val="32"/>
          <w:szCs w:val="32"/>
          <w14:textFill>
            <w14:solidFill>
              <w14:schemeClr w14:val="tx1"/>
            </w14:solidFill>
          </w14:textFill>
        </w:rPr>
      </w:pPr>
      <w:r>
        <w:rPr>
          <w:rStyle w:val="19"/>
          <w:rFonts w:hint="eastAsia" w:ascii="Times New Roman" w:hAnsi="Times New Roman" w:eastAsia="仿宋_GB2312" w:cs="仿宋_GB2312"/>
          <w:color w:val="000000" w:themeColor="text1"/>
          <w:sz w:val="32"/>
          <w:szCs w:val="32"/>
          <w14:textFill>
            <w14:solidFill>
              <w14:schemeClr w14:val="tx1"/>
            </w14:solidFill>
          </w14:textFill>
        </w:rPr>
        <w:t>6</w:t>
      </w:r>
      <w:r>
        <w:rPr>
          <w:rStyle w:val="19"/>
          <w:rFonts w:hint="eastAsia" w:ascii="仿宋_GB2312" w:hAnsi="仿宋_GB2312" w:eastAsia="仿宋_GB2312" w:cs="仿宋_GB2312"/>
          <w:color w:val="000000" w:themeColor="text1"/>
          <w:sz w:val="32"/>
          <w:szCs w:val="32"/>
          <w14:textFill>
            <w14:solidFill>
              <w14:schemeClr w14:val="tx1"/>
            </w14:solidFill>
          </w14:textFill>
        </w:rPr>
        <w:t>、协调处理赴京、到省、到市非正常上访工作。</w:t>
      </w:r>
    </w:p>
    <w:p w14:paraId="5721BC28">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leftChars="0" w:firstLine="640" w:firstLineChars="200"/>
        <w:jc w:val="both"/>
        <w:textAlignment w:val="auto"/>
        <w:rPr>
          <w:rStyle w:val="19"/>
          <w:rFonts w:hint="eastAsia" w:ascii="仿宋_GB2312" w:hAnsi="仿宋_GB2312" w:eastAsia="仿宋_GB2312" w:cs="仿宋_GB2312"/>
          <w:color w:val="000000" w:themeColor="text1"/>
          <w:sz w:val="32"/>
          <w:szCs w:val="32"/>
          <w14:textFill>
            <w14:solidFill>
              <w14:schemeClr w14:val="tx1"/>
            </w14:solidFill>
          </w14:textFill>
        </w:rPr>
      </w:pPr>
      <w:r>
        <w:rPr>
          <w:rStyle w:val="19"/>
          <w:rFonts w:hint="eastAsia" w:ascii="Times New Roman" w:hAnsi="Times New Roman" w:eastAsia="仿宋_GB2312" w:cs="仿宋_GB2312"/>
          <w:color w:val="000000" w:themeColor="text1"/>
          <w:sz w:val="32"/>
          <w:szCs w:val="32"/>
          <w14:textFill>
            <w14:solidFill>
              <w14:schemeClr w14:val="tx1"/>
            </w14:solidFill>
          </w14:textFill>
        </w:rPr>
        <w:t>7</w:t>
      </w:r>
      <w:r>
        <w:rPr>
          <w:rStyle w:val="19"/>
          <w:rFonts w:hint="eastAsia" w:ascii="仿宋_GB2312" w:hAnsi="仿宋_GB2312" w:eastAsia="仿宋_GB2312" w:cs="仿宋_GB2312"/>
          <w:color w:val="000000" w:themeColor="text1"/>
          <w:sz w:val="32"/>
          <w:szCs w:val="32"/>
          <w14:textFill>
            <w14:solidFill>
              <w14:schemeClr w14:val="tx1"/>
            </w14:solidFill>
          </w14:textFill>
        </w:rPr>
        <w:t>、负责处理全区信访工作联席会议综合协调和日常性工作。</w:t>
      </w:r>
    </w:p>
    <w:p w14:paraId="4BF22C5D">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leftChars="0" w:firstLine="640" w:firstLineChars="200"/>
        <w:jc w:val="both"/>
        <w:textAlignment w:val="auto"/>
        <w:rPr>
          <w:rStyle w:val="19"/>
          <w:rFonts w:hint="eastAsia" w:ascii="仿宋_GB2312" w:hAnsi="仿宋_GB2312" w:eastAsia="仿宋_GB2312" w:cs="仿宋_GB2312"/>
          <w:color w:val="000000" w:themeColor="text1"/>
          <w:sz w:val="32"/>
          <w:szCs w:val="32"/>
          <w14:textFill>
            <w14:solidFill>
              <w14:schemeClr w14:val="tx1"/>
            </w14:solidFill>
          </w14:textFill>
        </w:rPr>
      </w:pPr>
      <w:r>
        <w:rPr>
          <w:rStyle w:val="19"/>
          <w:rFonts w:hint="eastAsia" w:ascii="Times New Roman" w:hAnsi="Times New Roman" w:eastAsia="仿宋_GB2312" w:cs="仿宋_GB2312"/>
          <w:color w:val="000000" w:themeColor="text1"/>
          <w:sz w:val="32"/>
          <w:szCs w:val="32"/>
          <w14:textFill>
            <w14:solidFill>
              <w14:schemeClr w14:val="tx1"/>
            </w14:solidFill>
          </w14:textFill>
        </w:rPr>
        <w:t>8</w:t>
      </w:r>
      <w:r>
        <w:rPr>
          <w:rStyle w:val="19"/>
          <w:rFonts w:hint="eastAsia" w:ascii="仿宋_GB2312" w:hAnsi="仿宋_GB2312" w:eastAsia="仿宋_GB2312" w:cs="仿宋_GB2312"/>
          <w:color w:val="000000" w:themeColor="text1"/>
          <w:sz w:val="32"/>
          <w:szCs w:val="32"/>
          <w14:textFill>
            <w14:solidFill>
              <w14:schemeClr w14:val="tx1"/>
            </w14:solidFill>
          </w14:textFill>
        </w:rPr>
        <w:t>、负责区群众来访接待中心建设和日常管理工作。</w:t>
      </w:r>
    </w:p>
    <w:p w14:paraId="2316CA10">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Style w:val="19"/>
          <w:rFonts w:hint="eastAsia" w:ascii="Times New Roman" w:hAnsi="Times New Roman" w:eastAsia="仿宋_GB2312" w:cs="仿宋_GB2312"/>
          <w:color w:val="000000" w:themeColor="text1"/>
          <w:sz w:val="32"/>
          <w:szCs w:val="32"/>
          <w14:textFill>
            <w14:solidFill>
              <w14:schemeClr w14:val="tx1"/>
            </w14:solidFill>
          </w14:textFill>
        </w:rPr>
        <w:t>9</w:t>
      </w:r>
      <w:r>
        <w:rPr>
          <w:rStyle w:val="19"/>
          <w:rFonts w:hint="eastAsia" w:ascii="仿宋_GB2312" w:hAnsi="仿宋_GB2312" w:eastAsia="仿宋_GB2312" w:cs="仿宋_GB2312"/>
          <w:color w:val="000000" w:themeColor="text1"/>
          <w:sz w:val="32"/>
          <w:szCs w:val="32"/>
          <w14:textFill>
            <w14:solidFill>
              <w14:schemeClr w14:val="tx1"/>
            </w14:solidFill>
          </w14:textFill>
        </w:rPr>
        <w:t>、承办区委、区政府交办的其他事项。</w:t>
      </w:r>
    </w:p>
    <w:p w14:paraId="038883F8">
      <w:pPr>
        <w:keepNext w:val="0"/>
        <w:keepLines w:val="0"/>
        <w:pageBreakBefore w:val="0"/>
        <w:widowControl w:val="0"/>
        <w:kinsoku/>
        <w:wordWrap/>
        <w:overflowPunct w:val="0"/>
        <w:topLinePunct w:val="0"/>
        <w:autoSpaceDE/>
        <w:autoSpaceDN/>
        <w:bidi w:val="0"/>
        <w:adjustRightInd/>
        <w:snapToGrid/>
        <w:spacing w:line="576" w:lineRule="exact"/>
        <w:ind w:leftChars="0" w:firstLine="640" w:firstLineChars="200"/>
        <w:jc w:val="both"/>
        <w:textAlignment w:val="auto"/>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（三）人员概况</w:t>
      </w:r>
    </w:p>
    <w:p w14:paraId="6953D591">
      <w:pPr>
        <w:keepNext w:val="0"/>
        <w:keepLines w:val="0"/>
        <w:pageBreakBefore w:val="0"/>
        <w:widowControl w:val="0"/>
        <w:kinsoku/>
        <w:wordWrap/>
        <w:overflowPunct w:val="0"/>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单位共有编制</w:t>
      </w:r>
      <w:r>
        <w:rPr>
          <w:rFonts w:hint="eastAsia" w:ascii="Times New Roman" w:hAnsi="Times New Roman" w:eastAsia="仿宋_GB2312" w:cs="仿宋_GB2312"/>
          <w:color w:val="000000" w:themeColor="text1"/>
          <w:sz w:val="32"/>
          <w:szCs w:val="32"/>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人，其中：行政编制</w:t>
      </w:r>
      <w:r>
        <w:rPr>
          <w:rFonts w:hint="eastAsia" w:ascii="Times New Roman" w:hAnsi="Times New Roman"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人，事业编制</w:t>
      </w:r>
      <w:r>
        <w:rPr>
          <w:rFonts w:hint="eastAsia" w:ascii="Times New Roman" w:hAnsi="Times New Roman"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人。截止到</w:t>
      </w:r>
      <w:r>
        <w:rPr>
          <w:rFonts w:hint="eastAsia" w:ascii="Times New Roman" w:hAnsi="Times New Roman" w:eastAsia="仿宋_GB2312" w:cs="仿宋_GB2312"/>
          <w:color w:val="000000" w:themeColor="text1"/>
          <w:sz w:val="32"/>
          <w:szCs w:val="32"/>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年年末实有在职编制内人员</w:t>
      </w:r>
      <w:r>
        <w:rPr>
          <w:rFonts w:hint="eastAsia" w:ascii="Times New Roman" w:hAnsi="Times New Roman" w:eastAsia="仿宋_GB2312" w:cs="仿宋_GB2312"/>
          <w:color w:val="000000" w:themeColor="text1"/>
          <w:sz w:val="32"/>
          <w:szCs w:val="32"/>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人，其中：行政人员</w:t>
      </w:r>
      <w:r>
        <w:rPr>
          <w:rFonts w:hint="eastAsia" w:ascii="Times New Roman" w:hAnsi="Times New Roman"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人、事业人员</w:t>
      </w:r>
      <w:r>
        <w:rPr>
          <w:rFonts w:hint="eastAsia" w:ascii="Times New Roman" w:hAnsi="Times New Roman"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人，均为财政全额供养人员。全局退休</w:t>
      </w:r>
      <w:r>
        <w:rPr>
          <w:rFonts w:hint="eastAsia" w:ascii="Times New Roman" w:hAnsi="Times New Roman"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人，均为行政人员。</w:t>
      </w:r>
    </w:p>
    <w:p w14:paraId="358666BB">
      <w:pPr>
        <w:keepNext w:val="0"/>
        <w:keepLines w:val="0"/>
        <w:pageBreakBefore w:val="0"/>
        <w:widowControl w:val="0"/>
        <w:kinsoku/>
        <w:wordWrap/>
        <w:overflowPunct w:val="0"/>
        <w:topLinePunct w:val="0"/>
        <w:bidi w:val="0"/>
        <w:snapToGrid/>
        <w:spacing w:line="576" w:lineRule="exact"/>
        <w:ind w:leftChars="0" w:firstLine="640" w:firstLineChars="200"/>
        <w:jc w:val="both"/>
        <w:textAlignment w:val="auto"/>
        <w:rPr>
          <w:rFonts w:hint="eastAsia" w:ascii="黑体" w:hAnsi="黑体" w:eastAsia="黑体"/>
          <w:color w:val="000000" w:themeColor="text1"/>
          <w:sz w:val="32"/>
          <w:szCs w:val="24"/>
          <w14:textFill>
            <w14:solidFill>
              <w14:schemeClr w14:val="tx1"/>
            </w14:solidFill>
          </w14:textFill>
        </w:rPr>
      </w:pPr>
      <w:r>
        <w:rPr>
          <w:rFonts w:hint="eastAsia" w:ascii="黑体" w:hAnsi="黑体" w:eastAsia="黑体"/>
          <w:color w:val="000000" w:themeColor="text1"/>
          <w:sz w:val="32"/>
          <w:szCs w:val="24"/>
          <w14:textFill>
            <w14:solidFill>
              <w14:schemeClr w14:val="tx1"/>
            </w14:solidFill>
          </w14:textFill>
        </w:rPr>
        <w:t>二、部门资金收支情况</w:t>
      </w:r>
    </w:p>
    <w:p w14:paraId="0D3C365E">
      <w:pPr>
        <w:keepNext w:val="0"/>
        <w:keepLines w:val="0"/>
        <w:pageBreakBefore w:val="0"/>
        <w:widowControl w:val="0"/>
        <w:kinsoku/>
        <w:wordWrap/>
        <w:overflowPunct w:val="0"/>
        <w:topLinePunct w:val="0"/>
        <w:autoSpaceDE/>
        <w:autoSpaceDN/>
        <w:bidi w:val="0"/>
        <w:adjustRightInd/>
        <w:snapToGrid/>
        <w:spacing w:line="576" w:lineRule="exact"/>
        <w:ind w:leftChars="0" w:firstLine="640" w:firstLineChars="200"/>
        <w:jc w:val="both"/>
        <w:textAlignment w:val="auto"/>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（一）收入情况。</w:t>
      </w:r>
    </w:p>
    <w:p w14:paraId="633FE234">
      <w:pPr>
        <w:keepNext w:val="0"/>
        <w:keepLines w:val="0"/>
        <w:pageBreakBefore w:val="0"/>
        <w:widowControl w:val="0"/>
        <w:kinsoku/>
        <w:wordWrap/>
        <w:overflowPunct w:val="0"/>
        <w:topLinePunct w:val="0"/>
        <w:autoSpaceDE/>
        <w:autoSpaceDN/>
        <w:bidi w:val="0"/>
        <w:adjustRightInd/>
        <w:snapToGrid/>
        <w:spacing w:line="576" w:lineRule="exact"/>
        <w:ind w:leftChars="0" w:firstLine="640" w:firstLineChars="200"/>
        <w:jc w:val="both"/>
        <w:textAlignment w:val="auto"/>
        <w:rPr>
          <w:rFonts w:hint="eastAsia" w:ascii="仿宋" w:hAnsi="仿宋" w:eastAsia="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年一般公共预算收入</w:t>
      </w:r>
      <w:r>
        <w:rPr>
          <w:rFonts w:hint="eastAsia" w:ascii="Times New Roman" w:hAnsi="Times New Roman" w:eastAsia="仿宋_GB2312" w:cs="仿宋_GB2312"/>
          <w:color w:val="000000" w:themeColor="text1"/>
          <w:sz w:val="32"/>
          <w:szCs w:val="32"/>
          <w14:textFill>
            <w14:solidFill>
              <w14:schemeClr w14:val="tx1"/>
            </w14:solidFill>
          </w14:textFill>
        </w:rPr>
        <w:t>223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05</w:t>
      </w:r>
      <w:r>
        <w:rPr>
          <w:rFonts w:hint="eastAsia" w:ascii="仿宋_GB2312" w:hAnsi="仿宋_GB2312" w:eastAsia="仿宋_GB2312" w:cs="仿宋_GB2312"/>
          <w:color w:val="000000" w:themeColor="text1"/>
          <w:sz w:val="32"/>
          <w:szCs w:val="32"/>
          <w14:textFill>
            <w14:solidFill>
              <w14:schemeClr w14:val="tx1"/>
            </w14:solidFill>
          </w14:textFill>
        </w:rPr>
        <w:t>万元。预算人员经费</w:t>
      </w:r>
      <w:r>
        <w:rPr>
          <w:rFonts w:hint="eastAsia" w:ascii="Times New Roman" w:hAnsi="Times New Roman" w:eastAsia="仿宋_GB2312" w:cs="仿宋_GB2312"/>
          <w:color w:val="000000" w:themeColor="text1"/>
          <w:sz w:val="32"/>
          <w:szCs w:val="32"/>
          <w:shd w:val="clear" w:color="auto" w:fill="FFFFFF"/>
          <w14:textFill>
            <w14:solidFill>
              <w14:schemeClr w14:val="tx1"/>
            </w14:solidFill>
          </w14:textFill>
        </w:rPr>
        <w:t>133</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s="仿宋_GB2312"/>
          <w:color w:val="000000" w:themeColor="text1"/>
          <w:sz w:val="32"/>
          <w:szCs w:val="32"/>
          <w:shd w:val="clear" w:color="auto" w:fill="FFFFFF"/>
          <w14:textFill>
            <w14:solidFill>
              <w14:schemeClr w14:val="tx1"/>
            </w14:solidFill>
          </w14:textFill>
        </w:rPr>
        <w:t>52</w:t>
      </w:r>
      <w:r>
        <w:rPr>
          <w:rFonts w:hint="eastAsia" w:ascii="仿宋_GB2312" w:hAnsi="仿宋_GB2312" w:eastAsia="仿宋_GB2312" w:cs="仿宋_GB2312"/>
          <w:color w:val="000000" w:themeColor="text1"/>
          <w:sz w:val="32"/>
          <w:szCs w:val="32"/>
          <w14:textFill>
            <w14:solidFill>
              <w14:schemeClr w14:val="tx1"/>
            </w14:solidFill>
          </w14:textFill>
        </w:rPr>
        <w:t>万元，占预算收入的</w:t>
      </w:r>
      <w:r>
        <w:rPr>
          <w:rFonts w:hint="eastAsia" w:ascii="Times New Roman" w:hAnsi="Times New Roman" w:eastAsia="仿宋_GB2312" w:cs="仿宋_GB2312"/>
          <w:color w:val="000000" w:themeColor="text1"/>
          <w:sz w:val="32"/>
          <w:szCs w:val="32"/>
          <w14:textFill>
            <w14:solidFill>
              <w14:schemeClr w14:val="tx1"/>
            </w14:solidFill>
          </w14:textFill>
        </w:rPr>
        <w:t>59</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86</w:t>
      </w:r>
      <w:r>
        <w:rPr>
          <w:rFonts w:hint="eastAsia" w:ascii="仿宋_GB2312" w:hAnsi="仿宋_GB2312" w:eastAsia="仿宋_GB2312" w:cs="仿宋_GB2312"/>
          <w:color w:val="000000" w:themeColor="text1"/>
          <w:sz w:val="32"/>
          <w:szCs w:val="32"/>
          <w14:textFill>
            <w14:solidFill>
              <w14:schemeClr w14:val="tx1"/>
            </w14:solidFill>
          </w14:textFill>
        </w:rPr>
        <w:t>%，预算日常公用经费</w:t>
      </w:r>
      <w:r>
        <w:rPr>
          <w:rFonts w:hint="eastAsia" w:ascii="Times New Roman" w:hAnsi="Times New Roman" w:eastAsia="仿宋_GB2312" w:cs="仿宋_GB2312"/>
          <w:color w:val="000000" w:themeColor="text1"/>
          <w:sz w:val="32"/>
          <w:szCs w:val="32"/>
          <w14:textFill>
            <w14:solidFill>
              <w14:schemeClr w14:val="tx1"/>
            </w14:solidFill>
          </w14:textFill>
        </w:rPr>
        <w:t>89</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53</w:t>
      </w:r>
      <w:r>
        <w:rPr>
          <w:rFonts w:hint="eastAsia" w:ascii="仿宋_GB2312" w:hAnsi="仿宋_GB2312" w:eastAsia="仿宋_GB2312" w:cs="仿宋_GB2312"/>
          <w:color w:val="000000" w:themeColor="text1"/>
          <w:sz w:val="32"/>
          <w:szCs w:val="32"/>
          <w14:textFill>
            <w14:solidFill>
              <w14:schemeClr w14:val="tx1"/>
            </w14:solidFill>
          </w14:textFill>
        </w:rPr>
        <w:t>万元，占预算收入的</w:t>
      </w:r>
      <w:r>
        <w:rPr>
          <w:rFonts w:hint="eastAsia" w:ascii="Times New Roman" w:hAnsi="Times New Roman" w:eastAsia="仿宋_GB2312" w:cs="仿宋_GB2312"/>
          <w:color w:val="000000" w:themeColor="text1"/>
          <w:sz w:val="32"/>
          <w:szCs w:val="32"/>
          <w14:textFill>
            <w14:solidFill>
              <w14:schemeClr w14:val="tx1"/>
            </w14:solidFill>
          </w14:textFill>
        </w:rPr>
        <w:t>40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13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2023</w:t>
      </w:r>
      <w:r>
        <w:rPr>
          <w:rFonts w:hint="eastAsia" w:ascii="仿宋" w:hAnsi="仿宋" w:eastAsia="仿宋_GB2312"/>
          <w:color w:val="000000" w:themeColor="text1"/>
          <w:sz w:val="32"/>
          <w:szCs w:val="32"/>
          <w14:textFill>
            <w14:solidFill>
              <w14:schemeClr w14:val="tx1"/>
            </w14:solidFill>
          </w14:textFill>
        </w:rPr>
        <w:t>年一般公共预算决算收入</w:t>
      </w:r>
      <w:r>
        <w:rPr>
          <w:rFonts w:hint="eastAsia" w:ascii="Times New Roman" w:hAnsi="Times New Roman" w:eastAsia="仿宋_GB2312"/>
          <w:color w:val="000000" w:themeColor="text1"/>
          <w:sz w:val="32"/>
          <w:szCs w:val="32"/>
          <w14:textFill>
            <w14:solidFill>
              <w14:schemeClr w14:val="tx1"/>
            </w14:solidFill>
          </w14:textFill>
        </w:rPr>
        <w:t>223</w:t>
      </w:r>
      <w:r>
        <w:rPr>
          <w:rFonts w:hint="eastAsia" w:ascii="仿宋" w:hAnsi="仿宋"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05</w:t>
      </w:r>
      <w:r>
        <w:rPr>
          <w:rFonts w:hint="eastAsia" w:ascii="仿宋" w:hAnsi="仿宋" w:eastAsia="仿宋_GB2312"/>
          <w:color w:val="000000" w:themeColor="text1"/>
          <w:sz w:val="32"/>
          <w:szCs w:val="32"/>
          <w14:textFill>
            <w14:solidFill>
              <w14:schemeClr w14:val="tx1"/>
            </w14:solidFill>
          </w14:textFill>
        </w:rPr>
        <w:t>万元。</w:t>
      </w:r>
    </w:p>
    <w:p w14:paraId="089161C7">
      <w:pPr>
        <w:keepNext w:val="0"/>
        <w:keepLines w:val="0"/>
        <w:pageBreakBefore w:val="0"/>
        <w:widowControl w:val="0"/>
        <w:kinsoku/>
        <w:wordWrap/>
        <w:overflowPunct w:val="0"/>
        <w:topLinePunct w:val="0"/>
        <w:bidi w:val="0"/>
        <w:snapToGrid/>
        <w:spacing w:line="576" w:lineRule="exact"/>
        <w:ind w:leftChars="0" w:firstLine="640" w:firstLineChars="200"/>
        <w:jc w:val="both"/>
        <w:textAlignment w:val="auto"/>
        <w:rPr>
          <w:rFonts w:hint="eastAsia" w:ascii="楷体_GB2312" w:hAnsi="楷体_GB2312" w:eastAsia="楷体_GB2312"/>
          <w:b/>
          <w:color w:val="000000" w:themeColor="text1"/>
          <w:sz w:val="32"/>
          <w:szCs w:val="24"/>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（二）支出情况。</w:t>
      </w:r>
    </w:p>
    <w:p w14:paraId="07FDF41E">
      <w:pPr>
        <w:keepNext w:val="0"/>
        <w:keepLines w:val="0"/>
        <w:pageBreakBefore w:val="0"/>
        <w:widowControl w:val="0"/>
        <w:kinsoku/>
        <w:wordWrap/>
        <w:overflowPunct w:val="0"/>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2023</w:t>
      </w:r>
      <w:r>
        <w:rPr>
          <w:rFonts w:hint="eastAsia" w:ascii="仿宋" w:hAnsi="仿宋" w:eastAsia="仿宋_GB2312"/>
          <w:color w:val="000000" w:themeColor="text1"/>
          <w:sz w:val="32"/>
          <w:szCs w:val="32"/>
          <w14:textFill>
            <w14:solidFill>
              <w14:schemeClr w14:val="tx1"/>
            </w14:solidFill>
          </w14:textFill>
        </w:rPr>
        <w:t>年一般公共预算财政拨款支出</w:t>
      </w:r>
      <w:r>
        <w:rPr>
          <w:rFonts w:hint="eastAsia" w:ascii="Times New Roman" w:hAnsi="Times New Roman" w:eastAsia="仿宋_GB2312"/>
          <w:color w:val="000000" w:themeColor="text1"/>
          <w:sz w:val="32"/>
          <w:szCs w:val="32"/>
          <w14:textFill>
            <w14:solidFill>
              <w14:schemeClr w14:val="tx1"/>
            </w14:solidFill>
          </w14:textFill>
        </w:rPr>
        <w:t>223</w:t>
      </w:r>
      <w:r>
        <w:rPr>
          <w:rFonts w:hint="eastAsia" w:ascii="仿宋" w:hAnsi="仿宋"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05</w:t>
      </w:r>
      <w:r>
        <w:rPr>
          <w:rFonts w:hint="eastAsia" w:ascii="仿宋" w:hAnsi="仿宋" w:eastAsia="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其中工资和福利支出</w:t>
      </w:r>
      <w:r>
        <w:rPr>
          <w:rFonts w:hint="eastAsia" w:ascii="Times New Roman" w:hAnsi="Times New Roman" w:eastAsia="仿宋_GB2312" w:cs="仿宋_GB2312"/>
          <w:color w:val="000000" w:themeColor="text1"/>
          <w:sz w:val="32"/>
          <w:szCs w:val="32"/>
          <w14:textFill>
            <w14:solidFill>
              <w14:schemeClr w14:val="tx1"/>
            </w14:solidFill>
          </w14:textFill>
        </w:rPr>
        <w:t>133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52</w:t>
      </w:r>
      <w:r>
        <w:rPr>
          <w:rFonts w:hint="eastAsia" w:ascii="仿宋_GB2312" w:hAnsi="仿宋_GB2312" w:eastAsia="仿宋_GB2312" w:cs="仿宋_GB2312"/>
          <w:color w:val="000000" w:themeColor="text1"/>
          <w:sz w:val="32"/>
          <w:szCs w:val="32"/>
          <w14:textFill>
            <w14:solidFill>
              <w14:schemeClr w14:val="tx1"/>
            </w14:solidFill>
          </w14:textFill>
        </w:rPr>
        <w:t>万元，占支出的</w:t>
      </w:r>
      <w:r>
        <w:rPr>
          <w:rFonts w:hint="eastAsia" w:ascii="Times New Roman" w:hAnsi="Times New Roman" w:eastAsia="仿宋_GB2312" w:cs="仿宋_GB2312"/>
          <w:color w:val="000000" w:themeColor="text1"/>
          <w:sz w:val="32"/>
          <w:szCs w:val="32"/>
          <w14:textFill>
            <w14:solidFill>
              <w14:schemeClr w14:val="tx1"/>
            </w14:solidFill>
          </w14:textFill>
        </w:rPr>
        <w:t>59</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86</w:t>
      </w:r>
      <w:r>
        <w:rPr>
          <w:rFonts w:hint="eastAsia" w:ascii="仿宋_GB2312" w:hAnsi="仿宋_GB2312" w:eastAsia="仿宋_GB2312" w:cs="仿宋_GB2312"/>
          <w:color w:val="000000" w:themeColor="text1"/>
          <w:sz w:val="32"/>
          <w:szCs w:val="32"/>
          <w14:textFill>
            <w14:solidFill>
              <w14:schemeClr w14:val="tx1"/>
            </w14:solidFill>
          </w14:textFill>
        </w:rPr>
        <w:t>%，商品和服务支出</w:t>
      </w:r>
      <w:r>
        <w:rPr>
          <w:rFonts w:hint="eastAsia" w:ascii="Times New Roman" w:hAnsi="Times New Roman" w:eastAsia="仿宋_GB2312" w:cs="仿宋_GB2312"/>
          <w:color w:val="000000" w:themeColor="text1"/>
          <w:sz w:val="32"/>
          <w:szCs w:val="32"/>
          <w14:textFill>
            <w14:solidFill>
              <w14:schemeClr w14:val="tx1"/>
            </w14:solidFill>
          </w14:textFill>
        </w:rPr>
        <w:t>89</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53</w:t>
      </w:r>
      <w:r>
        <w:rPr>
          <w:rFonts w:hint="eastAsia" w:ascii="仿宋_GB2312" w:hAnsi="仿宋_GB2312" w:eastAsia="仿宋_GB2312" w:cs="仿宋_GB2312"/>
          <w:color w:val="000000" w:themeColor="text1"/>
          <w:sz w:val="32"/>
          <w:szCs w:val="32"/>
          <w14:textFill>
            <w14:solidFill>
              <w14:schemeClr w14:val="tx1"/>
            </w14:solidFill>
          </w14:textFill>
        </w:rPr>
        <w:t>万元，占支出的</w:t>
      </w:r>
      <w:r>
        <w:rPr>
          <w:rFonts w:hint="eastAsia" w:ascii="Times New Roman" w:hAnsi="Times New Roman" w:eastAsia="仿宋_GB2312" w:cs="仿宋_GB2312"/>
          <w:color w:val="000000" w:themeColor="text1"/>
          <w:sz w:val="32"/>
          <w:szCs w:val="32"/>
          <w14:textFill>
            <w14:solidFill>
              <w14:schemeClr w14:val="tx1"/>
            </w14:solidFill>
          </w14:textFill>
        </w:rPr>
        <w:t>40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13</w:t>
      </w:r>
      <w:r>
        <w:rPr>
          <w:rFonts w:hint="eastAsia" w:ascii="仿宋_GB2312" w:hAnsi="仿宋_GB2312" w:eastAsia="仿宋_GB2312" w:cs="仿宋_GB2312"/>
          <w:color w:val="000000" w:themeColor="text1"/>
          <w:sz w:val="32"/>
          <w:szCs w:val="32"/>
          <w14:textFill>
            <w14:solidFill>
              <w14:schemeClr w14:val="tx1"/>
            </w14:solidFill>
          </w14:textFill>
        </w:rPr>
        <w:t>%，（其中三公经费支出</w:t>
      </w:r>
      <w:r>
        <w:rPr>
          <w:rFonts w:hint="eastAsia" w:ascii="Times New Roman" w:hAnsi="Times New Roman"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95</w:t>
      </w:r>
      <w:r>
        <w:rPr>
          <w:rFonts w:hint="eastAsia" w:ascii="仿宋_GB2312" w:hAnsi="仿宋_GB2312" w:eastAsia="仿宋_GB2312" w:cs="仿宋_GB2312"/>
          <w:color w:val="000000" w:themeColor="text1"/>
          <w:sz w:val="32"/>
          <w:szCs w:val="32"/>
          <w14:textFill>
            <w14:solidFill>
              <w14:schemeClr w14:val="tx1"/>
            </w14:solidFill>
          </w14:textFill>
        </w:rPr>
        <w:t>万元，占商品和服务支出的</w:t>
      </w:r>
      <w:r>
        <w:rPr>
          <w:rFonts w:hint="eastAsia" w:ascii="Times New Roman" w:hAnsi="Times New Roman"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29</w:t>
      </w:r>
      <w:r>
        <w:rPr>
          <w:rFonts w:hint="eastAsia" w:ascii="仿宋_GB2312" w:hAnsi="仿宋_GB2312" w:eastAsia="仿宋_GB2312" w:cs="仿宋_GB2312"/>
          <w:color w:val="000000" w:themeColor="text1"/>
          <w:sz w:val="32"/>
          <w:szCs w:val="32"/>
          <w14:textFill>
            <w14:solidFill>
              <w14:schemeClr w14:val="tx1"/>
            </w14:solidFill>
          </w14:textFill>
        </w:rPr>
        <w:t>%）。对个人和家庭的补助支出</w:t>
      </w:r>
      <w:r>
        <w:rPr>
          <w:rFonts w:hint="eastAsia" w:ascii="Times New Roman" w:hAnsi="Times New Roman"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万元，占支出的</w:t>
      </w:r>
      <w:r>
        <w:rPr>
          <w:rFonts w:hint="eastAsia" w:ascii="Times New Roman" w:hAnsi="Times New Roman"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68</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年度预算调整追加项目经费信访维稳工作经费</w:t>
      </w:r>
      <w:r>
        <w:rPr>
          <w:rFonts w:hint="eastAsia" w:ascii="Times New Roman" w:hAnsi="Times New Roman" w:eastAsia="仿宋_GB2312" w:cs="仿宋_GB2312"/>
          <w:color w:val="000000" w:themeColor="text1"/>
          <w:sz w:val="32"/>
          <w:szCs w:val="32"/>
          <w14:textFill>
            <w14:solidFill>
              <w14:schemeClr w14:val="tx1"/>
            </w14:solidFill>
          </w14:textFill>
        </w:rPr>
        <w:t>28</w:t>
      </w:r>
      <w:r>
        <w:rPr>
          <w:rFonts w:hint="eastAsia" w:ascii="仿宋_GB2312" w:hAnsi="仿宋_GB2312" w:eastAsia="仿宋_GB2312" w:cs="仿宋_GB2312"/>
          <w:color w:val="000000" w:themeColor="text1"/>
          <w:sz w:val="32"/>
          <w:szCs w:val="32"/>
          <w14:textFill>
            <w14:solidFill>
              <w14:schemeClr w14:val="tx1"/>
            </w14:solidFill>
          </w14:textFill>
        </w:rPr>
        <w:t>万元，追加特殊疑难信访资金</w:t>
      </w:r>
      <w:r>
        <w:rPr>
          <w:rFonts w:hint="eastAsia" w:ascii="Times New Roman" w:hAnsi="Times New Roman" w:eastAsia="仿宋_GB2312" w:cs="仿宋_GB2312"/>
          <w:color w:val="000000" w:themeColor="text1"/>
          <w:sz w:val="32"/>
          <w:szCs w:val="32"/>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万元，追加正常工资晋升</w:t>
      </w:r>
      <w:r>
        <w:rPr>
          <w:rFonts w:hint="eastAsia" w:ascii="Times New Roman" w:hAnsi="Times New Roman"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88</w:t>
      </w:r>
      <w:r>
        <w:rPr>
          <w:rFonts w:hint="eastAsia" w:ascii="仿宋_GB2312" w:hAnsi="仿宋_GB2312" w:eastAsia="仿宋_GB2312" w:cs="仿宋_GB2312"/>
          <w:color w:val="000000" w:themeColor="text1"/>
          <w:sz w:val="32"/>
          <w:szCs w:val="32"/>
          <w14:textFill>
            <w14:solidFill>
              <w14:schemeClr w14:val="tx1"/>
            </w14:solidFill>
          </w14:textFill>
        </w:rPr>
        <w:t>万元，合计决算财政拨款支出</w:t>
      </w:r>
      <w:r>
        <w:rPr>
          <w:rFonts w:hint="eastAsia" w:ascii="Times New Roman" w:hAnsi="Times New Roman" w:eastAsia="仿宋_GB2312" w:cs="仿宋_GB2312"/>
          <w:color w:val="000000" w:themeColor="text1"/>
          <w:sz w:val="32"/>
          <w:szCs w:val="32"/>
          <w14:textFill>
            <w14:solidFill>
              <w14:schemeClr w14:val="tx1"/>
            </w14:solidFill>
          </w14:textFill>
        </w:rPr>
        <w:t>223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05</w:t>
      </w:r>
      <w:r>
        <w:rPr>
          <w:rFonts w:hint="eastAsia" w:ascii="仿宋_GB2312" w:hAnsi="仿宋_GB2312" w:eastAsia="仿宋_GB2312" w:cs="仿宋_GB2312"/>
          <w:color w:val="000000" w:themeColor="text1"/>
          <w:sz w:val="32"/>
          <w:szCs w:val="32"/>
          <w14:textFill>
            <w14:solidFill>
              <w14:schemeClr w14:val="tx1"/>
            </w14:solidFill>
          </w14:textFill>
        </w:rPr>
        <w:t>万元。</w:t>
      </w:r>
    </w:p>
    <w:p w14:paraId="4E56ED08">
      <w:pPr>
        <w:keepNext w:val="0"/>
        <w:keepLines w:val="0"/>
        <w:pageBreakBefore w:val="0"/>
        <w:widowControl w:val="0"/>
        <w:kinsoku/>
        <w:wordWrap/>
        <w:overflowPunct w:val="0"/>
        <w:topLinePunct w:val="0"/>
        <w:bidi w:val="0"/>
        <w:snapToGrid/>
        <w:spacing w:line="576" w:lineRule="exact"/>
        <w:ind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（三）结余分配和结转结余情况。</w:t>
      </w:r>
      <w:r>
        <w:rPr>
          <w:rFonts w:hint="eastAsia" w:ascii="Times New Roman" w:hAnsi="Times New Roman" w:eastAsia="仿宋_GB2312" w:cs="仿宋_GB2312"/>
          <w:color w:val="000000" w:themeColor="text1"/>
          <w:sz w:val="32"/>
          <w:szCs w:val="32"/>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年本年度无结转结余资金。</w:t>
      </w:r>
    </w:p>
    <w:p w14:paraId="7626893D">
      <w:pPr>
        <w:keepNext w:val="0"/>
        <w:keepLines w:val="0"/>
        <w:pageBreakBefore w:val="0"/>
        <w:widowControl w:val="0"/>
        <w:kinsoku/>
        <w:wordWrap/>
        <w:overflowPunct w:val="0"/>
        <w:topLinePunct w:val="0"/>
        <w:autoSpaceDE/>
        <w:autoSpaceDN/>
        <w:bidi w:val="0"/>
        <w:adjustRightInd/>
        <w:snapToGrid/>
        <w:spacing w:line="576" w:lineRule="exact"/>
        <w:ind w:leftChars="0" w:firstLine="640" w:firstLineChars="200"/>
        <w:jc w:val="both"/>
        <w:textAlignment w:val="auto"/>
        <w:rPr>
          <w:rFonts w:hint="eastAsia" w:ascii="黑体" w:hAnsi="黑体" w:eastAsia="黑体"/>
          <w:color w:val="000000" w:themeColor="text1"/>
          <w:sz w:val="32"/>
          <w:szCs w:val="24"/>
          <w14:textFill>
            <w14:solidFill>
              <w14:schemeClr w14:val="tx1"/>
            </w14:solidFill>
          </w14:textFill>
        </w:rPr>
      </w:pPr>
      <w:r>
        <w:rPr>
          <w:rFonts w:hint="eastAsia" w:ascii="黑体" w:hAnsi="黑体" w:eastAsia="黑体"/>
          <w:color w:val="000000" w:themeColor="text1"/>
          <w:sz w:val="32"/>
          <w:szCs w:val="24"/>
          <w14:textFill>
            <w14:solidFill>
              <w14:schemeClr w14:val="tx1"/>
            </w14:solidFill>
          </w14:textFill>
        </w:rPr>
        <w:t>三、部门预算绩效分析</w:t>
      </w:r>
    </w:p>
    <w:p w14:paraId="16359C91">
      <w:pPr>
        <w:keepNext w:val="0"/>
        <w:keepLines w:val="0"/>
        <w:pageBreakBefore w:val="0"/>
        <w:widowControl w:val="0"/>
        <w:kinsoku/>
        <w:wordWrap/>
        <w:overflowPunct w:val="0"/>
        <w:topLinePunct w:val="0"/>
        <w:autoSpaceDE/>
        <w:autoSpaceDN/>
        <w:bidi w:val="0"/>
        <w:adjustRightInd/>
        <w:snapToGrid/>
        <w:spacing w:line="576" w:lineRule="exact"/>
        <w:ind w:leftChars="0" w:firstLine="640" w:firstLineChars="200"/>
        <w:jc w:val="both"/>
        <w:textAlignment w:val="auto"/>
        <w:rPr>
          <w:rFonts w:hint="eastAsia" w:ascii="Times New Roman"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lang w:val="zh-CN"/>
          <w14:textFill>
            <w14:solidFill>
              <w14:schemeClr w14:val="tx1"/>
            </w14:solidFill>
          </w14:textFill>
        </w:rPr>
        <w:t>（一）部门预算总体绩效分析。</w:t>
      </w:r>
      <w:r>
        <w:rPr>
          <w:rFonts w:hint="eastAsia" w:ascii="仿宋_GB2312" w:hAnsi="仿宋_GB2312" w:eastAsia="仿宋_GB2312" w:cs="仿宋_GB2312"/>
          <w:color w:val="000000" w:themeColor="text1"/>
          <w:sz w:val="32"/>
          <w:szCs w:val="32"/>
          <w14:textFill>
            <w14:solidFill>
              <w14:schemeClr w14:val="tx1"/>
            </w14:solidFill>
          </w14:textFill>
        </w:rPr>
        <w:t>本单位绩效目标编制要素完整的，绩效指标细化量化的准确，绩效目标纳入本单位局长办公会研究决策。</w:t>
      </w:r>
      <w:r>
        <w:rPr>
          <w:rFonts w:hint="eastAsia" w:ascii="Times New Roman" w:eastAsia="仿宋_GB2312"/>
          <w:color w:val="000000" w:themeColor="text1"/>
          <w:sz w:val="32"/>
          <w:szCs w:val="32"/>
          <w14:textFill>
            <w14:solidFill>
              <w14:schemeClr w14:val="tx1"/>
            </w14:solidFill>
          </w14:textFill>
        </w:rPr>
        <w:t>成本指标中的人员经费到监控之日完成</w:t>
      </w:r>
      <w:r>
        <w:rPr>
          <w:rFonts w:hint="eastAsia" w:ascii="Times New Roman" w:hAnsi="Times New Roman" w:eastAsia="仿宋_GB2312"/>
          <w:color w:val="000000" w:themeColor="text1"/>
          <w:sz w:val="32"/>
          <w:szCs w:val="32"/>
          <w14:textFill>
            <w14:solidFill>
              <w14:schemeClr w14:val="tx1"/>
            </w14:solidFill>
          </w14:textFill>
        </w:rPr>
        <w:t>45</w:t>
      </w:r>
      <w:r>
        <w:rPr>
          <w:rFonts w:hint="eastAsia" w:asci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69</w:t>
      </w:r>
      <w:r>
        <w:rPr>
          <w:rFonts w:hint="eastAsia" w:ascii="Times New Roman" w:eastAsia="仿宋_GB2312"/>
          <w:color w:val="000000" w:themeColor="text1"/>
          <w:sz w:val="32"/>
          <w:szCs w:val="32"/>
          <w14:textFill>
            <w14:solidFill>
              <w14:schemeClr w14:val="tx1"/>
            </w14:solidFill>
          </w14:textFill>
        </w:rPr>
        <w:t>%，日常公用经费到监控之日完成</w:t>
      </w:r>
      <w:r>
        <w:rPr>
          <w:rFonts w:hint="eastAsia" w:ascii="Times New Roman" w:hAnsi="Times New Roman" w:eastAsia="仿宋_GB2312"/>
          <w:color w:val="000000" w:themeColor="text1"/>
          <w:sz w:val="32"/>
          <w:szCs w:val="32"/>
          <w14:textFill>
            <w14:solidFill>
              <w14:schemeClr w14:val="tx1"/>
            </w14:solidFill>
          </w14:textFill>
        </w:rPr>
        <w:t>69</w:t>
      </w:r>
      <w:r>
        <w:rPr>
          <w:rFonts w:hint="eastAsia" w:asci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86</w:t>
      </w:r>
      <w:r>
        <w:rPr>
          <w:rFonts w:hint="eastAsia" w:ascii="Times New Roman" w:eastAsia="仿宋_GB2312"/>
          <w:color w:val="000000" w:themeColor="text1"/>
          <w:sz w:val="32"/>
          <w:szCs w:val="32"/>
          <w14:textFill>
            <w14:solidFill>
              <w14:schemeClr w14:val="tx1"/>
            </w14:solidFill>
          </w14:textFill>
        </w:rPr>
        <w:t>%；质量指标到监控之日，平台覆盖率和信箱覆盖率达到</w:t>
      </w:r>
      <w:r>
        <w:rPr>
          <w:rFonts w:hint="eastAsia" w:ascii="Times New Roman" w:hAnsi="Times New Roman" w:eastAsia="仿宋_GB2312"/>
          <w:color w:val="000000" w:themeColor="text1"/>
          <w:sz w:val="32"/>
          <w:szCs w:val="32"/>
          <w14:textFill>
            <w14:solidFill>
              <w14:schemeClr w14:val="tx1"/>
            </w14:solidFill>
          </w14:textFill>
        </w:rPr>
        <w:t>100</w:t>
      </w:r>
      <w:r>
        <w:rPr>
          <w:rFonts w:hint="eastAsia" w:ascii="Times New Roman" w:eastAsia="仿宋_GB2312"/>
          <w:color w:val="000000" w:themeColor="text1"/>
          <w:sz w:val="32"/>
          <w:szCs w:val="32"/>
          <w14:textFill>
            <w14:solidFill>
              <w14:schemeClr w14:val="tx1"/>
            </w14:solidFill>
          </w14:textFill>
        </w:rPr>
        <w:t>%；经济效益和社会效益、生态效益指标完成</w:t>
      </w:r>
      <w:r>
        <w:rPr>
          <w:rFonts w:hint="eastAsia" w:ascii="Times New Roman" w:hAnsi="Times New Roman" w:eastAsia="仿宋_GB2312"/>
          <w:color w:val="000000" w:themeColor="text1"/>
          <w:sz w:val="32"/>
          <w:szCs w:val="32"/>
          <w14:textFill>
            <w14:solidFill>
              <w14:schemeClr w14:val="tx1"/>
            </w14:solidFill>
          </w14:textFill>
        </w:rPr>
        <w:t>100</w:t>
      </w:r>
      <w:r>
        <w:rPr>
          <w:rFonts w:hint="eastAsia" w:ascii="Times New Roman" w:eastAsia="仿宋_GB2312"/>
          <w:color w:val="000000" w:themeColor="text1"/>
          <w:sz w:val="32"/>
          <w:szCs w:val="32"/>
          <w14:textFill>
            <w14:solidFill>
              <w14:schemeClr w14:val="tx1"/>
            </w14:solidFill>
          </w14:textFill>
        </w:rPr>
        <w:t>%。服务群众满意度指标</w:t>
      </w:r>
      <w:r>
        <w:rPr>
          <w:rFonts w:hint="eastAsia" w:ascii="Times New Roman" w:hAnsi="Times New Roman" w:eastAsia="仿宋_GB2312"/>
          <w:color w:val="000000" w:themeColor="text1"/>
          <w:sz w:val="32"/>
          <w:szCs w:val="32"/>
          <w14:textFill>
            <w14:solidFill>
              <w14:schemeClr w14:val="tx1"/>
            </w14:solidFill>
          </w14:textFill>
        </w:rPr>
        <w:t>100</w:t>
      </w:r>
      <w:r>
        <w:rPr>
          <w:rFonts w:hint="eastAsia" w:ascii="Times New Roman" w:eastAsia="仿宋_GB2312"/>
          <w:color w:val="000000" w:themeColor="text1"/>
          <w:sz w:val="32"/>
          <w:szCs w:val="32"/>
          <w14:textFill>
            <w14:solidFill>
              <w14:schemeClr w14:val="tx1"/>
            </w14:solidFill>
          </w14:textFill>
        </w:rPr>
        <w:t>%。</w:t>
      </w:r>
    </w:p>
    <w:p w14:paraId="2A734F1F">
      <w:pPr>
        <w:keepNext w:val="0"/>
        <w:keepLines w:val="0"/>
        <w:pageBreakBefore w:val="0"/>
        <w:widowControl w:val="0"/>
        <w:kinsoku/>
        <w:wordWrap/>
        <w:overflowPunct w:val="0"/>
        <w:topLinePunct w:val="0"/>
        <w:autoSpaceDE/>
        <w:autoSpaceDN/>
        <w:bidi w:val="0"/>
        <w:adjustRightInd/>
        <w:snapToGrid/>
        <w:spacing w:line="576" w:lineRule="exact"/>
        <w:ind w:leftChars="0" w:firstLine="640" w:firstLineChars="200"/>
        <w:jc w:val="both"/>
        <w:textAlignment w:val="auto"/>
        <w:rPr>
          <w:rFonts w:hint="default" w:ascii="Times New Roman" w:eastAsia="仿宋_GB2312"/>
          <w:color w:val="000000" w:themeColor="text1"/>
          <w:sz w:val="32"/>
          <w:szCs w:val="32"/>
          <w14:textFill>
            <w14:solidFill>
              <w14:schemeClr w14:val="tx1"/>
            </w14:solidFill>
          </w14:textFill>
        </w:rPr>
      </w:pPr>
      <w:r>
        <w:rPr>
          <w:rFonts w:hint="eastAsia" w:ascii="Times New Roman" w:hAnsi="Times New Roman" w:eastAsia="楷体_GB2312"/>
          <w:color w:val="000000" w:themeColor="text1"/>
          <w:sz w:val="32"/>
          <w:szCs w:val="24"/>
          <w14:textFill>
            <w14:solidFill>
              <w14:schemeClr w14:val="tx1"/>
            </w14:solidFill>
          </w14:textFill>
        </w:rPr>
        <w:t>1</w:t>
      </w:r>
      <w:r>
        <w:rPr>
          <w:rFonts w:hint="eastAsia" w:ascii="楷体_GB2312" w:hAnsi="楷体_GB2312" w:eastAsia="楷体_GB2312"/>
          <w:color w:val="000000" w:themeColor="text1"/>
          <w:sz w:val="32"/>
          <w:szCs w:val="24"/>
          <w14:textFill>
            <w14:solidFill>
              <w14:schemeClr w14:val="tx1"/>
            </w14:solidFill>
          </w14:textFill>
        </w:rPr>
        <w:t>.履职效能。</w:t>
      </w:r>
      <w:r>
        <w:rPr>
          <w:rFonts w:hint="eastAsia" w:ascii="Times New Roman" w:eastAsia="仿宋_GB2312"/>
          <w:color w:val="000000" w:themeColor="text1"/>
          <w:sz w:val="32"/>
          <w:szCs w:val="32"/>
          <w14:textFill>
            <w14:solidFill>
              <w14:schemeClr w14:val="tx1"/>
            </w14:solidFill>
          </w14:textFill>
        </w:rPr>
        <w:t>一是接待群众来访</w:t>
      </w:r>
      <w:r>
        <w:rPr>
          <w:rFonts w:hint="eastAsia" w:ascii="Times New Roman" w:hAnsi="Times New Roman" w:eastAsia="仿宋_GB2312"/>
          <w:color w:val="000000" w:themeColor="text1"/>
          <w:sz w:val="32"/>
          <w:szCs w:val="32"/>
          <w14:textFill>
            <w14:solidFill>
              <w14:schemeClr w14:val="tx1"/>
            </w14:solidFill>
          </w14:textFill>
        </w:rPr>
        <w:t>956</w:t>
      </w:r>
      <w:r>
        <w:rPr>
          <w:rFonts w:hint="eastAsia" w:ascii="Times New Roman" w:eastAsia="仿宋_GB2312"/>
          <w:color w:val="000000" w:themeColor="text1"/>
          <w:sz w:val="32"/>
          <w:szCs w:val="32"/>
          <w14:textFill>
            <w14:solidFill>
              <w14:schemeClr w14:val="tx1"/>
            </w14:solidFill>
          </w14:textFill>
        </w:rPr>
        <w:t>批</w:t>
      </w:r>
      <w:r>
        <w:rPr>
          <w:rFonts w:hint="eastAsia" w:ascii="Times New Roman" w:hAnsi="Times New Roman" w:eastAsia="仿宋_GB2312"/>
          <w:color w:val="000000" w:themeColor="text1"/>
          <w:sz w:val="32"/>
          <w:szCs w:val="32"/>
          <w14:textFill>
            <w14:solidFill>
              <w14:schemeClr w14:val="tx1"/>
            </w14:solidFill>
          </w14:textFill>
        </w:rPr>
        <w:t>1638</w:t>
      </w:r>
      <w:r>
        <w:rPr>
          <w:rFonts w:hint="eastAsia" w:ascii="Times New Roman" w:eastAsia="仿宋_GB2312"/>
          <w:color w:val="000000" w:themeColor="text1"/>
          <w:sz w:val="32"/>
          <w:szCs w:val="32"/>
          <w14:textFill>
            <w14:solidFill>
              <w14:schemeClr w14:val="tx1"/>
            </w14:solidFill>
          </w14:textFill>
        </w:rPr>
        <w:t>人次，受理群众来信</w:t>
      </w:r>
      <w:r>
        <w:rPr>
          <w:rFonts w:hint="eastAsia" w:ascii="Times New Roman" w:hAnsi="Times New Roman" w:eastAsia="仿宋_GB2312"/>
          <w:color w:val="000000" w:themeColor="text1"/>
          <w:sz w:val="32"/>
          <w:szCs w:val="32"/>
          <w14:textFill>
            <w14:solidFill>
              <w14:schemeClr w14:val="tx1"/>
            </w14:solidFill>
          </w14:textFill>
        </w:rPr>
        <w:t>600</w:t>
      </w:r>
      <w:r>
        <w:rPr>
          <w:rFonts w:hint="eastAsia" w:ascii="Times New Roman" w:eastAsia="仿宋_GB2312"/>
          <w:color w:val="000000" w:themeColor="text1"/>
          <w:sz w:val="32"/>
          <w:szCs w:val="32"/>
          <w14:textFill>
            <w14:solidFill>
              <w14:schemeClr w14:val="tx1"/>
            </w14:solidFill>
          </w14:textFill>
        </w:rPr>
        <w:t>余件，收阅办理省、市、区领导信箱来信</w:t>
      </w:r>
      <w:r>
        <w:rPr>
          <w:rFonts w:hint="eastAsia" w:ascii="Times New Roman" w:hAnsi="Times New Roman" w:eastAsia="仿宋_GB2312"/>
          <w:color w:val="000000" w:themeColor="text1"/>
          <w:sz w:val="32"/>
          <w:szCs w:val="32"/>
          <w14:textFill>
            <w14:solidFill>
              <w14:schemeClr w14:val="tx1"/>
            </w14:solidFill>
          </w14:textFill>
        </w:rPr>
        <w:t>40</w:t>
      </w:r>
      <w:r>
        <w:rPr>
          <w:rFonts w:hint="eastAsia" w:ascii="Times New Roman" w:eastAsia="仿宋_GB2312"/>
          <w:color w:val="000000" w:themeColor="text1"/>
          <w:sz w:val="32"/>
          <w:szCs w:val="32"/>
          <w14:textFill>
            <w14:solidFill>
              <w14:schemeClr w14:val="tx1"/>
            </w14:solidFill>
          </w14:textFill>
        </w:rPr>
        <w:t>件，接听区委书记、区长热线</w:t>
      </w:r>
      <w:r>
        <w:rPr>
          <w:rFonts w:hint="eastAsia" w:ascii="Times New Roman" w:hAnsi="Times New Roman" w:eastAsia="仿宋_GB2312"/>
          <w:color w:val="000000" w:themeColor="text1"/>
          <w:sz w:val="32"/>
          <w:szCs w:val="32"/>
          <w14:textFill>
            <w14:solidFill>
              <w14:schemeClr w14:val="tx1"/>
            </w14:solidFill>
          </w14:textFill>
        </w:rPr>
        <w:t>1240</w:t>
      </w:r>
      <w:r>
        <w:rPr>
          <w:rFonts w:hint="eastAsia" w:ascii="Times New Roman" w:eastAsia="仿宋_GB2312"/>
          <w:color w:val="000000" w:themeColor="text1"/>
          <w:sz w:val="32"/>
          <w:szCs w:val="32"/>
          <w14:textFill>
            <w14:solidFill>
              <w14:schemeClr w14:val="tx1"/>
            </w14:solidFill>
          </w14:textFill>
        </w:rPr>
        <w:t>次。转送交办、督办上级交办信访事项</w:t>
      </w:r>
      <w:r>
        <w:rPr>
          <w:rFonts w:hint="eastAsia" w:ascii="Times New Roman" w:hAnsi="Times New Roman" w:eastAsia="仿宋_GB2312"/>
          <w:color w:val="000000" w:themeColor="text1"/>
          <w:sz w:val="32"/>
          <w:szCs w:val="32"/>
          <w14:textFill>
            <w14:solidFill>
              <w14:schemeClr w14:val="tx1"/>
            </w14:solidFill>
          </w14:textFill>
        </w:rPr>
        <w:t>90</w:t>
      </w:r>
      <w:r>
        <w:rPr>
          <w:rFonts w:hint="eastAsia" w:ascii="Times New Roman" w:eastAsia="仿宋_GB2312"/>
          <w:color w:val="000000" w:themeColor="text1"/>
          <w:sz w:val="32"/>
          <w:szCs w:val="32"/>
          <w14:textFill>
            <w14:solidFill>
              <w14:schemeClr w14:val="tx1"/>
            </w14:solidFill>
          </w14:textFill>
        </w:rPr>
        <w:t>余件。针对信访信息动态情况，综合分析研判，开展调查研究，及时准确地向区委区政府提出参考性建议对策。二是协调处理跨县区和部门的重要群众工作和信访事项</w:t>
      </w:r>
      <w:r>
        <w:rPr>
          <w:rFonts w:hint="eastAsia" w:ascii="Times New Roman" w:hAnsi="Times New Roman" w:eastAsia="仿宋_GB2312"/>
          <w:color w:val="000000" w:themeColor="text1"/>
          <w:sz w:val="32"/>
          <w:szCs w:val="32"/>
          <w14:textFill>
            <w14:solidFill>
              <w14:schemeClr w14:val="tx1"/>
            </w14:solidFill>
          </w14:textFill>
        </w:rPr>
        <w:t>80</w:t>
      </w:r>
      <w:r>
        <w:rPr>
          <w:rFonts w:hint="eastAsia" w:ascii="Times New Roman" w:eastAsia="仿宋_GB2312"/>
          <w:color w:val="000000" w:themeColor="text1"/>
          <w:sz w:val="32"/>
          <w:szCs w:val="32"/>
          <w14:textFill>
            <w14:solidFill>
              <w14:schemeClr w14:val="tx1"/>
            </w14:solidFill>
          </w14:textFill>
        </w:rPr>
        <w:t>余件。协调事发部门处理群众到市级及以上集访和突发性群体性事件</w:t>
      </w:r>
      <w:r>
        <w:rPr>
          <w:rFonts w:hint="eastAsia" w:ascii="Times New Roman" w:hAnsi="Times New Roman" w:eastAsia="仿宋_GB2312"/>
          <w:color w:val="000000" w:themeColor="text1"/>
          <w:sz w:val="32"/>
          <w:szCs w:val="32"/>
          <w14:textFill>
            <w14:solidFill>
              <w14:schemeClr w14:val="tx1"/>
            </w14:solidFill>
          </w14:textFill>
        </w:rPr>
        <w:t>28</w:t>
      </w:r>
      <w:r>
        <w:rPr>
          <w:rFonts w:hint="eastAsia" w:ascii="Times New Roman" w:eastAsia="仿宋_GB2312"/>
          <w:color w:val="000000" w:themeColor="text1"/>
          <w:sz w:val="32"/>
          <w:szCs w:val="32"/>
          <w14:textFill>
            <w14:solidFill>
              <w14:schemeClr w14:val="tx1"/>
            </w14:solidFill>
          </w14:textFill>
        </w:rPr>
        <w:t>次。三是督促检查全区群众和信访工作</w:t>
      </w:r>
      <w:r>
        <w:rPr>
          <w:rFonts w:hint="eastAsia" w:ascii="Times New Roman" w:hAnsi="Times New Roman" w:eastAsia="仿宋_GB2312"/>
          <w:color w:val="000000" w:themeColor="text1"/>
          <w:sz w:val="32"/>
          <w:szCs w:val="32"/>
          <w14:textFill>
            <w14:solidFill>
              <w14:schemeClr w14:val="tx1"/>
            </w14:solidFill>
          </w14:textFill>
        </w:rPr>
        <w:t>26</w:t>
      </w:r>
      <w:r>
        <w:rPr>
          <w:rFonts w:hint="eastAsia" w:ascii="Times New Roman" w:eastAsia="仿宋_GB2312"/>
          <w:color w:val="000000" w:themeColor="text1"/>
          <w:sz w:val="32"/>
          <w:szCs w:val="32"/>
          <w14:textFill>
            <w14:solidFill>
              <w14:schemeClr w14:val="tx1"/>
            </w14:solidFill>
          </w14:textFill>
        </w:rPr>
        <w:t>次，日常负责全区的信访信息系统的办理和指导;研究起草全区群众和信访工作规范性文件</w:t>
      </w:r>
      <w:r>
        <w:rPr>
          <w:rFonts w:hint="eastAsia" w:ascii="Times New Roman" w:hAnsi="Times New Roman" w:eastAsia="仿宋_GB2312"/>
          <w:color w:val="000000" w:themeColor="text1"/>
          <w:sz w:val="32"/>
          <w:szCs w:val="32"/>
          <w14:textFill>
            <w14:solidFill>
              <w14:schemeClr w14:val="tx1"/>
            </w14:solidFill>
          </w14:textFill>
        </w:rPr>
        <w:t>27</w:t>
      </w:r>
      <w:r>
        <w:rPr>
          <w:rFonts w:hint="eastAsia" w:ascii="Times New Roman" w:eastAsia="仿宋_GB2312"/>
          <w:color w:val="000000" w:themeColor="text1"/>
          <w:sz w:val="32"/>
          <w:szCs w:val="32"/>
          <w14:textFill>
            <w14:solidFill>
              <w14:schemeClr w14:val="tx1"/>
            </w14:solidFill>
          </w14:textFill>
        </w:rPr>
        <w:t>件，总结推广各乡镇和部门的群众信访工作经验，固化经验做法，通报重大群众和信访问题及事件</w:t>
      </w:r>
      <w:r>
        <w:rPr>
          <w:rFonts w:hint="eastAsia" w:ascii="Times New Roman" w:hAnsi="Times New Roman" w:eastAsia="仿宋_GB2312"/>
          <w:color w:val="000000" w:themeColor="text1"/>
          <w:sz w:val="32"/>
          <w:szCs w:val="32"/>
          <w14:textFill>
            <w14:solidFill>
              <w14:schemeClr w14:val="tx1"/>
            </w14:solidFill>
          </w14:textFill>
        </w:rPr>
        <w:t>64</w:t>
      </w:r>
      <w:r>
        <w:rPr>
          <w:rFonts w:hint="eastAsia" w:ascii="Times New Roman" w:eastAsia="仿宋_GB2312"/>
          <w:color w:val="000000" w:themeColor="text1"/>
          <w:sz w:val="32"/>
          <w:szCs w:val="32"/>
          <w14:textFill>
            <w14:solidFill>
              <w14:schemeClr w14:val="tx1"/>
            </w14:solidFill>
          </w14:textFill>
        </w:rPr>
        <w:t>件。四是扎实推进信访法治化建设，全面治理信访秩序。保证信访渠道的畅通，负责协调区领导值班接待群众来访和包案处理信访案件</w:t>
      </w:r>
      <w:r>
        <w:rPr>
          <w:rFonts w:hint="eastAsia" w:ascii="Times New Roman" w:hAnsi="Times New Roman" w:eastAsia="仿宋_GB2312"/>
          <w:color w:val="000000" w:themeColor="text1"/>
          <w:sz w:val="32"/>
          <w:szCs w:val="32"/>
          <w14:textFill>
            <w14:solidFill>
              <w14:schemeClr w14:val="tx1"/>
            </w14:solidFill>
          </w14:textFill>
        </w:rPr>
        <w:t>121</w:t>
      </w:r>
      <w:r>
        <w:rPr>
          <w:rFonts w:hint="eastAsia" w:ascii="Times New Roman" w:eastAsia="仿宋_GB2312"/>
          <w:color w:val="000000" w:themeColor="text1"/>
          <w:sz w:val="32"/>
          <w:szCs w:val="32"/>
          <w14:textFill>
            <w14:solidFill>
              <w14:schemeClr w14:val="tx1"/>
            </w14:solidFill>
          </w14:textFill>
        </w:rPr>
        <w:t>件。五是搞好驻京、省市值班工作</w:t>
      </w:r>
      <w:r>
        <w:rPr>
          <w:rFonts w:hint="eastAsia" w:ascii="Times New Roman" w:hAnsi="Times New Roman" w:eastAsia="仿宋_GB2312"/>
          <w:color w:val="000000" w:themeColor="text1"/>
          <w:sz w:val="32"/>
          <w:szCs w:val="32"/>
          <w14:textFill>
            <w14:solidFill>
              <w14:schemeClr w14:val="tx1"/>
            </w14:solidFill>
          </w14:textFill>
        </w:rPr>
        <w:t>21</w:t>
      </w:r>
      <w:r>
        <w:rPr>
          <w:rFonts w:hint="eastAsia" w:ascii="Times New Roman" w:eastAsia="仿宋_GB2312"/>
          <w:color w:val="000000" w:themeColor="text1"/>
          <w:sz w:val="32"/>
          <w:szCs w:val="32"/>
          <w14:textFill>
            <w14:solidFill>
              <w14:schemeClr w14:val="tx1"/>
            </w14:solidFill>
          </w14:textFill>
        </w:rPr>
        <w:t>次;协调处置赴京、到省非正常上访工作</w:t>
      </w:r>
      <w:r>
        <w:rPr>
          <w:rFonts w:hint="eastAsia" w:ascii="Times New Roman" w:hAnsi="Times New Roman" w:eastAsia="仿宋_GB2312"/>
          <w:color w:val="000000" w:themeColor="text1"/>
          <w:sz w:val="32"/>
          <w:szCs w:val="32"/>
          <w14:textFill>
            <w14:solidFill>
              <w14:schemeClr w14:val="tx1"/>
            </w14:solidFill>
          </w14:textFill>
        </w:rPr>
        <w:t>14</w:t>
      </w:r>
      <w:r>
        <w:rPr>
          <w:rFonts w:hint="eastAsia" w:ascii="Times New Roman" w:eastAsia="仿宋_GB2312"/>
          <w:color w:val="000000" w:themeColor="text1"/>
          <w:sz w:val="32"/>
          <w:szCs w:val="32"/>
          <w14:textFill>
            <w14:solidFill>
              <w14:schemeClr w14:val="tx1"/>
            </w14:solidFill>
          </w14:textFill>
        </w:rPr>
        <w:t>次。六是受理信访事项复查复核</w:t>
      </w:r>
      <w:r>
        <w:rPr>
          <w:rFonts w:hint="eastAsia" w:ascii="Times New Roman" w:hAnsi="Times New Roman" w:eastAsia="仿宋_GB2312"/>
          <w:color w:val="000000" w:themeColor="text1"/>
          <w:sz w:val="32"/>
          <w:szCs w:val="32"/>
          <w14:textFill>
            <w14:solidFill>
              <w14:schemeClr w14:val="tx1"/>
            </w14:solidFill>
          </w14:textFill>
        </w:rPr>
        <w:t>6</w:t>
      </w:r>
      <w:r>
        <w:rPr>
          <w:rFonts w:hint="eastAsia" w:ascii="Times New Roman" w:eastAsia="仿宋_GB2312"/>
          <w:color w:val="000000" w:themeColor="text1"/>
          <w:sz w:val="32"/>
          <w:szCs w:val="32"/>
          <w14:textFill>
            <w14:solidFill>
              <w14:schemeClr w14:val="tx1"/>
            </w14:solidFill>
          </w14:textFill>
        </w:rPr>
        <w:t>件，常态化指导区级部门和乡镇(街道)的群众(信访)工作，完成区委区政府和上级群工(信访)部门交办的其它任务。</w:t>
      </w:r>
    </w:p>
    <w:p w14:paraId="041F9E21">
      <w:pPr>
        <w:keepNext w:val="0"/>
        <w:keepLines w:val="0"/>
        <w:pageBreakBefore w:val="0"/>
        <w:widowControl w:val="0"/>
        <w:kinsoku/>
        <w:wordWrap/>
        <w:overflowPunct w:val="0"/>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楷体_GB2312"/>
          <w:color w:val="000000" w:themeColor="text1"/>
          <w:sz w:val="32"/>
          <w:szCs w:val="24"/>
          <w14:textFill>
            <w14:solidFill>
              <w14:schemeClr w14:val="tx1"/>
            </w14:solidFill>
          </w14:textFill>
        </w:rPr>
        <w:t>2</w:t>
      </w:r>
      <w:r>
        <w:rPr>
          <w:rFonts w:hint="eastAsia" w:ascii="楷体_GB2312" w:hAnsi="楷体_GB2312" w:eastAsia="楷体_GB2312"/>
          <w:color w:val="000000" w:themeColor="text1"/>
          <w:sz w:val="32"/>
          <w:szCs w:val="24"/>
          <w14:textFill>
            <w14:solidFill>
              <w14:schemeClr w14:val="tx1"/>
            </w14:solidFill>
          </w14:textFill>
        </w:rPr>
        <w:t>.预算管理。</w:t>
      </w:r>
      <w:r>
        <w:rPr>
          <w:rFonts w:hint="eastAsia" w:ascii="仿宋_GB2312" w:hAnsi="仿宋_GB2312" w:eastAsia="仿宋_GB2312" w:cs="仿宋_GB2312"/>
          <w:color w:val="000000" w:themeColor="text1"/>
          <w:sz w:val="32"/>
          <w:szCs w:val="32"/>
          <w14:textFill>
            <w14:solidFill>
              <w14:schemeClr w14:val="tx1"/>
            </w14:solidFill>
          </w14:textFill>
        </w:rPr>
        <w:t>部门预算项目预算执行进度在</w:t>
      </w:r>
      <w:r>
        <w:rPr>
          <w:rFonts w:hint="eastAsia" w:ascii="Times New Roman" w:hAnsi="Times New Roman"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月达到序时进度的</w:t>
      </w:r>
      <w:r>
        <w:rPr>
          <w:rFonts w:hint="eastAsia" w:ascii="Times New Roman" w:hAnsi="Times New Roman" w:eastAsia="仿宋_GB2312" w:cs="仿宋_GB2312"/>
          <w:color w:val="000000" w:themeColor="text1"/>
          <w:sz w:val="32"/>
          <w:szCs w:val="32"/>
          <w14:textFill>
            <w14:solidFill>
              <w14:schemeClr w14:val="tx1"/>
            </w14:solidFill>
          </w14:textFill>
        </w:rPr>
        <w:t>80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90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90</w:t>
      </w:r>
      <w:r>
        <w:rPr>
          <w:rFonts w:hint="eastAsia" w:ascii="仿宋_GB2312" w:hAnsi="仿宋_GB2312" w:eastAsia="仿宋_GB2312" w:cs="仿宋_GB2312"/>
          <w:color w:val="000000" w:themeColor="text1"/>
          <w:sz w:val="32"/>
          <w:szCs w:val="32"/>
          <w14:textFill>
            <w14:solidFill>
              <w14:schemeClr w14:val="tx1"/>
            </w14:solidFill>
          </w14:textFill>
        </w:rPr>
        <w:t>%，即实际支出进度分别达到</w:t>
      </w:r>
      <w:r>
        <w:rPr>
          <w:rFonts w:hint="eastAsia" w:ascii="Times New Roman" w:hAnsi="Times New Roman" w:eastAsia="仿宋_GB2312" w:cs="仿宋_GB2312"/>
          <w:color w:val="000000" w:themeColor="text1"/>
          <w:sz w:val="32"/>
          <w:szCs w:val="32"/>
          <w14:textFill>
            <w14:solidFill>
              <w14:schemeClr w14:val="tx1"/>
            </w14:solidFill>
          </w14:textFill>
        </w:rPr>
        <w:t>40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67</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82</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月部门预算项目执行进度达到了量化指标。本部门预算项目年终预算执行情况部门预算项目</w:t>
      </w:r>
      <w:r>
        <w:rPr>
          <w:rFonts w:hint="eastAsia" w:ascii="Times New Roman" w:hAnsi="Times New Roman" w:eastAsia="仿宋_GB2312" w:cs="仿宋_GB2312"/>
          <w:color w:val="000000" w:themeColor="text1"/>
          <w:sz w:val="32"/>
          <w:szCs w:val="32"/>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月预算执行进度达到</w:t>
      </w:r>
      <w:r>
        <w:rPr>
          <w:rFonts w:hint="eastAsia" w:ascii="Times New Roman" w:hAnsi="Times New Roman" w:eastAsia="仿宋_GB2312" w:cs="仿宋_GB2312"/>
          <w:color w:val="000000" w:themeColor="text1"/>
          <w:sz w:val="32"/>
          <w:szCs w:val="32"/>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%。部门预算项目资金无结余。</w:t>
      </w:r>
    </w:p>
    <w:p w14:paraId="71001E2B">
      <w:pPr>
        <w:keepNext w:val="0"/>
        <w:keepLines w:val="0"/>
        <w:pageBreakBefore w:val="0"/>
        <w:widowControl w:val="0"/>
        <w:kinsoku/>
        <w:wordWrap/>
        <w:overflowPunct w:val="0"/>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color w:val="000000" w:themeColor="text1"/>
          <w:sz w:val="32"/>
          <w:szCs w:val="24"/>
          <w14:textFill>
            <w14:solidFill>
              <w14:schemeClr w14:val="tx1"/>
            </w14:solidFill>
          </w14:textFill>
        </w:rPr>
      </w:pPr>
      <w:r>
        <w:rPr>
          <w:rFonts w:hint="eastAsia" w:ascii="Times New Roman" w:hAnsi="Times New Roman" w:eastAsia="楷体_GB2312"/>
          <w:color w:val="000000" w:themeColor="text1"/>
          <w:sz w:val="32"/>
          <w:szCs w:val="24"/>
          <w14:textFill>
            <w14:solidFill>
              <w14:schemeClr w14:val="tx1"/>
            </w14:solidFill>
          </w14:textFill>
        </w:rPr>
        <w:t>3</w:t>
      </w:r>
      <w:r>
        <w:rPr>
          <w:rFonts w:hint="eastAsia" w:ascii="楷体_GB2312" w:hAnsi="楷体_GB2312" w:eastAsia="楷体_GB2312"/>
          <w:color w:val="000000" w:themeColor="text1"/>
          <w:sz w:val="32"/>
          <w:szCs w:val="24"/>
          <w14:textFill>
            <w14:solidFill>
              <w14:schemeClr w14:val="tx1"/>
            </w14:solidFill>
          </w14:textFill>
        </w:rPr>
        <w:t>.财务管理。</w:t>
      </w:r>
      <w:r>
        <w:rPr>
          <w:rFonts w:hint="eastAsia" w:ascii="仿宋_GB2312" w:hAnsi="仿宋_GB2312" w:eastAsia="仿宋_GB2312" w:cs="仿宋_GB2312"/>
          <w:color w:val="000000" w:themeColor="text1"/>
          <w:sz w:val="32"/>
          <w:szCs w:val="24"/>
          <w14:textFill>
            <w14:solidFill>
              <w14:schemeClr w14:val="tx1"/>
            </w14:solidFill>
          </w14:textFill>
        </w:rPr>
        <w:t>本单位严格按照财务管理制度落实财务岗位设置，分别设置财务岗和出纳岗位，</w:t>
      </w:r>
      <w:r>
        <w:rPr>
          <w:rFonts w:hint="eastAsia" w:ascii="仿宋_GB2312" w:hAnsi="仿宋_GB2312" w:eastAsia="仿宋_GB2312" w:cs="仿宋_GB2312"/>
          <w:color w:val="000000" w:themeColor="text1"/>
          <w:sz w:val="32"/>
          <w:szCs w:val="32"/>
          <w14:textFill>
            <w14:solidFill>
              <w14:schemeClr w14:val="tx1"/>
            </w14:solidFill>
          </w14:textFill>
        </w:rPr>
        <w:t>在</w:t>
      </w:r>
      <w:r>
        <w:rPr>
          <w:rFonts w:hint="eastAsia" w:ascii="仿宋_GB2312" w:hAnsi="仿宋_GB2312" w:eastAsia="仿宋_GB2312" w:cs="仿宋_GB2312"/>
          <w:color w:val="000000" w:themeColor="text1"/>
          <w:sz w:val="32"/>
          <w:szCs w:val="24"/>
          <w14:textFill>
            <w14:solidFill>
              <w14:schemeClr w14:val="tx1"/>
            </w14:solidFill>
          </w14:textFill>
        </w:rPr>
        <w:t>资金使用</w:t>
      </w:r>
      <w:r>
        <w:rPr>
          <w:rFonts w:hint="eastAsia" w:ascii="仿宋_GB2312" w:hAnsi="仿宋_GB2312" w:eastAsia="仿宋_GB2312" w:cs="仿宋_GB2312"/>
          <w:color w:val="000000" w:themeColor="text1"/>
          <w:sz w:val="32"/>
          <w:szCs w:val="32"/>
          <w14:textFill>
            <w14:solidFill>
              <w14:schemeClr w14:val="tx1"/>
            </w14:solidFill>
          </w14:textFill>
        </w:rPr>
        <w:t>控制方面，部门日常公用经费、项目支出中“办公费、印刷费、水费、电费、物业管理费”等科目年初预算数与决算数无偏差。</w:t>
      </w:r>
    </w:p>
    <w:p w14:paraId="20B34766">
      <w:pPr>
        <w:keepNext w:val="0"/>
        <w:keepLines w:val="0"/>
        <w:pageBreakBefore w:val="0"/>
        <w:widowControl w:val="0"/>
        <w:kinsoku/>
        <w:wordWrap/>
        <w:overflowPunct w:val="0"/>
        <w:topLinePunct w:val="0"/>
        <w:bidi w:val="0"/>
        <w:snapToGrid/>
        <w:spacing w:line="576" w:lineRule="exact"/>
        <w:ind w:leftChars="0" w:firstLine="640" w:firstLineChars="200"/>
        <w:jc w:val="both"/>
        <w:textAlignment w:val="auto"/>
        <w:rPr>
          <w:rFonts w:hint="eastAsia" w:ascii="楷体_GB2312" w:hAnsi="楷体_GB2312" w:eastAsia="楷体_GB2312"/>
          <w:color w:val="000000" w:themeColor="text1"/>
          <w:sz w:val="32"/>
          <w:szCs w:val="24"/>
          <w14:textFill>
            <w14:solidFill>
              <w14:schemeClr w14:val="tx1"/>
            </w14:solidFill>
          </w14:textFill>
        </w:rPr>
      </w:pPr>
      <w:r>
        <w:rPr>
          <w:rFonts w:hint="eastAsia" w:ascii="Times New Roman" w:hAnsi="Times New Roman" w:eastAsia="楷体_GB2312"/>
          <w:color w:val="000000" w:themeColor="text1"/>
          <w:sz w:val="32"/>
          <w:szCs w:val="24"/>
          <w14:textFill>
            <w14:solidFill>
              <w14:schemeClr w14:val="tx1"/>
            </w14:solidFill>
          </w14:textFill>
        </w:rPr>
        <w:t>4</w:t>
      </w:r>
      <w:r>
        <w:rPr>
          <w:rFonts w:hint="eastAsia" w:ascii="楷体_GB2312" w:hAnsi="楷体_GB2312" w:eastAsia="楷体_GB2312"/>
          <w:color w:val="000000" w:themeColor="text1"/>
          <w:sz w:val="32"/>
          <w:szCs w:val="24"/>
          <w14:textFill>
            <w14:solidFill>
              <w14:schemeClr w14:val="tx1"/>
            </w14:solidFill>
          </w14:textFill>
        </w:rPr>
        <w:t>.资产管理。</w:t>
      </w:r>
    </w:p>
    <w:p w14:paraId="32EE120F">
      <w:pPr>
        <w:pStyle w:val="8"/>
        <w:keepNext w:val="0"/>
        <w:keepLines w:val="0"/>
        <w:pageBreakBefore w:val="0"/>
        <w:widowControl w:val="0"/>
        <w:kinsoku/>
        <w:wordWrap/>
        <w:overflowPunct w:val="0"/>
        <w:topLinePunct w:val="0"/>
        <w:bidi w:val="0"/>
        <w:snapToGrid/>
        <w:spacing w:after="0" w:line="576" w:lineRule="exact"/>
        <w:ind w:leftChars="0" w:firstLine="640" w:firstLineChars="200"/>
        <w:jc w:val="both"/>
        <w:textAlignment w:val="auto"/>
        <w:rPr>
          <w:rFonts w:hint="eastAsia" w:ascii="仿宋_GB2312" w:hAnsi="仿宋_GB2312" w:eastAsia="仿宋_GB2312"/>
          <w:color w:val="000000" w:themeColor="text1"/>
          <w:sz w:val="32"/>
          <w:szCs w:val="24"/>
          <w:highlight w:val="yellow"/>
          <w:lang w:val="zh-CN"/>
          <w14:textFill>
            <w14:solidFill>
              <w14:schemeClr w14:val="tx1"/>
            </w14:solidFill>
          </w14:textFill>
        </w:rPr>
      </w:pPr>
      <w:r>
        <w:rPr>
          <w:rFonts w:hint="eastAsia" w:ascii="仿宋_GB2312" w:hAnsi="仿宋_GB2312" w:eastAsia="仿宋_GB2312" w:cs="仿宋_GB2312"/>
          <w:color w:val="000000" w:themeColor="text1"/>
          <w:sz w:val="32"/>
          <w:szCs w:val="24"/>
          <w14:textFill>
            <w14:solidFill>
              <w14:schemeClr w14:val="tx1"/>
            </w14:solidFill>
          </w14:textFill>
        </w:rPr>
        <w:t>本单位资产严格按照资产管理要求执行，资产利用率很好，无盘活资产。</w:t>
      </w:r>
    </w:p>
    <w:p w14:paraId="16F82332">
      <w:pPr>
        <w:keepNext w:val="0"/>
        <w:keepLines w:val="0"/>
        <w:pageBreakBefore w:val="0"/>
        <w:widowControl w:val="0"/>
        <w:kinsoku/>
        <w:wordWrap/>
        <w:overflowPunct w:val="0"/>
        <w:topLinePunct w:val="0"/>
        <w:bidi w:val="0"/>
        <w:snapToGrid/>
        <w:spacing w:line="576" w:lineRule="exact"/>
        <w:ind w:leftChars="0" w:firstLine="640" w:firstLineChars="200"/>
        <w:jc w:val="both"/>
        <w:textAlignment w:val="auto"/>
        <w:rPr>
          <w:rFonts w:hint="eastAsia" w:ascii="楷体_GB2312" w:hAnsi="楷体_GB2312" w:eastAsia="楷体_GB2312"/>
          <w:color w:val="000000" w:themeColor="text1"/>
          <w:sz w:val="32"/>
          <w:szCs w:val="24"/>
          <w14:textFill>
            <w14:solidFill>
              <w14:schemeClr w14:val="tx1"/>
            </w14:solidFill>
          </w14:textFill>
        </w:rPr>
      </w:pPr>
      <w:r>
        <w:rPr>
          <w:rFonts w:hint="eastAsia" w:ascii="Times New Roman" w:hAnsi="Times New Roman" w:eastAsia="楷体_GB2312"/>
          <w:color w:val="000000" w:themeColor="text1"/>
          <w:sz w:val="32"/>
          <w:szCs w:val="24"/>
          <w14:textFill>
            <w14:solidFill>
              <w14:schemeClr w14:val="tx1"/>
            </w14:solidFill>
          </w14:textFill>
        </w:rPr>
        <w:t>5</w:t>
      </w:r>
      <w:r>
        <w:rPr>
          <w:rFonts w:hint="eastAsia" w:ascii="楷体_GB2312" w:hAnsi="楷体_GB2312" w:eastAsia="楷体_GB2312"/>
          <w:color w:val="000000" w:themeColor="text1"/>
          <w:sz w:val="32"/>
          <w:szCs w:val="24"/>
          <w14:textFill>
            <w14:solidFill>
              <w14:schemeClr w14:val="tx1"/>
            </w14:solidFill>
          </w14:textFill>
        </w:rPr>
        <w:t>.采购管理。</w:t>
      </w:r>
    </w:p>
    <w:p w14:paraId="2DAEE8BC">
      <w:pPr>
        <w:keepNext w:val="0"/>
        <w:keepLines w:val="0"/>
        <w:pageBreakBefore w:val="0"/>
        <w:widowControl w:val="0"/>
        <w:kinsoku/>
        <w:wordWrap/>
        <w:overflowPunct w:val="0"/>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olor w:val="000000" w:themeColor="text1"/>
          <w:sz w:val="32"/>
          <w:szCs w:val="24"/>
          <w14:textFill>
            <w14:solidFill>
              <w14:schemeClr w14:val="tx1"/>
            </w14:solidFill>
          </w14:textFill>
        </w:rPr>
      </w:pPr>
      <w:r>
        <w:rPr>
          <w:rFonts w:hint="eastAsia" w:ascii="Times New Roman" w:hAnsi="Times New Roman" w:eastAsia="仿宋_GB2312"/>
          <w:color w:val="000000" w:themeColor="text1"/>
          <w:sz w:val="32"/>
          <w:szCs w:val="24"/>
          <w14:textFill>
            <w14:solidFill>
              <w14:schemeClr w14:val="tx1"/>
            </w14:solidFill>
          </w14:textFill>
        </w:rPr>
        <w:t>2023</w:t>
      </w:r>
      <w:r>
        <w:rPr>
          <w:rFonts w:hint="eastAsia" w:ascii="仿宋_GB2312" w:hAnsi="仿宋_GB2312" w:eastAsia="仿宋_GB2312"/>
          <w:color w:val="000000" w:themeColor="text1"/>
          <w:sz w:val="32"/>
          <w:szCs w:val="24"/>
          <w14:textFill>
            <w14:solidFill>
              <w14:schemeClr w14:val="tx1"/>
            </w14:solidFill>
          </w14:textFill>
        </w:rPr>
        <w:t>年本单位无资产采购。</w:t>
      </w:r>
    </w:p>
    <w:p w14:paraId="279D6774">
      <w:pPr>
        <w:keepNext w:val="0"/>
        <w:keepLines w:val="0"/>
        <w:pageBreakBefore w:val="0"/>
        <w:widowControl w:val="0"/>
        <w:numPr>
          <w:ilvl w:val="0"/>
          <w:numId w:val="2"/>
        </w:numPr>
        <w:kinsoku/>
        <w:wordWrap/>
        <w:overflowPunct w:val="0"/>
        <w:topLinePunct w:val="0"/>
        <w:bidi w:val="0"/>
        <w:snapToGrid/>
        <w:spacing w:line="576" w:lineRule="exact"/>
        <w:ind w:leftChars="0" w:firstLine="640" w:firstLineChars="200"/>
        <w:jc w:val="both"/>
        <w:textAlignment w:val="auto"/>
        <w:rPr>
          <w:rFonts w:hint="eastAsia" w:ascii="楷体_GB2312" w:hAnsi="楷体_GB2312" w:eastAsia="楷体_GB2312"/>
          <w:b w:val="0"/>
          <w:bCs/>
          <w:color w:val="000000" w:themeColor="text1"/>
          <w:sz w:val="32"/>
          <w:szCs w:val="24"/>
          <w:lang w:val="zh-CN"/>
          <w14:textFill>
            <w14:solidFill>
              <w14:schemeClr w14:val="tx1"/>
            </w14:solidFill>
          </w14:textFill>
        </w:rPr>
      </w:pPr>
      <w:r>
        <w:rPr>
          <w:rFonts w:hint="eastAsia" w:ascii="楷体_GB2312" w:hAnsi="楷体_GB2312" w:eastAsia="楷体_GB2312"/>
          <w:b w:val="0"/>
          <w:bCs/>
          <w:color w:val="000000" w:themeColor="text1"/>
          <w:sz w:val="32"/>
          <w:szCs w:val="24"/>
          <w:lang w:val="zh-CN"/>
          <w14:textFill>
            <w14:solidFill>
              <w14:schemeClr w14:val="tx1"/>
            </w14:solidFill>
          </w14:textFill>
        </w:rPr>
        <w:t>部门预算项目绩效分析。</w:t>
      </w:r>
    </w:p>
    <w:p w14:paraId="6E335158">
      <w:pPr>
        <w:keepNext w:val="0"/>
        <w:keepLines w:val="0"/>
        <w:pageBreakBefore w:val="0"/>
        <w:widowControl w:val="0"/>
        <w:kinsoku/>
        <w:wordWrap/>
        <w:overflowPunct w:val="0"/>
        <w:topLinePunct w:val="0"/>
        <w:bidi w:val="0"/>
        <w:snapToGrid/>
        <w:spacing w:line="576" w:lineRule="exact"/>
        <w:ind w:leftChars="0" w:firstLine="640" w:firstLineChars="200"/>
        <w:jc w:val="both"/>
        <w:textAlignment w:val="auto"/>
        <w:rPr>
          <w:rFonts w:hint="eastAsia" w:ascii="仿宋_GB2312" w:hAnsi="仿宋_GB2312" w:eastAsia="仿宋_GB2312"/>
          <w:color w:val="000000" w:themeColor="text1"/>
          <w:sz w:val="32"/>
          <w:szCs w:val="24"/>
          <w14:textFill>
            <w14:solidFill>
              <w14:schemeClr w14:val="tx1"/>
            </w14:solidFill>
          </w14:textFill>
        </w:rPr>
      </w:pPr>
      <w:r>
        <w:rPr>
          <w:rFonts w:hint="eastAsia" w:ascii="Times New Roman" w:hAnsi="Times New Roman" w:eastAsia="楷体_GB2312"/>
          <w:color w:val="000000" w:themeColor="text1"/>
          <w:sz w:val="32"/>
          <w:szCs w:val="24"/>
          <w14:textFill>
            <w14:solidFill>
              <w14:schemeClr w14:val="tx1"/>
            </w14:solidFill>
          </w14:textFill>
        </w:rPr>
        <w:t>1</w:t>
      </w:r>
      <w:r>
        <w:rPr>
          <w:rFonts w:hint="eastAsia" w:ascii="楷体_GB2312" w:hAnsi="楷体_GB2312" w:eastAsia="楷体_GB2312"/>
          <w:color w:val="000000" w:themeColor="text1"/>
          <w:sz w:val="32"/>
          <w:szCs w:val="24"/>
          <w14:textFill>
            <w14:solidFill>
              <w14:schemeClr w14:val="tx1"/>
            </w14:solidFill>
          </w14:textFill>
        </w:rPr>
        <w:t>.项目决策。</w:t>
      </w:r>
    </w:p>
    <w:p w14:paraId="172069A6">
      <w:pPr>
        <w:keepNext w:val="0"/>
        <w:keepLines w:val="0"/>
        <w:pageBreakBefore w:val="0"/>
        <w:widowControl w:val="0"/>
        <w:kinsoku/>
        <w:wordWrap/>
        <w:overflowPunct w:val="0"/>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单位绩效目标编制要素完整的，绩效指标细化量化的准确，绩效目标纳入本单位局长办公会研究决策。年初预算和年末决算编制内容真实有效，编制数据完整，准确。年初预算（含追加项目资金）绩效目标编制完整、合理。报表报送及时准确。单位人员类、运转类、特定目标类项目收支执行进度良好、部门整体绩效目标完成较好，无偏差。</w:t>
      </w:r>
    </w:p>
    <w:p w14:paraId="21A8E818">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leftChars="0" w:firstLine="640" w:firstLineChars="200"/>
        <w:jc w:val="both"/>
        <w:textAlignment w:val="auto"/>
        <w:rPr>
          <w:rFonts w:hint="eastAsia" w:ascii="楷体_GB2312" w:hAnsi="楷体_GB2312" w:eastAsia="楷体_GB2312"/>
          <w:color w:val="000000" w:themeColor="text1"/>
          <w:sz w:val="32"/>
          <w:szCs w:val="24"/>
          <w14:textFill>
            <w14:solidFill>
              <w14:schemeClr w14:val="tx1"/>
            </w14:solidFill>
          </w14:textFill>
        </w:rPr>
      </w:pPr>
      <w:r>
        <w:rPr>
          <w:rFonts w:hint="eastAsia" w:ascii="Times New Roman" w:hAnsi="Times New Roman" w:eastAsia="楷体_GB2312"/>
          <w:color w:val="000000" w:themeColor="text1"/>
          <w:sz w:val="32"/>
          <w:szCs w:val="24"/>
          <w14:textFill>
            <w14:solidFill>
              <w14:schemeClr w14:val="tx1"/>
            </w14:solidFill>
          </w14:textFill>
        </w:rPr>
        <w:t>2</w:t>
      </w:r>
      <w:r>
        <w:rPr>
          <w:rFonts w:hint="eastAsia" w:ascii="楷体_GB2312" w:hAnsi="楷体_GB2312" w:eastAsia="楷体_GB2312"/>
          <w:color w:val="000000" w:themeColor="text1"/>
          <w:sz w:val="32"/>
          <w:szCs w:val="24"/>
          <w14:textFill>
            <w14:solidFill>
              <w14:schemeClr w14:val="tx1"/>
            </w14:solidFill>
          </w14:textFill>
        </w:rPr>
        <w:t>.项目执行。</w:t>
      </w:r>
    </w:p>
    <w:p w14:paraId="34C1119D">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项目执行方面，部门日常公用经费、项目支出中“办公费、印刷费、水费、电费、物业管理费”等科目年初预算数与决算数无偏差。本部门在开展绩效运行监控后，将绩效监控结果应用到预算调整中。部门预算执行进度在</w:t>
      </w:r>
      <w:r>
        <w:rPr>
          <w:rFonts w:hint="eastAsia" w:ascii="Times New Roman" w:hAnsi="Times New Roman"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月达到序时进度的</w:t>
      </w:r>
      <w:r>
        <w:rPr>
          <w:rFonts w:hint="eastAsia" w:ascii="Times New Roman" w:hAnsi="Times New Roman" w:eastAsia="仿宋_GB2312" w:cs="仿宋_GB2312"/>
          <w:color w:val="000000" w:themeColor="text1"/>
          <w:sz w:val="32"/>
          <w:szCs w:val="32"/>
          <w14:textFill>
            <w14:solidFill>
              <w14:schemeClr w14:val="tx1"/>
            </w14:solidFill>
          </w14:textFill>
        </w:rPr>
        <w:t>80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90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90</w:t>
      </w:r>
      <w:r>
        <w:rPr>
          <w:rFonts w:hint="eastAsia" w:ascii="仿宋_GB2312" w:hAnsi="仿宋_GB2312" w:eastAsia="仿宋_GB2312" w:cs="仿宋_GB2312"/>
          <w:color w:val="000000" w:themeColor="text1"/>
          <w:sz w:val="32"/>
          <w:szCs w:val="32"/>
          <w14:textFill>
            <w14:solidFill>
              <w14:schemeClr w14:val="tx1"/>
            </w14:solidFill>
          </w14:textFill>
        </w:rPr>
        <w:t>%，即实际支出进度分别达到</w:t>
      </w:r>
      <w:r>
        <w:rPr>
          <w:rFonts w:hint="eastAsia" w:ascii="Times New Roman" w:hAnsi="Times New Roman" w:eastAsia="仿宋_GB2312" w:cs="仿宋_GB2312"/>
          <w:color w:val="000000" w:themeColor="text1"/>
          <w:sz w:val="32"/>
          <w:szCs w:val="32"/>
          <w14:textFill>
            <w14:solidFill>
              <w14:schemeClr w14:val="tx1"/>
            </w14:solidFill>
          </w14:textFill>
        </w:rPr>
        <w:t>40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67</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82</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w:t>
      </w:r>
    </w:p>
    <w:p w14:paraId="098F6D5D">
      <w:pPr>
        <w:keepNext w:val="0"/>
        <w:keepLines w:val="0"/>
        <w:pageBreakBefore w:val="0"/>
        <w:widowControl w:val="0"/>
        <w:kinsoku/>
        <w:wordWrap/>
        <w:overflowPunct w:val="0"/>
        <w:topLinePunct w:val="0"/>
        <w:bidi w:val="0"/>
        <w:snapToGrid/>
        <w:spacing w:line="576" w:lineRule="exact"/>
        <w:ind w:leftChars="0" w:firstLine="640" w:firstLineChars="200"/>
        <w:jc w:val="both"/>
        <w:textAlignment w:val="auto"/>
        <w:rPr>
          <w:rFonts w:hint="eastAsia" w:ascii="楷体_GB2312" w:hAnsi="楷体_GB2312" w:eastAsia="楷体_GB2312"/>
          <w:color w:val="000000" w:themeColor="text1"/>
          <w:sz w:val="32"/>
          <w:szCs w:val="24"/>
          <w14:textFill>
            <w14:solidFill>
              <w14:schemeClr w14:val="tx1"/>
            </w14:solidFill>
          </w14:textFill>
        </w:rPr>
      </w:pPr>
      <w:r>
        <w:rPr>
          <w:rFonts w:hint="eastAsia" w:ascii="Times New Roman" w:hAnsi="Times New Roman" w:eastAsia="楷体_GB2312"/>
          <w:color w:val="000000" w:themeColor="text1"/>
          <w:sz w:val="32"/>
          <w:szCs w:val="24"/>
          <w14:textFill>
            <w14:solidFill>
              <w14:schemeClr w14:val="tx1"/>
            </w14:solidFill>
          </w14:textFill>
        </w:rPr>
        <w:t>3</w:t>
      </w:r>
      <w:r>
        <w:rPr>
          <w:rFonts w:hint="eastAsia" w:ascii="楷体_GB2312" w:hAnsi="楷体_GB2312" w:eastAsia="楷体_GB2312"/>
          <w:color w:val="000000" w:themeColor="text1"/>
          <w:sz w:val="32"/>
          <w:szCs w:val="24"/>
          <w14:textFill>
            <w14:solidFill>
              <w14:schemeClr w14:val="tx1"/>
            </w14:solidFill>
          </w14:textFill>
        </w:rPr>
        <w:t>.目标实现。</w:t>
      </w:r>
    </w:p>
    <w:p w14:paraId="0A2A7471">
      <w:pPr>
        <w:pStyle w:val="8"/>
        <w:keepNext w:val="0"/>
        <w:keepLines w:val="0"/>
        <w:pageBreakBefore w:val="0"/>
        <w:widowControl w:val="0"/>
        <w:numPr>
          <w:ilvl w:val="0"/>
          <w:numId w:val="0"/>
        </w:numPr>
        <w:kinsoku/>
        <w:wordWrap/>
        <w:overflowPunct w:val="0"/>
        <w:topLinePunct w:val="0"/>
        <w:bidi w:val="0"/>
        <w:snapToGrid/>
        <w:spacing w:after="0" w:line="576" w:lineRule="exact"/>
        <w:ind w:leftChars="0" w:firstLine="640" w:firstLineChars="200"/>
        <w:jc w:val="both"/>
        <w:textAlignment w:val="auto"/>
        <w:rPr>
          <w:rFonts w:hint="default" w:ascii="宋体"/>
          <w:color w:val="000000" w:themeColor="text1"/>
          <w:sz w:val="24"/>
          <w:szCs w:val="32"/>
          <w:lang w:val="zh-CN"/>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月部门预算执行进度达到量化指标。本部门预算项目年终预算执行情况部门预算项目</w:t>
      </w:r>
      <w:r>
        <w:rPr>
          <w:rFonts w:hint="eastAsia" w:ascii="Times New Roman" w:hAnsi="Times New Roman" w:eastAsia="仿宋_GB2312" w:cs="仿宋_GB2312"/>
          <w:color w:val="000000" w:themeColor="text1"/>
          <w:sz w:val="32"/>
          <w:szCs w:val="32"/>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月预算执行进度达到</w:t>
      </w:r>
      <w:r>
        <w:rPr>
          <w:rFonts w:hint="eastAsia" w:ascii="Times New Roman" w:hAnsi="Times New Roman" w:eastAsia="仿宋_GB2312" w:cs="仿宋_GB2312"/>
          <w:color w:val="000000" w:themeColor="text1"/>
          <w:sz w:val="32"/>
          <w:szCs w:val="32"/>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%。部门预算项目资金无结余。依据评价年度审计监督、财政检查结果，本单位预算管理方面无违纪违规问题。</w:t>
      </w:r>
    </w:p>
    <w:p w14:paraId="358F254C">
      <w:pPr>
        <w:keepNext w:val="0"/>
        <w:keepLines w:val="0"/>
        <w:pageBreakBefore w:val="0"/>
        <w:widowControl w:val="0"/>
        <w:numPr>
          <w:ilvl w:val="0"/>
          <w:numId w:val="2"/>
        </w:numPr>
        <w:kinsoku/>
        <w:wordWrap/>
        <w:overflowPunct w:val="0"/>
        <w:topLinePunct w:val="0"/>
        <w:bidi w:val="0"/>
        <w:snapToGrid/>
        <w:spacing w:line="576" w:lineRule="exact"/>
        <w:ind w:leftChars="0" w:firstLine="640" w:firstLineChars="200"/>
        <w:jc w:val="both"/>
        <w:textAlignment w:val="auto"/>
        <w:rPr>
          <w:rFonts w:hint="eastAsia" w:ascii="楷体_GB2312" w:hAnsi="楷体_GB2312" w:eastAsia="楷体_GB2312"/>
          <w:b w:val="0"/>
          <w:bCs/>
          <w:color w:val="000000" w:themeColor="text1"/>
          <w:sz w:val="32"/>
          <w:szCs w:val="24"/>
          <w:lang w:val="zh-CN"/>
          <w14:textFill>
            <w14:solidFill>
              <w14:schemeClr w14:val="tx1"/>
            </w14:solidFill>
          </w14:textFill>
        </w:rPr>
      </w:pPr>
      <w:r>
        <w:rPr>
          <w:rFonts w:hint="eastAsia" w:ascii="楷体_GB2312" w:hAnsi="楷体_GB2312" w:eastAsia="楷体_GB2312"/>
          <w:b w:val="0"/>
          <w:bCs/>
          <w:color w:val="000000" w:themeColor="text1"/>
          <w:sz w:val="32"/>
          <w:szCs w:val="24"/>
          <w:lang w:val="zh-CN"/>
          <w14:textFill>
            <w14:solidFill>
              <w14:schemeClr w14:val="tx1"/>
            </w14:solidFill>
          </w14:textFill>
        </w:rPr>
        <w:t>重点领域绩效分析。</w:t>
      </w:r>
      <w:r>
        <w:rPr>
          <w:rFonts w:hint="eastAsia" w:ascii="楷体_GB2312" w:hAnsi="楷体_GB2312" w:eastAsia="楷体_GB2312"/>
          <w:b w:val="0"/>
          <w:bCs/>
          <w:color w:val="000000" w:themeColor="text1"/>
          <w:sz w:val="32"/>
          <w:szCs w:val="24"/>
          <w14:textFill>
            <w14:solidFill>
              <w14:schemeClr w14:val="tx1"/>
            </w14:solidFill>
          </w14:textFill>
        </w:rPr>
        <w:t>无</w:t>
      </w:r>
    </w:p>
    <w:p w14:paraId="70D18BB5">
      <w:pPr>
        <w:keepNext w:val="0"/>
        <w:keepLines w:val="0"/>
        <w:pageBreakBefore w:val="0"/>
        <w:widowControl w:val="0"/>
        <w:kinsoku/>
        <w:wordWrap/>
        <w:overflowPunct w:val="0"/>
        <w:topLinePunct w:val="0"/>
        <w:bidi w:val="0"/>
        <w:snapToGrid/>
        <w:spacing w:line="576" w:lineRule="exact"/>
        <w:ind w:leftChars="0" w:firstLine="640" w:firstLineChars="200"/>
        <w:jc w:val="both"/>
        <w:textAlignment w:val="auto"/>
        <w:rPr>
          <w:rFonts w:hint="eastAsia" w:ascii="楷体_GB2312" w:hAnsi="楷体_GB2312" w:eastAsia="楷体_GB2312"/>
          <w:b w:val="0"/>
          <w:bCs/>
          <w:color w:val="000000" w:themeColor="text1"/>
          <w:sz w:val="32"/>
          <w:szCs w:val="24"/>
          <w:lang w:val="zh-CN"/>
          <w14:textFill>
            <w14:solidFill>
              <w14:schemeClr w14:val="tx1"/>
            </w14:solidFill>
          </w14:textFill>
        </w:rPr>
      </w:pPr>
      <w:r>
        <w:rPr>
          <w:rFonts w:hint="eastAsia" w:ascii="楷体_GB2312" w:hAnsi="楷体_GB2312" w:eastAsia="楷体_GB2312"/>
          <w:b w:val="0"/>
          <w:bCs/>
          <w:color w:val="000000" w:themeColor="text1"/>
          <w:sz w:val="32"/>
          <w:szCs w:val="24"/>
          <w:lang w:val="zh-CN"/>
          <w14:textFill>
            <w14:solidFill>
              <w14:schemeClr w14:val="tx1"/>
            </w14:solidFill>
          </w14:textFill>
        </w:rPr>
        <w:t>（四）绩效结果应用情况。</w:t>
      </w:r>
    </w:p>
    <w:p w14:paraId="57DFF689">
      <w:pPr>
        <w:keepNext w:val="0"/>
        <w:keepLines w:val="0"/>
        <w:pageBreakBefore w:val="0"/>
        <w:widowControl w:val="0"/>
        <w:kinsoku/>
        <w:wordWrap/>
        <w:overflowPunct w:val="0"/>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本单位严格执行预决算公开制度。在内部应用方面，将内设机构和下属单位绩效自评纳入考核体系，建立对内设机构和下属单位预算与绩效挂钩机制</w:t>
      </w:r>
      <w:r>
        <w:rPr>
          <w:rFonts w:hint="default"/>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按要求将相关绩效信息随同决算公开的。本部门针对绩效管理过程中（包括绩效目标核查、绩效监控核查、重点自评抽查和重点绩效评价）提出的问题整改问题、完善政策、改进管理。在应用反馈方面，本部门在规定时间内向财政部门反馈应用绩效结果报告。本单位严格按照预算绩效管理办法开展绩效自评，健全财政预算绩效管理机制，强化绩效目标管理，使整体支出绩效准确率</w:t>
      </w:r>
      <w:r>
        <w:rPr>
          <w:rFonts w:hint="eastAsia" w:ascii="Times New Roman" w:hAnsi="Times New Roman" w:eastAsia="仿宋_GB2312" w:cs="仿宋_GB2312"/>
          <w:color w:val="000000" w:themeColor="text1"/>
          <w:sz w:val="32"/>
          <w:szCs w:val="32"/>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%，自评质量很高。</w:t>
      </w:r>
    </w:p>
    <w:p w14:paraId="3321D1C8">
      <w:pPr>
        <w:keepNext w:val="0"/>
        <w:keepLines w:val="0"/>
        <w:pageBreakBefore w:val="0"/>
        <w:widowControl w:val="0"/>
        <w:kinsoku/>
        <w:wordWrap/>
        <w:overflowPunct w:val="0"/>
        <w:topLinePunct w:val="0"/>
        <w:bidi w:val="0"/>
        <w:snapToGrid/>
        <w:spacing w:line="576" w:lineRule="exact"/>
        <w:ind w:leftChars="0" w:firstLine="640" w:firstLineChars="200"/>
        <w:jc w:val="both"/>
        <w:textAlignment w:val="auto"/>
        <w:rPr>
          <w:rFonts w:hint="eastAsia" w:ascii="黑体" w:hAnsi="黑体" w:eastAsia="黑体"/>
          <w:color w:val="000000" w:themeColor="text1"/>
          <w:sz w:val="32"/>
          <w:szCs w:val="24"/>
          <w14:textFill>
            <w14:solidFill>
              <w14:schemeClr w14:val="tx1"/>
            </w14:solidFill>
          </w14:textFill>
        </w:rPr>
      </w:pPr>
      <w:r>
        <w:rPr>
          <w:rFonts w:hint="eastAsia" w:ascii="黑体" w:hAnsi="黑体" w:eastAsia="黑体"/>
          <w:color w:val="000000" w:themeColor="text1"/>
          <w:sz w:val="32"/>
          <w:szCs w:val="24"/>
          <w14:textFill>
            <w14:solidFill>
              <w14:schemeClr w14:val="tx1"/>
            </w14:solidFill>
          </w14:textFill>
        </w:rPr>
        <w:t>四、评价结论及建议</w:t>
      </w:r>
    </w:p>
    <w:p w14:paraId="5D0F4A2B">
      <w:pPr>
        <w:keepNext w:val="0"/>
        <w:keepLines w:val="0"/>
        <w:pageBreakBefore w:val="0"/>
        <w:widowControl w:val="0"/>
        <w:kinsoku/>
        <w:wordWrap/>
        <w:overflowPunct w:val="0"/>
        <w:topLinePunct w:val="0"/>
        <w:autoSpaceDE/>
        <w:autoSpaceDN/>
        <w:bidi w:val="0"/>
        <w:adjustRightInd/>
        <w:snapToGrid/>
        <w:spacing w:line="576" w:lineRule="exact"/>
        <w:ind w:leftChars="0" w:firstLine="640" w:firstLineChars="200"/>
        <w:jc w:val="both"/>
        <w:textAlignment w:val="auto"/>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（一）自评结论</w:t>
      </w:r>
    </w:p>
    <w:p w14:paraId="06BB63C9">
      <w:pPr>
        <w:keepNext w:val="0"/>
        <w:keepLines w:val="0"/>
        <w:pageBreakBefore w:val="0"/>
        <w:widowControl w:val="0"/>
        <w:kinsoku/>
        <w:wordWrap/>
        <w:overflowPunct w:val="0"/>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按照预算绩效管理要求，本部门对</w:t>
      </w:r>
      <w:r>
        <w:rPr>
          <w:rFonts w:hint="eastAsia" w:ascii="Times New Roman" w:hAnsi="Times New Roman" w:eastAsia="仿宋_GB2312" w:cs="仿宋_GB2312"/>
          <w:b w:val="0"/>
          <w:bCs/>
          <w:color w:val="000000" w:themeColor="text1"/>
          <w:sz w:val="32"/>
          <w:szCs w:val="32"/>
          <w14:textFill>
            <w14:solidFill>
              <w14:schemeClr w14:val="tx1"/>
            </w14:solidFill>
          </w14:textFill>
        </w:rPr>
        <w:t>2022</w:t>
      </w:r>
      <w:r>
        <w:rPr>
          <w:rFonts w:hint="eastAsia" w:ascii="仿宋_GB2312" w:hAnsi="仿宋_GB2312" w:eastAsia="仿宋_GB2312" w:cs="仿宋_GB2312"/>
          <w:b w:val="0"/>
          <w:bCs/>
          <w:color w:val="000000" w:themeColor="text1"/>
          <w:sz w:val="32"/>
          <w:szCs w:val="32"/>
          <w14:textFill>
            <w14:solidFill>
              <w14:schemeClr w14:val="tx1"/>
            </w14:solidFill>
          </w14:textFill>
        </w:rPr>
        <w:t>年整体支出的人员类、运转类、特定目标类项目开展绩效自评，自评结果</w:t>
      </w:r>
      <w:r>
        <w:rPr>
          <w:rFonts w:hint="eastAsia" w:ascii="Times New Roman" w:hAnsi="Times New Roman" w:eastAsia="仿宋_GB2312" w:cs="仿宋_GB2312"/>
          <w:b w:val="0"/>
          <w:bCs/>
          <w:color w:val="000000" w:themeColor="text1"/>
          <w:sz w:val="32"/>
          <w:szCs w:val="32"/>
          <w14:textFill>
            <w14:solidFill>
              <w14:schemeClr w14:val="tx1"/>
            </w14:solidFill>
          </w14:textFill>
        </w:rPr>
        <w:t>100</w:t>
      </w:r>
      <w:r>
        <w:rPr>
          <w:rFonts w:hint="eastAsia" w:ascii="仿宋_GB2312" w:hAnsi="仿宋_GB2312" w:eastAsia="仿宋_GB2312" w:cs="仿宋_GB2312"/>
          <w:b w:val="0"/>
          <w:bCs/>
          <w:color w:val="000000" w:themeColor="text1"/>
          <w:sz w:val="32"/>
          <w:szCs w:val="32"/>
          <w14:textFill>
            <w14:solidFill>
              <w14:schemeClr w14:val="tx1"/>
            </w14:solidFill>
          </w14:textFill>
        </w:rPr>
        <w:t>分。</w:t>
      </w:r>
    </w:p>
    <w:p w14:paraId="77DF164B">
      <w:pPr>
        <w:keepNext w:val="0"/>
        <w:keepLines w:val="0"/>
        <w:pageBreakBefore w:val="0"/>
        <w:widowControl w:val="0"/>
        <w:kinsoku/>
        <w:wordWrap/>
        <w:overflowPunct w:val="0"/>
        <w:topLinePunct w:val="0"/>
        <w:autoSpaceDE/>
        <w:autoSpaceDN/>
        <w:bidi w:val="0"/>
        <w:adjustRightInd/>
        <w:snapToGrid/>
        <w:spacing w:line="576" w:lineRule="exact"/>
        <w:ind w:leftChars="0" w:firstLine="640" w:firstLineChars="200"/>
        <w:jc w:val="both"/>
        <w:textAlignment w:val="auto"/>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（二）存在问题</w:t>
      </w:r>
    </w:p>
    <w:p w14:paraId="4A318FE5">
      <w:pPr>
        <w:keepNext w:val="0"/>
        <w:keepLines w:val="0"/>
        <w:pageBreakBefore w:val="0"/>
        <w:widowControl w:val="0"/>
        <w:kinsoku/>
        <w:wordWrap/>
        <w:overflowPunct w:val="0"/>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一是绩效目标动态监控实行得不到位；二是由于单位特殊，在履职方面看不出成效；</w:t>
      </w:r>
    </w:p>
    <w:p w14:paraId="6BE20BA7">
      <w:pPr>
        <w:keepNext w:val="0"/>
        <w:keepLines w:val="0"/>
        <w:pageBreakBefore w:val="0"/>
        <w:widowControl w:val="0"/>
        <w:kinsoku/>
        <w:wordWrap/>
        <w:overflowPunct w:val="0"/>
        <w:topLinePunct w:val="0"/>
        <w:autoSpaceDE/>
        <w:autoSpaceDN/>
        <w:bidi w:val="0"/>
        <w:adjustRightInd/>
        <w:snapToGrid/>
        <w:spacing w:line="576" w:lineRule="exact"/>
        <w:ind w:leftChars="0" w:firstLine="640" w:firstLineChars="200"/>
        <w:jc w:val="both"/>
        <w:textAlignment w:val="auto"/>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（三）改进建议</w:t>
      </w:r>
    </w:p>
    <w:p w14:paraId="66F807BF">
      <w:pPr>
        <w:keepNext w:val="0"/>
        <w:keepLines w:val="0"/>
        <w:pageBreakBefore w:val="0"/>
        <w:widowControl w:val="0"/>
        <w:kinsoku/>
        <w:wordWrap/>
        <w:overflowPunct w:val="0"/>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下一步改进措施：一是严格执行绩效目标管理和绩效目标动态监控。二是尽量做到履职有所成效。</w:t>
      </w:r>
    </w:p>
    <w:p w14:paraId="71C2A385">
      <w:pPr>
        <w:pStyle w:val="8"/>
        <w:keepNext w:val="0"/>
        <w:keepLines w:val="0"/>
        <w:pageBreakBefore w:val="0"/>
        <w:widowControl w:val="0"/>
        <w:numPr>
          <w:ilvl w:val="0"/>
          <w:numId w:val="0"/>
        </w:numPr>
        <w:kinsoku/>
        <w:wordWrap/>
        <w:overflowPunct w:val="0"/>
        <w:topLinePunct w:val="0"/>
        <w:autoSpaceDE/>
        <w:autoSpaceDN/>
        <w:bidi w:val="0"/>
        <w:adjustRightInd/>
        <w:snapToGrid/>
        <w:spacing w:after="0" w:line="576" w:lineRule="exact"/>
        <w:ind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45C62760">
      <w:pPr>
        <w:pStyle w:val="8"/>
        <w:keepNext w:val="0"/>
        <w:keepLines w:val="0"/>
        <w:pageBreakBefore w:val="0"/>
        <w:widowControl w:val="0"/>
        <w:numPr>
          <w:ilvl w:val="0"/>
          <w:numId w:val="0"/>
        </w:numPr>
        <w:kinsoku/>
        <w:wordWrap/>
        <w:overflowPunct w:val="0"/>
        <w:topLinePunct w:val="0"/>
        <w:autoSpaceDE/>
        <w:autoSpaceDN/>
        <w:bidi w:val="0"/>
        <w:adjustRightInd/>
        <w:snapToGrid/>
        <w:spacing w:after="0" w:line="576" w:lineRule="exact"/>
        <w:ind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6D076C06">
      <w:pPr>
        <w:pStyle w:val="16"/>
        <w:keepNext w:val="0"/>
        <w:keepLines w:val="0"/>
        <w:pageBreakBefore w:val="0"/>
        <w:widowControl w:val="0"/>
        <w:kinsoku/>
        <w:wordWrap w:val="0"/>
        <w:overflowPunct w:val="0"/>
        <w:topLinePunct w:val="0"/>
        <w:autoSpaceDE/>
        <w:autoSpaceDN/>
        <w:bidi w:val="0"/>
        <w:adjustRightInd/>
        <w:snapToGrid/>
        <w:spacing w:line="576" w:lineRule="exact"/>
        <w:ind w:leftChars="0" w:firstLine="640" w:firstLineChars="200"/>
        <w:jc w:val="righ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Times New Roman" w:hAnsi="Times New Roman" w:eastAsia="仿宋_GB2312" w:cs="仿宋_GB2312"/>
          <w:color w:val="000000" w:themeColor="text1"/>
          <w:sz w:val="32"/>
          <w:szCs w:val="32"/>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Times New Roman" w:hAnsi="Times New Roman"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Times New Roman" w:hAnsi="Times New Roman" w:eastAsia="仿宋_GB2312" w:cs="仿宋_GB2312"/>
          <w:color w:val="000000" w:themeColor="text1"/>
          <w:sz w:val="32"/>
          <w:szCs w:val="32"/>
          <w14:textFill>
            <w14:solidFill>
              <w14:schemeClr w14:val="tx1"/>
            </w14:solidFill>
          </w14:textFill>
        </w:rPr>
        <w:t>28</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eastAsia="zh-CN"/>
          <w14:textFill>
            <w14:solidFill>
              <w14:schemeClr w14:val="tx1"/>
            </w14:solidFill>
          </w14:textFill>
        </w:rPr>
        <w:t>　　　　</w:t>
      </w:r>
    </w:p>
    <w:p w14:paraId="0C6C30CF">
      <w:pPr>
        <w:autoSpaceDE/>
        <w:autoSpaceDN/>
        <w:adjustRightInd/>
        <w:spacing w:line="700" w:lineRule="exact"/>
        <w:jc w:val="right"/>
        <w:rPr>
          <w:rStyle w:val="26"/>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14:paraId="3C4D9026">
      <w:pPr>
        <w:pStyle w:val="8"/>
        <w:rPr>
          <w:rStyle w:val="26"/>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14:paraId="6835DE5C">
      <w:pPr>
        <w:rPr>
          <w:rFonts w:hint="eastAsia" w:ascii="仿宋_GB2312" w:hAnsi="仿宋_GB2312" w:eastAsia="仿宋_GB2312"/>
          <w:color w:val="000000" w:themeColor="text1"/>
          <w:kern w:val="2"/>
          <w:sz w:val="32"/>
          <w:szCs w:val="24"/>
          <w14:textFill>
            <w14:solidFill>
              <w14:schemeClr w14:val="tx1"/>
            </w14:solidFill>
          </w14:textFill>
        </w:rPr>
      </w:pPr>
      <w:r>
        <w:br w:type="page"/>
      </w:r>
    </w:p>
    <w:p w14:paraId="24DBA96C">
      <w:pPr>
        <w:keepNext/>
        <w:keepLines/>
        <w:spacing w:line="576" w:lineRule="exact"/>
        <w:jc w:val="both"/>
        <w:rPr>
          <w:rFonts w:hint="eastAsia" w:ascii="黑体" w:hAnsi="黑体" w:eastAsia="黑体" w:cs="黑体"/>
          <w:color w:val="000000" w:themeColor="text1"/>
          <w:kern w:val="2"/>
          <w:sz w:val="32"/>
          <w:szCs w:val="24"/>
          <w:lang w:eastAsia="zh-CN"/>
          <w14:textFill>
            <w14:solidFill>
              <w14:schemeClr w14:val="tx1"/>
            </w14:solidFill>
          </w14:textFill>
        </w:rPr>
      </w:pPr>
      <w:r>
        <w:rPr>
          <w:rFonts w:hint="eastAsia" w:ascii="黑体" w:hAnsi="黑体" w:eastAsia="黑体" w:cs="黑体"/>
          <w:color w:val="000000" w:themeColor="text1"/>
          <w:kern w:val="2"/>
          <w:sz w:val="32"/>
          <w:szCs w:val="24"/>
          <w14:textFill>
            <w14:solidFill>
              <w14:schemeClr w14:val="tx1"/>
            </w14:solidFill>
          </w14:textFill>
        </w:rPr>
        <w:t>附</w:t>
      </w:r>
      <w:r>
        <w:rPr>
          <w:rFonts w:hint="eastAsia" w:ascii="黑体" w:hAnsi="黑体" w:eastAsia="黑体" w:cs="黑体"/>
          <w:color w:val="000000" w:themeColor="text1"/>
          <w:kern w:val="2"/>
          <w:sz w:val="32"/>
          <w:szCs w:val="24"/>
          <w:lang w:eastAsia="zh-CN"/>
          <w14:textFill>
            <w14:solidFill>
              <w14:schemeClr w14:val="tx1"/>
            </w14:solidFill>
          </w14:textFill>
        </w:rPr>
        <w:t>件</w:t>
      </w:r>
      <w:r>
        <w:rPr>
          <w:rFonts w:hint="eastAsia" w:ascii="Times New Roman" w:hAnsi="Times New Roman" w:eastAsia="黑体" w:cs="黑体"/>
          <w:color w:val="000000" w:themeColor="text1"/>
          <w:kern w:val="2"/>
          <w:sz w:val="32"/>
          <w:szCs w:val="24"/>
          <w:lang w:eastAsia="zh-CN"/>
          <w14:textFill>
            <w14:solidFill>
              <w14:schemeClr w14:val="tx1"/>
            </w14:solidFill>
          </w14:textFill>
        </w:rPr>
        <w:t>１</w:t>
      </w:r>
    </w:p>
    <w:p w14:paraId="064D8030">
      <w:pPr>
        <w:pStyle w:val="2"/>
        <w:rPr>
          <w:rFonts w:hint="eastAsia"/>
          <w:color w:val="000000" w:themeColor="text1"/>
          <w:lang w:eastAsia="zh-CN"/>
          <w14:textFill>
            <w14:solidFill>
              <w14:schemeClr w14:val="tx1"/>
            </w14:solidFill>
          </w14:textFill>
        </w:rPr>
      </w:pPr>
    </w:p>
    <w:tbl>
      <w:tblPr>
        <w:tblStyle w:val="9"/>
        <w:tblW w:w="902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6"/>
        <w:gridCol w:w="837"/>
        <w:gridCol w:w="1124"/>
        <w:gridCol w:w="966"/>
        <w:gridCol w:w="1241"/>
        <w:gridCol w:w="1190"/>
        <w:gridCol w:w="1698"/>
        <w:gridCol w:w="1293"/>
      </w:tblGrid>
      <w:tr w14:paraId="5B34F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025" w:type="dxa"/>
            <w:gridSpan w:val="8"/>
            <w:tcBorders>
              <w:top w:val="nil"/>
              <w:left w:val="nil"/>
              <w:bottom w:val="nil"/>
              <w:right w:val="nil"/>
              <w:tl2br w:val="nil"/>
              <w:tr2bl w:val="nil"/>
            </w:tcBorders>
            <w:noWrap w:val="0"/>
            <w:vAlign w:val="center"/>
          </w:tcPr>
          <w:p w14:paraId="1446203C">
            <w:pPr>
              <w:widowControl/>
              <w:jc w:val="center"/>
              <w:textAlignment w:val="center"/>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广元市昭化区部门整体支出绩效目标自评表</w:t>
            </w:r>
          </w:p>
        </w:tc>
      </w:tr>
      <w:tr w14:paraId="67444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025" w:type="dxa"/>
            <w:gridSpan w:val="8"/>
            <w:tcBorders>
              <w:top w:val="nil"/>
              <w:left w:val="nil"/>
              <w:bottom w:val="nil"/>
              <w:right w:val="nil"/>
              <w:tl2br w:val="nil"/>
              <w:tr2bl w:val="nil"/>
            </w:tcBorders>
            <w:noWrap w:val="0"/>
            <w:vAlign w:val="top"/>
          </w:tcPr>
          <w:p w14:paraId="1A97CE93">
            <w:pPr>
              <w:widowControl/>
              <w:jc w:val="center"/>
              <w:textAlignment w:val="top"/>
              <w:rPr>
                <w:rFonts w:hint="default" w:hAnsi="宋体" w:cs="宋体"/>
                <w:color w:val="000000" w:themeColor="text1"/>
                <w:sz w:val="22"/>
                <w:szCs w:val="22"/>
                <w14:textFill>
                  <w14:solidFill>
                    <w14:schemeClr w14:val="tx1"/>
                  </w14:solidFill>
                </w14:textFill>
              </w:rPr>
            </w:pPr>
            <w:r>
              <w:rPr>
                <w:rFonts w:hint="default" w:hAnsi="宋体" w:cs="宋体"/>
                <w:color w:val="000000" w:themeColor="text1"/>
                <w:sz w:val="28"/>
                <w:szCs w:val="28"/>
                <w14:textFill>
                  <w14:solidFill>
                    <w14:schemeClr w14:val="tx1"/>
                  </w14:solidFill>
                </w14:textFill>
              </w:rPr>
              <w:t>（</w:t>
            </w:r>
            <w:r>
              <w:rPr>
                <w:rFonts w:hint="default" w:ascii="Times New Roman" w:hAnsi="Times New Roman" w:cs="宋体"/>
                <w:color w:val="000000" w:themeColor="text1"/>
                <w:sz w:val="28"/>
                <w:szCs w:val="28"/>
                <w14:textFill>
                  <w14:solidFill>
                    <w14:schemeClr w14:val="tx1"/>
                  </w14:solidFill>
                </w14:textFill>
              </w:rPr>
              <w:t>2022</w:t>
            </w:r>
            <w:r>
              <w:rPr>
                <w:rFonts w:hint="default" w:hAnsi="宋体" w:cs="宋体"/>
                <w:color w:val="000000" w:themeColor="text1"/>
                <w:sz w:val="28"/>
                <w:szCs w:val="28"/>
                <w14:textFill>
                  <w14:solidFill>
                    <w14:schemeClr w14:val="tx1"/>
                  </w14:solidFill>
                </w14:textFill>
              </w:rPr>
              <w:t>年度）</w:t>
            </w:r>
          </w:p>
        </w:tc>
      </w:tr>
      <w:tr w14:paraId="57B66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847E12">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18"/>
                <w:szCs w:val="18"/>
                <w14:textFill>
                  <w14:solidFill>
                    <w14:schemeClr w14:val="tx1"/>
                  </w14:solidFill>
                </w14:textFill>
              </w:rPr>
            </w:pPr>
            <w:r>
              <w:rPr>
                <w:rFonts w:hint="default" w:hAnsi="宋体" w:cs="宋体"/>
                <w:color w:val="000000" w:themeColor="text1"/>
                <w:sz w:val="18"/>
                <w:szCs w:val="18"/>
                <w14:textFill>
                  <w14:solidFill>
                    <w14:schemeClr w14:val="tx1"/>
                  </w14:solidFill>
                </w14:textFill>
              </w:rPr>
              <w:t>主管部门</w:t>
            </w:r>
          </w:p>
        </w:tc>
        <w:tc>
          <w:tcPr>
            <w:tcW w:w="333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159B87">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18"/>
                <w:szCs w:val="18"/>
                <w14:textFill>
                  <w14:solidFill>
                    <w14:schemeClr w14:val="tx1"/>
                  </w14:solidFill>
                </w14:textFill>
              </w:rPr>
            </w:pPr>
            <w:r>
              <w:rPr>
                <w:rFonts w:hint="default" w:hAnsi="宋体" w:cs="宋体"/>
                <w:color w:val="000000" w:themeColor="text1"/>
                <w:sz w:val="18"/>
                <w:szCs w:val="18"/>
                <w14:textFill>
                  <w14:solidFill>
                    <w14:schemeClr w14:val="tx1"/>
                  </w14:solidFill>
                </w14:textFill>
              </w:rPr>
              <w:t>中共广元市昭化区委群众工作局</w:t>
            </w:r>
          </w:p>
        </w:tc>
        <w:tc>
          <w:tcPr>
            <w:tcW w:w="11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2B21C1">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18"/>
                <w:szCs w:val="18"/>
                <w14:textFill>
                  <w14:solidFill>
                    <w14:schemeClr w14:val="tx1"/>
                  </w14:solidFill>
                </w14:textFill>
              </w:rPr>
            </w:pPr>
            <w:r>
              <w:rPr>
                <w:rFonts w:hint="default" w:hAnsi="宋体" w:cs="宋体"/>
                <w:color w:val="000000" w:themeColor="text1"/>
                <w:sz w:val="18"/>
                <w:szCs w:val="18"/>
                <w14:textFill>
                  <w14:solidFill>
                    <w14:schemeClr w14:val="tx1"/>
                  </w14:solidFill>
                </w14:textFill>
              </w:rPr>
              <w:t>实施单位</w:t>
            </w:r>
          </w:p>
        </w:tc>
        <w:tc>
          <w:tcPr>
            <w:tcW w:w="2991"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732CFFF8">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20"/>
                <w:szCs w:val="20"/>
                <w14:textFill>
                  <w14:solidFill>
                    <w14:schemeClr w14:val="tx1"/>
                  </w14:solidFill>
                </w14:textFill>
              </w:rPr>
            </w:pPr>
            <w:r>
              <w:rPr>
                <w:rFonts w:hint="default" w:hAnsi="宋体" w:cs="宋体"/>
                <w:color w:val="000000" w:themeColor="text1"/>
                <w:sz w:val="20"/>
                <w:szCs w:val="20"/>
                <w14:textFill>
                  <w14:solidFill>
                    <w14:schemeClr w14:val="tx1"/>
                  </w14:solidFill>
                </w14:textFill>
              </w:rPr>
              <w:t>中共广元市昭化区委群众工作局</w:t>
            </w:r>
          </w:p>
        </w:tc>
      </w:tr>
      <w:tr w14:paraId="03C0F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13"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4E59CFA3">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18"/>
                <w:szCs w:val="18"/>
                <w14:textFill>
                  <w14:solidFill>
                    <w14:schemeClr w14:val="tx1"/>
                  </w14:solidFill>
                </w14:textFill>
              </w:rPr>
            </w:pPr>
            <w:r>
              <w:rPr>
                <w:rFonts w:hint="default" w:hAnsi="宋体" w:cs="宋体"/>
                <w:color w:val="000000" w:themeColor="text1"/>
                <w:sz w:val="18"/>
                <w:szCs w:val="18"/>
                <w14:textFill>
                  <w14:solidFill>
                    <w14:schemeClr w14:val="tx1"/>
                  </w14:solidFill>
                </w14:textFill>
              </w:rPr>
              <w:t>项目（政策）资金（万元）</w:t>
            </w:r>
          </w:p>
        </w:tc>
        <w:tc>
          <w:tcPr>
            <w:tcW w:w="2090" w:type="dxa"/>
            <w:gridSpan w:val="2"/>
            <w:tcBorders>
              <w:top w:val="nil"/>
              <w:left w:val="single" w:color="000000" w:sz="4" w:space="0"/>
              <w:bottom w:val="single" w:color="000000" w:sz="4" w:space="0"/>
              <w:right w:val="single" w:color="000000" w:sz="4" w:space="0"/>
              <w:tl2br w:val="nil"/>
              <w:tr2bl w:val="nil"/>
            </w:tcBorders>
            <w:noWrap w:val="0"/>
            <w:vAlign w:val="center"/>
          </w:tcPr>
          <w:p w14:paraId="4CBF28B1">
            <w:pPr>
              <w:keepNext w:val="0"/>
              <w:keepLines w:val="0"/>
              <w:pageBreakBefore w:val="0"/>
              <w:widowControl/>
              <w:kinsoku/>
              <w:wordWrap/>
              <w:overflowPunct/>
              <w:topLinePunct w:val="0"/>
              <w:autoSpaceDE w:val="0"/>
              <w:autoSpaceDN w:val="0"/>
              <w:bidi w:val="0"/>
              <w:adjustRightInd w:val="0"/>
              <w:snapToGrid/>
              <w:ind w:left="-60" w:leftChars="-25" w:right="-60" w:rightChars="-25"/>
              <w:jc w:val="center"/>
              <w:rPr>
                <w:rFonts w:hint="default" w:hAnsi="宋体" w:cs="宋体"/>
                <w:color w:val="000000" w:themeColor="text1"/>
                <w:sz w:val="18"/>
                <w:szCs w:val="18"/>
                <w14:textFill>
                  <w14:solidFill>
                    <w14:schemeClr w14:val="tx1"/>
                  </w14:solidFill>
                </w14:textFill>
              </w:rPr>
            </w:pPr>
          </w:p>
        </w:tc>
        <w:tc>
          <w:tcPr>
            <w:tcW w:w="1241" w:type="dxa"/>
            <w:tcBorders>
              <w:top w:val="nil"/>
              <w:left w:val="single" w:color="000000" w:sz="4" w:space="0"/>
              <w:bottom w:val="single" w:color="000000" w:sz="4" w:space="0"/>
              <w:right w:val="single" w:color="000000" w:sz="4" w:space="0"/>
              <w:tl2br w:val="nil"/>
              <w:tr2bl w:val="nil"/>
            </w:tcBorders>
            <w:noWrap w:val="0"/>
            <w:vAlign w:val="center"/>
          </w:tcPr>
          <w:p w14:paraId="71266593">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18"/>
                <w:szCs w:val="18"/>
                <w14:textFill>
                  <w14:solidFill>
                    <w14:schemeClr w14:val="tx1"/>
                  </w14:solidFill>
                </w14:textFill>
              </w:rPr>
            </w:pPr>
            <w:r>
              <w:rPr>
                <w:rFonts w:hint="default" w:hAnsi="宋体" w:cs="宋体"/>
                <w:color w:val="000000" w:themeColor="text1"/>
                <w:sz w:val="18"/>
                <w:szCs w:val="18"/>
                <w14:textFill>
                  <w14:solidFill>
                    <w14:schemeClr w14:val="tx1"/>
                  </w14:solidFill>
                </w14:textFill>
              </w:rPr>
              <w:t>年初预算数</w:t>
            </w:r>
          </w:p>
        </w:tc>
        <w:tc>
          <w:tcPr>
            <w:tcW w:w="1190" w:type="dxa"/>
            <w:tcBorders>
              <w:top w:val="nil"/>
              <w:left w:val="single" w:color="000000" w:sz="4" w:space="0"/>
              <w:bottom w:val="single" w:color="000000" w:sz="4" w:space="0"/>
              <w:right w:val="single" w:color="000000" w:sz="4" w:space="0"/>
              <w:tl2br w:val="nil"/>
              <w:tr2bl w:val="nil"/>
            </w:tcBorders>
            <w:noWrap w:val="0"/>
            <w:vAlign w:val="center"/>
          </w:tcPr>
          <w:p w14:paraId="0FA3B577">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18"/>
                <w:szCs w:val="18"/>
                <w14:textFill>
                  <w14:solidFill>
                    <w14:schemeClr w14:val="tx1"/>
                  </w14:solidFill>
                </w14:textFill>
              </w:rPr>
            </w:pPr>
            <w:r>
              <w:rPr>
                <w:rFonts w:hint="default" w:hAnsi="宋体" w:cs="宋体"/>
                <w:color w:val="000000" w:themeColor="text1"/>
                <w:sz w:val="18"/>
                <w:szCs w:val="18"/>
                <w14:textFill>
                  <w14:solidFill>
                    <w14:schemeClr w14:val="tx1"/>
                  </w14:solidFill>
                </w14:textFill>
              </w:rPr>
              <w:t>全年预算数</w:t>
            </w:r>
          </w:p>
        </w:tc>
        <w:tc>
          <w:tcPr>
            <w:tcW w:w="1698" w:type="dxa"/>
            <w:tcBorders>
              <w:top w:val="nil"/>
              <w:left w:val="single" w:color="000000" w:sz="4" w:space="0"/>
              <w:bottom w:val="single" w:color="000000" w:sz="4" w:space="0"/>
              <w:right w:val="single" w:color="000000" w:sz="4" w:space="0"/>
              <w:tl2br w:val="nil"/>
              <w:tr2bl w:val="nil"/>
            </w:tcBorders>
            <w:noWrap w:val="0"/>
            <w:vAlign w:val="center"/>
          </w:tcPr>
          <w:p w14:paraId="034A28DB">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18"/>
                <w:szCs w:val="18"/>
                <w14:textFill>
                  <w14:solidFill>
                    <w14:schemeClr w14:val="tx1"/>
                  </w14:solidFill>
                </w14:textFill>
              </w:rPr>
            </w:pPr>
            <w:r>
              <w:rPr>
                <w:rFonts w:hint="default" w:hAnsi="宋体" w:cs="宋体"/>
                <w:color w:val="000000" w:themeColor="text1"/>
                <w:sz w:val="18"/>
                <w:szCs w:val="18"/>
                <w14:textFill>
                  <w14:solidFill>
                    <w14:schemeClr w14:val="tx1"/>
                  </w14:solidFill>
                </w14:textFill>
              </w:rPr>
              <w:t>全年执行数</w:t>
            </w:r>
          </w:p>
        </w:tc>
        <w:tc>
          <w:tcPr>
            <w:tcW w:w="1293" w:type="dxa"/>
            <w:tcBorders>
              <w:top w:val="nil"/>
              <w:left w:val="single" w:color="000000" w:sz="4" w:space="0"/>
              <w:bottom w:val="single" w:color="000000" w:sz="4" w:space="0"/>
              <w:right w:val="single" w:color="000000" w:sz="4" w:space="0"/>
              <w:tl2br w:val="nil"/>
              <w:tr2bl w:val="nil"/>
            </w:tcBorders>
            <w:noWrap w:val="0"/>
            <w:vAlign w:val="center"/>
          </w:tcPr>
          <w:p w14:paraId="787ACA81">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18"/>
                <w:szCs w:val="18"/>
                <w14:textFill>
                  <w14:solidFill>
                    <w14:schemeClr w14:val="tx1"/>
                  </w14:solidFill>
                </w14:textFill>
              </w:rPr>
            </w:pPr>
            <w:r>
              <w:rPr>
                <w:rFonts w:hint="default" w:hAnsi="宋体" w:cs="宋体"/>
                <w:color w:val="000000" w:themeColor="text1"/>
                <w:sz w:val="18"/>
                <w:szCs w:val="18"/>
                <w14:textFill>
                  <w14:solidFill>
                    <w14:schemeClr w14:val="tx1"/>
                  </w14:solidFill>
                </w14:textFill>
              </w:rPr>
              <w:t>执行率(%)</w:t>
            </w:r>
          </w:p>
        </w:tc>
      </w:tr>
      <w:tr w14:paraId="2100C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13"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5D11787">
            <w:pPr>
              <w:keepNext w:val="0"/>
              <w:keepLines w:val="0"/>
              <w:pageBreakBefore w:val="0"/>
              <w:widowControl/>
              <w:kinsoku/>
              <w:wordWrap/>
              <w:overflowPunct/>
              <w:topLinePunct w:val="0"/>
              <w:autoSpaceDE w:val="0"/>
              <w:autoSpaceDN w:val="0"/>
              <w:bidi w:val="0"/>
              <w:adjustRightInd w:val="0"/>
              <w:snapToGrid/>
              <w:ind w:left="-60" w:leftChars="-25" w:right="-60" w:rightChars="-25"/>
              <w:jc w:val="center"/>
              <w:rPr>
                <w:rFonts w:hint="default" w:hAnsi="宋体" w:cs="宋体"/>
                <w:color w:val="000000" w:themeColor="text1"/>
                <w:sz w:val="18"/>
                <w:szCs w:val="18"/>
                <w14:textFill>
                  <w14:solidFill>
                    <w14:schemeClr w14:val="tx1"/>
                  </w14:solidFill>
                </w14:textFill>
              </w:rPr>
            </w:pP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85A7C5">
            <w:pPr>
              <w:keepNext w:val="0"/>
              <w:keepLines w:val="0"/>
              <w:pageBreakBefore w:val="0"/>
              <w:widowControl/>
              <w:kinsoku/>
              <w:wordWrap/>
              <w:overflowPunct/>
              <w:topLinePunct w:val="0"/>
              <w:autoSpaceDE w:val="0"/>
              <w:autoSpaceDN w:val="0"/>
              <w:bidi w:val="0"/>
              <w:adjustRightInd w:val="0"/>
              <w:snapToGrid/>
              <w:ind w:left="-60" w:leftChars="-25" w:right="-60" w:rightChars="-25"/>
              <w:jc w:val="both"/>
              <w:textAlignment w:val="center"/>
              <w:rPr>
                <w:rFonts w:hint="default" w:hAnsi="宋体" w:cs="宋体"/>
                <w:color w:val="000000" w:themeColor="text1"/>
                <w:sz w:val="18"/>
                <w:szCs w:val="18"/>
                <w14:textFill>
                  <w14:solidFill>
                    <w14:schemeClr w14:val="tx1"/>
                  </w14:solidFill>
                </w14:textFill>
              </w:rPr>
            </w:pPr>
            <w:r>
              <w:rPr>
                <w:rFonts w:hint="default" w:hAnsi="宋体" w:cs="宋体"/>
                <w:color w:val="000000" w:themeColor="text1"/>
                <w:sz w:val="18"/>
                <w:szCs w:val="18"/>
                <w14:textFill>
                  <w14:solidFill>
                    <w14:schemeClr w14:val="tx1"/>
                  </w14:solidFill>
                </w14:textFill>
              </w:rPr>
              <w:t>年度资金总额</w:t>
            </w:r>
          </w:p>
        </w:tc>
        <w:tc>
          <w:tcPr>
            <w:tcW w:w="12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3E9F55">
            <w:pPr>
              <w:keepNext w:val="0"/>
              <w:keepLines w:val="0"/>
              <w:pageBreakBefore w:val="0"/>
              <w:widowControl/>
              <w:kinsoku/>
              <w:wordWrap/>
              <w:overflowPunct/>
              <w:topLinePunct w:val="0"/>
              <w:autoSpaceDE w:val="0"/>
              <w:autoSpaceDN w:val="0"/>
              <w:bidi w:val="0"/>
              <w:adjustRightInd w:val="0"/>
              <w:snapToGrid/>
              <w:ind w:left="-60" w:leftChars="-25" w:right="-60" w:rightChars="-25"/>
              <w:jc w:val="both"/>
              <w:textAlignment w:val="center"/>
              <w:rPr>
                <w:rFonts w:hint="default" w:hAnsi="宋体" w:cs="宋体"/>
                <w:color w:val="000000" w:themeColor="text1"/>
                <w:sz w:val="18"/>
                <w:szCs w:val="18"/>
                <w14:textFill>
                  <w14:solidFill>
                    <w14:schemeClr w14:val="tx1"/>
                  </w14:solidFill>
                </w14:textFill>
              </w:rPr>
            </w:pPr>
            <w:r>
              <w:rPr>
                <w:rFonts w:hint="default" w:ascii="Times New Roman" w:hAnsi="Times New Roman" w:cs="宋体"/>
                <w:color w:val="000000" w:themeColor="text1"/>
                <w:sz w:val="18"/>
                <w:szCs w:val="18"/>
                <w14:textFill>
                  <w14:solidFill>
                    <w14:schemeClr w14:val="tx1"/>
                  </w14:solidFill>
                </w14:textFill>
              </w:rPr>
              <w:t>173</w:t>
            </w:r>
            <w:r>
              <w:rPr>
                <w:rFonts w:hint="default" w:hAnsi="宋体" w:cs="宋体"/>
                <w:color w:val="000000" w:themeColor="text1"/>
                <w:sz w:val="18"/>
                <w:szCs w:val="18"/>
                <w14:textFill>
                  <w14:solidFill>
                    <w14:schemeClr w14:val="tx1"/>
                  </w14:solidFill>
                </w14:textFill>
              </w:rPr>
              <w:t>.</w:t>
            </w:r>
            <w:r>
              <w:rPr>
                <w:rFonts w:hint="default" w:ascii="Times New Roman" w:hAnsi="Times New Roman" w:cs="宋体"/>
                <w:color w:val="000000" w:themeColor="text1"/>
                <w:sz w:val="18"/>
                <w:szCs w:val="18"/>
                <w14:textFill>
                  <w14:solidFill>
                    <w14:schemeClr w14:val="tx1"/>
                  </w14:solidFill>
                </w14:textFill>
              </w:rPr>
              <w:t>6</w:t>
            </w:r>
          </w:p>
        </w:tc>
        <w:tc>
          <w:tcPr>
            <w:tcW w:w="11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D0C59C">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18"/>
                <w:szCs w:val="18"/>
                <w14:textFill>
                  <w14:solidFill>
                    <w14:schemeClr w14:val="tx1"/>
                  </w14:solidFill>
                </w14:textFill>
              </w:rPr>
            </w:pPr>
            <w:r>
              <w:rPr>
                <w:rFonts w:hint="default" w:ascii="Times New Roman" w:hAnsi="Times New Roman" w:cs="宋体"/>
                <w:color w:val="000000" w:themeColor="text1"/>
                <w:sz w:val="18"/>
                <w:szCs w:val="18"/>
                <w14:textFill>
                  <w14:solidFill>
                    <w14:schemeClr w14:val="tx1"/>
                  </w14:solidFill>
                </w14:textFill>
              </w:rPr>
              <w:t>195</w:t>
            </w:r>
            <w:r>
              <w:rPr>
                <w:rFonts w:hint="default" w:hAnsi="宋体" w:cs="宋体"/>
                <w:color w:val="000000" w:themeColor="text1"/>
                <w:sz w:val="18"/>
                <w:szCs w:val="18"/>
                <w14:textFill>
                  <w14:solidFill>
                    <w14:schemeClr w14:val="tx1"/>
                  </w14:solidFill>
                </w14:textFill>
              </w:rPr>
              <w:t>.</w:t>
            </w:r>
            <w:r>
              <w:rPr>
                <w:rFonts w:hint="default" w:ascii="Times New Roman" w:hAnsi="Times New Roman" w:cs="宋体"/>
                <w:color w:val="000000" w:themeColor="text1"/>
                <w:sz w:val="18"/>
                <w:szCs w:val="18"/>
                <w14:textFill>
                  <w14:solidFill>
                    <w14:schemeClr w14:val="tx1"/>
                  </w14:solidFill>
                </w14:textFill>
              </w:rPr>
              <w:t>63</w:t>
            </w:r>
          </w:p>
        </w:tc>
        <w:tc>
          <w:tcPr>
            <w:tcW w:w="16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769004">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18"/>
                <w:szCs w:val="18"/>
                <w14:textFill>
                  <w14:solidFill>
                    <w14:schemeClr w14:val="tx1"/>
                  </w14:solidFill>
                </w14:textFill>
              </w:rPr>
            </w:pPr>
            <w:r>
              <w:rPr>
                <w:rFonts w:hint="default" w:ascii="Times New Roman" w:hAnsi="Times New Roman" w:cs="宋体"/>
                <w:color w:val="000000" w:themeColor="text1"/>
                <w:sz w:val="18"/>
                <w:szCs w:val="18"/>
                <w14:textFill>
                  <w14:solidFill>
                    <w14:schemeClr w14:val="tx1"/>
                  </w14:solidFill>
                </w14:textFill>
              </w:rPr>
              <w:t>195</w:t>
            </w:r>
            <w:r>
              <w:rPr>
                <w:rFonts w:hint="default" w:hAnsi="宋体" w:cs="宋体"/>
                <w:color w:val="000000" w:themeColor="text1"/>
                <w:sz w:val="18"/>
                <w:szCs w:val="18"/>
                <w14:textFill>
                  <w14:solidFill>
                    <w14:schemeClr w14:val="tx1"/>
                  </w14:solidFill>
                </w14:textFill>
              </w:rPr>
              <w:t>.</w:t>
            </w:r>
            <w:r>
              <w:rPr>
                <w:rFonts w:hint="default" w:ascii="Times New Roman" w:hAnsi="Times New Roman" w:cs="宋体"/>
                <w:color w:val="000000" w:themeColor="text1"/>
                <w:sz w:val="18"/>
                <w:szCs w:val="18"/>
                <w14:textFill>
                  <w14:solidFill>
                    <w14:schemeClr w14:val="tx1"/>
                  </w14:solidFill>
                </w14:textFill>
              </w:rPr>
              <w:t>63</w:t>
            </w:r>
          </w:p>
        </w:tc>
        <w:tc>
          <w:tcPr>
            <w:tcW w:w="1293" w:type="dxa"/>
            <w:tcBorders>
              <w:top w:val="nil"/>
              <w:left w:val="single" w:color="000000" w:sz="4" w:space="0"/>
              <w:bottom w:val="single" w:color="000000" w:sz="4" w:space="0"/>
              <w:right w:val="single" w:color="000000" w:sz="4" w:space="0"/>
              <w:tl2br w:val="nil"/>
              <w:tr2bl w:val="nil"/>
            </w:tcBorders>
            <w:noWrap w:val="0"/>
            <w:vAlign w:val="center"/>
          </w:tcPr>
          <w:p w14:paraId="62863667">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18"/>
                <w:szCs w:val="18"/>
                <w14:textFill>
                  <w14:solidFill>
                    <w14:schemeClr w14:val="tx1"/>
                  </w14:solidFill>
                </w14:textFill>
              </w:rPr>
            </w:pPr>
            <w:r>
              <w:rPr>
                <w:rFonts w:hint="default" w:ascii="Times New Roman" w:hAnsi="Times New Roman" w:cs="宋体"/>
                <w:color w:val="000000" w:themeColor="text1"/>
                <w:sz w:val="18"/>
                <w:szCs w:val="18"/>
                <w14:textFill>
                  <w14:solidFill>
                    <w14:schemeClr w14:val="tx1"/>
                  </w14:solidFill>
                </w14:textFill>
              </w:rPr>
              <w:t>100</w:t>
            </w:r>
          </w:p>
        </w:tc>
      </w:tr>
      <w:tr w14:paraId="5A3DB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13"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45734CA">
            <w:pPr>
              <w:keepNext w:val="0"/>
              <w:keepLines w:val="0"/>
              <w:pageBreakBefore w:val="0"/>
              <w:widowControl/>
              <w:kinsoku/>
              <w:wordWrap/>
              <w:overflowPunct/>
              <w:topLinePunct w:val="0"/>
              <w:autoSpaceDE w:val="0"/>
              <w:autoSpaceDN w:val="0"/>
              <w:bidi w:val="0"/>
              <w:adjustRightInd w:val="0"/>
              <w:snapToGrid/>
              <w:ind w:left="-60" w:leftChars="-25" w:right="-60" w:rightChars="-25"/>
              <w:jc w:val="center"/>
              <w:rPr>
                <w:rFonts w:hint="default" w:hAnsi="宋体" w:cs="宋体"/>
                <w:color w:val="000000" w:themeColor="text1"/>
                <w:sz w:val="18"/>
                <w:szCs w:val="18"/>
                <w14:textFill>
                  <w14:solidFill>
                    <w14:schemeClr w14:val="tx1"/>
                  </w14:solidFill>
                </w14:textFill>
              </w:rPr>
            </w:pP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CDB952">
            <w:pPr>
              <w:keepNext w:val="0"/>
              <w:keepLines w:val="0"/>
              <w:pageBreakBefore w:val="0"/>
              <w:widowControl/>
              <w:kinsoku/>
              <w:wordWrap/>
              <w:overflowPunct/>
              <w:topLinePunct w:val="0"/>
              <w:autoSpaceDE w:val="0"/>
              <w:autoSpaceDN w:val="0"/>
              <w:bidi w:val="0"/>
              <w:adjustRightInd w:val="0"/>
              <w:snapToGrid/>
              <w:ind w:left="-60" w:leftChars="-25" w:right="-60" w:rightChars="-25"/>
              <w:textAlignment w:val="center"/>
              <w:rPr>
                <w:rFonts w:hint="default" w:hAnsi="宋体" w:cs="宋体"/>
                <w:color w:val="000000" w:themeColor="text1"/>
                <w:sz w:val="18"/>
                <w:szCs w:val="18"/>
                <w14:textFill>
                  <w14:solidFill>
                    <w14:schemeClr w14:val="tx1"/>
                  </w14:solidFill>
                </w14:textFill>
              </w:rPr>
            </w:pPr>
            <w:r>
              <w:rPr>
                <w:rFonts w:hint="default" w:hAnsi="宋体" w:cs="宋体"/>
                <w:color w:val="000000" w:themeColor="text1"/>
                <w:sz w:val="18"/>
                <w:szCs w:val="18"/>
                <w14:textFill>
                  <w14:solidFill>
                    <w14:schemeClr w14:val="tx1"/>
                  </w14:solidFill>
                </w14:textFill>
              </w:rPr>
              <w:t>（一）财政拨款小计</w:t>
            </w:r>
          </w:p>
        </w:tc>
        <w:tc>
          <w:tcPr>
            <w:tcW w:w="12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75F7B2">
            <w:pPr>
              <w:keepNext w:val="0"/>
              <w:keepLines w:val="0"/>
              <w:pageBreakBefore w:val="0"/>
              <w:widowControl/>
              <w:kinsoku/>
              <w:wordWrap/>
              <w:overflowPunct/>
              <w:topLinePunct w:val="0"/>
              <w:autoSpaceDE w:val="0"/>
              <w:autoSpaceDN w:val="0"/>
              <w:bidi w:val="0"/>
              <w:adjustRightInd w:val="0"/>
              <w:snapToGrid/>
              <w:ind w:left="-60" w:leftChars="-25" w:right="-60" w:rightChars="-25"/>
              <w:textAlignment w:val="center"/>
              <w:rPr>
                <w:rFonts w:hint="default" w:hAnsi="宋体" w:cs="宋体"/>
                <w:color w:val="000000" w:themeColor="text1"/>
                <w:sz w:val="18"/>
                <w:szCs w:val="18"/>
                <w14:textFill>
                  <w14:solidFill>
                    <w14:schemeClr w14:val="tx1"/>
                  </w14:solidFill>
                </w14:textFill>
              </w:rPr>
            </w:pPr>
            <w:r>
              <w:rPr>
                <w:rFonts w:hint="default" w:ascii="Times New Roman" w:hAnsi="Times New Roman" w:cs="宋体"/>
                <w:color w:val="000000" w:themeColor="text1"/>
                <w:sz w:val="18"/>
                <w:szCs w:val="18"/>
                <w14:textFill>
                  <w14:solidFill>
                    <w14:schemeClr w14:val="tx1"/>
                  </w14:solidFill>
                </w14:textFill>
              </w:rPr>
              <w:t>173</w:t>
            </w:r>
            <w:r>
              <w:rPr>
                <w:rFonts w:hint="default" w:hAnsi="宋体" w:cs="宋体"/>
                <w:color w:val="000000" w:themeColor="text1"/>
                <w:sz w:val="18"/>
                <w:szCs w:val="18"/>
                <w14:textFill>
                  <w14:solidFill>
                    <w14:schemeClr w14:val="tx1"/>
                  </w14:solidFill>
                </w14:textFill>
              </w:rPr>
              <w:t>.</w:t>
            </w:r>
            <w:r>
              <w:rPr>
                <w:rFonts w:hint="default" w:ascii="Times New Roman" w:hAnsi="Times New Roman" w:cs="宋体"/>
                <w:color w:val="000000" w:themeColor="text1"/>
                <w:sz w:val="18"/>
                <w:szCs w:val="18"/>
                <w14:textFill>
                  <w14:solidFill>
                    <w14:schemeClr w14:val="tx1"/>
                  </w14:solidFill>
                </w14:textFill>
              </w:rPr>
              <w:t>6</w:t>
            </w:r>
          </w:p>
        </w:tc>
        <w:tc>
          <w:tcPr>
            <w:tcW w:w="11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DAEFFE">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18"/>
                <w:szCs w:val="18"/>
                <w14:textFill>
                  <w14:solidFill>
                    <w14:schemeClr w14:val="tx1"/>
                  </w14:solidFill>
                </w14:textFill>
              </w:rPr>
            </w:pPr>
            <w:r>
              <w:rPr>
                <w:rFonts w:hint="default" w:ascii="Times New Roman" w:hAnsi="Times New Roman" w:cs="宋体"/>
                <w:color w:val="000000" w:themeColor="text1"/>
                <w:sz w:val="18"/>
                <w:szCs w:val="18"/>
                <w14:textFill>
                  <w14:solidFill>
                    <w14:schemeClr w14:val="tx1"/>
                  </w14:solidFill>
                </w14:textFill>
              </w:rPr>
              <w:t>195</w:t>
            </w:r>
            <w:r>
              <w:rPr>
                <w:rFonts w:hint="default" w:hAnsi="宋体" w:cs="宋体"/>
                <w:color w:val="000000" w:themeColor="text1"/>
                <w:sz w:val="18"/>
                <w:szCs w:val="18"/>
                <w14:textFill>
                  <w14:solidFill>
                    <w14:schemeClr w14:val="tx1"/>
                  </w14:solidFill>
                </w14:textFill>
              </w:rPr>
              <w:t>.</w:t>
            </w:r>
            <w:r>
              <w:rPr>
                <w:rFonts w:hint="default" w:ascii="Times New Roman" w:hAnsi="Times New Roman" w:cs="宋体"/>
                <w:color w:val="000000" w:themeColor="text1"/>
                <w:sz w:val="18"/>
                <w:szCs w:val="18"/>
                <w14:textFill>
                  <w14:solidFill>
                    <w14:schemeClr w14:val="tx1"/>
                  </w14:solidFill>
                </w14:textFill>
              </w:rPr>
              <w:t>63</w:t>
            </w:r>
          </w:p>
        </w:tc>
        <w:tc>
          <w:tcPr>
            <w:tcW w:w="16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E55D4F">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18"/>
                <w:szCs w:val="18"/>
                <w14:textFill>
                  <w14:solidFill>
                    <w14:schemeClr w14:val="tx1"/>
                  </w14:solidFill>
                </w14:textFill>
              </w:rPr>
            </w:pPr>
            <w:r>
              <w:rPr>
                <w:rFonts w:hint="default" w:ascii="Times New Roman" w:hAnsi="Times New Roman" w:cs="宋体"/>
                <w:color w:val="000000" w:themeColor="text1"/>
                <w:sz w:val="18"/>
                <w:szCs w:val="18"/>
                <w14:textFill>
                  <w14:solidFill>
                    <w14:schemeClr w14:val="tx1"/>
                  </w14:solidFill>
                </w14:textFill>
              </w:rPr>
              <w:t>195</w:t>
            </w:r>
            <w:r>
              <w:rPr>
                <w:rFonts w:hint="default" w:hAnsi="宋体" w:cs="宋体"/>
                <w:color w:val="000000" w:themeColor="text1"/>
                <w:sz w:val="18"/>
                <w:szCs w:val="18"/>
                <w14:textFill>
                  <w14:solidFill>
                    <w14:schemeClr w14:val="tx1"/>
                  </w14:solidFill>
                </w14:textFill>
              </w:rPr>
              <w:t>.</w:t>
            </w:r>
            <w:r>
              <w:rPr>
                <w:rFonts w:hint="default" w:ascii="Times New Roman" w:hAnsi="Times New Roman" w:cs="宋体"/>
                <w:color w:val="000000" w:themeColor="text1"/>
                <w:sz w:val="18"/>
                <w:szCs w:val="18"/>
                <w14:textFill>
                  <w14:solidFill>
                    <w14:schemeClr w14:val="tx1"/>
                  </w14:solidFill>
                </w14:textFill>
              </w:rPr>
              <w:t>63</w:t>
            </w:r>
          </w:p>
        </w:tc>
        <w:tc>
          <w:tcPr>
            <w:tcW w:w="1293" w:type="dxa"/>
            <w:tcBorders>
              <w:top w:val="nil"/>
              <w:left w:val="single" w:color="000000" w:sz="4" w:space="0"/>
              <w:bottom w:val="single" w:color="000000" w:sz="4" w:space="0"/>
              <w:right w:val="single" w:color="000000" w:sz="4" w:space="0"/>
              <w:tl2br w:val="nil"/>
              <w:tr2bl w:val="nil"/>
            </w:tcBorders>
            <w:noWrap w:val="0"/>
            <w:vAlign w:val="center"/>
          </w:tcPr>
          <w:p w14:paraId="4384A854">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18"/>
                <w:szCs w:val="18"/>
                <w14:textFill>
                  <w14:solidFill>
                    <w14:schemeClr w14:val="tx1"/>
                  </w14:solidFill>
                </w14:textFill>
              </w:rPr>
            </w:pPr>
            <w:r>
              <w:rPr>
                <w:rFonts w:hint="default" w:ascii="Times New Roman" w:hAnsi="Times New Roman" w:cs="宋体"/>
                <w:color w:val="000000" w:themeColor="text1"/>
                <w:sz w:val="18"/>
                <w:szCs w:val="18"/>
                <w14:textFill>
                  <w14:solidFill>
                    <w14:schemeClr w14:val="tx1"/>
                  </w14:solidFill>
                </w14:textFill>
              </w:rPr>
              <w:t>100</w:t>
            </w:r>
          </w:p>
        </w:tc>
      </w:tr>
      <w:tr w14:paraId="1B62E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13"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729E213">
            <w:pPr>
              <w:keepNext w:val="0"/>
              <w:keepLines w:val="0"/>
              <w:pageBreakBefore w:val="0"/>
              <w:widowControl/>
              <w:kinsoku/>
              <w:wordWrap/>
              <w:overflowPunct/>
              <w:topLinePunct w:val="0"/>
              <w:autoSpaceDE w:val="0"/>
              <w:autoSpaceDN w:val="0"/>
              <w:bidi w:val="0"/>
              <w:adjustRightInd w:val="0"/>
              <w:snapToGrid/>
              <w:ind w:left="-60" w:leftChars="-25" w:right="-60" w:rightChars="-25"/>
              <w:jc w:val="center"/>
              <w:rPr>
                <w:rFonts w:hint="default" w:hAnsi="宋体" w:cs="宋体"/>
                <w:color w:val="000000" w:themeColor="text1"/>
                <w:sz w:val="18"/>
                <w:szCs w:val="18"/>
                <w14:textFill>
                  <w14:solidFill>
                    <w14:schemeClr w14:val="tx1"/>
                  </w14:solidFill>
                </w14:textFill>
              </w:rPr>
            </w:pP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C2E09C">
            <w:pPr>
              <w:keepNext w:val="0"/>
              <w:keepLines w:val="0"/>
              <w:pageBreakBefore w:val="0"/>
              <w:widowControl/>
              <w:kinsoku/>
              <w:wordWrap/>
              <w:overflowPunct/>
              <w:topLinePunct w:val="0"/>
              <w:autoSpaceDE w:val="0"/>
              <w:autoSpaceDN w:val="0"/>
              <w:bidi w:val="0"/>
              <w:adjustRightInd w:val="0"/>
              <w:snapToGrid/>
              <w:ind w:left="-60" w:leftChars="-25" w:right="-60" w:rightChars="-25"/>
              <w:textAlignment w:val="center"/>
              <w:rPr>
                <w:rFonts w:hint="default" w:hAnsi="宋体" w:cs="宋体"/>
                <w:color w:val="000000" w:themeColor="text1"/>
                <w:sz w:val="18"/>
                <w:szCs w:val="18"/>
                <w14:textFill>
                  <w14:solidFill>
                    <w14:schemeClr w14:val="tx1"/>
                  </w14:solidFill>
                </w14:textFill>
              </w:rPr>
            </w:pPr>
            <w:r>
              <w:rPr>
                <w:rFonts w:hint="default" w:hAnsi="宋体" w:cs="宋体"/>
                <w:color w:val="000000" w:themeColor="text1"/>
                <w:sz w:val="18"/>
                <w:szCs w:val="18"/>
                <w14:textFill>
                  <w14:solidFill>
                    <w14:schemeClr w14:val="tx1"/>
                  </w14:solidFill>
                </w14:textFill>
              </w:rPr>
              <w:t xml:space="preserve">   </w:t>
            </w:r>
            <w:r>
              <w:rPr>
                <w:rFonts w:hint="default" w:ascii="Times New Roman" w:hAnsi="Times New Roman" w:cs="宋体"/>
                <w:color w:val="000000" w:themeColor="text1"/>
                <w:sz w:val="18"/>
                <w:szCs w:val="18"/>
                <w14:textFill>
                  <w14:solidFill>
                    <w14:schemeClr w14:val="tx1"/>
                  </w14:solidFill>
                </w14:textFill>
              </w:rPr>
              <w:t>1</w:t>
            </w:r>
            <w:r>
              <w:rPr>
                <w:rFonts w:hint="default" w:hAnsi="宋体" w:cs="宋体"/>
                <w:color w:val="000000" w:themeColor="text1"/>
                <w:sz w:val="18"/>
                <w:szCs w:val="18"/>
                <w14:textFill>
                  <w14:solidFill>
                    <w14:schemeClr w14:val="tx1"/>
                  </w14:solidFill>
                </w14:textFill>
              </w:rPr>
              <w:t>.一般公共预算</w:t>
            </w:r>
          </w:p>
        </w:tc>
        <w:tc>
          <w:tcPr>
            <w:tcW w:w="12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613230">
            <w:pPr>
              <w:keepNext w:val="0"/>
              <w:keepLines w:val="0"/>
              <w:pageBreakBefore w:val="0"/>
              <w:widowControl/>
              <w:kinsoku/>
              <w:wordWrap/>
              <w:overflowPunct/>
              <w:topLinePunct w:val="0"/>
              <w:autoSpaceDE w:val="0"/>
              <w:autoSpaceDN w:val="0"/>
              <w:bidi w:val="0"/>
              <w:adjustRightInd w:val="0"/>
              <w:snapToGrid/>
              <w:ind w:left="-60" w:leftChars="-25" w:right="-60" w:rightChars="-25"/>
              <w:textAlignment w:val="center"/>
              <w:rPr>
                <w:rFonts w:hint="default" w:hAnsi="宋体" w:cs="宋体"/>
                <w:color w:val="000000" w:themeColor="text1"/>
                <w:sz w:val="18"/>
                <w:szCs w:val="18"/>
                <w14:textFill>
                  <w14:solidFill>
                    <w14:schemeClr w14:val="tx1"/>
                  </w14:solidFill>
                </w14:textFill>
              </w:rPr>
            </w:pPr>
            <w:r>
              <w:rPr>
                <w:rFonts w:hint="default" w:ascii="Times New Roman" w:hAnsi="Times New Roman" w:cs="宋体"/>
                <w:color w:val="000000" w:themeColor="text1"/>
                <w:sz w:val="18"/>
                <w:szCs w:val="18"/>
                <w14:textFill>
                  <w14:solidFill>
                    <w14:schemeClr w14:val="tx1"/>
                  </w14:solidFill>
                </w14:textFill>
              </w:rPr>
              <w:t>173</w:t>
            </w:r>
            <w:r>
              <w:rPr>
                <w:rFonts w:hint="default" w:hAnsi="宋体" w:cs="宋体"/>
                <w:color w:val="000000" w:themeColor="text1"/>
                <w:sz w:val="18"/>
                <w:szCs w:val="18"/>
                <w14:textFill>
                  <w14:solidFill>
                    <w14:schemeClr w14:val="tx1"/>
                  </w14:solidFill>
                </w14:textFill>
              </w:rPr>
              <w:t>.</w:t>
            </w:r>
            <w:r>
              <w:rPr>
                <w:rFonts w:hint="default" w:ascii="Times New Roman" w:hAnsi="Times New Roman" w:cs="宋体"/>
                <w:color w:val="000000" w:themeColor="text1"/>
                <w:sz w:val="18"/>
                <w:szCs w:val="18"/>
                <w14:textFill>
                  <w14:solidFill>
                    <w14:schemeClr w14:val="tx1"/>
                  </w14:solidFill>
                </w14:textFill>
              </w:rPr>
              <w:t>6</w:t>
            </w:r>
          </w:p>
        </w:tc>
        <w:tc>
          <w:tcPr>
            <w:tcW w:w="11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8D092F">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18"/>
                <w:szCs w:val="18"/>
                <w14:textFill>
                  <w14:solidFill>
                    <w14:schemeClr w14:val="tx1"/>
                  </w14:solidFill>
                </w14:textFill>
              </w:rPr>
            </w:pPr>
            <w:r>
              <w:rPr>
                <w:rFonts w:hint="default" w:ascii="Times New Roman" w:hAnsi="Times New Roman" w:cs="宋体"/>
                <w:color w:val="000000" w:themeColor="text1"/>
                <w:sz w:val="18"/>
                <w:szCs w:val="18"/>
                <w14:textFill>
                  <w14:solidFill>
                    <w14:schemeClr w14:val="tx1"/>
                  </w14:solidFill>
                </w14:textFill>
              </w:rPr>
              <w:t>195</w:t>
            </w:r>
            <w:r>
              <w:rPr>
                <w:rFonts w:hint="default" w:hAnsi="宋体" w:cs="宋体"/>
                <w:color w:val="000000" w:themeColor="text1"/>
                <w:sz w:val="18"/>
                <w:szCs w:val="18"/>
                <w14:textFill>
                  <w14:solidFill>
                    <w14:schemeClr w14:val="tx1"/>
                  </w14:solidFill>
                </w14:textFill>
              </w:rPr>
              <w:t>.</w:t>
            </w:r>
            <w:r>
              <w:rPr>
                <w:rFonts w:hint="default" w:ascii="Times New Roman" w:hAnsi="Times New Roman" w:cs="宋体"/>
                <w:color w:val="000000" w:themeColor="text1"/>
                <w:sz w:val="18"/>
                <w:szCs w:val="18"/>
                <w14:textFill>
                  <w14:solidFill>
                    <w14:schemeClr w14:val="tx1"/>
                  </w14:solidFill>
                </w14:textFill>
              </w:rPr>
              <w:t>63</w:t>
            </w:r>
          </w:p>
        </w:tc>
        <w:tc>
          <w:tcPr>
            <w:tcW w:w="16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D69C8B">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18"/>
                <w:szCs w:val="18"/>
                <w14:textFill>
                  <w14:solidFill>
                    <w14:schemeClr w14:val="tx1"/>
                  </w14:solidFill>
                </w14:textFill>
              </w:rPr>
            </w:pPr>
            <w:r>
              <w:rPr>
                <w:rFonts w:hint="default" w:ascii="Times New Roman" w:hAnsi="Times New Roman" w:cs="宋体"/>
                <w:color w:val="000000" w:themeColor="text1"/>
                <w:sz w:val="18"/>
                <w:szCs w:val="18"/>
                <w14:textFill>
                  <w14:solidFill>
                    <w14:schemeClr w14:val="tx1"/>
                  </w14:solidFill>
                </w14:textFill>
              </w:rPr>
              <w:t>195</w:t>
            </w:r>
            <w:r>
              <w:rPr>
                <w:rFonts w:hint="default" w:hAnsi="宋体" w:cs="宋体"/>
                <w:color w:val="000000" w:themeColor="text1"/>
                <w:sz w:val="18"/>
                <w:szCs w:val="18"/>
                <w14:textFill>
                  <w14:solidFill>
                    <w14:schemeClr w14:val="tx1"/>
                  </w14:solidFill>
                </w14:textFill>
              </w:rPr>
              <w:t>.</w:t>
            </w:r>
            <w:r>
              <w:rPr>
                <w:rFonts w:hint="default" w:ascii="Times New Roman" w:hAnsi="Times New Roman" w:cs="宋体"/>
                <w:color w:val="000000" w:themeColor="text1"/>
                <w:sz w:val="18"/>
                <w:szCs w:val="18"/>
                <w14:textFill>
                  <w14:solidFill>
                    <w14:schemeClr w14:val="tx1"/>
                  </w14:solidFill>
                </w14:textFill>
              </w:rPr>
              <w:t>63</w:t>
            </w:r>
          </w:p>
        </w:tc>
        <w:tc>
          <w:tcPr>
            <w:tcW w:w="1293" w:type="dxa"/>
            <w:tcBorders>
              <w:top w:val="nil"/>
              <w:left w:val="single" w:color="000000" w:sz="4" w:space="0"/>
              <w:bottom w:val="single" w:color="000000" w:sz="4" w:space="0"/>
              <w:right w:val="single" w:color="000000" w:sz="4" w:space="0"/>
              <w:tl2br w:val="nil"/>
              <w:tr2bl w:val="nil"/>
            </w:tcBorders>
            <w:noWrap w:val="0"/>
            <w:vAlign w:val="center"/>
          </w:tcPr>
          <w:p w14:paraId="56B687E2">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18"/>
                <w:szCs w:val="18"/>
                <w14:textFill>
                  <w14:solidFill>
                    <w14:schemeClr w14:val="tx1"/>
                  </w14:solidFill>
                </w14:textFill>
              </w:rPr>
            </w:pPr>
            <w:r>
              <w:rPr>
                <w:rFonts w:hint="default" w:ascii="Times New Roman" w:hAnsi="Times New Roman" w:cs="宋体"/>
                <w:color w:val="000000" w:themeColor="text1"/>
                <w:sz w:val="18"/>
                <w:szCs w:val="18"/>
                <w14:textFill>
                  <w14:solidFill>
                    <w14:schemeClr w14:val="tx1"/>
                  </w14:solidFill>
                </w14:textFill>
              </w:rPr>
              <w:t>100</w:t>
            </w:r>
          </w:p>
        </w:tc>
      </w:tr>
      <w:tr w14:paraId="0E936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13"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0F290DF5">
            <w:pPr>
              <w:keepNext w:val="0"/>
              <w:keepLines w:val="0"/>
              <w:pageBreakBefore w:val="0"/>
              <w:widowControl/>
              <w:kinsoku/>
              <w:wordWrap/>
              <w:overflowPunct/>
              <w:topLinePunct w:val="0"/>
              <w:autoSpaceDE w:val="0"/>
              <w:autoSpaceDN w:val="0"/>
              <w:bidi w:val="0"/>
              <w:adjustRightInd w:val="0"/>
              <w:snapToGrid/>
              <w:ind w:left="-60" w:leftChars="-25" w:right="-60" w:rightChars="-25"/>
              <w:jc w:val="center"/>
              <w:rPr>
                <w:rFonts w:hint="default" w:hAnsi="宋体" w:cs="宋体"/>
                <w:color w:val="000000" w:themeColor="text1"/>
                <w:sz w:val="18"/>
                <w:szCs w:val="18"/>
                <w14:textFill>
                  <w14:solidFill>
                    <w14:schemeClr w14:val="tx1"/>
                  </w14:solidFill>
                </w14:textFill>
              </w:rPr>
            </w:pP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8B919F">
            <w:pPr>
              <w:keepNext w:val="0"/>
              <w:keepLines w:val="0"/>
              <w:pageBreakBefore w:val="0"/>
              <w:widowControl/>
              <w:kinsoku/>
              <w:wordWrap/>
              <w:overflowPunct/>
              <w:topLinePunct w:val="0"/>
              <w:autoSpaceDE w:val="0"/>
              <w:autoSpaceDN w:val="0"/>
              <w:bidi w:val="0"/>
              <w:adjustRightInd w:val="0"/>
              <w:snapToGrid/>
              <w:ind w:left="-60" w:leftChars="-25" w:right="-60" w:rightChars="-25"/>
              <w:textAlignment w:val="center"/>
              <w:rPr>
                <w:rFonts w:hint="default" w:hAnsi="宋体" w:cs="宋体"/>
                <w:color w:val="000000" w:themeColor="text1"/>
                <w:sz w:val="18"/>
                <w:szCs w:val="18"/>
                <w14:textFill>
                  <w14:solidFill>
                    <w14:schemeClr w14:val="tx1"/>
                  </w14:solidFill>
                </w14:textFill>
              </w:rPr>
            </w:pPr>
            <w:r>
              <w:rPr>
                <w:rFonts w:hint="default" w:hAnsi="宋体" w:cs="宋体"/>
                <w:color w:val="000000" w:themeColor="text1"/>
                <w:sz w:val="18"/>
                <w:szCs w:val="18"/>
                <w14:textFill>
                  <w14:solidFill>
                    <w14:schemeClr w14:val="tx1"/>
                  </w14:solidFill>
                </w14:textFill>
              </w:rPr>
              <w:t xml:space="preserve">   </w:t>
            </w:r>
            <w:r>
              <w:rPr>
                <w:rFonts w:hint="default" w:ascii="Times New Roman" w:hAnsi="Times New Roman" w:cs="宋体"/>
                <w:color w:val="000000" w:themeColor="text1"/>
                <w:sz w:val="18"/>
                <w:szCs w:val="18"/>
                <w14:textFill>
                  <w14:solidFill>
                    <w14:schemeClr w14:val="tx1"/>
                  </w14:solidFill>
                </w14:textFill>
              </w:rPr>
              <w:t>2</w:t>
            </w:r>
            <w:r>
              <w:rPr>
                <w:rFonts w:hint="default" w:hAnsi="宋体" w:cs="宋体"/>
                <w:color w:val="000000" w:themeColor="text1"/>
                <w:sz w:val="18"/>
                <w:szCs w:val="18"/>
                <w14:textFill>
                  <w14:solidFill>
                    <w14:schemeClr w14:val="tx1"/>
                  </w14:solidFill>
                </w14:textFill>
              </w:rPr>
              <w:t>.政府性基金</w:t>
            </w:r>
          </w:p>
        </w:tc>
        <w:tc>
          <w:tcPr>
            <w:tcW w:w="12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FB9A33">
            <w:pPr>
              <w:keepNext w:val="0"/>
              <w:keepLines w:val="0"/>
              <w:pageBreakBefore w:val="0"/>
              <w:widowControl/>
              <w:kinsoku/>
              <w:wordWrap/>
              <w:overflowPunct/>
              <w:topLinePunct w:val="0"/>
              <w:autoSpaceDE w:val="0"/>
              <w:autoSpaceDN w:val="0"/>
              <w:bidi w:val="0"/>
              <w:adjustRightInd w:val="0"/>
              <w:snapToGrid/>
              <w:ind w:left="-60" w:leftChars="-25" w:right="-60" w:rightChars="-25"/>
              <w:rPr>
                <w:rFonts w:hint="default" w:hAnsi="宋体" w:cs="宋体"/>
                <w:color w:val="000000" w:themeColor="text1"/>
                <w:sz w:val="18"/>
                <w:szCs w:val="18"/>
                <w14:textFill>
                  <w14:solidFill>
                    <w14:schemeClr w14:val="tx1"/>
                  </w14:solidFill>
                </w14:textFill>
              </w:rPr>
            </w:pPr>
          </w:p>
        </w:tc>
        <w:tc>
          <w:tcPr>
            <w:tcW w:w="11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41FC09">
            <w:pPr>
              <w:keepNext w:val="0"/>
              <w:keepLines w:val="0"/>
              <w:pageBreakBefore w:val="0"/>
              <w:widowControl/>
              <w:kinsoku/>
              <w:wordWrap/>
              <w:overflowPunct/>
              <w:topLinePunct w:val="0"/>
              <w:autoSpaceDE w:val="0"/>
              <w:autoSpaceDN w:val="0"/>
              <w:bidi w:val="0"/>
              <w:adjustRightInd w:val="0"/>
              <w:snapToGrid/>
              <w:ind w:left="-60" w:leftChars="-25" w:right="-60" w:rightChars="-25"/>
              <w:jc w:val="center"/>
              <w:rPr>
                <w:rFonts w:hint="default" w:hAnsi="宋体" w:cs="宋体"/>
                <w:color w:val="000000" w:themeColor="text1"/>
                <w:sz w:val="18"/>
                <w:szCs w:val="18"/>
                <w14:textFill>
                  <w14:solidFill>
                    <w14:schemeClr w14:val="tx1"/>
                  </w14:solidFill>
                </w14:textFill>
              </w:rPr>
            </w:pPr>
          </w:p>
        </w:tc>
        <w:tc>
          <w:tcPr>
            <w:tcW w:w="16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9FB327">
            <w:pPr>
              <w:keepNext w:val="0"/>
              <w:keepLines w:val="0"/>
              <w:pageBreakBefore w:val="0"/>
              <w:widowControl/>
              <w:kinsoku/>
              <w:wordWrap/>
              <w:overflowPunct/>
              <w:topLinePunct w:val="0"/>
              <w:autoSpaceDE w:val="0"/>
              <w:autoSpaceDN w:val="0"/>
              <w:bidi w:val="0"/>
              <w:adjustRightInd w:val="0"/>
              <w:snapToGrid/>
              <w:ind w:left="-60" w:leftChars="-25" w:right="-60" w:rightChars="-25"/>
              <w:jc w:val="center"/>
              <w:rPr>
                <w:rFonts w:hint="default" w:hAnsi="宋体" w:cs="宋体"/>
                <w:color w:val="000000" w:themeColor="text1"/>
                <w:sz w:val="18"/>
                <w:szCs w:val="18"/>
                <w14:textFill>
                  <w14:solidFill>
                    <w14:schemeClr w14:val="tx1"/>
                  </w14:solidFill>
                </w14:textFill>
              </w:rPr>
            </w:pPr>
          </w:p>
        </w:tc>
        <w:tc>
          <w:tcPr>
            <w:tcW w:w="1293" w:type="dxa"/>
            <w:tcBorders>
              <w:top w:val="nil"/>
              <w:left w:val="single" w:color="000000" w:sz="4" w:space="0"/>
              <w:bottom w:val="single" w:color="000000" w:sz="4" w:space="0"/>
              <w:right w:val="single" w:color="000000" w:sz="4" w:space="0"/>
              <w:tl2br w:val="nil"/>
              <w:tr2bl w:val="nil"/>
            </w:tcBorders>
            <w:noWrap w:val="0"/>
            <w:vAlign w:val="center"/>
          </w:tcPr>
          <w:p w14:paraId="002672E2">
            <w:pPr>
              <w:keepNext w:val="0"/>
              <w:keepLines w:val="0"/>
              <w:pageBreakBefore w:val="0"/>
              <w:widowControl/>
              <w:kinsoku/>
              <w:wordWrap/>
              <w:overflowPunct/>
              <w:topLinePunct w:val="0"/>
              <w:autoSpaceDE w:val="0"/>
              <w:autoSpaceDN w:val="0"/>
              <w:bidi w:val="0"/>
              <w:adjustRightInd w:val="0"/>
              <w:snapToGrid/>
              <w:ind w:left="-60" w:leftChars="-25" w:right="-60" w:rightChars="-25"/>
              <w:jc w:val="center"/>
              <w:rPr>
                <w:rFonts w:hint="default" w:hAnsi="宋体" w:cs="宋体"/>
                <w:color w:val="000000" w:themeColor="text1"/>
                <w:sz w:val="18"/>
                <w:szCs w:val="18"/>
                <w14:textFill>
                  <w14:solidFill>
                    <w14:schemeClr w14:val="tx1"/>
                  </w14:solidFill>
                </w14:textFill>
              </w:rPr>
            </w:pPr>
          </w:p>
        </w:tc>
      </w:tr>
      <w:tr w14:paraId="4CEE5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13"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B3CB1D8">
            <w:pPr>
              <w:keepNext w:val="0"/>
              <w:keepLines w:val="0"/>
              <w:pageBreakBefore w:val="0"/>
              <w:widowControl/>
              <w:kinsoku/>
              <w:wordWrap/>
              <w:overflowPunct/>
              <w:topLinePunct w:val="0"/>
              <w:autoSpaceDE w:val="0"/>
              <w:autoSpaceDN w:val="0"/>
              <w:bidi w:val="0"/>
              <w:adjustRightInd w:val="0"/>
              <w:snapToGrid/>
              <w:ind w:left="-60" w:leftChars="-25" w:right="-60" w:rightChars="-25"/>
              <w:jc w:val="center"/>
              <w:rPr>
                <w:rFonts w:hint="default" w:hAnsi="宋体" w:cs="宋体"/>
                <w:color w:val="000000" w:themeColor="text1"/>
                <w:sz w:val="18"/>
                <w:szCs w:val="18"/>
                <w14:textFill>
                  <w14:solidFill>
                    <w14:schemeClr w14:val="tx1"/>
                  </w14:solidFill>
                </w14:textFill>
              </w:rPr>
            </w:pP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E1FA43">
            <w:pPr>
              <w:keepNext w:val="0"/>
              <w:keepLines w:val="0"/>
              <w:pageBreakBefore w:val="0"/>
              <w:widowControl/>
              <w:kinsoku/>
              <w:wordWrap/>
              <w:overflowPunct/>
              <w:topLinePunct w:val="0"/>
              <w:autoSpaceDE w:val="0"/>
              <w:autoSpaceDN w:val="0"/>
              <w:bidi w:val="0"/>
              <w:adjustRightInd w:val="0"/>
              <w:snapToGrid/>
              <w:ind w:left="-60" w:leftChars="-25" w:right="-60" w:rightChars="-25"/>
              <w:textAlignment w:val="center"/>
              <w:rPr>
                <w:rFonts w:hint="default" w:hAnsi="宋体" w:cs="宋体"/>
                <w:color w:val="000000" w:themeColor="text1"/>
                <w:sz w:val="18"/>
                <w:szCs w:val="18"/>
                <w14:textFill>
                  <w14:solidFill>
                    <w14:schemeClr w14:val="tx1"/>
                  </w14:solidFill>
                </w14:textFill>
              </w:rPr>
            </w:pPr>
            <w:r>
              <w:rPr>
                <w:rFonts w:hint="default" w:hAnsi="宋体" w:cs="宋体"/>
                <w:color w:val="000000" w:themeColor="text1"/>
                <w:sz w:val="18"/>
                <w:szCs w:val="18"/>
                <w14:textFill>
                  <w14:solidFill>
                    <w14:schemeClr w14:val="tx1"/>
                  </w14:solidFill>
                </w14:textFill>
              </w:rPr>
              <w:t xml:space="preserve">  </w:t>
            </w:r>
            <w:r>
              <w:rPr>
                <w:rFonts w:hint="default" w:ascii="Times New Roman" w:hAnsi="Times New Roman" w:cs="宋体"/>
                <w:color w:val="000000" w:themeColor="text1"/>
                <w:sz w:val="18"/>
                <w:szCs w:val="18"/>
                <w14:textFill>
                  <w14:solidFill>
                    <w14:schemeClr w14:val="tx1"/>
                  </w14:solidFill>
                </w14:textFill>
              </w:rPr>
              <w:t>3</w:t>
            </w:r>
            <w:r>
              <w:rPr>
                <w:rFonts w:hint="default" w:hAnsi="宋体" w:cs="宋体"/>
                <w:color w:val="000000" w:themeColor="text1"/>
                <w:sz w:val="18"/>
                <w:szCs w:val="18"/>
                <w14:textFill>
                  <w14:solidFill>
                    <w14:schemeClr w14:val="tx1"/>
                  </w14:solidFill>
                </w14:textFill>
              </w:rPr>
              <w:t>.国有资本经营预算</w:t>
            </w:r>
          </w:p>
        </w:tc>
        <w:tc>
          <w:tcPr>
            <w:tcW w:w="12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2CFC75">
            <w:pPr>
              <w:keepNext w:val="0"/>
              <w:keepLines w:val="0"/>
              <w:pageBreakBefore w:val="0"/>
              <w:widowControl/>
              <w:kinsoku/>
              <w:wordWrap/>
              <w:overflowPunct/>
              <w:topLinePunct w:val="0"/>
              <w:autoSpaceDE w:val="0"/>
              <w:autoSpaceDN w:val="0"/>
              <w:bidi w:val="0"/>
              <w:adjustRightInd w:val="0"/>
              <w:snapToGrid/>
              <w:ind w:left="-60" w:leftChars="-25" w:right="-60" w:rightChars="-25"/>
              <w:rPr>
                <w:rFonts w:hint="default" w:hAnsi="宋体" w:cs="宋体"/>
                <w:color w:val="000000" w:themeColor="text1"/>
                <w:sz w:val="18"/>
                <w:szCs w:val="18"/>
                <w14:textFill>
                  <w14:solidFill>
                    <w14:schemeClr w14:val="tx1"/>
                  </w14:solidFill>
                </w14:textFill>
              </w:rPr>
            </w:pPr>
          </w:p>
        </w:tc>
        <w:tc>
          <w:tcPr>
            <w:tcW w:w="11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C8179C">
            <w:pPr>
              <w:keepNext w:val="0"/>
              <w:keepLines w:val="0"/>
              <w:pageBreakBefore w:val="0"/>
              <w:widowControl/>
              <w:kinsoku/>
              <w:wordWrap/>
              <w:overflowPunct/>
              <w:topLinePunct w:val="0"/>
              <w:autoSpaceDE w:val="0"/>
              <w:autoSpaceDN w:val="0"/>
              <w:bidi w:val="0"/>
              <w:adjustRightInd w:val="0"/>
              <w:snapToGrid/>
              <w:ind w:left="-60" w:leftChars="-25" w:right="-60" w:rightChars="-25"/>
              <w:jc w:val="center"/>
              <w:rPr>
                <w:rFonts w:hint="default" w:hAnsi="宋体" w:cs="宋体"/>
                <w:color w:val="000000" w:themeColor="text1"/>
                <w:sz w:val="18"/>
                <w:szCs w:val="18"/>
                <w14:textFill>
                  <w14:solidFill>
                    <w14:schemeClr w14:val="tx1"/>
                  </w14:solidFill>
                </w14:textFill>
              </w:rPr>
            </w:pPr>
          </w:p>
        </w:tc>
        <w:tc>
          <w:tcPr>
            <w:tcW w:w="16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3E2415">
            <w:pPr>
              <w:keepNext w:val="0"/>
              <w:keepLines w:val="0"/>
              <w:pageBreakBefore w:val="0"/>
              <w:widowControl/>
              <w:kinsoku/>
              <w:wordWrap/>
              <w:overflowPunct/>
              <w:topLinePunct w:val="0"/>
              <w:autoSpaceDE w:val="0"/>
              <w:autoSpaceDN w:val="0"/>
              <w:bidi w:val="0"/>
              <w:adjustRightInd w:val="0"/>
              <w:snapToGrid/>
              <w:ind w:left="-60" w:leftChars="-25" w:right="-60" w:rightChars="-25"/>
              <w:jc w:val="center"/>
              <w:rPr>
                <w:rFonts w:hint="default" w:hAnsi="宋体" w:cs="宋体"/>
                <w:color w:val="000000" w:themeColor="text1"/>
                <w:sz w:val="18"/>
                <w:szCs w:val="18"/>
                <w14:textFill>
                  <w14:solidFill>
                    <w14:schemeClr w14:val="tx1"/>
                  </w14:solidFill>
                </w14:textFill>
              </w:rPr>
            </w:pPr>
          </w:p>
        </w:tc>
        <w:tc>
          <w:tcPr>
            <w:tcW w:w="1293" w:type="dxa"/>
            <w:tcBorders>
              <w:top w:val="nil"/>
              <w:left w:val="single" w:color="000000" w:sz="4" w:space="0"/>
              <w:bottom w:val="single" w:color="000000" w:sz="4" w:space="0"/>
              <w:right w:val="single" w:color="000000" w:sz="4" w:space="0"/>
              <w:tl2br w:val="nil"/>
              <w:tr2bl w:val="nil"/>
            </w:tcBorders>
            <w:noWrap w:val="0"/>
            <w:vAlign w:val="center"/>
          </w:tcPr>
          <w:p w14:paraId="011F5B12">
            <w:pPr>
              <w:keepNext w:val="0"/>
              <w:keepLines w:val="0"/>
              <w:pageBreakBefore w:val="0"/>
              <w:widowControl/>
              <w:kinsoku/>
              <w:wordWrap/>
              <w:overflowPunct/>
              <w:topLinePunct w:val="0"/>
              <w:autoSpaceDE w:val="0"/>
              <w:autoSpaceDN w:val="0"/>
              <w:bidi w:val="0"/>
              <w:adjustRightInd w:val="0"/>
              <w:snapToGrid/>
              <w:ind w:left="-60" w:leftChars="-25" w:right="-60" w:rightChars="-25"/>
              <w:jc w:val="center"/>
              <w:rPr>
                <w:rFonts w:hint="default" w:hAnsi="宋体" w:cs="宋体"/>
                <w:color w:val="000000" w:themeColor="text1"/>
                <w:sz w:val="18"/>
                <w:szCs w:val="18"/>
                <w14:textFill>
                  <w14:solidFill>
                    <w14:schemeClr w14:val="tx1"/>
                  </w14:solidFill>
                </w14:textFill>
              </w:rPr>
            </w:pPr>
          </w:p>
        </w:tc>
      </w:tr>
      <w:tr w14:paraId="3CB47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13"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051F48FD">
            <w:pPr>
              <w:keepNext w:val="0"/>
              <w:keepLines w:val="0"/>
              <w:pageBreakBefore w:val="0"/>
              <w:widowControl/>
              <w:kinsoku/>
              <w:wordWrap/>
              <w:overflowPunct/>
              <w:topLinePunct w:val="0"/>
              <w:autoSpaceDE w:val="0"/>
              <w:autoSpaceDN w:val="0"/>
              <w:bidi w:val="0"/>
              <w:adjustRightInd w:val="0"/>
              <w:snapToGrid/>
              <w:ind w:left="-60" w:leftChars="-25" w:right="-60" w:rightChars="-25"/>
              <w:jc w:val="center"/>
              <w:rPr>
                <w:rFonts w:hint="default" w:hAnsi="宋体" w:cs="宋体"/>
                <w:color w:val="000000" w:themeColor="text1"/>
                <w:sz w:val="18"/>
                <w:szCs w:val="18"/>
                <w14:textFill>
                  <w14:solidFill>
                    <w14:schemeClr w14:val="tx1"/>
                  </w14:solidFill>
                </w14:textFill>
              </w:rPr>
            </w:pP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0BEC75">
            <w:pPr>
              <w:keepNext w:val="0"/>
              <w:keepLines w:val="0"/>
              <w:pageBreakBefore w:val="0"/>
              <w:widowControl/>
              <w:kinsoku/>
              <w:wordWrap/>
              <w:overflowPunct/>
              <w:topLinePunct w:val="0"/>
              <w:autoSpaceDE w:val="0"/>
              <w:autoSpaceDN w:val="0"/>
              <w:bidi w:val="0"/>
              <w:adjustRightInd w:val="0"/>
              <w:snapToGrid/>
              <w:ind w:left="-60" w:leftChars="-25" w:right="-60" w:rightChars="-25"/>
              <w:textAlignment w:val="center"/>
              <w:rPr>
                <w:rFonts w:hint="default" w:hAnsi="宋体" w:cs="宋体"/>
                <w:color w:val="000000" w:themeColor="text1"/>
                <w:sz w:val="18"/>
                <w:szCs w:val="18"/>
                <w14:textFill>
                  <w14:solidFill>
                    <w14:schemeClr w14:val="tx1"/>
                  </w14:solidFill>
                </w14:textFill>
              </w:rPr>
            </w:pPr>
            <w:r>
              <w:rPr>
                <w:rFonts w:hint="default" w:hAnsi="宋体" w:cs="宋体"/>
                <w:color w:val="000000" w:themeColor="text1"/>
                <w:sz w:val="18"/>
                <w:szCs w:val="18"/>
                <w14:textFill>
                  <w14:solidFill>
                    <w14:schemeClr w14:val="tx1"/>
                  </w14:solidFill>
                </w14:textFill>
              </w:rPr>
              <w:t xml:space="preserve">  </w:t>
            </w:r>
            <w:r>
              <w:rPr>
                <w:rFonts w:hint="default" w:ascii="Times New Roman" w:hAnsi="Times New Roman" w:cs="宋体"/>
                <w:color w:val="000000" w:themeColor="text1"/>
                <w:sz w:val="18"/>
                <w:szCs w:val="18"/>
                <w14:textFill>
                  <w14:solidFill>
                    <w14:schemeClr w14:val="tx1"/>
                  </w14:solidFill>
                </w14:textFill>
              </w:rPr>
              <w:t>4</w:t>
            </w:r>
            <w:r>
              <w:rPr>
                <w:rFonts w:hint="default" w:hAnsi="宋体" w:cs="宋体"/>
                <w:color w:val="000000" w:themeColor="text1"/>
                <w:sz w:val="18"/>
                <w:szCs w:val="18"/>
                <w14:textFill>
                  <w14:solidFill>
                    <w14:schemeClr w14:val="tx1"/>
                  </w14:solidFill>
                </w14:textFill>
              </w:rPr>
              <w:t>.社保基金</w:t>
            </w:r>
          </w:p>
        </w:tc>
        <w:tc>
          <w:tcPr>
            <w:tcW w:w="12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D161A3">
            <w:pPr>
              <w:keepNext w:val="0"/>
              <w:keepLines w:val="0"/>
              <w:pageBreakBefore w:val="0"/>
              <w:widowControl/>
              <w:kinsoku/>
              <w:wordWrap/>
              <w:overflowPunct/>
              <w:topLinePunct w:val="0"/>
              <w:autoSpaceDE w:val="0"/>
              <w:autoSpaceDN w:val="0"/>
              <w:bidi w:val="0"/>
              <w:adjustRightInd w:val="0"/>
              <w:snapToGrid/>
              <w:ind w:left="-60" w:leftChars="-25" w:right="-60" w:rightChars="-25"/>
              <w:rPr>
                <w:rFonts w:hint="default" w:hAnsi="宋体" w:cs="宋体"/>
                <w:color w:val="000000" w:themeColor="text1"/>
                <w:sz w:val="18"/>
                <w:szCs w:val="18"/>
                <w14:textFill>
                  <w14:solidFill>
                    <w14:schemeClr w14:val="tx1"/>
                  </w14:solidFill>
                </w14:textFill>
              </w:rPr>
            </w:pPr>
          </w:p>
        </w:tc>
        <w:tc>
          <w:tcPr>
            <w:tcW w:w="11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CE414E">
            <w:pPr>
              <w:keepNext w:val="0"/>
              <w:keepLines w:val="0"/>
              <w:pageBreakBefore w:val="0"/>
              <w:widowControl/>
              <w:kinsoku/>
              <w:wordWrap/>
              <w:overflowPunct/>
              <w:topLinePunct w:val="0"/>
              <w:autoSpaceDE w:val="0"/>
              <w:autoSpaceDN w:val="0"/>
              <w:bidi w:val="0"/>
              <w:adjustRightInd w:val="0"/>
              <w:snapToGrid/>
              <w:ind w:left="-60" w:leftChars="-25" w:right="-60" w:rightChars="-25"/>
              <w:jc w:val="center"/>
              <w:rPr>
                <w:rFonts w:hint="default" w:hAnsi="宋体" w:cs="宋体"/>
                <w:color w:val="000000" w:themeColor="text1"/>
                <w:sz w:val="18"/>
                <w:szCs w:val="18"/>
                <w14:textFill>
                  <w14:solidFill>
                    <w14:schemeClr w14:val="tx1"/>
                  </w14:solidFill>
                </w14:textFill>
              </w:rPr>
            </w:pPr>
          </w:p>
        </w:tc>
        <w:tc>
          <w:tcPr>
            <w:tcW w:w="16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7E95A3">
            <w:pPr>
              <w:keepNext w:val="0"/>
              <w:keepLines w:val="0"/>
              <w:pageBreakBefore w:val="0"/>
              <w:widowControl/>
              <w:kinsoku/>
              <w:wordWrap/>
              <w:overflowPunct/>
              <w:topLinePunct w:val="0"/>
              <w:autoSpaceDE w:val="0"/>
              <w:autoSpaceDN w:val="0"/>
              <w:bidi w:val="0"/>
              <w:adjustRightInd w:val="0"/>
              <w:snapToGrid/>
              <w:ind w:left="-60" w:leftChars="-25" w:right="-60" w:rightChars="-25"/>
              <w:jc w:val="center"/>
              <w:rPr>
                <w:rFonts w:hint="default" w:hAnsi="宋体" w:cs="宋体"/>
                <w:color w:val="000000" w:themeColor="text1"/>
                <w:sz w:val="18"/>
                <w:szCs w:val="18"/>
                <w14:textFill>
                  <w14:solidFill>
                    <w14:schemeClr w14:val="tx1"/>
                  </w14:solidFill>
                </w14:textFill>
              </w:rPr>
            </w:pPr>
          </w:p>
        </w:tc>
        <w:tc>
          <w:tcPr>
            <w:tcW w:w="1293" w:type="dxa"/>
            <w:tcBorders>
              <w:top w:val="nil"/>
              <w:left w:val="single" w:color="000000" w:sz="4" w:space="0"/>
              <w:bottom w:val="single" w:color="000000" w:sz="4" w:space="0"/>
              <w:right w:val="single" w:color="000000" w:sz="4" w:space="0"/>
              <w:tl2br w:val="nil"/>
              <w:tr2bl w:val="nil"/>
            </w:tcBorders>
            <w:noWrap w:val="0"/>
            <w:vAlign w:val="center"/>
          </w:tcPr>
          <w:p w14:paraId="3EF0F323">
            <w:pPr>
              <w:keepNext w:val="0"/>
              <w:keepLines w:val="0"/>
              <w:pageBreakBefore w:val="0"/>
              <w:widowControl/>
              <w:kinsoku/>
              <w:wordWrap/>
              <w:overflowPunct/>
              <w:topLinePunct w:val="0"/>
              <w:autoSpaceDE w:val="0"/>
              <w:autoSpaceDN w:val="0"/>
              <w:bidi w:val="0"/>
              <w:adjustRightInd w:val="0"/>
              <w:snapToGrid/>
              <w:ind w:left="-60" w:leftChars="-25" w:right="-60" w:rightChars="-25"/>
              <w:jc w:val="center"/>
              <w:rPr>
                <w:rFonts w:hint="default" w:hAnsi="宋体" w:cs="宋体"/>
                <w:color w:val="000000" w:themeColor="text1"/>
                <w:sz w:val="18"/>
                <w:szCs w:val="18"/>
                <w14:textFill>
                  <w14:solidFill>
                    <w14:schemeClr w14:val="tx1"/>
                  </w14:solidFill>
                </w14:textFill>
              </w:rPr>
            </w:pPr>
          </w:p>
        </w:tc>
      </w:tr>
      <w:tr w14:paraId="27893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13"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73C84F8">
            <w:pPr>
              <w:keepNext w:val="0"/>
              <w:keepLines w:val="0"/>
              <w:pageBreakBefore w:val="0"/>
              <w:widowControl/>
              <w:kinsoku/>
              <w:wordWrap/>
              <w:overflowPunct/>
              <w:topLinePunct w:val="0"/>
              <w:autoSpaceDE w:val="0"/>
              <w:autoSpaceDN w:val="0"/>
              <w:bidi w:val="0"/>
              <w:adjustRightInd w:val="0"/>
              <w:snapToGrid/>
              <w:ind w:left="-60" w:leftChars="-25" w:right="-60" w:rightChars="-25"/>
              <w:jc w:val="center"/>
              <w:rPr>
                <w:rFonts w:hint="default" w:hAnsi="宋体" w:cs="宋体"/>
                <w:color w:val="000000" w:themeColor="text1"/>
                <w:sz w:val="18"/>
                <w:szCs w:val="18"/>
                <w14:textFill>
                  <w14:solidFill>
                    <w14:schemeClr w14:val="tx1"/>
                  </w14:solidFill>
                </w14:textFill>
              </w:rPr>
            </w:pPr>
          </w:p>
        </w:tc>
        <w:tc>
          <w:tcPr>
            <w:tcW w:w="2090" w:type="dxa"/>
            <w:gridSpan w:val="2"/>
            <w:tcBorders>
              <w:top w:val="single" w:color="000000" w:sz="4" w:space="0"/>
              <w:left w:val="single" w:color="000000" w:sz="4" w:space="0"/>
              <w:bottom w:val="nil"/>
              <w:right w:val="single" w:color="000000" w:sz="4" w:space="0"/>
              <w:tl2br w:val="nil"/>
              <w:tr2bl w:val="nil"/>
            </w:tcBorders>
            <w:noWrap w:val="0"/>
            <w:vAlign w:val="center"/>
          </w:tcPr>
          <w:p w14:paraId="1F7EE023">
            <w:pPr>
              <w:keepNext w:val="0"/>
              <w:keepLines w:val="0"/>
              <w:pageBreakBefore w:val="0"/>
              <w:widowControl/>
              <w:kinsoku/>
              <w:wordWrap/>
              <w:overflowPunct/>
              <w:topLinePunct w:val="0"/>
              <w:autoSpaceDE w:val="0"/>
              <w:autoSpaceDN w:val="0"/>
              <w:bidi w:val="0"/>
              <w:adjustRightInd w:val="0"/>
              <w:snapToGrid/>
              <w:ind w:left="-60" w:leftChars="-25" w:right="-60" w:rightChars="-25"/>
              <w:textAlignment w:val="center"/>
              <w:rPr>
                <w:rFonts w:hint="default" w:hAnsi="宋体" w:cs="宋体"/>
                <w:color w:val="000000" w:themeColor="text1"/>
                <w:sz w:val="18"/>
                <w:szCs w:val="18"/>
                <w14:textFill>
                  <w14:solidFill>
                    <w14:schemeClr w14:val="tx1"/>
                  </w14:solidFill>
                </w14:textFill>
              </w:rPr>
            </w:pPr>
            <w:r>
              <w:rPr>
                <w:rFonts w:hint="default" w:hAnsi="宋体" w:cs="宋体"/>
                <w:color w:val="000000" w:themeColor="text1"/>
                <w:sz w:val="18"/>
                <w:szCs w:val="18"/>
                <w14:textFill>
                  <w14:solidFill>
                    <w14:schemeClr w14:val="tx1"/>
                  </w14:solidFill>
                </w14:textFill>
              </w:rPr>
              <w:t>（二）其他资金</w:t>
            </w:r>
          </w:p>
        </w:tc>
        <w:tc>
          <w:tcPr>
            <w:tcW w:w="1241" w:type="dxa"/>
            <w:tcBorders>
              <w:top w:val="single" w:color="000000" w:sz="4" w:space="0"/>
              <w:left w:val="single" w:color="000000" w:sz="4" w:space="0"/>
              <w:bottom w:val="nil"/>
              <w:right w:val="single" w:color="000000" w:sz="4" w:space="0"/>
              <w:tl2br w:val="nil"/>
              <w:tr2bl w:val="nil"/>
            </w:tcBorders>
            <w:noWrap w:val="0"/>
            <w:vAlign w:val="center"/>
          </w:tcPr>
          <w:p w14:paraId="3749CE5D">
            <w:pPr>
              <w:keepNext w:val="0"/>
              <w:keepLines w:val="0"/>
              <w:pageBreakBefore w:val="0"/>
              <w:widowControl/>
              <w:kinsoku/>
              <w:wordWrap/>
              <w:overflowPunct/>
              <w:topLinePunct w:val="0"/>
              <w:autoSpaceDE w:val="0"/>
              <w:autoSpaceDN w:val="0"/>
              <w:bidi w:val="0"/>
              <w:adjustRightInd w:val="0"/>
              <w:snapToGrid/>
              <w:ind w:left="-60" w:leftChars="-25" w:right="-60" w:rightChars="-25"/>
              <w:rPr>
                <w:rFonts w:hint="default" w:hAnsi="宋体" w:cs="宋体"/>
                <w:color w:val="000000" w:themeColor="text1"/>
                <w:sz w:val="18"/>
                <w:szCs w:val="18"/>
                <w14:textFill>
                  <w14:solidFill>
                    <w14:schemeClr w14:val="tx1"/>
                  </w14:solidFill>
                </w14:textFill>
              </w:rPr>
            </w:pPr>
          </w:p>
        </w:tc>
        <w:tc>
          <w:tcPr>
            <w:tcW w:w="1190" w:type="dxa"/>
            <w:tcBorders>
              <w:top w:val="single" w:color="000000" w:sz="4" w:space="0"/>
              <w:left w:val="single" w:color="000000" w:sz="4" w:space="0"/>
              <w:bottom w:val="nil"/>
              <w:right w:val="single" w:color="000000" w:sz="4" w:space="0"/>
              <w:tl2br w:val="nil"/>
              <w:tr2bl w:val="nil"/>
            </w:tcBorders>
            <w:noWrap w:val="0"/>
            <w:vAlign w:val="center"/>
          </w:tcPr>
          <w:p w14:paraId="0A1A9F6E">
            <w:pPr>
              <w:keepNext w:val="0"/>
              <w:keepLines w:val="0"/>
              <w:pageBreakBefore w:val="0"/>
              <w:widowControl/>
              <w:kinsoku/>
              <w:wordWrap/>
              <w:overflowPunct/>
              <w:topLinePunct w:val="0"/>
              <w:autoSpaceDE w:val="0"/>
              <w:autoSpaceDN w:val="0"/>
              <w:bidi w:val="0"/>
              <w:adjustRightInd w:val="0"/>
              <w:snapToGrid/>
              <w:ind w:left="-60" w:leftChars="-25" w:right="-60" w:rightChars="-25"/>
              <w:jc w:val="center"/>
              <w:rPr>
                <w:rFonts w:hint="default" w:hAnsi="宋体" w:cs="宋体"/>
                <w:color w:val="000000" w:themeColor="text1"/>
                <w:sz w:val="18"/>
                <w:szCs w:val="18"/>
                <w14:textFill>
                  <w14:solidFill>
                    <w14:schemeClr w14:val="tx1"/>
                  </w14:solidFill>
                </w14:textFill>
              </w:rPr>
            </w:pPr>
          </w:p>
        </w:tc>
        <w:tc>
          <w:tcPr>
            <w:tcW w:w="1698" w:type="dxa"/>
            <w:tcBorders>
              <w:top w:val="single" w:color="000000" w:sz="4" w:space="0"/>
              <w:left w:val="single" w:color="000000" w:sz="4" w:space="0"/>
              <w:bottom w:val="nil"/>
              <w:right w:val="single" w:color="000000" w:sz="4" w:space="0"/>
              <w:tl2br w:val="nil"/>
              <w:tr2bl w:val="nil"/>
            </w:tcBorders>
            <w:noWrap w:val="0"/>
            <w:vAlign w:val="center"/>
          </w:tcPr>
          <w:p w14:paraId="0A6F0002">
            <w:pPr>
              <w:keepNext w:val="0"/>
              <w:keepLines w:val="0"/>
              <w:pageBreakBefore w:val="0"/>
              <w:widowControl/>
              <w:kinsoku/>
              <w:wordWrap/>
              <w:overflowPunct/>
              <w:topLinePunct w:val="0"/>
              <w:autoSpaceDE w:val="0"/>
              <w:autoSpaceDN w:val="0"/>
              <w:bidi w:val="0"/>
              <w:adjustRightInd w:val="0"/>
              <w:snapToGrid/>
              <w:ind w:left="-60" w:leftChars="-25" w:right="-60" w:rightChars="-25"/>
              <w:jc w:val="center"/>
              <w:rPr>
                <w:rFonts w:hint="default" w:hAnsi="宋体" w:cs="宋体"/>
                <w:color w:val="000000" w:themeColor="text1"/>
                <w:sz w:val="18"/>
                <w:szCs w:val="18"/>
                <w14:textFill>
                  <w14:solidFill>
                    <w14:schemeClr w14:val="tx1"/>
                  </w14:solidFill>
                </w14:textFill>
              </w:rPr>
            </w:pPr>
          </w:p>
        </w:tc>
        <w:tc>
          <w:tcPr>
            <w:tcW w:w="1293" w:type="dxa"/>
            <w:tcBorders>
              <w:top w:val="nil"/>
              <w:left w:val="single" w:color="000000" w:sz="4" w:space="0"/>
              <w:bottom w:val="nil"/>
              <w:right w:val="single" w:color="000000" w:sz="4" w:space="0"/>
              <w:tl2br w:val="nil"/>
              <w:tr2bl w:val="nil"/>
            </w:tcBorders>
            <w:noWrap w:val="0"/>
            <w:vAlign w:val="center"/>
          </w:tcPr>
          <w:p w14:paraId="3A693A6E">
            <w:pPr>
              <w:keepNext w:val="0"/>
              <w:keepLines w:val="0"/>
              <w:pageBreakBefore w:val="0"/>
              <w:widowControl/>
              <w:kinsoku/>
              <w:wordWrap/>
              <w:overflowPunct/>
              <w:topLinePunct w:val="0"/>
              <w:autoSpaceDE w:val="0"/>
              <w:autoSpaceDN w:val="0"/>
              <w:bidi w:val="0"/>
              <w:adjustRightInd w:val="0"/>
              <w:snapToGrid/>
              <w:ind w:left="-60" w:leftChars="-25" w:right="-60" w:rightChars="-25"/>
              <w:jc w:val="center"/>
              <w:rPr>
                <w:rFonts w:hint="default" w:hAnsi="宋体" w:cs="宋体"/>
                <w:color w:val="000000" w:themeColor="text1"/>
                <w:sz w:val="18"/>
                <w:szCs w:val="18"/>
                <w14:textFill>
                  <w14:solidFill>
                    <w14:schemeClr w14:val="tx1"/>
                  </w14:solidFill>
                </w14:textFill>
              </w:rPr>
            </w:pPr>
          </w:p>
        </w:tc>
      </w:tr>
      <w:tr w14:paraId="56DC2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7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F342FB">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18"/>
                <w:szCs w:val="18"/>
                <w14:textFill>
                  <w14:solidFill>
                    <w14:schemeClr w14:val="tx1"/>
                  </w14:solidFill>
                </w14:textFill>
              </w:rPr>
            </w:pPr>
            <w:r>
              <w:rPr>
                <w:rFonts w:hint="default" w:hAnsi="宋体" w:cs="宋体"/>
                <w:color w:val="000000" w:themeColor="text1"/>
                <w:sz w:val="18"/>
                <w:szCs w:val="18"/>
                <w14:textFill>
                  <w14:solidFill>
                    <w14:schemeClr w14:val="tx1"/>
                  </w14:solidFill>
                </w14:textFill>
              </w:rPr>
              <w:t>整体</w:t>
            </w:r>
            <w:r>
              <w:rPr>
                <w:rFonts w:hint="default" w:hAnsi="宋体" w:cs="宋体"/>
                <w:color w:val="000000" w:themeColor="text1"/>
                <w:sz w:val="18"/>
                <w:szCs w:val="18"/>
                <w14:textFill>
                  <w14:solidFill>
                    <w14:schemeClr w14:val="tx1"/>
                  </w14:solidFill>
                </w14:textFill>
              </w:rPr>
              <w:br w:type="textWrapping"/>
            </w:r>
            <w:r>
              <w:rPr>
                <w:rFonts w:hint="default" w:hAnsi="宋体" w:cs="宋体"/>
                <w:color w:val="000000" w:themeColor="text1"/>
                <w:sz w:val="18"/>
                <w:szCs w:val="18"/>
                <w14:textFill>
                  <w14:solidFill>
                    <w14:schemeClr w14:val="tx1"/>
                  </w14:solidFill>
                </w14:textFill>
              </w:rPr>
              <w:t>目标</w:t>
            </w:r>
          </w:p>
        </w:tc>
        <w:tc>
          <w:tcPr>
            <w:tcW w:w="535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8E2C8E">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18"/>
                <w:szCs w:val="18"/>
                <w14:textFill>
                  <w14:solidFill>
                    <w14:schemeClr w14:val="tx1"/>
                  </w14:solidFill>
                </w14:textFill>
              </w:rPr>
            </w:pPr>
            <w:r>
              <w:rPr>
                <w:rFonts w:hint="default" w:hAnsi="宋体" w:cs="宋体"/>
                <w:color w:val="000000" w:themeColor="text1"/>
                <w:sz w:val="18"/>
                <w:szCs w:val="18"/>
                <w14:textFill>
                  <w14:solidFill>
                    <w14:schemeClr w14:val="tx1"/>
                  </w14:solidFill>
                </w14:textFill>
              </w:rPr>
              <w:t>年度目标</w:t>
            </w:r>
          </w:p>
        </w:tc>
        <w:tc>
          <w:tcPr>
            <w:tcW w:w="299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A46D9B">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18"/>
                <w:szCs w:val="18"/>
                <w14:textFill>
                  <w14:solidFill>
                    <w14:schemeClr w14:val="tx1"/>
                  </w14:solidFill>
                </w14:textFill>
              </w:rPr>
            </w:pPr>
            <w:r>
              <w:rPr>
                <w:rFonts w:hint="default" w:hAnsi="宋体" w:cs="宋体"/>
                <w:color w:val="000000" w:themeColor="text1"/>
                <w:sz w:val="18"/>
                <w:szCs w:val="18"/>
                <w14:textFill>
                  <w14:solidFill>
                    <w14:schemeClr w14:val="tx1"/>
                  </w14:solidFill>
                </w14:textFill>
              </w:rPr>
              <w:t>完成情况</w:t>
            </w:r>
          </w:p>
        </w:tc>
      </w:tr>
      <w:tr w14:paraId="239B7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0" w:hRule="atLeast"/>
        </w:trPr>
        <w:tc>
          <w:tcPr>
            <w:tcW w:w="6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1BE7F1">
            <w:pPr>
              <w:jc w:val="center"/>
              <w:rPr>
                <w:rFonts w:hint="default" w:hAnsi="宋体" w:cs="宋体"/>
                <w:color w:val="000000" w:themeColor="text1"/>
                <w:sz w:val="18"/>
                <w:szCs w:val="18"/>
                <w14:textFill>
                  <w14:solidFill>
                    <w14:schemeClr w14:val="tx1"/>
                  </w14:solidFill>
                </w14:textFill>
              </w:rPr>
            </w:pPr>
          </w:p>
        </w:tc>
        <w:tc>
          <w:tcPr>
            <w:tcW w:w="535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9F0B33">
            <w:pPr>
              <w:keepNext w:val="0"/>
              <w:keepLines w:val="0"/>
              <w:pageBreakBefore w:val="0"/>
              <w:widowControl/>
              <w:kinsoku/>
              <w:wordWrap/>
              <w:overflowPunct/>
              <w:topLinePunct w:val="0"/>
              <w:autoSpaceDE w:val="0"/>
              <w:autoSpaceDN w:val="0"/>
              <w:bidi w:val="0"/>
              <w:adjustRightInd w:val="0"/>
              <w:snapToGrid/>
              <w:ind w:left="-60" w:leftChars="-25" w:right="-60" w:rightChars="-25" w:firstLine="320" w:firstLineChars="200"/>
              <w:jc w:val="left"/>
              <w:textAlignment w:val="center"/>
              <w:rPr>
                <w:rFonts w:hint="default" w:hAnsi="宋体" w:cs="宋体"/>
                <w:color w:val="000000" w:themeColor="text1"/>
                <w:sz w:val="16"/>
                <w:szCs w:val="16"/>
                <w14:textFill>
                  <w14:solidFill>
                    <w14:schemeClr w14:val="tx1"/>
                  </w14:solidFill>
                </w14:textFill>
              </w:rPr>
            </w:pPr>
            <w:r>
              <w:rPr>
                <w:rFonts w:hint="default" w:hAnsi="宋体" w:cs="宋体"/>
                <w:color w:val="000000" w:themeColor="text1"/>
                <w:sz w:val="16"/>
                <w:szCs w:val="16"/>
                <w14:textFill>
                  <w14:solidFill>
                    <w14:schemeClr w14:val="tx1"/>
                  </w14:solidFill>
                </w14:textFill>
              </w:rPr>
              <w:t>以习近平新时代中国特色社会主义思想为指导，全面贯彻习近平总书记关干加强和改进人民信访工作重要思想，全面落实中央、省、市信访工作决策部署，坚持以人民为中心，以“事要解决”为核心，围绕“</w:t>
            </w:r>
            <w:r>
              <w:rPr>
                <w:rFonts w:hint="default" w:ascii="Times New Roman" w:hAnsi="Times New Roman" w:cs="宋体"/>
                <w:color w:val="000000" w:themeColor="text1"/>
                <w:sz w:val="16"/>
                <w:szCs w:val="16"/>
                <w14:textFill>
                  <w14:solidFill>
                    <w14:schemeClr w14:val="tx1"/>
                  </w14:solidFill>
                </w14:textFill>
              </w:rPr>
              <w:t>1331</w:t>
            </w:r>
            <w:r>
              <w:rPr>
                <w:rFonts w:hint="default" w:hAnsi="宋体" w:cs="宋体"/>
                <w:color w:val="000000" w:themeColor="text1"/>
                <w:sz w:val="16"/>
                <w:szCs w:val="16"/>
                <w14:textFill>
                  <w14:solidFill>
                    <w14:schemeClr w14:val="tx1"/>
                  </w14:solidFill>
                </w14:textFill>
              </w:rPr>
              <w:t>”(推进“访源治理”，开展“项活动”、推动“三项实践”，巩固“一套机制”)工作思路，对标国家治理体系和治理能力现代化，畅通和规范诉求表达、利益协调、权益保障通道，提升信访工作化解矛盾的社会效能，更好地维护群众合法权益，服务全区工作大局。一是接待群众来访</w:t>
            </w:r>
            <w:r>
              <w:rPr>
                <w:rFonts w:hint="default" w:ascii="Times New Roman" w:hAnsi="Times New Roman" w:cs="宋体"/>
                <w:color w:val="000000" w:themeColor="text1"/>
                <w:sz w:val="16"/>
                <w:szCs w:val="16"/>
                <w14:textFill>
                  <w14:solidFill>
                    <w14:schemeClr w14:val="tx1"/>
                  </w14:solidFill>
                </w14:textFill>
              </w:rPr>
              <w:t>956</w:t>
            </w:r>
            <w:r>
              <w:rPr>
                <w:rFonts w:hint="default" w:hAnsi="宋体" w:cs="宋体"/>
                <w:color w:val="000000" w:themeColor="text1"/>
                <w:sz w:val="16"/>
                <w:szCs w:val="16"/>
                <w14:textFill>
                  <w14:solidFill>
                    <w14:schemeClr w14:val="tx1"/>
                  </w14:solidFill>
                </w14:textFill>
              </w:rPr>
              <w:t>批</w:t>
            </w:r>
            <w:r>
              <w:rPr>
                <w:rFonts w:hint="default" w:ascii="Times New Roman" w:hAnsi="Times New Roman" w:cs="宋体"/>
                <w:color w:val="000000" w:themeColor="text1"/>
                <w:sz w:val="16"/>
                <w:szCs w:val="16"/>
                <w14:textFill>
                  <w14:solidFill>
                    <w14:schemeClr w14:val="tx1"/>
                  </w14:solidFill>
                </w14:textFill>
              </w:rPr>
              <w:t>1638</w:t>
            </w:r>
            <w:r>
              <w:rPr>
                <w:rFonts w:hint="default" w:hAnsi="宋体" w:cs="宋体"/>
                <w:color w:val="000000" w:themeColor="text1"/>
                <w:sz w:val="16"/>
                <w:szCs w:val="16"/>
                <w14:textFill>
                  <w14:solidFill>
                    <w14:schemeClr w14:val="tx1"/>
                  </w14:solidFill>
                </w14:textFill>
              </w:rPr>
              <w:t>人次，受理群众来信</w:t>
            </w:r>
            <w:r>
              <w:rPr>
                <w:rFonts w:hint="default" w:ascii="Times New Roman" w:hAnsi="Times New Roman" w:cs="宋体"/>
                <w:color w:val="000000" w:themeColor="text1"/>
                <w:sz w:val="16"/>
                <w:szCs w:val="16"/>
                <w14:textFill>
                  <w14:solidFill>
                    <w14:schemeClr w14:val="tx1"/>
                  </w14:solidFill>
                </w14:textFill>
              </w:rPr>
              <w:t>600</w:t>
            </w:r>
            <w:r>
              <w:rPr>
                <w:rFonts w:hint="default" w:hAnsi="宋体" w:cs="宋体"/>
                <w:color w:val="000000" w:themeColor="text1"/>
                <w:sz w:val="16"/>
                <w:szCs w:val="16"/>
                <w14:textFill>
                  <w14:solidFill>
                    <w14:schemeClr w14:val="tx1"/>
                  </w14:solidFill>
                </w14:textFill>
              </w:rPr>
              <w:t>余件，收阅办理省、市、区领导信箱来信</w:t>
            </w:r>
            <w:r>
              <w:rPr>
                <w:rFonts w:hint="default" w:ascii="Times New Roman" w:hAnsi="Times New Roman" w:cs="宋体"/>
                <w:color w:val="000000" w:themeColor="text1"/>
                <w:sz w:val="16"/>
                <w:szCs w:val="16"/>
                <w14:textFill>
                  <w14:solidFill>
                    <w14:schemeClr w14:val="tx1"/>
                  </w14:solidFill>
                </w14:textFill>
              </w:rPr>
              <w:t>40</w:t>
            </w:r>
            <w:r>
              <w:rPr>
                <w:rFonts w:hint="default" w:hAnsi="宋体" w:cs="宋体"/>
                <w:color w:val="000000" w:themeColor="text1"/>
                <w:sz w:val="16"/>
                <w:szCs w:val="16"/>
                <w14:textFill>
                  <w14:solidFill>
                    <w14:schemeClr w14:val="tx1"/>
                  </w14:solidFill>
                </w14:textFill>
              </w:rPr>
              <w:t>件，接听区委书记、区长热线</w:t>
            </w:r>
            <w:r>
              <w:rPr>
                <w:rFonts w:hint="default" w:ascii="Times New Roman" w:hAnsi="Times New Roman" w:cs="宋体"/>
                <w:color w:val="000000" w:themeColor="text1"/>
                <w:sz w:val="16"/>
                <w:szCs w:val="16"/>
                <w14:textFill>
                  <w14:solidFill>
                    <w14:schemeClr w14:val="tx1"/>
                  </w14:solidFill>
                </w14:textFill>
              </w:rPr>
              <w:t>1240</w:t>
            </w:r>
            <w:r>
              <w:rPr>
                <w:rFonts w:hint="default" w:hAnsi="宋体" w:cs="宋体"/>
                <w:color w:val="000000" w:themeColor="text1"/>
                <w:sz w:val="16"/>
                <w:szCs w:val="16"/>
                <w14:textFill>
                  <w14:solidFill>
                    <w14:schemeClr w14:val="tx1"/>
                  </w14:solidFill>
                </w14:textFill>
              </w:rPr>
              <w:t>次。转送交办、督办上级交办信访事项</w:t>
            </w:r>
            <w:r>
              <w:rPr>
                <w:rFonts w:hint="default" w:ascii="Times New Roman" w:hAnsi="Times New Roman" w:cs="宋体"/>
                <w:color w:val="000000" w:themeColor="text1"/>
                <w:sz w:val="16"/>
                <w:szCs w:val="16"/>
                <w14:textFill>
                  <w14:solidFill>
                    <w14:schemeClr w14:val="tx1"/>
                  </w14:solidFill>
                </w14:textFill>
              </w:rPr>
              <w:t>90</w:t>
            </w:r>
            <w:r>
              <w:rPr>
                <w:rFonts w:hint="default" w:hAnsi="宋体" w:cs="宋体"/>
                <w:color w:val="000000" w:themeColor="text1"/>
                <w:sz w:val="16"/>
                <w:szCs w:val="16"/>
                <w14:textFill>
                  <w14:solidFill>
                    <w14:schemeClr w14:val="tx1"/>
                  </w14:solidFill>
                </w14:textFill>
              </w:rPr>
              <w:t>余件。针对信访信息动态情况，综合分析研判，开展调查研究，及时准确地向区委区政府提出参考性建议对策。二是协调处理跨县区和部门的重要群众工作和信访事项</w:t>
            </w:r>
            <w:r>
              <w:rPr>
                <w:rFonts w:hint="default" w:ascii="Times New Roman" w:hAnsi="Times New Roman" w:cs="宋体"/>
                <w:color w:val="000000" w:themeColor="text1"/>
                <w:sz w:val="16"/>
                <w:szCs w:val="16"/>
                <w14:textFill>
                  <w14:solidFill>
                    <w14:schemeClr w14:val="tx1"/>
                  </w14:solidFill>
                </w14:textFill>
              </w:rPr>
              <w:t>80</w:t>
            </w:r>
            <w:r>
              <w:rPr>
                <w:rFonts w:hint="default" w:hAnsi="宋体" w:cs="宋体"/>
                <w:color w:val="000000" w:themeColor="text1"/>
                <w:sz w:val="16"/>
                <w:szCs w:val="16"/>
                <w14:textFill>
                  <w14:solidFill>
                    <w14:schemeClr w14:val="tx1"/>
                  </w14:solidFill>
                </w14:textFill>
              </w:rPr>
              <w:t>余件。协调事发部门处理群众到市级及以上集访和突发性群体性事件</w:t>
            </w:r>
            <w:r>
              <w:rPr>
                <w:rFonts w:hint="default" w:ascii="Times New Roman" w:hAnsi="Times New Roman" w:cs="宋体"/>
                <w:color w:val="000000" w:themeColor="text1"/>
                <w:sz w:val="16"/>
                <w:szCs w:val="16"/>
                <w14:textFill>
                  <w14:solidFill>
                    <w14:schemeClr w14:val="tx1"/>
                  </w14:solidFill>
                </w14:textFill>
              </w:rPr>
              <w:t>28</w:t>
            </w:r>
            <w:r>
              <w:rPr>
                <w:rFonts w:hint="default" w:hAnsi="宋体" w:cs="宋体"/>
                <w:color w:val="000000" w:themeColor="text1"/>
                <w:sz w:val="16"/>
                <w:szCs w:val="16"/>
                <w14:textFill>
                  <w14:solidFill>
                    <w14:schemeClr w14:val="tx1"/>
                  </w14:solidFill>
                </w14:textFill>
              </w:rPr>
              <w:t>次。三是督促检查全区群众和信访工作</w:t>
            </w:r>
            <w:r>
              <w:rPr>
                <w:rFonts w:hint="default" w:ascii="Times New Roman" w:hAnsi="Times New Roman" w:cs="宋体"/>
                <w:color w:val="000000" w:themeColor="text1"/>
                <w:sz w:val="16"/>
                <w:szCs w:val="16"/>
                <w14:textFill>
                  <w14:solidFill>
                    <w14:schemeClr w14:val="tx1"/>
                  </w14:solidFill>
                </w14:textFill>
              </w:rPr>
              <w:t>26</w:t>
            </w:r>
            <w:r>
              <w:rPr>
                <w:rFonts w:hint="default" w:hAnsi="宋体" w:cs="宋体"/>
                <w:color w:val="000000" w:themeColor="text1"/>
                <w:sz w:val="16"/>
                <w:szCs w:val="16"/>
                <w14:textFill>
                  <w14:solidFill>
                    <w14:schemeClr w14:val="tx1"/>
                  </w14:solidFill>
                </w14:textFill>
              </w:rPr>
              <w:t>次，日常负责全区的信访信息系统的办理和指导;研究起草全区群众和信访工作规范性文件</w:t>
            </w:r>
            <w:r>
              <w:rPr>
                <w:rFonts w:hint="default" w:ascii="Times New Roman" w:hAnsi="Times New Roman" w:cs="宋体"/>
                <w:color w:val="000000" w:themeColor="text1"/>
                <w:sz w:val="16"/>
                <w:szCs w:val="16"/>
                <w14:textFill>
                  <w14:solidFill>
                    <w14:schemeClr w14:val="tx1"/>
                  </w14:solidFill>
                </w14:textFill>
              </w:rPr>
              <w:t>27</w:t>
            </w:r>
            <w:r>
              <w:rPr>
                <w:rFonts w:hint="default" w:hAnsi="宋体" w:cs="宋体"/>
                <w:color w:val="000000" w:themeColor="text1"/>
                <w:sz w:val="16"/>
                <w:szCs w:val="16"/>
                <w14:textFill>
                  <w14:solidFill>
                    <w14:schemeClr w14:val="tx1"/>
                  </w14:solidFill>
                </w14:textFill>
              </w:rPr>
              <w:t>件，总结推广各乡镇和部门的群众信访工作经验，固化经验做法，通报重大群众和信访问题及事件</w:t>
            </w:r>
            <w:r>
              <w:rPr>
                <w:rFonts w:hint="default" w:ascii="Times New Roman" w:hAnsi="Times New Roman" w:cs="宋体"/>
                <w:color w:val="000000" w:themeColor="text1"/>
                <w:sz w:val="16"/>
                <w:szCs w:val="16"/>
                <w14:textFill>
                  <w14:solidFill>
                    <w14:schemeClr w14:val="tx1"/>
                  </w14:solidFill>
                </w14:textFill>
              </w:rPr>
              <w:t>64</w:t>
            </w:r>
            <w:r>
              <w:rPr>
                <w:rFonts w:hint="default" w:hAnsi="宋体" w:cs="宋体"/>
                <w:color w:val="000000" w:themeColor="text1"/>
                <w:sz w:val="16"/>
                <w:szCs w:val="16"/>
                <w14:textFill>
                  <w14:solidFill>
                    <w14:schemeClr w14:val="tx1"/>
                  </w14:solidFill>
                </w14:textFill>
              </w:rPr>
              <w:t>件。四是扎实推进信访法治化建设，全面治理信访秩序。保证信访渠道的畅通，负责协调区领导值班接待群众来访和包案处理信访案件</w:t>
            </w:r>
            <w:r>
              <w:rPr>
                <w:rFonts w:hint="default" w:ascii="Times New Roman" w:hAnsi="Times New Roman" w:cs="宋体"/>
                <w:color w:val="000000" w:themeColor="text1"/>
                <w:sz w:val="16"/>
                <w:szCs w:val="16"/>
                <w14:textFill>
                  <w14:solidFill>
                    <w14:schemeClr w14:val="tx1"/>
                  </w14:solidFill>
                </w14:textFill>
              </w:rPr>
              <w:t>121</w:t>
            </w:r>
            <w:r>
              <w:rPr>
                <w:rFonts w:hint="default" w:hAnsi="宋体" w:cs="宋体"/>
                <w:color w:val="000000" w:themeColor="text1"/>
                <w:sz w:val="16"/>
                <w:szCs w:val="16"/>
                <w14:textFill>
                  <w14:solidFill>
                    <w14:schemeClr w14:val="tx1"/>
                  </w14:solidFill>
                </w14:textFill>
              </w:rPr>
              <w:t>件。五是搞好驻京、省市值班工作</w:t>
            </w:r>
            <w:r>
              <w:rPr>
                <w:rFonts w:hint="default" w:ascii="Times New Roman" w:hAnsi="Times New Roman" w:cs="宋体"/>
                <w:color w:val="000000" w:themeColor="text1"/>
                <w:sz w:val="16"/>
                <w:szCs w:val="16"/>
                <w14:textFill>
                  <w14:solidFill>
                    <w14:schemeClr w14:val="tx1"/>
                  </w14:solidFill>
                </w14:textFill>
              </w:rPr>
              <w:t>21</w:t>
            </w:r>
            <w:r>
              <w:rPr>
                <w:rFonts w:hint="default" w:hAnsi="宋体" w:cs="宋体"/>
                <w:color w:val="000000" w:themeColor="text1"/>
                <w:sz w:val="16"/>
                <w:szCs w:val="16"/>
                <w14:textFill>
                  <w14:solidFill>
                    <w14:schemeClr w14:val="tx1"/>
                  </w14:solidFill>
                </w14:textFill>
              </w:rPr>
              <w:t>次;协调处置赴京、到省非正常上访工作</w:t>
            </w:r>
            <w:r>
              <w:rPr>
                <w:rFonts w:hint="default" w:ascii="Times New Roman" w:hAnsi="Times New Roman" w:cs="宋体"/>
                <w:color w:val="000000" w:themeColor="text1"/>
                <w:sz w:val="16"/>
                <w:szCs w:val="16"/>
                <w14:textFill>
                  <w14:solidFill>
                    <w14:schemeClr w14:val="tx1"/>
                  </w14:solidFill>
                </w14:textFill>
              </w:rPr>
              <w:t>14</w:t>
            </w:r>
            <w:r>
              <w:rPr>
                <w:rFonts w:hint="default" w:hAnsi="宋体" w:cs="宋体"/>
                <w:color w:val="000000" w:themeColor="text1"/>
                <w:sz w:val="16"/>
                <w:szCs w:val="16"/>
                <w14:textFill>
                  <w14:solidFill>
                    <w14:schemeClr w14:val="tx1"/>
                  </w14:solidFill>
                </w14:textFill>
              </w:rPr>
              <w:t>次。六是受理信访事项复查复核</w:t>
            </w:r>
            <w:r>
              <w:rPr>
                <w:rFonts w:hint="default" w:ascii="Times New Roman" w:hAnsi="Times New Roman" w:cs="宋体"/>
                <w:color w:val="000000" w:themeColor="text1"/>
                <w:sz w:val="16"/>
                <w:szCs w:val="16"/>
                <w14:textFill>
                  <w14:solidFill>
                    <w14:schemeClr w14:val="tx1"/>
                  </w14:solidFill>
                </w14:textFill>
              </w:rPr>
              <w:t>6</w:t>
            </w:r>
            <w:r>
              <w:rPr>
                <w:rFonts w:hint="default" w:hAnsi="宋体" w:cs="宋体"/>
                <w:color w:val="000000" w:themeColor="text1"/>
                <w:sz w:val="16"/>
                <w:szCs w:val="16"/>
                <w14:textFill>
                  <w14:solidFill>
                    <w14:schemeClr w14:val="tx1"/>
                  </w14:solidFill>
                </w14:textFill>
              </w:rPr>
              <w:t>件，常态化指导区级部门和乡镇(街道)的群众(信访)工作，完成区委区政府和上级群工(信访)部门交办的其它任务。</w:t>
            </w:r>
          </w:p>
        </w:tc>
        <w:tc>
          <w:tcPr>
            <w:tcW w:w="299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F19C80">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18"/>
                <w:szCs w:val="18"/>
                <w14:textFill>
                  <w14:solidFill>
                    <w14:schemeClr w14:val="tx1"/>
                  </w14:solidFill>
                </w14:textFill>
              </w:rPr>
            </w:pPr>
            <w:r>
              <w:rPr>
                <w:rFonts w:hint="default" w:hAnsi="宋体" w:cs="宋体"/>
                <w:color w:val="000000" w:themeColor="text1"/>
                <w:sz w:val="18"/>
                <w:szCs w:val="18"/>
                <w14:textFill>
                  <w14:solidFill>
                    <w14:schemeClr w14:val="tx1"/>
                  </w14:solidFill>
                </w14:textFill>
              </w:rPr>
              <w:t>全面完成</w:t>
            </w:r>
          </w:p>
        </w:tc>
      </w:tr>
      <w:tr w14:paraId="76803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7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0E29A5">
            <w:pPr>
              <w:widowControl/>
              <w:jc w:val="center"/>
              <w:textAlignment w:val="center"/>
              <w:rPr>
                <w:rFonts w:hint="default" w:hAnsi="宋体" w:cs="宋体"/>
                <w:color w:val="000000" w:themeColor="text1"/>
                <w:sz w:val="18"/>
                <w:szCs w:val="18"/>
                <w14:textFill>
                  <w14:solidFill>
                    <w14:schemeClr w14:val="tx1"/>
                  </w14:solidFill>
                </w14:textFill>
              </w:rPr>
            </w:pPr>
            <w:r>
              <w:rPr>
                <w:rFonts w:hint="default" w:hAnsi="宋体" w:cs="宋体"/>
                <w:color w:val="000000" w:themeColor="text1"/>
                <w:sz w:val="18"/>
                <w:szCs w:val="18"/>
                <w14:textFill>
                  <w14:solidFill>
                    <w14:schemeClr w14:val="tx1"/>
                  </w14:solidFill>
                </w14:textFill>
              </w:rPr>
              <w:t>部门整体绩效指标</w:t>
            </w:r>
          </w:p>
        </w:tc>
        <w:tc>
          <w:tcPr>
            <w:tcW w:w="8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41DA28">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18"/>
                <w:szCs w:val="18"/>
                <w14:textFill>
                  <w14:solidFill>
                    <w14:schemeClr w14:val="tx1"/>
                  </w14:solidFill>
                </w14:textFill>
              </w:rPr>
            </w:pPr>
            <w:r>
              <w:rPr>
                <w:rFonts w:hint="default" w:hAnsi="宋体" w:cs="宋体"/>
                <w:color w:val="000000" w:themeColor="text1"/>
                <w:sz w:val="18"/>
                <w:szCs w:val="18"/>
                <w14:textFill>
                  <w14:solidFill>
                    <w14:schemeClr w14:val="tx1"/>
                  </w14:solidFill>
                </w14:textFill>
              </w:rPr>
              <w:t>一级指标</w:t>
            </w:r>
          </w:p>
        </w:tc>
        <w:tc>
          <w:tcPr>
            <w:tcW w:w="11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FC1F3D">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18"/>
                <w:szCs w:val="18"/>
                <w14:textFill>
                  <w14:solidFill>
                    <w14:schemeClr w14:val="tx1"/>
                  </w14:solidFill>
                </w14:textFill>
              </w:rPr>
            </w:pPr>
            <w:r>
              <w:rPr>
                <w:rFonts w:hint="default" w:hAnsi="宋体" w:cs="宋体"/>
                <w:color w:val="000000" w:themeColor="text1"/>
                <w:sz w:val="18"/>
                <w:szCs w:val="18"/>
                <w14:textFill>
                  <w14:solidFill>
                    <w14:schemeClr w14:val="tx1"/>
                  </w14:solidFill>
                </w14:textFill>
              </w:rPr>
              <w:t>二级指标</w:t>
            </w:r>
          </w:p>
        </w:tc>
        <w:tc>
          <w:tcPr>
            <w:tcW w:w="220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303F43">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18"/>
                <w:szCs w:val="18"/>
                <w14:textFill>
                  <w14:solidFill>
                    <w14:schemeClr w14:val="tx1"/>
                  </w14:solidFill>
                </w14:textFill>
              </w:rPr>
            </w:pPr>
            <w:r>
              <w:rPr>
                <w:rFonts w:hint="default" w:hAnsi="宋体" w:cs="宋体"/>
                <w:color w:val="000000" w:themeColor="text1"/>
                <w:sz w:val="18"/>
                <w:szCs w:val="18"/>
                <w14:textFill>
                  <w14:solidFill>
                    <w14:schemeClr w14:val="tx1"/>
                  </w14:solidFill>
                </w14:textFill>
              </w:rPr>
              <w:t>三级指标</w:t>
            </w:r>
          </w:p>
        </w:tc>
        <w:tc>
          <w:tcPr>
            <w:tcW w:w="11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3CEC2A">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18"/>
                <w:szCs w:val="18"/>
                <w14:textFill>
                  <w14:solidFill>
                    <w14:schemeClr w14:val="tx1"/>
                  </w14:solidFill>
                </w14:textFill>
              </w:rPr>
            </w:pPr>
            <w:r>
              <w:rPr>
                <w:rFonts w:hint="default" w:hAnsi="宋体" w:cs="宋体"/>
                <w:color w:val="000000" w:themeColor="text1"/>
                <w:sz w:val="18"/>
                <w:szCs w:val="18"/>
                <w14:textFill>
                  <w14:solidFill>
                    <w14:schemeClr w14:val="tx1"/>
                  </w14:solidFill>
                </w14:textFill>
              </w:rPr>
              <w:t>年度指标值</w:t>
            </w:r>
          </w:p>
        </w:tc>
        <w:tc>
          <w:tcPr>
            <w:tcW w:w="16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7FEEC5">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18"/>
                <w:szCs w:val="18"/>
                <w14:textFill>
                  <w14:solidFill>
                    <w14:schemeClr w14:val="tx1"/>
                  </w14:solidFill>
                </w14:textFill>
              </w:rPr>
            </w:pPr>
            <w:r>
              <w:rPr>
                <w:rFonts w:hint="default" w:hAnsi="宋体" w:cs="宋体"/>
                <w:color w:val="000000" w:themeColor="text1"/>
                <w:sz w:val="18"/>
                <w:szCs w:val="18"/>
                <w14:textFill>
                  <w14:solidFill>
                    <w14:schemeClr w14:val="tx1"/>
                  </w14:solidFill>
                </w14:textFill>
              </w:rPr>
              <w:t>实际完成值</w:t>
            </w:r>
          </w:p>
        </w:tc>
        <w:tc>
          <w:tcPr>
            <w:tcW w:w="12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1A12C2">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18"/>
                <w:szCs w:val="18"/>
                <w14:textFill>
                  <w14:solidFill>
                    <w14:schemeClr w14:val="tx1"/>
                  </w14:solidFill>
                </w14:textFill>
              </w:rPr>
            </w:pPr>
            <w:r>
              <w:rPr>
                <w:rFonts w:hint="default" w:hAnsi="宋体" w:cs="宋体"/>
                <w:color w:val="000000" w:themeColor="text1"/>
                <w:sz w:val="18"/>
                <w:szCs w:val="18"/>
                <w14:textFill>
                  <w14:solidFill>
                    <w14:schemeClr w14:val="tx1"/>
                  </w14:solidFill>
                </w14:textFill>
              </w:rPr>
              <w:t>偏差原因分析及改进措施</w:t>
            </w:r>
          </w:p>
        </w:tc>
      </w:tr>
      <w:tr w14:paraId="67470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F45626">
            <w:pPr>
              <w:jc w:val="center"/>
              <w:rPr>
                <w:rFonts w:hint="default" w:hAnsi="宋体" w:cs="宋体"/>
                <w:color w:val="000000" w:themeColor="text1"/>
                <w:sz w:val="18"/>
                <w:szCs w:val="18"/>
                <w14:textFill>
                  <w14:solidFill>
                    <w14:schemeClr w14:val="tx1"/>
                  </w14:solidFill>
                </w14:textFill>
              </w:rPr>
            </w:pPr>
          </w:p>
        </w:tc>
        <w:tc>
          <w:tcPr>
            <w:tcW w:w="83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FE54E7">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18"/>
                <w:szCs w:val="18"/>
                <w14:textFill>
                  <w14:solidFill>
                    <w14:schemeClr w14:val="tx1"/>
                  </w14:solidFill>
                </w14:textFill>
              </w:rPr>
            </w:pPr>
            <w:r>
              <w:rPr>
                <w:rFonts w:hint="default" w:hAnsi="宋体" w:cs="宋体"/>
                <w:color w:val="000000" w:themeColor="text1"/>
                <w:sz w:val="18"/>
                <w:szCs w:val="18"/>
                <w14:textFill>
                  <w14:solidFill>
                    <w14:schemeClr w14:val="tx1"/>
                  </w14:solidFill>
                </w14:textFill>
              </w:rPr>
              <w:t>产出指标</w:t>
            </w:r>
          </w:p>
        </w:tc>
        <w:tc>
          <w:tcPr>
            <w:tcW w:w="112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C124AD">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18"/>
                <w:szCs w:val="18"/>
                <w14:textFill>
                  <w14:solidFill>
                    <w14:schemeClr w14:val="tx1"/>
                  </w14:solidFill>
                </w14:textFill>
              </w:rPr>
            </w:pPr>
            <w:r>
              <w:rPr>
                <w:rFonts w:hint="default" w:hAnsi="宋体" w:cs="宋体"/>
                <w:color w:val="000000" w:themeColor="text1"/>
                <w:sz w:val="18"/>
                <w:szCs w:val="18"/>
                <w14:textFill>
                  <w14:solidFill>
                    <w14:schemeClr w14:val="tx1"/>
                  </w14:solidFill>
                </w14:textFill>
              </w:rPr>
              <w:t>数量指标</w:t>
            </w:r>
          </w:p>
        </w:tc>
        <w:tc>
          <w:tcPr>
            <w:tcW w:w="220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BEBB4C">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18"/>
                <w:szCs w:val="18"/>
                <w14:textFill>
                  <w14:solidFill>
                    <w14:schemeClr w14:val="tx1"/>
                  </w14:solidFill>
                </w14:textFill>
              </w:rPr>
            </w:pPr>
            <w:r>
              <w:rPr>
                <w:rFonts w:hint="default" w:ascii="Times New Roman" w:hAnsi="Times New Roman" w:cs="宋体"/>
                <w:color w:val="000000" w:themeColor="text1"/>
                <w:sz w:val="18"/>
                <w:szCs w:val="18"/>
                <w14:textFill>
                  <w14:solidFill>
                    <w14:schemeClr w14:val="tx1"/>
                  </w14:solidFill>
                </w14:textFill>
              </w:rPr>
              <w:t>12</w:t>
            </w:r>
            <w:r>
              <w:rPr>
                <w:rFonts w:hint="default" w:hAnsi="宋体" w:cs="宋体"/>
                <w:color w:val="000000" w:themeColor="text1"/>
                <w:sz w:val="18"/>
                <w:szCs w:val="18"/>
                <w14:textFill>
                  <w14:solidFill>
                    <w14:schemeClr w14:val="tx1"/>
                  </w14:solidFill>
                </w14:textFill>
              </w:rPr>
              <w:t>个镇和局机关建设短信平台个数</w:t>
            </w:r>
          </w:p>
        </w:tc>
        <w:tc>
          <w:tcPr>
            <w:tcW w:w="11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20E837">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24"/>
                <w:szCs w:val="24"/>
                <w14:textFill>
                  <w14:solidFill>
                    <w14:schemeClr w14:val="tx1"/>
                  </w14:solidFill>
                </w14:textFill>
              </w:rPr>
            </w:pPr>
            <w:r>
              <w:rPr>
                <w:rFonts w:hint="default" w:ascii="Times New Roman" w:hAnsi="Times New Roman" w:cs="宋体"/>
                <w:color w:val="000000" w:themeColor="text1"/>
                <w:sz w:val="24"/>
                <w:szCs w:val="24"/>
                <w14:textFill>
                  <w14:solidFill>
                    <w14:schemeClr w14:val="tx1"/>
                  </w14:solidFill>
                </w14:textFill>
              </w:rPr>
              <w:t>13</w:t>
            </w:r>
          </w:p>
        </w:tc>
        <w:tc>
          <w:tcPr>
            <w:tcW w:w="16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5D067E">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24"/>
                <w:szCs w:val="24"/>
                <w14:textFill>
                  <w14:solidFill>
                    <w14:schemeClr w14:val="tx1"/>
                  </w14:solidFill>
                </w14:textFill>
              </w:rPr>
            </w:pPr>
            <w:r>
              <w:rPr>
                <w:rFonts w:hint="default" w:ascii="Times New Roman" w:hAnsi="Times New Roman" w:cs="宋体"/>
                <w:color w:val="000000" w:themeColor="text1"/>
                <w:sz w:val="24"/>
                <w:szCs w:val="24"/>
                <w14:textFill>
                  <w14:solidFill>
                    <w14:schemeClr w14:val="tx1"/>
                  </w14:solidFill>
                </w14:textFill>
              </w:rPr>
              <w:t>13</w:t>
            </w:r>
          </w:p>
        </w:tc>
        <w:tc>
          <w:tcPr>
            <w:tcW w:w="12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EC5E8C">
            <w:pPr>
              <w:keepNext w:val="0"/>
              <w:keepLines w:val="0"/>
              <w:pageBreakBefore w:val="0"/>
              <w:kinsoku/>
              <w:wordWrap/>
              <w:overflowPunct/>
              <w:topLinePunct w:val="0"/>
              <w:autoSpaceDE w:val="0"/>
              <w:autoSpaceDN w:val="0"/>
              <w:bidi w:val="0"/>
              <w:adjustRightInd w:val="0"/>
              <w:snapToGrid/>
              <w:ind w:left="-60" w:leftChars="-25" w:right="-60" w:rightChars="-25"/>
              <w:jc w:val="center"/>
              <w:rPr>
                <w:rFonts w:hint="default" w:hAnsi="宋体" w:cs="宋体"/>
                <w:color w:val="000000" w:themeColor="text1"/>
                <w:sz w:val="18"/>
                <w:szCs w:val="18"/>
                <w14:textFill>
                  <w14:solidFill>
                    <w14:schemeClr w14:val="tx1"/>
                  </w14:solidFill>
                </w14:textFill>
              </w:rPr>
            </w:pPr>
          </w:p>
        </w:tc>
      </w:tr>
      <w:tr w14:paraId="18D9E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5378A5">
            <w:pPr>
              <w:jc w:val="center"/>
              <w:rPr>
                <w:rFonts w:hint="default" w:hAnsi="宋体" w:cs="宋体"/>
                <w:color w:val="000000" w:themeColor="text1"/>
                <w:sz w:val="18"/>
                <w:szCs w:val="18"/>
                <w14:textFill>
                  <w14:solidFill>
                    <w14:schemeClr w14:val="tx1"/>
                  </w14:solidFill>
                </w14:textFill>
              </w:rPr>
            </w:pPr>
          </w:p>
        </w:tc>
        <w:tc>
          <w:tcPr>
            <w:tcW w:w="83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7C30E9">
            <w:pPr>
              <w:keepNext w:val="0"/>
              <w:keepLines w:val="0"/>
              <w:pageBreakBefore w:val="0"/>
              <w:kinsoku/>
              <w:wordWrap/>
              <w:overflowPunct/>
              <w:topLinePunct w:val="0"/>
              <w:autoSpaceDE w:val="0"/>
              <w:autoSpaceDN w:val="0"/>
              <w:bidi w:val="0"/>
              <w:adjustRightInd w:val="0"/>
              <w:snapToGrid/>
              <w:ind w:left="-60" w:leftChars="-25" w:right="-60" w:rightChars="-25"/>
              <w:jc w:val="center"/>
              <w:rPr>
                <w:rFonts w:hint="default" w:hAnsi="宋体" w:cs="宋体"/>
                <w:color w:val="000000" w:themeColor="text1"/>
                <w:sz w:val="18"/>
                <w:szCs w:val="18"/>
                <w14:textFill>
                  <w14:solidFill>
                    <w14:schemeClr w14:val="tx1"/>
                  </w14:solidFill>
                </w14:textFill>
              </w:rPr>
            </w:pPr>
          </w:p>
        </w:tc>
        <w:tc>
          <w:tcPr>
            <w:tcW w:w="112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2A2CEE">
            <w:pPr>
              <w:keepNext w:val="0"/>
              <w:keepLines w:val="0"/>
              <w:pageBreakBefore w:val="0"/>
              <w:kinsoku/>
              <w:wordWrap/>
              <w:overflowPunct/>
              <w:topLinePunct w:val="0"/>
              <w:autoSpaceDE w:val="0"/>
              <w:autoSpaceDN w:val="0"/>
              <w:bidi w:val="0"/>
              <w:adjustRightInd w:val="0"/>
              <w:snapToGrid/>
              <w:ind w:left="-60" w:leftChars="-25" w:right="-60" w:rightChars="-25"/>
              <w:jc w:val="center"/>
              <w:rPr>
                <w:rFonts w:hint="default" w:hAnsi="宋体" w:cs="宋体"/>
                <w:color w:val="000000" w:themeColor="text1"/>
                <w:sz w:val="18"/>
                <w:szCs w:val="18"/>
                <w14:textFill>
                  <w14:solidFill>
                    <w14:schemeClr w14:val="tx1"/>
                  </w14:solidFill>
                </w14:textFill>
              </w:rPr>
            </w:pPr>
          </w:p>
        </w:tc>
        <w:tc>
          <w:tcPr>
            <w:tcW w:w="220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225D06">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18"/>
                <w:szCs w:val="18"/>
                <w14:textFill>
                  <w14:solidFill>
                    <w14:schemeClr w14:val="tx1"/>
                  </w14:solidFill>
                </w14:textFill>
              </w:rPr>
            </w:pPr>
            <w:r>
              <w:rPr>
                <w:rFonts w:hint="default" w:hAnsi="宋体" w:cs="宋体"/>
                <w:color w:val="000000" w:themeColor="text1"/>
                <w:sz w:val="18"/>
                <w:szCs w:val="18"/>
                <w14:textFill>
                  <w14:solidFill>
                    <w14:schemeClr w14:val="tx1"/>
                  </w14:solidFill>
                </w14:textFill>
              </w:rPr>
              <w:t>到京.到省值班人数</w:t>
            </w:r>
          </w:p>
        </w:tc>
        <w:tc>
          <w:tcPr>
            <w:tcW w:w="11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38C713">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24"/>
                <w:szCs w:val="24"/>
                <w14:textFill>
                  <w14:solidFill>
                    <w14:schemeClr w14:val="tx1"/>
                  </w14:solidFill>
                </w14:textFill>
              </w:rPr>
            </w:pPr>
            <w:r>
              <w:rPr>
                <w:rFonts w:hint="default" w:ascii="Times New Roman" w:hAnsi="Times New Roman" w:cs="宋体"/>
                <w:color w:val="000000" w:themeColor="text1"/>
                <w:sz w:val="24"/>
                <w:szCs w:val="24"/>
                <w14:textFill>
                  <w14:solidFill>
                    <w14:schemeClr w14:val="tx1"/>
                  </w14:solidFill>
                </w14:textFill>
              </w:rPr>
              <w:t>12</w:t>
            </w:r>
          </w:p>
        </w:tc>
        <w:tc>
          <w:tcPr>
            <w:tcW w:w="16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D2A013">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24"/>
                <w:szCs w:val="24"/>
                <w14:textFill>
                  <w14:solidFill>
                    <w14:schemeClr w14:val="tx1"/>
                  </w14:solidFill>
                </w14:textFill>
              </w:rPr>
            </w:pPr>
            <w:r>
              <w:rPr>
                <w:rFonts w:hint="default" w:ascii="Times New Roman" w:hAnsi="Times New Roman" w:cs="宋体"/>
                <w:color w:val="000000" w:themeColor="text1"/>
                <w:sz w:val="24"/>
                <w:szCs w:val="24"/>
                <w14:textFill>
                  <w14:solidFill>
                    <w14:schemeClr w14:val="tx1"/>
                  </w14:solidFill>
                </w14:textFill>
              </w:rPr>
              <w:t>12</w:t>
            </w:r>
          </w:p>
        </w:tc>
        <w:tc>
          <w:tcPr>
            <w:tcW w:w="12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EE57FA">
            <w:pPr>
              <w:keepNext w:val="0"/>
              <w:keepLines w:val="0"/>
              <w:pageBreakBefore w:val="0"/>
              <w:kinsoku/>
              <w:wordWrap/>
              <w:overflowPunct/>
              <w:topLinePunct w:val="0"/>
              <w:autoSpaceDE w:val="0"/>
              <w:autoSpaceDN w:val="0"/>
              <w:bidi w:val="0"/>
              <w:adjustRightInd w:val="0"/>
              <w:snapToGrid/>
              <w:ind w:left="-60" w:leftChars="-25" w:right="-60" w:rightChars="-25"/>
              <w:jc w:val="center"/>
              <w:rPr>
                <w:rFonts w:hint="default" w:hAnsi="宋体" w:cs="宋体"/>
                <w:color w:val="000000" w:themeColor="text1"/>
                <w:sz w:val="18"/>
                <w:szCs w:val="18"/>
                <w14:textFill>
                  <w14:solidFill>
                    <w14:schemeClr w14:val="tx1"/>
                  </w14:solidFill>
                </w14:textFill>
              </w:rPr>
            </w:pPr>
          </w:p>
        </w:tc>
      </w:tr>
      <w:tr w14:paraId="15895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D5FE5A">
            <w:pPr>
              <w:jc w:val="center"/>
              <w:rPr>
                <w:rFonts w:hint="default" w:hAnsi="宋体" w:cs="宋体"/>
                <w:color w:val="000000" w:themeColor="text1"/>
                <w:sz w:val="18"/>
                <w:szCs w:val="18"/>
                <w14:textFill>
                  <w14:solidFill>
                    <w14:schemeClr w14:val="tx1"/>
                  </w14:solidFill>
                </w14:textFill>
              </w:rPr>
            </w:pPr>
          </w:p>
        </w:tc>
        <w:tc>
          <w:tcPr>
            <w:tcW w:w="83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BF1677">
            <w:pPr>
              <w:keepNext w:val="0"/>
              <w:keepLines w:val="0"/>
              <w:pageBreakBefore w:val="0"/>
              <w:kinsoku/>
              <w:wordWrap/>
              <w:overflowPunct/>
              <w:topLinePunct w:val="0"/>
              <w:autoSpaceDE w:val="0"/>
              <w:autoSpaceDN w:val="0"/>
              <w:bidi w:val="0"/>
              <w:adjustRightInd w:val="0"/>
              <w:snapToGrid/>
              <w:ind w:left="-60" w:leftChars="-25" w:right="-60" w:rightChars="-25"/>
              <w:jc w:val="center"/>
              <w:rPr>
                <w:rFonts w:hint="default" w:hAnsi="宋体" w:cs="宋体"/>
                <w:color w:val="000000" w:themeColor="text1"/>
                <w:sz w:val="18"/>
                <w:szCs w:val="18"/>
                <w14:textFill>
                  <w14:solidFill>
                    <w14:schemeClr w14:val="tx1"/>
                  </w14:solidFill>
                </w14:textFill>
              </w:rPr>
            </w:pPr>
          </w:p>
        </w:tc>
        <w:tc>
          <w:tcPr>
            <w:tcW w:w="112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8B47A3">
            <w:pPr>
              <w:keepNext w:val="0"/>
              <w:keepLines w:val="0"/>
              <w:pageBreakBefore w:val="0"/>
              <w:kinsoku/>
              <w:wordWrap/>
              <w:overflowPunct/>
              <w:topLinePunct w:val="0"/>
              <w:autoSpaceDE w:val="0"/>
              <w:autoSpaceDN w:val="0"/>
              <w:bidi w:val="0"/>
              <w:adjustRightInd w:val="0"/>
              <w:snapToGrid/>
              <w:ind w:left="-60" w:leftChars="-25" w:right="-60" w:rightChars="-25"/>
              <w:jc w:val="center"/>
              <w:rPr>
                <w:rFonts w:hint="default" w:hAnsi="宋体" w:cs="宋体"/>
                <w:color w:val="000000" w:themeColor="text1"/>
                <w:sz w:val="18"/>
                <w:szCs w:val="18"/>
                <w14:textFill>
                  <w14:solidFill>
                    <w14:schemeClr w14:val="tx1"/>
                  </w14:solidFill>
                </w14:textFill>
              </w:rPr>
            </w:pPr>
          </w:p>
        </w:tc>
        <w:tc>
          <w:tcPr>
            <w:tcW w:w="220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771DCB">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18"/>
                <w:szCs w:val="18"/>
                <w14:textFill>
                  <w14:solidFill>
                    <w14:schemeClr w14:val="tx1"/>
                  </w14:solidFill>
                </w14:textFill>
              </w:rPr>
            </w:pPr>
            <w:r>
              <w:rPr>
                <w:rFonts w:hint="default" w:hAnsi="宋体" w:cs="宋体"/>
                <w:color w:val="000000" w:themeColor="text1"/>
                <w:sz w:val="18"/>
                <w:szCs w:val="18"/>
                <w14:textFill>
                  <w14:solidFill>
                    <w14:schemeClr w14:val="tx1"/>
                  </w14:solidFill>
                </w14:textFill>
              </w:rPr>
              <w:t>到京.到省值班月数</w:t>
            </w:r>
          </w:p>
        </w:tc>
        <w:tc>
          <w:tcPr>
            <w:tcW w:w="11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D8441B">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24"/>
                <w:szCs w:val="24"/>
                <w14:textFill>
                  <w14:solidFill>
                    <w14:schemeClr w14:val="tx1"/>
                  </w14:solidFill>
                </w14:textFill>
              </w:rPr>
            </w:pPr>
            <w:r>
              <w:rPr>
                <w:rFonts w:hint="default" w:ascii="Times New Roman" w:hAnsi="Times New Roman" w:cs="宋体"/>
                <w:color w:val="000000" w:themeColor="text1"/>
                <w:sz w:val="24"/>
                <w:szCs w:val="24"/>
                <w14:textFill>
                  <w14:solidFill>
                    <w14:schemeClr w14:val="tx1"/>
                  </w14:solidFill>
                </w14:textFill>
              </w:rPr>
              <w:t>6</w:t>
            </w:r>
          </w:p>
        </w:tc>
        <w:tc>
          <w:tcPr>
            <w:tcW w:w="16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12225C">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24"/>
                <w:szCs w:val="24"/>
                <w14:textFill>
                  <w14:solidFill>
                    <w14:schemeClr w14:val="tx1"/>
                  </w14:solidFill>
                </w14:textFill>
              </w:rPr>
            </w:pPr>
            <w:r>
              <w:rPr>
                <w:rFonts w:hint="default" w:ascii="Times New Roman" w:hAnsi="Times New Roman" w:cs="宋体"/>
                <w:color w:val="000000" w:themeColor="text1"/>
                <w:sz w:val="24"/>
                <w:szCs w:val="24"/>
                <w14:textFill>
                  <w14:solidFill>
                    <w14:schemeClr w14:val="tx1"/>
                  </w14:solidFill>
                </w14:textFill>
              </w:rPr>
              <w:t>6</w:t>
            </w:r>
          </w:p>
        </w:tc>
        <w:tc>
          <w:tcPr>
            <w:tcW w:w="129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66D37E2">
            <w:pPr>
              <w:keepNext w:val="0"/>
              <w:keepLines w:val="0"/>
              <w:pageBreakBefore w:val="0"/>
              <w:kinsoku/>
              <w:wordWrap/>
              <w:overflowPunct/>
              <w:topLinePunct w:val="0"/>
              <w:autoSpaceDE w:val="0"/>
              <w:autoSpaceDN w:val="0"/>
              <w:bidi w:val="0"/>
              <w:adjustRightInd w:val="0"/>
              <w:snapToGrid/>
              <w:ind w:left="-60" w:leftChars="-25" w:right="-60" w:rightChars="-25"/>
              <w:jc w:val="center"/>
              <w:rPr>
                <w:rFonts w:hint="default" w:hAnsi="宋体" w:cs="宋体"/>
                <w:color w:val="000000" w:themeColor="text1"/>
                <w:sz w:val="24"/>
                <w:szCs w:val="24"/>
                <w14:textFill>
                  <w14:solidFill>
                    <w14:schemeClr w14:val="tx1"/>
                  </w14:solidFill>
                </w14:textFill>
              </w:rPr>
            </w:pPr>
          </w:p>
        </w:tc>
      </w:tr>
      <w:tr w14:paraId="17FAC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6" w:hRule="atLeast"/>
        </w:trPr>
        <w:tc>
          <w:tcPr>
            <w:tcW w:w="6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9ACCB7">
            <w:pPr>
              <w:jc w:val="center"/>
              <w:rPr>
                <w:rFonts w:hint="default" w:hAnsi="宋体" w:cs="宋体"/>
                <w:color w:val="000000" w:themeColor="text1"/>
                <w:sz w:val="18"/>
                <w:szCs w:val="18"/>
                <w14:textFill>
                  <w14:solidFill>
                    <w14:schemeClr w14:val="tx1"/>
                  </w14:solidFill>
                </w14:textFill>
              </w:rPr>
            </w:pPr>
          </w:p>
        </w:tc>
        <w:tc>
          <w:tcPr>
            <w:tcW w:w="83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A92D8F">
            <w:pPr>
              <w:keepNext w:val="0"/>
              <w:keepLines w:val="0"/>
              <w:pageBreakBefore w:val="0"/>
              <w:kinsoku/>
              <w:wordWrap/>
              <w:overflowPunct/>
              <w:topLinePunct w:val="0"/>
              <w:autoSpaceDE w:val="0"/>
              <w:autoSpaceDN w:val="0"/>
              <w:bidi w:val="0"/>
              <w:adjustRightInd w:val="0"/>
              <w:snapToGrid/>
              <w:ind w:left="-60" w:leftChars="-25" w:right="-60" w:rightChars="-25"/>
              <w:jc w:val="center"/>
              <w:rPr>
                <w:rFonts w:hint="default" w:hAnsi="宋体" w:cs="宋体"/>
                <w:color w:val="000000" w:themeColor="text1"/>
                <w:sz w:val="18"/>
                <w:szCs w:val="18"/>
                <w14:textFill>
                  <w14:solidFill>
                    <w14:schemeClr w14:val="tx1"/>
                  </w14:solidFill>
                </w14:textFill>
              </w:rPr>
            </w:pPr>
          </w:p>
        </w:tc>
        <w:tc>
          <w:tcPr>
            <w:tcW w:w="112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B38CEA">
            <w:pPr>
              <w:keepNext w:val="0"/>
              <w:keepLines w:val="0"/>
              <w:pageBreakBefore w:val="0"/>
              <w:kinsoku/>
              <w:wordWrap/>
              <w:overflowPunct/>
              <w:topLinePunct w:val="0"/>
              <w:autoSpaceDE w:val="0"/>
              <w:autoSpaceDN w:val="0"/>
              <w:bidi w:val="0"/>
              <w:adjustRightInd w:val="0"/>
              <w:snapToGrid/>
              <w:ind w:left="-60" w:leftChars="-25" w:right="-60" w:rightChars="-25"/>
              <w:jc w:val="center"/>
              <w:rPr>
                <w:rFonts w:hint="default" w:hAnsi="宋体" w:cs="宋体"/>
                <w:color w:val="000000" w:themeColor="text1"/>
                <w:sz w:val="18"/>
                <w:szCs w:val="18"/>
                <w14:textFill>
                  <w14:solidFill>
                    <w14:schemeClr w14:val="tx1"/>
                  </w14:solidFill>
                </w14:textFill>
              </w:rPr>
            </w:pPr>
          </w:p>
        </w:tc>
        <w:tc>
          <w:tcPr>
            <w:tcW w:w="220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ADD6AC">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18"/>
                <w:szCs w:val="18"/>
                <w14:textFill>
                  <w14:solidFill>
                    <w14:schemeClr w14:val="tx1"/>
                  </w14:solidFill>
                </w14:textFill>
              </w:rPr>
            </w:pPr>
            <w:r>
              <w:rPr>
                <w:rFonts w:hint="default" w:hAnsi="宋体" w:cs="宋体"/>
                <w:color w:val="000000" w:themeColor="text1"/>
                <w:sz w:val="18"/>
                <w:szCs w:val="18"/>
                <w14:textFill>
                  <w14:solidFill>
                    <w14:schemeClr w14:val="tx1"/>
                  </w14:solidFill>
                </w14:textFill>
              </w:rPr>
              <w:t>省委书记、省长信箱和市委书记、市长信箱、区委书记、区长信箱三级领导信箱办理信访件</w:t>
            </w:r>
          </w:p>
        </w:tc>
        <w:tc>
          <w:tcPr>
            <w:tcW w:w="11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861F7D">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24"/>
                <w:szCs w:val="24"/>
                <w14:textFill>
                  <w14:solidFill>
                    <w14:schemeClr w14:val="tx1"/>
                  </w14:solidFill>
                </w14:textFill>
              </w:rPr>
            </w:pPr>
            <w:r>
              <w:rPr>
                <w:rFonts w:hint="default" w:ascii="Times New Roman" w:hAnsi="Times New Roman" w:cs="宋体"/>
                <w:color w:val="000000" w:themeColor="text1"/>
                <w:sz w:val="24"/>
                <w:szCs w:val="24"/>
                <w14:textFill>
                  <w14:solidFill>
                    <w14:schemeClr w14:val="tx1"/>
                  </w14:solidFill>
                </w14:textFill>
              </w:rPr>
              <w:t>6</w:t>
            </w:r>
          </w:p>
        </w:tc>
        <w:tc>
          <w:tcPr>
            <w:tcW w:w="16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6C709C">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24"/>
                <w:szCs w:val="24"/>
                <w14:textFill>
                  <w14:solidFill>
                    <w14:schemeClr w14:val="tx1"/>
                  </w14:solidFill>
                </w14:textFill>
              </w:rPr>
            </w:pPr>
            <w:r>
              <w:rPr>
                <w:rFonts w:hint="default" w:ascii="Times New Roman" w:hAnsi="Times New Roman" w:cs="宋体"/>
                <w:color w:val="000000" w:themeColor="text1"/>
                <w:sz w:val="24"/>
                <w:szCs w:val="24"/>
                <w14:textFill>
                  <w14:solidFill>
                    <w14:schemeClr w14:val="tx1"/>
                  </w14:solidFill>
                </w14:textFill>
              </w:rPr>
              <w:t>6</w:t>
            </w:r>
          </w:p>
        </w:tc>
        <w:tc>
          <w:tcPr>
            <w:tcW w:w="12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6B2CDF">
            <w:pPr>
              <w:keepNext w:val="0"/>
              <w:keepLines w:val="0"/>
              <w:pageBreakBefore w:val="0"/>
              <w:kinsoku/>
              <w:wordWrap/>
              <w:overflowPunct/>
              <w:topLinePunct w:val="0"/>
              <w:autoSpaceDE w:val="0"/>
              <w:autoSpaceDN w:val="0"/>
              <w:bidi w:val="0"/>
              <w:adjustRightInd w:val="0"/>
              <w:snapToGrid/>
              <w:ind w:left="-60" w:leftChars="-25" w:right="-60" w:rightChars="-25"/>
              <w:jc w:val="center"/>
              <w:rPr>
                <w:rFonts w:hint="default" w:hAnsi="宋体" w:cs="宋体"/>
                <w:color w:val="000000" w:themeColor="text1"/>
                <w:sz w:val="18"/>
                <w:szCs w:val="18"/>
                <w14:textFill>
                  <w14:solidFill>
                    <w14:schemeClr w14:val="tx1"/>
                  </w14:solidFill>
                </w14:textFill>
              </w:rPr>
            </w:pPr>
          </w:p>
        </w:tc>
      </w:tr>
      <w:tr w14:paraId="2475A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7DB8FA">
            <w:pPr>
              <w:jc w:val="center"/>
              <w:rPr>
                <w:rFonts w:hint="default" w:hAnsi="宋体" w:cs="宋体"/>
                <w:color w:val="000000" w:themeColor="text1"/>
                <w:sz w:val="18"/>
                <w:szCs w:val="18"/>
                <w14:textFill>
                  <w14:solidFill>
                    <w14:schemeClr w14:val="tx1"/>
                  </w14:solidFill>
                </w14:textFill>
              </w:rPr>
            </w:pPr>
          </w:p>
        </w:tc>
        <w:tc>
          <w:tcPr>
            <w:tcW w:w="83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02CF72">
            <w:pPr>
              <w:keepNext w:val="0"/>
              <w:keepLines w:val="0"/>
              <w:pageBreakBefore w:val="0"/>
              <w:kinsoku/>
              <w:wordWrap/>
              <w:overflowPunct/>
              <w:topLinePunct w:val="0"/>
              <w:autoSpaceDE w:val="0"/>
              <w:autoSpaceDN w:val="0"/>
              <w:bidi w:val="0"/>
              <w:adjustRightInd w:val="0"/>
              <w:snapToGrid/>
              <w:ind w:left="-60" w:leftChars="-25" w:right="-60" w:rightChars="-25"/>
              <w:jc w:val="center"/>
              <w:rPr>
                <w:rFonts w:hint="default" w:hAnsi="宋体" w:cs="宋体"/>
                <w:color w:val="000000" w:themeColor="text1"/>
                <w:sz w:val="18"/>
                <w:szCs w:val="18"/>
                <w14:textFill>
                  <w14:solidFill>
                    <w14:schemeClr w14:val="tx1"/>
                  </w14:solidFill>
                </w14:textFill>
              </w:rPr>
            </w:pPr>
          </w:p>
        </w:tc>
        <w:tc>
          <w:tcPr>
            <w:tcW w:w="112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C4545A">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18"/>
                <w:szCs w:val="18"/>
                <w14:textFill>
                  <w14:solidFill>
                    <w14:schemeClr w14:val="tx1"/>
                  </w14:solidFill>
                </w14:textFill>
              </w:rPr>
            </w:pPr>
            <w:r>
              <w:rPr>
                <w:rFonts w:hint="default" w:hAnsi="宋体" w:cs="宋体"/>
                <w:color w:val="000000" w:themeColor="text1"/>
                <w:sz w:val="18"/>
                <w:szCs w:val="18"/>
                <w14:textFill>
                  <w14:solidFill>
                    <w14:schemeClr w14:val="tx1"/>
                  </w14:solidFill>
                </w14:textFill>
              </w:rPr>
              <w:t>质量指标</w:t>
            </w:r>
          </w:p>
        </w:tc>
        <w:tc>
          <w:tcPr>
            <w:tcW w:w="220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795116">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18"/>
                <w:szCs w:val="18"/>
                <w14:textFill>
                  <w14:solidFill>
                    <w14:schemeClr w14:val="tx1"/>
                  </w14:solidFill>
                </w14:textFill>
              </w:rPr>
            </w:pPr>
            <w:r>
              <w:rPr>
                <w:rFonts w:hint="default" w:hAnsi="宋体" w:cs="宋体"/>
                <w:color w:val="000000" w:themeColor="text1"/>
                <w:sz w:val="18"/>
                <w:szCs w:val="18"/>
                <w14:textFill>
                  <w14:solidFill>
                    <w14:schemeClr w14:val="tx1"/>
                  </w14:solidFill>
                </w14:textFill>
              </w:rPr>
              <w:t>平台覆盖率</w:t>
            </w:r>
          </w:p>
        </w:tc>
        <w:tc>
          <w:tcPr>
            <w:tcW w:w="11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196A39">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24"/>
                <w:szCs w:val="24"/>
                <w14:textFill>
                  <w14:solidFill>
                    <w14:schemeClr w14:val="tx1"/>
                  </w14:solidFill>
                </w14:textFill>
              </w:rPr>
            </w:pPr>
            <w:r>
              <w:rPr>
                <w:rFonts w:hint="default" w:ascii="Times New Roman" w:hAnsi="Times New Roman" w:cs="宋体"/>
                <w:color w:val="000000" w:themeColor="text1"/>
                <w:sz w:val="24"/>
                <w:szCs w:val="24"/>
                <w14:textFill>
                  <w14:solidFill>
                    <w14:schemeClr w14:val="tx1"/>
                  </w14:solidFill>
                </w14:textFill>
              </w:rPr>
              <w:t>100</w:t>
            </w:r>
            <w:r>
              <w:rPr>
                <w:rFonts w:hint="default" w:hAnsi="宋体" w:cs="宋体"/>
                <w:color w:val="000000" w:themeColor="text1"/>
                <w:sz w:val="24"/>
                <w:szCs w:val="24"/>
                <w14:textFill>
                  <w14:solidFill>
                    <w14:schemeClr w14:val="tx1"/>
                  </w14:solidFill>
                </w14:textFill>
              </w:rPr>
              <w:t>%</w:t>
            </w:r>
          </w:p>
        </w:tc>
        <w:tc>
          <w:tcPr>
            <w:tcW w:w="16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6B491A">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24"/>
                <w:szCs w:val="24"/>
                <w14:textFill>
                  <w14:solidFill>
                    <w14:schemeClr w14:val="tx1"/>
                  </w14:solidFill>
                </w14:textFill>
              </w:rPr>
            </w:pPr>
            <w:r>
              <w:rPr>
                <w:rFonts w:hint="default" w:ascii="Times New Roman" w:hAnsi="Times New Roman" w:cs="宋体"/>
                <w:color w:val="000000" w:themeColor="text1"/>
                <w:sz w:val="24"/>
                <w:szCs w:val="24"/>
                <w14:textFill>
                  <w14:solidFill>
                    <w14:schemeClr w14:val="tx1"/>
                  </w14:solidFill>
                </w14:textFill>
              </w:rPr>
              <w:t>100</w:t>
            </w:r>
            <w:r>
              <w:rPr>
                <w:rFonts w:hint="default" w:hAnsi="宋体" w:cs="宋体"/>
                <w:color w:val="000000" w:themeColor="text1"/>
                <w:sz w:val="24"/>
                <w:szCs w:val="24"/>
                <w14:textFill>
                  <w14:solidFill>
                    <w14:schemeClr w14:val="tx1"/>
                  </w14:solidFill>
                </w14:textFill>
              </w:rPr>
              <w:t>%</w:t>
            </w:r>
          </w:p>
        </w:tc>
        <w:tc>
          <w:tcPr>
            <w:tcW w:w="12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229F0C">
            <w:pPr>
              <w:keepNext w:val="0"/>
              <w:keepLines w:val="0"/>
              <w:pageBreakBefore w:val="0"/>
              <w:kinsoku/>
              <w:wordWrap/>
              <w:overflowPunct/>
              <w:topLinePunct w:val="0"/>
              <w:autoSpaceDE w:val="0"/>
              <w:autoSpaceDN w:val="0"/>
              <w:bidi w:val="0"/>
              <w:adjustRightInd w:val="0"/>
              <w:snapToGrid/>
              <w:ind w:left="-60" w:leftChars="-25" w:right="-60" w:rightChars="-25"/>
              <w:jc w:val="center"/>
              <w:rPr>
                <w:rFonts w:hint="default" w:hAnsi="宋体" w:cs="宋体"/>
                <w:color w:val="000000" w:themeColor="text1"/>
                <w:sz w:val="18"/>
                <w:szCs w:val="18"/>
                <w14:textFill>
                  <w14:solidFill>
                    <w14:schemeClr w14:val="tx1"/>
                  </w14:solidFill>
                </w14:textFill>
              </w:rPr>
            </w:pPr>
          </w:p>
        </w:tc>
      </w:tr>
      <w:tr w14:paraId="6CCBE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477824">
            <w:pPr>
              <w:jc w:val="center"/>
              <w:rPr>
                <w:rFonts w:hint="default" w:hAnsi="宋体" w:cs="宋体"/>
                <w:color w:val="000000" w:themeColor="text1"/>
                <w:sz w:val="18"/>
                <w:szCs w:val="18"/>
                <w14:textFill>
                  <w14:solidFill>
                    <w14:schemeClr w14:val="tx1"/>
                  </w14:solidFill>
                </w14:textFill>
              </w:rPr>
            </w:pPr>
          </w:p>
        </w:tc>
        <w:tc>
          <w:tcPr>
            <w:tcW w:w="83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D21F31">
            <w:pPr>
              <w:keepNext w:val="0"/>
              <w:keepLines w:val="0"/>
              <w:pageBreakBefore w:val="0"/>
              <w:kinsoku/>
              <w:wordWrap/>
              <w:overflowPunct/>
              <w:topLinePunct w:val="0"/>
              <w:autoSpaceDE w:val="0"/>
              <w:autoSpaceDN w:val="0"/>
              <w:bidi w:val="0"/>
              <w:adjustRightInd w:val="0"/>
              <w:snapToGrid/>
              <w:ind w:left="-60" w:leftChars="-25" w:right="-60" w:rightChars="-25"/>
              <w:jc w:val="center"/>
              <w:rPr>
                <w:rFonts w:hint="default" w:hAnsi="宋体" w:cs="宋体"/>
                <w:color w:val="000000" w:themeColor="text1"/>
                <w:sz w:val="18"/>
                <w:szCs w:val="18"/>
                <w14:textFill>
                  <w14:solidFill>
                    <w14:schemeClr w14:val="tx1"/>
                  </w14:solidFill>
                </w14:textFill>
              </w:rPr>
            </w:pPr>
          </w:p>
        </w:tc>
        <w:tc>
          <w:tcPr>
            <w:tcW w:w="112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C52060">
            <w:pPr>
              <w:keepNext w:val="0"/>
              <w:keepLines w:val="0"/>
              <w:pageBreakBefore w:val="0"/>
              <w:kinsoku/>
              <w:wordWrap/>
              <w:overflowPunct/>
              <w:topLinePunct w:val="0"/>
              <w:autoSpaceDE w:val="0"/>
              <w:autoSpaceDN w:val="0"/>
              <w:bidi w:val="0"/>
              <w:adjustRightInd w:val="0"/>
              <w:snapToGrid/>
              <w:ind w:left="-60" w:leftChars="-25" w:right="-60" w:rightChars="-25"/>
              <w:jc w:val="center"/>
              <w:rPr>
                <w:rFonts w:hint="default" w:hAnsi="宋体" w:cs="宋体"/>
                <w:color w:val="000000" w:themeColor="text1"/>
                <w:sz w:val="18"/>
                <w:szCs w:val="18"/>
                <w14:textFill>
                  <w14:solidFill>
                    <w14:schemeClr w14:val="tx1"/>
                  </w14:solidFill>
                </w14:textFill>
              </w:rPr>
            </w:pPr>
          </w:p>
        </w:tc>
        <w:tc>
          <w:tcPr>
            <w:tcW w:w="220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9386B4">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18"/>
                <w:szCs w:val="18"/>
                <w14:textFill>
                  <w14:solidFill>
                    <w14:schemeClr w14:val="tx1"/>
                  </w14:solidFill>
                </w14:textFill>
              </w:rPr>
            </w:pPr>
            <w:r>
              <w:rPr>
                <w:rFonts w:hint="default" w:hAnsi="宋体" w:cs="宋体"/>
                <w:color w:val="000000" w:themeColor="text1"/>
                <w:sz w:val="18"/>
                <w:szCs w:val="18"/>
                <w14:textFill>
                  <w14:solidFill>
                    <w14:schemeClr w14:val="tx1"/>
                  </w14:solidFill>
                </w14:textFill>
              </w:rPr>
              <w:t>信箱覆盖率</w:t>
            </w:r>
          </w:p>
        </w:tc>
        <w:tc>
          <w:tcPr>
            <w:tcW w:w="11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56ECF3">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24"/>
                <w:szCs w:val="24"/>
                <w14:textFill>
                  <w14:solidFill>
                    <w14:schemeClr w14:val="tx1"/>
                  </w14:solidFill>
                </w14:textFill>
              </w:rPr>
            </w:pPr>
            <w:r>
              <w:rPr>
                <w:rFonts w:hint="default" w:ascii="Times New Roman" w:hAnsi="Times New Roman" w:cs="宋体"/>
                <w:color w:val="000000" w:themeColor="text1"/>
                <w:sz w:val="24"/>
                <w:szCs w:val="24"/>
                <w14:textFill>
                  <w14:solidFill>
                    <w14:schemeClr w14:val="tx1"/>
                  </w14:solidFill>
                </w14:textFill>
              </w:rPr>
              <w:t>100</w:t>
            </w:r>
            <w:r>
              <w:rPr>
                <w:rFonts w:hint="default" w:hAnsi="宋体" w:cs="宋体"/>
                <w:color w:val="000000" w:themeColor="text1"/>
                <w:sz w:val="24"/>
                <w:szCs w:val="24"/>
                <w14:textFill>
                  <w14:solidFill>
                    <w14:schemeClr w14:val="tx1"/>
                  </w14:solidFill>
                </w14:textFill>
              </w:rPr>
              <w:t>%</w:t>
            </w:r>
          </w:p>
        </w:tc>
        <w:tc>
          <w:tcPr>
            <w:tcW w:w="16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37D170">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24"/>
                <w:szCs w:val="24"/>
                <w14:textFill>
                  <w14:solidFill>
                    <w14:schemeClr w14:val="tx1"/>
                  </w14:solidFill>
                </w14:textFill>
              </w:rPr>
            </w:pPr>
            <w:r>
              <w:rPr>
                <w:rFonts w:hint="default" w:ascii="Times New Roman" w:hAnsi="Times New Roman" w:cs="宋体"/>
                <w:color w:val="000000" w:themeColor="text1"/>
                <w:sz w:val="24"/>
                <w:szCs w:val="24"/>
                <w14:textFill>
                  <w14:solidFill>
                    <w14:schemeClr w14:val="tx1"/>
                  </w14:solidFill>
                </w14:textFill>
              </w:rPr>
              <w:t>100</w:t>
            </w:r>
            <w:r>
              <w:rPr>
                <w:rFonts w:hint="default" w:hAnsi="宋体" w:cs="宋体"/>
                <w:color w:val="000000" w:themeColor="text1"/>
                <w:sz w:val="24"/>
                <w:szCs w:val="24"/>
                <w14:textFill>
                  <w14:solidFill>
                    <w14:schemeClr w14:val="tx1"/>
                  </w14:solidFill>
                </w14:textFill>
              </w:rPr>
              <w:t>%</w:t>
            </w:r>
          </w:p>
        </w:tc>
        <w:tc>
          <w:tcPr>
            <w:tcW w:w="12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6D7827">
            <w:pPr>
              <w:keepNext w:val="0"/>
              <w:keepLines w:val="0"/>
              <w:pageBreakBefore w:val="0"/>
              <w:kinsoku/>
              <w:wordWrap/>
              <w:overflowPunct/>
              <w:topLinePunct w:val="0"/>
              <w:autoSpaceDE w:val="0"/>
              <w:autoSpaceDN w:val="0"/>
              <w:bidi w:val="0"/>
              <w:adjustRightInd w:val="0"/>
              <w:snapToGrid/>
              <w:ind w:left="-60" w:leftChars="-25" w:right="-60" w:rightChars="-25"/>
              <w:jc w:val="center"/>
              <w:rPr>
                <w:rFonts w:hint="default" w:hAnsi="宋体" w:cs="宋体"/>
                <w:color w:val="000000" w:themeColor="text1"/>
                <w:sz w:val="18"/>
                <w:szCs w:val="18"/>
                <w14:textFill>
                  <w14:solidFill>
                    <w14:schemeClr w14:val="tx1"/>
                  </w14:solidFill>
                </w14:textFill>
              </w:rPr>
            </w:pPr>
          </w:p>
        </w:tc>
      </w:tr>
      <w:tr w14:paraId="113D0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476F8F">
            <w:pPr>
              <w:jc w:val="center"/>
              <w:rPr>
                <w:rFonts w:hint="default" w:hAnsi="宋体" w:cs="宋体"/>
                <w:color w:val="000000" w:themeColor="text1"/>
                <w:sz w:val="18"/>
                <w:szCs w:val="18"/>
                <w14:textFill>
                  <w14:solidFill>
                    <w14:schemeClr w14:val="tx1"/>
                  </w14:solidFill>
                </w14:textFill>
              </w:rPr>
            </w:pPr>
          </w:p>
        </w:tc>
        <w:tc>
          <w:tcPr>
            <w:tcW w:w="83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2310BB">
            <w:pPr>
              <w:keepNext w:val="0"/>
              <w:keepLines w:val="0"/>
              <w:pageBreakBefore w:val="0"/>
              <w:kinsoku/>
              <w:wordWrap/>
              <w:overflowPunct/>
              <w:topLinePunct w:val="0"/>
              <w:autoSpaceDE w:val="0"/>
              <w:autoSpaceDN w:val="0"/>
              <w:bidi w:val="0"/>
              <w:adjustRightInd w:val="0"/>
              <w:snapToGrid/>
              <w:ind w:left="-60" w:leftChars="-25" w:right="-60" w:rightChars="-25"/>
              <w:jc w:val="center"/>
              <w:rPr>
                <w:rFonts w:hint="default" w:hAnsi="宋体" w:cs="宋体"/>
                <w:color w:val="000000" w:themeColor="text1"/>
                <w:sz w:val="18"/>
                <w:szCs w:val="18"/>
                <w14:textFill>
                  <w14:solidFill>
                    <w14:schemeClr w14:val="tx1"/>
                  </w14:solidFill>
                </w14:textFill>
              </w:rPr>
            </w:pPr>
          </w:p>
        </w:tc>
        <w:tc>
          <w:tcPr>
            <w:tcW w:w="112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559E42">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18"/>
                <w:szCs w:val="18"/>
                <w14:textFill>
                  <w14:solidFill>
                    <w14:schemeClr w14:val="tx1"/>
                  </w14:solidFill>
                </w14:textFill>
              </w:rPr>
            </w:pPr>
            <w:r>
              <w:rPr>
                <w:rFonts w:hint="default" w:hAnsi="宋体" w:cs="宋体"/>
                <w:color w:val="000000" w:themeColor="text1"/>
                <w:sz w:val="18"/>
                <w:szCs w:val="18"/>
                <w14:textFill>
                  <w14:solidFill>
                    <w14:schemeClr w14:val="tx1"/>
                  </w14:solidFill>
                </w14:textFill>
              </w:rPr>
              <w:t>时效指标</w:t>
            </w:r>
          </w:p>
        </w:tc>
        <w:tc>
          <w:tcPr>
            <w:tcW w:w="2207"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C87F8B">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18"/>
                <w:szCs w:val="18"/>
                <w14:textFill>
                  <w14:solidFill>
                    <w14:schemeClr w14:val="tx1"/>
                  </w14:solidFill>
                </w14:textFill>
              </w:rPr>
            </w:pPr>
            <w:r>
              <w:rPr>
                <w:rFonts w:hint="default" w:hAnsi="宋体" w:cs="宋体"/>
                <w:color w:val="000000" w:themeColor="text1"/>
                <w:sz w:val="18"/>
                <w:szCs w:val="18"/>
                <w14:textFill>
                  <w14:solidFill>
                    <w14:schemeClr w14:val="tx1"/>
                  </w14:solidFill>
                </w14:textFill>
              </w:rPr>
              <w:t>全面完成各项任务</w:t>
            </w:r>
          </w:p>
        </w:tc>
        <w:tc>
          <w:tcPr>
            <w:tcW w:w="119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14:paraId="6C80FE40">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24"/>
                <w:szCs w:val="24"/>
                <w14:textFill>
                  <w14:solidFill>
                    <w14:schemeClr w14:val="tx1"/>
                  </w14:solidFill>
                </w14:textFill>
              </w:rPr>
            </w:pPr>
            <w:r>
              <w:rPr>
                <w:rFonts w:hint="default" w:ascii="Times New Roman" w:hAnsi="Times New Roman" w:cs="宋体"/>
                <w:color w:val="000000" w:themeColor="text1"/>
                <w:sz w:val="24"/>
                <w:szCs w:val="24"/>
                <w14:textFill>
                  <w14:solidFill>
                    <w14:schemeClr w14:val="tx1"/>
                  </w14:solidFill>
                </w14:textFill>
              </w:rPr>
              <w:t>100</w:t>
            </w:r>
            <w:r>
              <w:rPr>
                <w:rFonts w:hint="default" w:hAnsi="宋体" w:cs="宋体"/>
                <w:color w:val="000000" w:themeColor="text1"/>
                <w:sz w:val="24"/>
                <w:szCs w:val="24"/>
                <w14:textFill>
                  <w14:solidFill>
                    <w14:schemeClr w14:val="tx1"/>
                  </w14:solidFill>
                </w14:textFill>
              </w:rPr>
              <w:t>%</w:t>
            </w:r>
          </w:p>
        </w:tc>
        <w:tc>
          <w:tcPr>
            <w:tcW w:w="169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2B4AF5">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24"/>
                <w:szCs w:val="24"/>
                <w14:textFill>
                  <w14:solidFill>
                    <w14:schemeClr w14:val="tx1"/>
                  </w14:solidFill>
                </w14:textFill>
              </w:rPr>
            </w:pPr>
            <w:r>
              <w:rPr>
                <w:rFonts w:hint="default" w:ascii="Times New Roman" w:hAnsi="Times New Roman" w:cs="宋体"/>
                <w:color w:val="000000" w:themeColor="text1"/>
                <w:sz w:val="24"/>
                <w:szCs w:val="24"/>
                <w14:textFill>
                  <w14:solidFill>
                    <w14:schemeClr w14:val="tx1"/>
                  </w14:solidFill>
                </w14:textFill>
              </w:rPr>
              <w:t>100</w:t>
            </w:r>
            <w:r>
              <w:rPr>
                <w:rFonts w:hint="default" w:hAnsi="宋体" w:cs="宋体"/>
                <w:color w:val="000000" w:themeColor="text1"/>
                <w:sz w:val="24"/>
                <w:szCs w:val="24"/>
                <w14:textFill>
                  <w14:solidFill>
                    <w14:schemeClr w14:val="tx1"/>
                  </w14:solidFill>
                </w14:textFill>
              </w:rPr>
              <w:t>%</w:t>
            </w:r>
          </w:p>
        </w:tc>
        <w:tc>
          <w:tcPr>
            <w:tcW w:w="129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6A3B1C">
            <w:pPr>
              <w:keepNext w:val="0"/>
              <w:keepLines w:val="0"/>
              <w:pageBreakBefore w:val="0"/>
              <w:kinsoku/>
              <w:wordWrap/>
              <w:overflowPunct/>
              <w:topLinePunct w:val="0"/>
              <w:autoSpaceDE w:val="0"/>
              <w:autoSpaceDN w:val="0"/>
              <w:bidi w:val="0"/>
              <w:adjustRightInd w:val="0"/>
              <w:snapToGrid/>
              <w:ind w:left="-60" w:leftChars="-25" w:right="-60" w:rightChars="-25"/>
              <w:jc w:val="center"/>
              <w:rPr>
                <w:rFonts w:hint="default" w:hAnsi="宋体" w:cs="宋体"/>
                <w:color w:val="000000" w:themeColor="text1"/>
                <w:sz w:val="18"/>
                <w:szCs w:val="18"/>
                <w14:textFill>
                  <w14:solidFill>
                    <w14:schemeClr w14:val="tx1"/>
                  </w14:solidFill>
                </w14:textFill>
              </w:rPr>
            </w:pPr>
          </w:p>
        </w:tc>
      </w:tr>
      <w:tr w14:paraId="4DAE6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42EFB4">
            <w:pPr>
              <w:jc w:val="center"/>
              <w:rPr>
                <w:rFonts w:hint="default" w:hAnsi="宋体" w:cs="宋体"/>
                <w:color w:val="000000" w:themeColor="text1"/>
                <w:sz w:val="18"/>
                <w:szCs w:val="18"/>
                <w14:textFill>
                  <w14:solidFill>
                    <w14:schemeClr w14:val="tx1"/>
                  </w14:solidFill>
                </w14:textFill>
              </w:rPr>
            </w:pPr>
          </w:p>
        </w:tc>
        <w:tc>
          <w:tcPr>
            <w:tcW w:w="83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0D55DB">
            <w:pPr>
              <w:keepNext w:val="0"/>
              <w:keepLines w:val="0"/>
              <w:pageBreakBefore w:val="0"/>
              <w:kinsoku/>
              <w:wordWrap/>
              <w:overflowPunct/>
              <w:topLinePunct w:val="0"/>
              <w:autoSpaceDE w:val="0"/>
              <w:autoSpaceDN w:val="0"/>
              <w:bidi w:val="0"/>
              <w:adjustRightInd w:val="0"/>
              <w:snapToGrid/>
              <w:ind w:left="-60" w:leftChars="-25" w:right="-60" w:rightChars="-25"/>
              <w:jc w:val="center"/>
              <w:rPr>
                <w:rFonts w:hint="default" w:hAnsi="宋体" w:cs="宋体"/>
                <w:color w:val="000000" w:themeColor="text1"/>
                <w:sz w:val="18"/>
                <w:szCs w:val="18"/>
                <w14:textFill>
                  <w14:solidFill>
                    <w14:schemeClr w14:val="tx1"/>
                  </w14:solidFill>
                </w14:textFill>
              </w:rPr>
            </w:pPr>
          </w:p>
        </w:tc>
        <w:tc>
          <w:tcPr>
            <w:tcW w:w="112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383463">
            <w:pPr>
              <w:keepNext w:val="0"/>
              <w:keepLines w:val="0"/>
              <w:pageBreakBefore w:val="0"/>
              <w:kinsoku/>
              <w:wordWrap/>
              <w:overflowPunct/>
              <w:topLinePunct w:val="0"/>
              <w:autoSpaceDE w:val="0"/>
              <w:autoSpaceDN w:val="0"/>
              <w:bidi w:val="0"/>
              <w:adjustRightInd w:val="0"/>
              <w:snapToGrid/>
              <w:ind w:left="-60" w:leftChars="-25" w:right="-60" w:rightChars="-25"/>
              <w:jc w:val="center"/>
              <w:rPr>
                <w:rFonts w:hint="default" w:hAnsi="宋体" w:cs="宋体"/>
                <w:color w:val="000000" w:themeColor="text1"/>
                <w:sz w:val="18"/>
                <w:szCs w:val="18"/>
                <w14:textFill>
                  <w14:solidFill>
                    <w14:schemeClr w14:val="tx1"/>
                  </w14:solidFill>
                </w14:textFill>
              </w:rPr>
            </w:pPr>
          </w:p>
        </w:tc>
        <w:tc>
          <w:tcPr>
            <w:tcW w:w="220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21A275">
            <w:pPr>
              <w:keepNext w:val="0"/>
              <w:keepLines w:val="0"/>
              <w:pageBreakBefore w:val="0"/>
              <w:kinsoku/>
              <w:wordWrap/>
              <w:overflowPunct/>
              <w:topLinePunct w:val="0"/>
              <w:autoSpaceDE w:val="0"/>
              <w:autoSpaceDN w:val="0"/>
              <w:bidi w:val="0"/>
              <w:adjustRightInd w:val="0"/>
              <w:snapToGrid/>
              <w:ind w:left="-60" w:leftChars="-25" w:right="-60" w:rightChars="-25"/>
              <w:jc w:val="center"/>
              <w:rPr>
                <w:rFonts w:hint="default" w:hAnsi="宋体" w:cs="宋体"/>
                <w:color w:val="000000" w:themeColor="text1"/>
                <w:sz w:val="18"/>
                <w:szCs w:val="18"/>
                <w14:textFill>
                  <w14:solidFill>
                    <w14:schemeClr w14:val="tx1"/>
                  </w14:solidFill>
                </w14:textFill>
              </w:rPr>
            </w:pPr>
          </w:p>
        </w:tc>
        <w:tc>
          <w:tcPr>
            <w:tcW w:w="119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75F47BF6">
            <w:pPr>
              <w:keepNext w:val="0"/>
              <w:keepLines w:val="0"/>
              <w:pageBreakBefore w:val="0"/>
              <w:kinsoku/>
              <w:wordWrap/>
              <w:overflowPunct/>
              <w:topLinePunct w:val="0"/>
              <w:autoSpaceDE w:val="0"/>
              <w:autoSpaceDN w:val="0"/>
              <w:bidi w:val="0"/>
              <w:adjustRightInd w:val="0"/>
              <w:snapToGrid/>
              <w:ind w:left="-60" w:leftChars="-25" w:right="-60" w:rightChars="-25"/>
              <w:jc w:val="center"/>
              <w:rPr>
                <w:rFonts w:hint="default" w:hAnsi="宋体" w:cs="宋体"/>
                <w:color w:val="000000" w:themeColor="text1"/>
                <w:sz w:val="24"/>
                <w:szCs w:val="24"/>
                <w14:textFill>
                  <w14:solidFill>
                    <w14:schemeClr w14:val="tx1"/>
                  </w14:solidFill>
                </w14:textFill>
              </w:rPr>
            </w:pPr>
          </w:p>
        </w:tc>
        <w:tc>
          <w:tcPr>
            <w:tcW w:w="16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53443B">
            <w:pPr>
              <w:keepNext w:val="0"/>
              <w:keepLines w:val="0"/>
              <w:pageBreakBefore w:val="0"/>
              <w:kinsoku/>
              <w:wordWrap/>
              <w:overflowPunct/>
              <w:topLinePunct w:val="0"/>
              <w:autoSpaceDE w:val="0"/>
              <w:autoSpaceDN w:val="0"/>
              <w:bidi w:val="0"/>
              <w:adjustRightInd w:val="0"/>
              <w:snapToGrid/>
              <w:ind w:left="-60" w:leftChars="-25" w:right="-60" w:rightChars="-25"/>
              <w:jc w:val="center"/>
              <w:rPr>
                <w:rFonts w:hint="default" w:hAnsi="宋体" w:cs="宋体"/>
                <w:color w:val="000000" w:themeColor="text1"/>
                <w:sz w:val="24"/>
                <w:szCs w:val="24"/>
                <w14:textFill>
                  <w14:solidFill>
                    <w14:schemeClr w14:val="tx1"/>
                  </w14:solidFill>
                </w14:textFill>
              </w:rPr>
            </w:pPr>
          </w:p>
        </w:tc>
        <w:tc>
          <w:tcPr>
            <w:tcW w:w="12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F15680">
            <w:pPr>
              <w:keepNext w:val="0"/>
              <w:keepLines w:val="0"/>
              <w:pageBreakBefore w:val="0"/>
              <w:kinsoku/>
              <w:wordWrap/>
              <w:overflowPunct/>
              <w:topLinePunct w:val="0"/>
              <w:autoSpaceDE w:val="0"/>
              <w:autoSpaceDN w:val="0"/>
              <w:bidi w:val="0"/>
              <w:adjustRightInd w:val="0"/>
              <w:snapToGrid/>
              <w:ind w:left="-60" w:leftChars="-25" w:right="-60" w:rightChars="-25"/>
              <w:jc w:val="center"/>
              <w:rPr>
                <w:rFonts w:hint="default" w:hAnsi="宋体" w:cs="宋体"/>
                <w:color w:val="000000" w:themeColor="text1"/>
                <w:sz w:val="18"/>
                <w:szCs w:val="18"/>
                <w14:textFill>
                  <w14:solidFill>
                    <w14:schemeClr w14:val="tx1"/>
                  </w14:solidFill>
                </w14:textFill>
              </w:rPr>
            </w:pPr>
          </w:p>
        </w:tc>
      </w:tr>
      <w:tr w14:paraId="60E8A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91CEA4">
            <w:pPr>
              <w:jc w:val="center"/>
              <w:rPr>
                <w:rFonts w:hint="default" w:hAnsi="宋体" w:cs="宋体"/>
                <w:color w:val="000000" w:themeColor="text1"/>
                <w:sz w:val="18"/>
                <w:szCs w:val="18"/>
                <w14:textFill>
                  <w14:solidFill>
                    <w14:schemeClr w14:val="tx1"/>
                  </w14:solidFill>
                </w14:textFill>
              </w:rPr>
            </w:pPr>
          </w:p>
        </w:tc>
        <w:tc>
          <w:tcPr>
            <w:tcW w:w="83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3BDD12">
            <w:pPr>
              <w:keepNext w:val="0"/>
              <w:keepLines w:val="0"/>
              <w:pageBreakBefore w:val="0"/>
              <w:kinsoku/>
              <w:wordWrap/>
              <w:overflowPunct/>
              <w:topLinePunct w:val="0"/>
              <w:autoSpaceDE w:val="0"/>
              <w:autoSpaceDN w:val="0"/>
              <w:bidi w:val="0"/>
              <w:adjustRightInd w:val="0"/>
              <w:snapToGrid/>
              <w:ind w:left="-60" w:leftChars="-25" w:right="-60" w:rightChars="-25"/>
              <w:jc w:val="center"/>
              <w:rPr>
                <w:rFonts w:hint="default" w:hAnsi="宋体" w:cs="宋体"/>
                <w:color w:val="000000" w:themeColor="text1"/>
                <w:sz w:val="18"/>
                <w:szCs w:val="18"/>
                <w14:textFill>
                  <w14:solidFill>
                    <w14:schemeClr w14:val="tx1"/>
                  </w14:solidFill>
                </w14:textFill>
              </w:rPr>
            </w:pPr>
          </w:p>
        </w:tc>
        <w:tc>
          <w:tcPr>
            <w:tcW w:w="112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150980">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18"/>
                <w:szCs w:val="18"/>
                <w14:textFill>
                  <w14:solidFill>
                    <w14:schemeClr w14:val="tx1"/>
                  </w14:solidFill>
                </w14:textFill>
              </w:rPr>
            </w:pPr>
            <w:r>
              <w:rPr>
                <w:rFonts w:hint="default" w:hAnsi="宋体" w:cs="宋体"/>
                <w:color w:val="000000" w:themeColor="text1"/>
                <w:sz w:val="18"/>
                <w:szCs w:val="18"/>
                <w14:textFill>
                  <w14:solidFill>
                    <w14:schemeClr w14:val="tx1"/>
                  </w14:solidFill>
                </w14:textFill>
              </w:rPr>
              <w:t>成本指标</w:t>
            </w:r>
          </w:p>
        </w:tc>
        <w:tc>
          <w:tcPr>
            <w:tcW w:w="220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E89F4D">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18"/>
                <w:szCs w:val="18"/>
                <w14:textFill>
                  <w14:solidFill>
                    <w14:schemeClr w14:val="tx1"/>
                  </w14:solidFill>
                </w14:textFill>
              </w:rPr>
            </w:pPr>
            <w:r>
              <w:rPr>
                <w:rFonts w:hint="default" w:hAnsi="宋体" w:cs="宋体"/>
                <w:color w:val="000000" w:themeColor="text1"/>
                <w:sz w:val="18"/>
                <w:szCs w:val="18"/>
                <w14:textFill>
                  <w14:solidFill>
                    <w14:schemeClr w14:val="tx1"/>
                  </w14:solidFill>
                </w14:textFill>
              </w:rPr>
              <w:t>人员经费（万元）</w:t>
            </w:r>
          </w:p>
        </w:tc>
        <w:tc>
          <w:tcPr>
            <w:tcW w:w="11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4046B5">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24"/>
                <w:szCs w:val="24"/>
                <w14:textFill>
                  <w14:solidFill>
                    <w14:schemeClr w14:val="tx1"/>
                  </w14:solidFill>
                </w14:textFill>
              </w:rPr>
            </w:pPr>
            <w:r>
              <w:rPr>
                <w:rFonts w:hint="default" w:ascii="Times New Roman" w:hAnsi="Times New Roman" w:cs="宋体"/>
                <w:color w:val="000000" w:themeColor="text1"/>
                <w:sz w:val="24"/>
                <w:szCs w:val="24"/>
                <w14:textFill>
                  <w14:solidFill>
                    <w14:schemeClr w14:val="tx1"/>
                  </w14:solidFill>
                </w14:textFill>
              </w:rPr>
              <w:t>124</w:t>
            </w:r>
            <w:r>
              <w:rPr>
                <w:rFonts w:hint="default" w:hAnsi="宋体" w:cs="宋体"/>
                <w:color w:val="000000" w:themeColor="text1"/>
                <w:sz w:val="24"/>
                <w:szCs w:val="24"/>
                <w14:textFill>
                  <w14:solidFill>
                    <w14:schemeClr w14:val="tx1"/>
                  </w14:solidFill>
                </w14:textFill>
              </w:rPr>
              <w:t>.</w:t>
            </w:r>
            <w:r>
              <w:rPr>
                <w:rFonts w:hint="default" w:ascii="Times New Roman" w:hAnsi="Times New Roman" w:cs="宋体"/>
                <w:color w:val="000000" w:themeColor="text1"/>
                <w:sz w:val="24"/>
                <w:szCs w:val="24"/>
                <w14:textFill>
                  <w14:solidFill>
                    <w14:schemeClr w14:val="tx1"/>
                  </w14:solidFill>
                </w14:textFill>
              </w:rPr>
              <w:t>76</w:t>
            </w:r>
          </w:p>
        </w:tc>
        <w:tc>
          <w:tcPr>
            <w:tcW w:w="16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6D3FCE">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24"/>
                <w:szCs w:val="24"/>
                <w14:textFill>
                  <w14:solidFill>
                    <w14:schemeClr w14:val="tx1"/>
                  </w14:solidFill>
                </w14:textFill>
              </w:rPr>
            </w:pPr>
            <w:r>
              <w:rPr>
                <w:rFonts w:hint="default" w:ascii="Times New Roman" w:hAnsi="Times New Roman" w:cs="宋体"/>
                <w:color w:val="000000" w:themeColor="text1"/>
                <w:sz w:val="24"/>
                <w:szCs w:val="24"/>
                <w14:textFill>
                  <w14:solidFill>
                    <w14:schemeClr w14:val="tx1"/>
                  </w14:solidFill>
                </w14:textFill>
              </w:rPr>
              <w:t>124</w:t>
            </w:r>
            <w:r>
              <w:rPr>
                <w:rFonts w:hint="default" w:hAnsi="宋体" w:cs="宋体"/>
                <w:color w:val="000000" w:themeColor="text1"/>
                <w:sz w:val="24"/>
                <w:szCs w:val="24"/>
                <w14:textFill>
                  <w14:solidFill>
                    <w14:schemeClr w14:val="tx1"/>
                  </w14:solidFill>
                </w14:textFill>
              </w:rPr>
              <w:t>.</w:t>
            </w:r>
            <w:r>
              <w:rPr>
                <w:rFonts w:hint="default" w:ascii="Times New Roman" w:hAnsi="Times New Roman" w:cs="宋体"/>
                <w:color w:val="000000" w:themeColor="text1"/>
                <w:sz w:val="24"/>
                <w:szCs w:val="24"/>
                <w14:textFill>
                  <w14:solidFill>
                    <w14:schemeClr w14:val="tx1"/>
                  </w14:solidFill>
                </w14:textFill>
              </w:rPr>
              <w:t>76</w:t>
            </w:r>
          </w:p>
        </w:tc>
        <w:tc>
          <w:tcPr>
            <w:tcW w:w="12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CB66CE">
            <w:pPr>
              <w:keepNext w:val="0"/>
              <w:keepLines w:val="0"/>
              <w:pageBreakBefore w:val="0"/>
              <w:kinsoku/>
              <w:wordWrap/>
              <w:overflowPunct/>
              <w:topLinePunct w:val="0"/>
              <w:autoSpaceDE w:val="0"/>
              <w:autoSpaceDN w:val="0"/>
              <w:bidi w:val="0"/>
              <w:adjustRightInd w:val="0"/>
              <w:snapToGrid/>
              <w:ind w:left="-60" w:leftChars="-25" w:right="-60" w:rightChars="-25"/>
              <w:jc w:val="center"/>
              <w:rPr>
                <w:rFonts w:hint="default" w:hAnsi="宋体" w:cs="宋体"/>
                <w:color w:val="000000" w:themeColor="text1"/>
                <w:sz w:val="18"/>
                <w:szCs w:val="18"/>
                <w14:textFill>
                  <w14:solidFill>
                    <w14:schemeClr w14:val="tx1"/>
                  </w14:solidFill>
                </w14:textFill>
              </w:rPr>
            </w:pPr>
          </w:p>
        </w:tc>
      </w:tr>
      <w:tr w14:paraId="13BAF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AD6DD8">
            <w:pPr>
              <w:jc w:val="center"/>
              <w:rPr>
                <w:rFonts w:hint="default" w:hAnsi="宋体" w:cs="宋体"/>
                <w:color w:val="000000" w:themeColor="text1"/>
                <w:sz w:val="18"/>
                <w:szCs w:val="18"/>
                <w14:textFill>
                  <w14:solidFill>
                    <w14:schemeClr w14:val="tx1"/>
                  </w14:solidFill>
                </w14:textFill>
              </w:rPr>
            </w:pPr>
          </w:p>
        </w:tc>
        <w:tc>
          <w:tcPr>
            <w:tcW w:w="83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B9CC59">
            <w:pPr>
              <w:keepNext w:val="0"/>
              <w:keepLines w:val="0"/>
              <w:pageBreakBefore w:val="0"/>
              <w:kinsoku/>
              <w:wordWrap/>
              <w:overflowPunct/>
              <w:topLinePunct w:val="0"/>
              <w:autoSpaceDE w:val="0"/>
              <w:autoSpaceDN w:val="0"/>
              <w:bidi w:val="0"/>
              <w:adjustRightInd w:val="0"/>
              <w:snapToGrid/>
              <w:ind w:left="-60" w:leftChars="-25" w:right="-60" w:rightChars="-25"/>
              <w:jc w:val="center"/>
              <w:rPr>
                <w:rFonts w:hint="default" w:hAnsi="宋体" w:cs="宋体"/>
                <w:color w:val="000000" w:themeColor="text1"/>
                <w:sz w:val="18"/>
                <w:szCs w:val="18"/>
                <w14:textFill>
                  <w14:solidFill>
                    <w14:schemeClr w14:val="tx1"/>
                  </w14:solidFill>
                </w14:textFill>
              </w:rPr>
            </w:pPr>
          </w:p>
        </w:tc>
        <w:tc>
          <w:tcPr>
            <w:tcW w:w="112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400658">
            <w:pPr>
              <w:keepNext w:val="0"/>
              <w:keepLines w:val="0"/>
              <w:pageBreakBefore w:val="0"/>
              <w:kinsoku/>
              <w:wordWrap/>
              <w:overflowPunct/>
              <w:topLinePunct w:val="0"/>
              <w:autoSpaceDE w:val="0"/>
              <w:autoSpaceDN w:val="0"/>
              <w:bidi w:val="0"/>
              <w:adjustRightInd w:val="0"/>
              <w:snapToGrid/>
              <w:ind w:left="-60" w:leftChars="-25" w:right="-60" w:rightChars="-25"/>
              <w:jc w:val="center"/>
              <w:rPr>
                <w:rFonts w:hint="default" w:hAnsi="宋体" w:cs="宋体"/>
                <w:color w:val="000000" w:themeColor="text1"/>
                <w:sz w:val="18"/>
                <w:szCs w:val="18"/>
                <w14:textFill>
                  <w14:solidFill>
                    <w14:schemeClr w14:val="tx1"/>
                  </w14:solidFill>
                </w14:textFill>
              </w:rPr>
            </w:pPr>
          </w:p>
        </w:tc>
        <w:tc>
          <w:tcPr>
            <w:tcW w:w="220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F0F36C">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18"/>
                <w:szCs w:val="18"/>
                <w14:textFill>
                  <w14:solidFill>
                    <w14:schemeClr w14:val="tx1"/>
                  </w14:solidFill>
                </w14:textFill>
              </w:rPr>
            </w:pPr>
            <w:r>
              <w:rPr>
                <w:rFonts w:hint="default" w:hAnsi="宋体" w:cs="宋体"/>
                <w:color w:val="000000" w:themeColor="text1"/>
                <w:sz w:val="18"/>
                <w:szCs w:val="18"/>
                <w14:textFill>
                  <w14:solidFill>
                    <w14:schemeClr w14:val="tx1"/>
                  </w14:solidFill>
                </w14:textFill>
              </w:rPr>
              <w:t>日常运转经费（万元）</w:t>
            </w:r>
          </w:p>
        </w:tc>
        <w:tc>
          <w:tcPr>
            <w:tcW w:w="11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33AA13">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24"/>
                <w:szCs w:val="24"/>
                <w14:textFill>
                  <w14:solidFill>
                    <w14:schemeClr w14:val="tx1"/>
                  </w14:solidFill>
                </w14:textFill>
              </w:rPr>
            </w:pPr>
            <w:r>
              <w:rPr>
                <w:rFonts w:hint="default" w:ascii="Times New Roman" w:hAnsi="Times New Roman" w:cs="宋体"/>
                <w:color w:val="000000" w:themeColor="text1"/>
                <w:sz w:val="24"/>
                <w:szCs w:val="24"/>
                <w14:textFill>
                  <w14:solidFill>
                    <w14:schemeClr w14:val="tx1"/>
                  </w14:solidFill>
                </w14:textFill>
              </w:rPr>
              <w:t>48</w:t>
            </w:r>
            <w:r>
              <w:rPr>
                <w:rFonts w:hint="default" w:hAnsi="宋体" w:cs="宋体"/>
                <w:color w:val="000000" w:themeColor="text1"/>
                <w:sz w:val="24"/>
                <w:szCs w:val="24"/>
                <w14:textFill>
                  <w14:solidFill>
                    <w14:schemeClr w14:val="tx1"/>
                  </w14:solidFill>
                </w14:textFill>
              </w:rPr>
              <w:t>.</w:t>
            </w:r>
            <w:r>
              <w:rPr>
                <w:rFonts w:hint="default" w:ascii="Times New Roman" w:hAnsi="Times New Roman" w:cs="宋体"/>
                <w:color w:val="000000" w:themeColor="text1"/>
                <w:sz w:val="24"/>
                <w:szCs w:val="24"/>
                <w14:textFill>
                  <w14:solidFill>
                    <w14:schemeClr w14:val="tx1"/>
                  </w14:solidFill>
                </w14:textFill>
              </w:rPr>
              <w:t>82</w:t>
            </w:r>
          </w:p>
        </w:tc>
        <w:tc>
          <w:tcPr>
            <w:tcW w:w="16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22AAD0">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24"/>
                <w:szCs w:val="24"/>
                <w14:textFill>
                  <w14:solidFill>
                    <w14:schemeClr w14:val="tx1"/>
                  </w14:solidFill>
                </w14:textFill>
              </w:rPr>
            </w:pPr>
            <w:r>
              <w:rPr>
                <w:rFonts w:hint="default" w:ascii="Times New Roman" w:hAnsi="Times New Roman" w:cs="宋体"/>
                <w:color w:val="000000" w:themeColor="text1"/>
                <w:sz w:val="24"/>
                <w:szCs w:val="24"/>
                <w14:textFill>
                  <w14:solidFill>
                    <w14:schemeClr w14:val="tx1"/>
                  </w14:solidFill>
                </w14:textFill>
              </w:rPr>
              <w:t>48</w:t>
            </w:r>
            <w:r>
              <w:rPr>
                <w:rFonts w:hint="default" w:hAnsi="宋体" w:cs="宋体"/>
                <w:color w:val="000000" w:themeColor="text1"/>
                <w:sz w:val="24"/>
                <w:szCs w:val="24"/>
                <w14:textFill>
                  <w14:solidFill>
                    <w14:schemeClr w14:val="tx1"/>
                  </w14:solidFill>
                </w14:textFill>
              </w:rPr>
              <w:t>.</w:t>
            </w:r>
            <w:r>
              <w:rPr>
                <w:rFonts w:hint="default" w:ascii="Times New Roman" w:hAnsi="Times New Roman" w:cs="宋体"/>
                <w:color w:val="000000" w:themeColor="text1"/>
                <w:sz w:val="24"/>
                <w:szCs w:val="24"/>
                <w14:textFill>
                  <w14:solidFill>
                    <w14:schemeClr w14:val="tx1"/>
                  </w14:solidFill>
                </w14:textFill>
              </w:rPr>
              <w:t>82</w:t>
            </w:r>
          </w:p>
        </w:tc>
        <w:tc>
          <w:tcPr>
            <w:tcW w:w="12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7D3DB2">
            <w:pPr>
              <w:keepNext w:val="0"/>
              <w:keepLines w:val="0"/>
              <w:pageBreakBefore w:val="0"/>
              <w:kinsoku/>
              <w:wordWrap/>
              <w:overflowPunct/>
              <w:topLinePunct w:val="0"/>
              <w:autoSpaceDE w:val="0"/>
              <w:autoSpaceDN w:val="0"/>
              <w:bidi w:val="0"/>
              <w:adjustRightInd w:val="0"/>
              <w:snapToGrid/>
              <w:ind w:left="-60" w:leftChars="-25" w:right="-60" w:rightChars="-25"/>
              <w:jc w:val="center"/>
              <w:rPr>
                <w:rFonts w:hint="default" w:hAnsi="宋体" w:cs="宋体"/>
                <w:color w:val="000000" w:themeColor="text1"/>
                <w:sz w:val="18"/>
                <w:szCs w:val="18"/>
                <w14:textFill>
                  <w14:solidFill>
                    <w14:schemeClr w14:val="tx1"/>
                  </w14:solidFill>
                </w14:textFill>
              </w:rPr>
            </w:pPr>
          </w:p>
        </w:tc>
      </w:tr>
      <w:tr w14:paraId="2C63B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6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2C7F7A">
            <w:pPr>
              <w:jc w:val="center"/>
              <w:rPr>
                <w:rFonts w:hint="default" w:hAnsi="宋体" w:cs="宋体"/>
                <w:color w:val="000000" w:themeColor="text1"/>
                <w:sz w:val="18"/>
                <w:szCs w:val="18"/>
                <w14:textFill>
                  <w14:solidFill>
                    <w14:schemeClr w14:val="tx1"/>
                  </w14:solidFill>
                </w14:textFill>
              </w:rPr>
            </w:pPr>
          </w:p>
        </w:tc>
        <w:tc>
          <w:tcPr>
            <w:tcW w:w="83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D71BA7">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18"/>
                <w:szCs w:val="18"/>
                <w14:textFill>
                  <w14:solidFill>
                    <w14:schemeClr w14:val="tx1"/>
                  </w14:solidFill>
                </w14:textFill>
              </w:rPr>
            </w:pPr>
            <w:r>
              <w:rPr>
                <w:rFonts w:hint="default" w:hAnsi="宋体" w:cs="宋体"/>
                <w:color w:val="000000" w:themeColor="text1"/>
                <w:sz w:val="18"/>
                <w:szCs w:val="18"/>
                <w14:textFill>
                  <w14:solidFill>
                    <w14:schemeClr w14:val="tx1"/>
                  </w14:solidFill>
                </w14:textFill>
              </w:rPr>
              <w:t>效益指标</w:t>
            </w:r>
          </w:p>
        </w:tc>
        <w:tc>
          <w:tcPr>
            <w:tcW w:w="11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E55F00">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18"/>
                <w:szCs w:val="18"/>
                <w14:textFill>
                  <w14:solidFill>
                    <w14:schemeClr w14:val="tx1"/>
                  </w14:solidFill>
                </w14:textFill>
              </w:rPr>
            </w:pPr>
            <w:r>
              <w:rPr>
                <w:rFonts w:hint="default" w:hAnsi="宋体" w:cs="宋体"/>
                <w:color w:val="000000" w:themeColor="text1"/>
                <w:sz w:val="18"/>
                <w:szCs w:val="18"/>
                <w14:textFill>
                  <w14:solidFill>
                    <w14:schemeClr w14:val="tx1"/>
                  </w14:solidFill>
                </w14:textFill>
              </w:rPr>
              <w:t>经济效益</w:t>
            </w:r>
            <w:r>
              <w:rPr>
                <w:rFonts w:hint="default" w:hAnsi="宋体" w:cs="宋体"/>
                <w:color w:val="000000" w:themeColor="text1"/>
                <w:sz w:val="18"/>
                <w:szCs w:val="18"/>
                <w14:textFill>
                  <w14:solidFill>
                    <w14:schemeClr w14:val="tx1"/>
                  </w14:solidFill>
                </w14:textFill>
              </w:rPr>
              <w:br w:type="textWrapping"/>
            </w:r>
            <w:r>
              <w:rPr>
                <w:rFonts w:hint="default" w:hAnsi="宋体" w:cs="宋体"/>
                <w:color w:val="000000" w:themeColor="text1"/>
                <w:sz w:val="18"/>
                <w:szCs w:val="18"/>
                <w14:textFill>
                  <w14:solidFill>
                    <w14:schemeClr w14:val="tx1"/>
                  </w14:solidFill>
                </w14:textFill>
              </w:rPr>
              <w:t>指标</w:t>
            </w:r>
          </w:p>
        </w:tc>
        <w:tc>
          <w:tcPr>
            <w:tcW w:w="220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06D924">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18"/>
                <w:szCs w:val="18"/>
                <w14:textFill>
                  <w14:solidFill>
                    <w14:schemeClr w14:val="tx1"/>
                  </w14:solidFill>
                </w14:textFill>
              </w:rPr>
            </w:pPr>
            <w:r>
              <w:rPr>
                <w:rFonts w:hint="default" w:hAnsi="宋体" w:cs="宋体"/>
                <w:color w:val="000000" w:themeColor="text1"/>
                <w:sz w:val="18"/>
                <w:szCs w:val="18"/>
                <w14:textFill>
                  <w14:solidFill>
                    <w14:schemeClr w14:val="tx1"/>
                  </w14:solidFill>
                </w14:textFill>
              </w:rPr>
              <w:t>打好经济发展基础维护社会稳定，使用率达</w:t>
            </w:r>
            <w:r>
              <w:rPr>
                <w:rFonts w:hint="default" w:ascii="Times New Roman" w:hAnsi="Times New Roman" w:cs="宋体"/>
                <w:color w:val="000000" w:themeColor="text1"/>
                <w:sz w:val="18"/>
                <w:szCs w:val="18"/>
                <w14:textFill>
                  <w14:solidFill>
                    <w14:schemeClr w14:val="tx1"/>
                  </w14:solidFill>
                </w14:textFill>
              </w:rPr>
              <w:t>100</w:t>
            </w:r>
            <w:r>
              <w:rPr>
                <w:rFonts w:hint="default" w:hAnsi="宋体" w:cs="宋体"/>
                <w:color w:val="000000" w:themeColor="text1"/>
                <w:sz w:val="18"/>
                <w:szCs w:val="18"/>
                <w14:textFill>
                  <w14:solidFill>
                    <w14:schemeClr w14:val="tx1"/>
                  </w14:solidFill>
                </w14:textFill>
              </w:rPr>
              <w:t>%</w:t>
            </w:r>
          </w:p>
        </w:tc>
        <w:tc>
          <w:tcPr>
            <w:tcW w:w="11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BEAF80">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24"/>
                <w:szCs w:val="24"/>
                <w14:textFill>
                  <w14:solidFill>
                    <w14:schemeClr w14:val="tx1"/>
                  </w14:solidFill>
                </w14:textFill>
              </w:rPr>
            </w:pPr>
            <w:r>
              <w:rPr>
                <w:rFonts w:hint="default" w:ascii="Times New Roman" w:hAnsi="Times New Roman" w:cs="宋体"/>
                <w:color w:val="000000" w:themeColor="text1"/>
                <w:sz w:val="24"/>
                <w:szCs w:val="24"/>
                <w14:textFill>
                  <w14:solidFill>
                    <w14:schemeClr w14:val="tx1"/>
                  </w14:solidFill>
                </w14:textFill>
              </w:rPr>
              <w:t>100</w:t>
            </w:r>
            <w:r>
              <w:rPr>
                <w:rFonts w:hint="default" w:hAnsi="宋体" w:cs="宋体"/>
                <w:color w:val="000000" w:themeColor="text1"/>
                <w:sz w:val="24"/>
                <w:szCs w:val="24"/>
                <w14:textFill>
                  <w14:solidFill>
                    <w14:schemeClr w14:val="tx1"/>
                  </w14:solidFill>
                </w14:textFill>
              </w:rPr>
              <w:t>%</w:t>
            </w:r>
          </w:p>
        </w:tc>
        <w:tc>
          <w:tcPr>
            <w:tcW w:w="16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99CF41">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24"/>
                <w:szCs w:val="24"/>
                <w14:textFill>
                  <w14:solidFill>
                    <w14:schemeClr w14:val="tx1"/>
                  </w14:solidFill>
                </w14:textFill>
              </w:rPr>
            </w:pPr>
            <w:r>
              <w:rPr>
                <w:rFonts w:hint="default" w:ascii="Times New Roman" w:hAnsi="Times New Roman" w:cs="宋体"/>
                <w:color w:val="000000" w:themeColor="text1"/>
                <w:sz w:val="24"/>
                <w:szCs w:val="24"/>
                <w14:textFill>
                  <w14:solidFill>
                    <w14:schemeClr w14:val="tx1"/>
                  </w14:solidFill>
                </w14:textFill>
              </w:rPr>
              <w:t>100</w:t>
            </w:r>
            <w:r>
              <w:rPr>
                <w:rFonts w:hint="default" w:hAnsi="宋体" w:cs="宋体"/>
                <w:color w:val="000000" w:themeColor="text1"/>
                <w:sz w:val="24"/>
                <w:szCs w:val="24"/>
                <w14:textFill>
                  <w14:solidFill>
                    <w14:schemeClr w14:val="tx1"/>
                  </w14:solidFill>
                </w14:textFill>
              </w:rPr>
              <w:t>%</w:t>
            </w:r>
          </w:p>
        </w:tc>
        <w:tc>
          <w:tcPr>
            <w:tcW w:w="12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8E3A3C">
            <w:pPr>
              <w:keepNext w:val="0"/>
              <w:keepLines w:val="0"/>
              <w:pageBreakBefore w:val="0"/>
              <w:kinsoku/>
              <w:wordWrap/>
              <w:overflowPunct/>
              <w:topLinePunct w:val="0"/>
              <w:autoSpaceDE w:val="0"/>
              <w:autoSpaceDN w:val="0"/>
              <w:bidi w:val="0"/>
              <w:adjustRightInd w:val="0"/>
              <w:snapToGrid/>
              <w:ind w:left="-60" w:leftChars="-25" w:right="-60" w:rightChars="-25"/>
              <w:jc w:val="center"/>
              <w:rPr>
                <w:rFonts w:hint="default" w:hAnsi="宋体" w:cs="宋体"/>
                <w:color w:val="000000" w:themeColor="text1"/>
                <w:sz w:val="18"/>
                <w:szCs w:val="18"/>
                <w14:textFill>
                  <w14:solidFill>
                    <w14:schemeClr w14:val="tx1"/>
                  </w14:solidFill>
                </w14:textFill>
              </w:rPr>
            </w:pPr>
          </w:p>
        </w:tc>
      </w:tr>
      <w:tr w14:paraId="268AB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6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907913">
            <w:pPr>
              <w:jc w:val="center"/>
              <w:rPr>
                <w:rFonts w:hint="default" w:hAnsi="宋体" w:cs="宋体"/>
                <w:color w:val="000000" w:themeColor="text1"/>
                <w:sz w:val="18"/>
                <w:szCs w:val="18"/>
                <w14:textFill>
                  <w14:solidFill>
                    <w14:schemeClr w14:val="tx1"/>
                  </w14:solidFill>
                </w14:textFill>
              </w:rPr>
            </w:pPr>
          </w:p>
        </w:tc>
        <w:tc>
          <w:tcPr>
            <w:tcW w:w="83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597B5D">
            <w:pPr>
              <w:keepNext w:val="0"/>
              <w:keepLines w:val="0"/>
              <w:pageBreakBefore w:val="0"/>
              <w:kinsoku/>
              <w:wordWrap/>
              <w:overflowPunct/>
              <w:topLinePunct w:val="0"/>
              <w:autoSpaceDE w:val="0"/>
              <w:autoSpaceDN w:val="0"/>
              <w:bidi w:val="0"/>
              <w:adjustRightInd w:val="0"/>
              <w:snapToGrid/>
              <w:ind w:left="-60" w:leftChars="-25" w:right="-60" w:rightChars="-25"/>
              <w:jc w:val="center"/>
              <w:rPr>
                <w:rFonts w:hint="default" w:hAnsi="宋体" w:cs="宋体"/>
                <w:color w:val="000000" w:themeColor="text1"/>
                <w:sz w:val="18"/>
                <w:szCs w:val="18"/>
                <w14:textFill>
                  <w14:solidFill>
                    <w14:schemeClr w14:val="tx1"/>
                  </w14:solidFill>
                </w14:textFill>
              </w:rPr>
            </w:pPr>
          </w:p>
        </w:tc>
        <w:tc>
          <w:tcPr>
            <w:tcW w:w="11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1D97C2">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18"/>
                <w:szCs w:val="18"/>
                <w14:textFill>
                  <w14:solidFill>
                    <w14:schemeClr w14:val="tx1"/>
                  </w14:solidFill>
                </w14:textFill>
              </w:rPr>
            </w:pPr>
            <w:r>
              <w:rPr>
                <w:rFonts w:hint="default" w:hAnsi="宋体" w:cs="宋体"/>
                <w:color w:val="000000" w:themeColor="text1"/>
                <w:sz w:val="18"/>
                <w:szCs w:val="18"/>
                <w14:textFill>
                  <w14:solidFill>
                    <w14:schemeClr w14:val="tx1"/>
                  </w14:solidFill>
                </w14:textFill>
              </w:rPr>
              <w:t>社会效益</w:t>
            </w:r>
            <w:r>
              <w:rPr>
                <w:rFonts w:hint="default" w:hAnsi="宋体" w:cs="宋体"/>
                <w:color w:val="000000" w:themeColor="text1"/>
                <w:sz w:val="18"/>
                <w:szCs w:val="18"/>
                <w14:textFill>
                  <w14:solidFill>
                    <w14:schemeClr w14:val="tx1"/>
                  </w14:solidFill>
                </w14:textFill>
              </w:rPr>
              <w:br w:type="textWrapping"/>
            </w:r>
            <w:r>
              <w:rPr>
                <w:rFonts w:hint="default" w:hAnsi="宋体" w:cs="宋体"/>
                <w:color w:val="000000" w:themeColor="text1"/>
                <w:sz w:val="18"/>
                <w:szCs w:val="18"/>
                <w14:textFill>
                  <w14:solidFill>
                    <w14:schemeClr w14:val="tx1"/>
                  </w14:solidFill>
                </w14:textFill>
              </w:rPr>
              <w:t>指标</w:t>
            </w:r>
          </w:p>
        </w:tc>
        <w:tc>
          <w:tcPr>
            <w:tcW w:w="220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AA6009">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18"/>
                <w:szCs w:val="18"/>
                <w14:textFill>
                  <w14:solidFill>
                    <w14:schemeClr w14:val="tx1"/>
                  </w14:solidFill>
                </w14:textFill>
              </w:rPr>
            </w:pPr>
            <w:r>
              <w:rPr>
                <w:rFonts w:hint="default" w:hAnsi="宋体" w:cs="宋体"/>
                <w:color w:val="000000" w:themeColor="text1"/>
                <w:sz w:val="18"/>
                <w:szCs w:val="18"/>
                <w14:textFill>
                  <w14:solidFill>
                    <w14:schemeClr w14:val="tx1"/>
                  </w14:solidFill>
                </w14:textFill>
              </w:rPr>
              <w:t>宣传和教育相结合，确保社会稳定，让群众少跑路</w:t>
            </w:r>
          </w:p>
        </w:tc>
        <w:tc>
          <w:tcPr>
            <w:tcW w:w="11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339EE7">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24"/>
                <w:szCs w:val="24"/>
                <w14:textFill>
                  <w14:solidFill>
                    <w14:schemeClr w14:val="tx1"/>
                  </w14:solidFill>
                </w14:textFill>
              </w:rPr>
            </w:pPr>
            <w:r>
              <w:rPr>
                <w:rFonts w:hint="default" w:ascii="Times New Roman" w:hAnsi="Times New Roman" w:cs="宋体"/>
                <w:color w:val="000000" w:themeColor="text1"/>
                <w:sz w:val="24"/>
                <w:szCs w:val="24"/>
                <w14:textFill>
                  <w14:solidFill>
                    <w14:schemeClr w14:val="tx1"/>
                  </w14:solidFill>
                </w14:textFill>
              </w:rPr>
              <w:t>100</w:t>
            </w:r>
            <w:r>
              <w:rPr>
                <w:rFonts w:hint="default" w:hAnsi="宋体" w:cs="宋体"/>
                <w:color w:val="000000" w:themeColor="text1"/>
                <w:sz w:val="24"/>
                <w:szCs w:val="24"/>
                <w14:textFill>
                  <w14:solidFill>
                    <w14:schemeClr w14:val="tx1"/>
                  </w14:solidFill>
                </w14:textFill>
              </w:rPr>
              <w:t>%</w:t>
            </w:r>
          </w:p>
        </w:tc>
        <w:tc>
          <w:tcPr>
            <w:tcW w:w="16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3D56AF">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24"/>
                <w:szCs w:val="24"/>
                <w14:textFill>
                  <w14:solidFill>
                    <w14:schemeClr w14:val="tx1"/>
                  </w14:solidFill>
                </w14:textFill>
              </w:rPr>
            </w:pPr>
            <w:r>
              <w:rPr>
                <w:rFonts w:hint="default" w:ascii="Times New Roman" w:hAnsi="Times New Roman" w:cs="宋体"/>
                <w:color w:val="000000" w:themeColor="text1"/>
                <w:sz w:val="24"/>
                <w:szCs w:val="24"/>
                <w14:textFill>
                  <w14:solidFill>
                    <w14:schemeClr w14:val="tx1"/>
                  </w14:solidFill>
                </w14:textFill>
              </w:rPr>
              <w:t>100</w:t>
            </w:r>
            <w:r>
              <w:rPr>
                <w:rFonts w:hint="default" w:hAnsi="宋体" w:cs="宋体"/>
                <w:color w:val="000000" w:themeColor="text1"/>
                <w:sz w:val="24"/>
                <w:szCs w:val="24"/>
                <w14:textFill>
                  <w14:solidFill>
                    <w14:schemeClr w14:val="tx1"/>
                  </w14:solidFill>
                </w14:textFill>
              </w:rPr>
              <w:t>%</w:t>
            </w:r>
          </w:p>
        </w:tc>
        <w:tc>
          <w:tcPr>
            <w:tcW w:w="12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9105E0">
            <w:pPr>
              <w:keepNext w:val="0"/>
              <w:keepLines w:val="0"/>
              <w:pageBreakBefore w:val="0"/>
              <w:kinsoku/>
              <w:wordWrap/>
              <w:overflowPunct/>
              <w:topLinePunct w:val="0"/>
              <w:autoSpaceDE w:val="0"/>
              <w:autoSpaceDN w:val="0"/>
              <w:bidi w:val="0"/>
              <w:adjustRightInd w:val="0"/>
              <w:snapToGrid/>
              <w:ind w:left="-60" w:leftChars="-25" w:right="-60" w:rightChars="-25"/>
              <w:jc w:val="center"/>
              <w:rPr>
                <w:rFonts w:hint="default" w:hAnsi="宋体" w:cs="宋体"/>
                <w:color w:val="000000" w:themeColor="text1"/>
                <w:sz w:val="18"/>
                <w:szCs w:val="18"/>
                <w14:textFill>
                  <w14:solidFill>
                    <w14:schemeClr w14:val="tx1"/>
                  </w14:solidFill>
                </w14:textFill>
              </w:rPr>
            </w:pPr>
          </w:p>
        </w:tc>
      </w:tr>
      <w:tr w14:paraId="36092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438D3C">
            <w:pPr>
              <w:jc w:val="center"/>
              <w:rPr>
                <w:rFonts w:hint="default" w:hAnsi="宋体" w:cs="宋体"/>
                <w:color w:val="000000" w:themeColor="text1"/>
                <w:sz w:val="18"/>
                <w:szCs w:val="18"/>
                <w14:textFill>
                  <w14:solidFill>
                    <w14:schemeClr w14:val="tx1"/>
                  </w14:solidFill>
                </w14:textFill>
              </w:rPr>
            </w:pPr>
          </w:p>
        </w:tc>
        <w:tc>
          <w:tcPr>
            <w:tcW w:w="83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47B54C">
            <w:pPr>
              <w:keepNext w:val="0"/>
              <w:keepLines w:val="0"/>
              <w:pageBreakBefore w:val="0"/>
              <w:kinsoku/>
              <w:wordWrap/>
              <w:overflowPunct/>
              <w:topLinePunct w:val="0"/>
              <w:autoSpaceDE w:val="0"/>
              <w:autoSpaceDN w:val="0"/>
              <w:bidi w:val="0"/>
              <w:adjustRightInd w:val="0"/>
              <w:snapToGrid/>
              <w:ind w:left="-60" w:leftChars="-25" w:right="-60" w:rightChars="-25"/>
              <w:jc w:val="center"/>
              <w:rPr>
                <w:rFonts w:hint="default" w:hAnsi="宋体" w:cs="宋体"/>
                <w:color w:val="000000" w:themeColor="text1"/>
                <w:sz w:val="18"/>
                <w:szCs w:val="18"/>
                <w14:textFill>
                  <w14:solidFill>
                    <w14:schemeClr w14:val="tx1"/>
                  </w14:solidFill>
                </w14:textFill>
              </w:rPr>
            </w:pPr>
          </w:p>
        </w:tc>
        <w:tc>
          <w:tcPr>
            <w:tcW w:w="11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17A0B3">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18"/>
                <w:szCs w:val="18"/>
                <w14:textFill>
                  <w14:solidFill>
                    <w14:schemeClr w14:val="tx1"/>
                  </w14:solidFill>
                </w14:textFill>
              </w:rPr>
            </w:pPr>
            <w:r>
              <w:rPr>
                <w:rFonts w:hint="default" w:hAnsi="宋体" w:cs="宋体"/>
                <w:color w:val="000000" w:themeColor="text1"/>
                <w:sz w:val="18"/>
                <w:szCs w:val="18"/>
                <w14:textFill>
                  <w14:solidFill>
                    <w14:schemeClr w14:val="tx1"/>
                  </w14:solidFill>
                </w14:textFill>
              </w:rPr>
              <w:t>生态效益</w:t>
            </w:r>
            <w:r>
              <w:rPr>
                <w:rFonts w:hint="default" w:hAnsi="宋体" w:cs="宋体"/>
                <w:color w:val="000000" w:themeColor="text1"/>
                <w:sz w:val="18"/>
                <w:szCs w:val="18"/>
                <w14:textFill>
                  <w14:solidFill>
                    <w14:schemeClr w14:val="tx1"/>
                  </w14:solidFill>
                </w14:textFill>
              </w:rPr>
              <w:br w:type="textWrapping"/>
            </w:r>
            <w:r>
              <w:rPr>
                <w:rFonts w:hint="default" w:hAnsi="宋体" w:cs="宋体"/>
                <w:color w:val="000000" w:themeColor="text1"/>
                <w:sz w:val="18"/>
                <w:szCs w:val="18"/>
                <w14:textFill>
                  <w14:solidFill>
                    <w14:schemeClr w14:val="tx1"/>
                  </w14:solidFill>
                </w14:textFill>
              </w:rPr>
              <w:t>指标</w:t>
            </w:r>
          </w:p>
        </w:tc>
        <w:tc>
          <w:tcPr>
            <w:tcW w:w="220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E159D5">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18"/>
                <w:szCs w:val="18"/>
                <w14:textFill>
                  <w14:solidFill>
                    <w14:schemeClr w14:val="tx1"/>
                  </w14:solidFill>
                </w14:textFill>
              </w:rPr>
            </w:pPr>
            <w:r>
              <w:rPr>
                <w:rFonts w:hint="default" w:hAnsi="宋体" w:cs="宋体"/>
                <w:color w:val="000000" w:themeColor="text1"/>
                <w:sz w:val="18"/>
                <w:szCs w:val="18"/>
                <w14:textFill>
                  <w14:solidFill>
                    <w14:schemeClr w14:val="tx1"/>
                  </w14:solidFill>
                </w14:textFill>
              </w:rPr>
              <w:t>确保政治生态良好，社会和谐稳定。</w:t>
            </w:r>
          </w:p>
        </w:tc>
        <w:tc>
          <w:tcPr>
            <w:tcW w:w="11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423FAB">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24"/>
                <w:szCs w:val="24"/>
                <w14:textFill>
                  <w14:solidFill>
                    <w14:schemeClr w14:val="tx1"/>
                  </w14:solidFill>
                </w14:textFill>
              </w:rPr>
            </w:pPr>
            <w:r>
              <w:rPr>
                <w:rFonts w:hint="default" w:ascii="Times New Roman" w:hAnsi="Times New Roman" w:cs="宋体"/>
                <w:color w:val="000000" w:themeColor="text1"/>
                <w:sz w:val="24"/>
                <w:szCs w:val="24"/>
                <w14:textFill>
                  <w14:solidFill>
                    <w14:schemeClr w14:val="tx1"/>
                  </w14:solidFill>
                </w14:textFill>
              </w:rPr>
              <w:t>100</w:t>
            </w:r>
            <w:r>
              <w:rPr>
                <w:rFonts w:hint="default" w:hAnsi="宋体" w:cs="宋体"/>
                <w:color w:val="000000" w:themeColor="text1"/>
                <w:sz w:val="24"/>
                <w:szCs w:val="24"/>
                <w14:textFill>
                  <w14:solidFill>
                    <w14:schemeClr w14:val="tx1"/>
                  </w14:solidFill>
                </w14:textFill>
              </w:rPr>
              <w:t>%</w:t>
            </w:r>
          </w:p>
        </w:tc>
        <w:tc>
          <w:tcPr>
            <w:tcW w:w="16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7082DC">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24"/>
                <w:szCs w:val="24"/>
                <w14:textFill>
                  <w14:solidFill>
                    <w14:schemeClr w14:val="tx1"/>
                  </w14:solidFill>
                </w14:textFill>
              </w:rPr>
            </w:pPr>
            <w:r>
              <w:rPr>
                <w:rFonts w:hint="default" w:ascii="Times New Roman" w:hAnsi="Times New Roman" w:cs="宋体"/>
                <w:color w:val="000000" w:themeColor="text1"/>
                <w:sz w:val="24"/>
                <w:szCs w:val="24"/>
                <w14:textFill>
                  <w14:solidFill>
                    <w14:schemeClr w14:val="tx1"/>
                  </w14:solidFill>
                </w14:textFill>
              </w:rPr>
              <w:t>100</w:t>
            </w:r>
            <w:r>
              <w:rPr>
                <w:rFonts w:hint="default" w:hAnsi="宋体" w:cs="宋体"/>
                <w:color w:val="000000" w:themeColor="text1"/>
                <w:sz w:val="24"/>
                <w:szCs w:val="24"/>
                <w14:textFill>
                  <w14:solidFill>
                    <w14:schemeClr w14:val="tx1"/>
                  </w14:solidFill>
                </w14:textFill>
              </w:rPr>
              <w:t>%</w:t>
            </w:r>
          </w:p>
        </w:tc>
        <w:tc>
          <w:tcPr>
            <w:tcW w:w="12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AD0716">
            <w:pPr>
              <w:keepNext w:val="0"/>
              <w:keepLines w:val="0"/>
              <w:pageBreakBefore w:val="0"/>
              <w:kinsoku/>
              <w:wordWrap/>
              <w:overflowPunct/>
              <w:topLinePunct w:val="0"/>
              <w:autoSpaceDE w:val="0"/>
              <w:autoSpaceDN w:val="0"/>
              <w:bidi w:val="0"/>
              <w:adjustRightInd w:val="0"/>
              <w:snapToGrid/>
              <w:ind w:left="-60" w:leftChars="-25" w:right="-60" w:rightChars="-25"/>
              <w:jc w:val="center"/>
              <w:rPr>
                <w:rFonts w:hint="default" w:hAnsi="宋体" w:cs="宋体"/>
                <w:color w:val="000000" w:themeColor="text1"/>
                <w:sz w:val="18"/>
                <w:szCs w:val="18"/>
                <w14:textFill>
                  <w14:solidFill>
                    <w14:schemeClr w14:val="tx1"/>
                  </w14:solidFill>
                </w14:textFill>
              </w:rPr>
            </w:pPr>
          </w:p>
        </w:tc>
      </w:tr>
      <w:tr w14:paraId="0466C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4" w:hRule="atLeast"/>
        </w:trPr>
        <w:tc>
          <w:tcPr>
            <w:tcW w:w="6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00A182">
            <w:pPr>
              <w:jc w:val="center"/>
              <w:rPr>
                <w:rFonts w:hint="default" w:hAnsi="宋体" w:cs="宋体"/>
                <w:color w:val="000000" w:themeColor="text1"/>
                <w:sz w:val="18"/>
                <w:szCs w:val="18"/>
                <w14:textFill>
                  <w14:solidFill>
                    <w14:schemeClr w14:val="tx1"/>
                  </w14:solidFill>
                </w14:textFill>
              </w:rPr>
            </w:pPr>
          </w:p>
        </w:tc>
        <w:tc>
          <w:tcPr>
            <w:tcW w:w="83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DEF5C7">
            <w:pPr>
              <w:keepNext w:val="0"/>
              <w:keepLines w:val="0"/>
              <w:pageBreakBefore w:val="0"/>
              <w:kinsoku/>
              <w:wordWrap/>
              <w:overflowPunct/>
              <w:topLinePunct w:val="0"/>
              <w:autoSpaceDE w:val="0"/>
              <w:autoSpaceDN w:val="0"/>
              <w:bidi w:val="0"/>
              <w:adjustRightInd w:val="0"/>
              <w:snapToGrid/>
              <w:ind w:left="-60" w:leftChars="-25" w:right="-60" w:rightChars="-25"/>
              <w:jc w:val="center"/>
              <w:rPr>
                <w:rFonts w:hint="default" w:hAnsi="宋体" w:cs="宋体"/>
                <w:color w:val="000000" w:themeColor="text1"/>
                <w:sz w:val="18"/>
                <w:szCs w:val="18"/>
                <w14:textFill>
                  <w14:solidFill>
                    <w14:schemeClr w14:val="tx1"/>
                  </w14:solidFill>
                </w14:textFill>
              </w:rPr>
            </w:pPr>
          </w:p>
        </w:tc>
        <w:tc>
          <w:tcPr>
            <w:tcW w:w="11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3D1C0E">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18"/>
                <w:szCs w:val="18"/>
                <w14:textFill>
                  <w14:solidFill>
                    <w14:schemeClr w14:val="tx1"/>
                  </w14:solidFill>
                </w14:textFill>
              </w:rPr>
            </w:pPr>
            <w:r>
              <w:rPr>
                <w:rFonts w:hint="default" w:hAnsi="宋体" w:cs="宋体"/>
                <w:color w:val="000000" w:themeColor="text1"/>
                <w:sz w:val="18"/>
                <w:szCs w:val="18"/>
                <w14:textFill>
                  <w14:solidFill>
                    <w14:schemeClr w14:val="tx1"/>
                  </w14:solidFill>
                </w14:textFill>
              </w:rPr>
              <w:t>可持续影响指标</w:t>
            </w:r>
          </w:p>
        </w:tc>
        <w:tc>
          <w:tcPr>
            <w:tcW w:w="220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D4F33C">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18"/>
                <w:szCs w:val="18"/>
                <w14:textFill>
                  <w14:solidFill>
                    <w14:schemeClr w14:val="tx1"/>
                  </w14:solidFill>
                </w14:textFill>
              </w:rPr>
            </w:pPr>
            <w:r>
              <w:rPr>
                <w:rFonts w:hint="default" w:hAnsi="宋体" w:cs="宋体"/>
                <w:color w:val="000000" w:themeColor="text1"/>
                <w:sz w:val="18"/>
                <w:szCs w:val="18"/>
                <w14:textFill>
                  <w14:solidFill>
                    <w14:schemeClr w14:val="tx1"/>
                  </w14:solidFill>
                </w14:textFill>
              </w:rPr>
              <w:t>常态化做好信访维稳工作，确保群众有序信访，社会持续稳定。</w:t>
            </w:r>
          </w:p>
        </w:tc>
        <w:tc>
          <w:tcPr>
            <w:tcW w:w="11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E2F771">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24"/>
                <w:szCs w:val="24"/>
                <w14:textFill>
                  <w14:solidFill>
                    <w14:schemeClr w14:val="tx1"/>
                  </w14:solidFill>
                </w14:textFill>
              </w:rPr>
            </w:pPr>
            <w:r>
              <w:rPr>
                <w:rFonts w:hint="default" w:ascii="Times New Roman" w:hAnsi="Times New Roman" w:cs="宋体"/>
                <w:color w:val="000000" w:themeColor="text1"/>
                <w:sz w:val="24"/>
                <w:szCs w:val="24"/>
                <w14:textFill>
                  <w14:solidFill>
                    <w14:schemeClr w14:val="tx1"/>
                  </w14:solidFill>
                </w14:textFill>
              </w:rPr>
              <w:t>100</w:t>
            </w:r>
            <w:r>
              <w:rPr>
                <w:rFonts w:hint="default" w:hAnsi="宋体" w:cs="宋体"/>
                <w:color w:val="000000" w:themeColor="text1"/>
                <w:sz w:val="24"/>
                <w:szCs w:val="24"/>
                <w14:textFill>
                  <w14:solidFill>
                    <w14:schemeClr w14:val="tx1"/>
                  </w14:solidFill>
                </w14:textFill>
              </w:rPr>
              <w:t>%</w:t>
            </w:r>
          </w:p>
        </w:tc>
        <w:tc>
          <w:tcPr>
            <w:tcW w:w="16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B7BD73">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24"/>
                <w:szCs w:val="24"/>
                <w14:textFill>
                  <w14:solidFill>
                    <w14:schemeClr w14:val="tx1"/>
                  </w14:solidFill>
                </w14:textFill>
              </w:rPr>
            </w:pPr>
            <w:r>
              <w:rPr>
                <w:rFonts w:hint="default" w:ascii="Times New Roman" w:hAnsi="Times New Roman" w:cs="宋体"/>
                <w:color w:val="000000" w:themeColor="text1"/>
                <w:sz w:val="24"/>
                <w:szCs w:val="24"/>
                <w14:textFill>
                  <w14:solidFill>
                    <w14:schemeClr w14:val="tx1"/>
                  </w14:solidFill>
                </w14:textFill>
              </w:rPr>
              <w:t>100</w:t>
            </w:r>
            <w:r>
              <w:rPr>
                <w:rFonts w:hint="default" w:hAnsi="宋体" w:cs="宋体"/>
                <w:color w:val="000000" w:themeColor="text1"/>
                <w:sz w:val="24"/>
                <w:szCs w:val="24"/>
                <w14:textFill>
                  <w14:solidFill>
                    <w14:schemeClr w14:val="tx1"/>
                  </w14:solidFill>
                </w14:textFill>
              </w:rPr>
              <w:t>%</w:t>
            </w:r>
          </w:p>
        </w:tc>
        <w:tc>
          <w:tcPr>
            <w:tcW w:w="12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8BF8E6">
            <w:pPr>
              <w:keepNext w:val="0"/>
              <w:keepLines w:val="0"/>
              <w:pageBreakBefore w:val="0"/>
              <w:kinsoku/>
              <w:wordWrap/>
              <w:overflowPunct/>
              <w:topLinePunct w:val="0"/>
              <w:autoSpaceDE w:val="0"/>
              <w:autoSpaceDN w:val="0"/>
              <w:bidi w:val="0"/>
              <w:adjustRightInd w:val="0"/>
              <w:snapToGrid/>
              <w:ind w:left="-60" w:leftChars="-25" w:right="-60" w:rightChars="-25"/>
              <w:jc w:val="center"/>
              <w:rPr>
                <w:rFonts w:hint="default" w:hAnsi="宋体" w:cs="宋体"/>
                <w:color w:val="000000" w:themeColor="text1"/>
                <w:sz w:val="18"/>
                <w:szCs w:val="18"/>
                <w14:textFill>
                  <w14:solidFill>
                    <w14:schemeClr w14:val="tx1"/>
                  </w14:solidFill>
                </w14:textFill>
              </w:rPr>
            </w:pPr>
          </w:p>
        </w:tc>
      </w:tr>
      <w:tr w14:paraId="01B5A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6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1ACD86">
            <w:pPr>
              <w:jc w:val="center"/>
              <w:rPr>
                <w:rFonts w:hint="default" w:hAnsi="宋体" w:cs="宋体"/>
                <w:color w:val="000000" w:themeColor="text1"/>
                <w:sz w:val="18"/>
                <w:szCs w:val="18"/>
                <w14:textFill>
                  <w14:solidFill>
                    <w14:schemeClr w14:val="tx1"/>
                  </w14:solidFill>
                </w14:textFill>
              </w:rPr>
            </w:pPr>
          </w:p>
        </w:tc>
        <w:tc>
          <w:tcPr>
            <w:tcW w:w="8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DD8136">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18"/>
                <w:szCs w:val="18"/>
                <w14:textFill>
                  <w14:solidFill>
                    <w14:schemeClr w14:val="tx1"/>
                  </w14:solidFill>
                </w14:textFill>
              </w:rPr>
            </w:pPr>
            <w:r>
              <w:rPr>
                <w:rFonts w:hint="default" w:hAnsi="宋体" w:cs="宋体"/>
                <w:color w:val="000000" w:themeColor="text1"/>
                <w:sz w:val="18"/>
                <w:szCs w:val="18"/>
                <w14:textFill>
                  <w14:solidFill>
                    <w14:schemeClr w14:val="tx1"/>
                  </w14:solidFill>
                </w14:textFill>
              </w:rPr>
              <w:t>满意度</w:t>
            </w:r>
            <w:r>
              <w:rPr>
                <w:rFonts w:hint="default" w:hAnsi="宋体" w:cs="宋体"/>
                <w:color w:val="000000" w:themeColor="text1"/>
                <w:sz w:val="18"/>
                <w:szCs w:val="18"/>
                <w14:textFill>
                  <w14:solidFill>
                    <w14:schemeClr w14:val="tx1"/>
                  </w14:solidFill>
                </w14:textFill>
              </w:rPr>
              <w:br w:type="textWrapping"/>
            </w:r>
            <w:r>
              <w:rPr>
                <w:rFonts w:hint="default" w:hAnsi="宋体" w:cs="宋体"/>
                <w:color w:val="000000" w:themeColor="text1"/>
                <w:sz w:val="18"/>
                <w:szCs w:val="18"/>
                <w14:textFill>
                  <w14:solidFill>
                    <w14:schemeClr w14:val="tx1"/>
                  </w14:solidFill>
                </w14:textFill>
              </w:rPr>
              <w:t>指标</w:t>
            </w:r>
          </w:p>
        </w:tc>
        <w:tc>
          <w:tcPr>
            <w:tcW w:w="11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AF0830">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18"/>
                <w:szCs w:val="18"/>
                <w14:textFill>
                  <w14:solidFill>
                    <w14:schemeClr w14:val="tx1"/>
                  </w14:solidFill>
                </w14:textFill>
              </w:rPr>
            </w:pPr>
            <w:r>
              <w:rPr>
                <w:rFonts w:hint="default" w:hAnsi="宋体" w:cs="宋体"/>
                <w:color w:val="000000" w:themeColor="text1"/>
                <w:sz w:val="18"/>
                <w:szCs w:val="18"/>
                <w14:textFill>
                  <w14:solidFill>
                    <w14:schemeClr w14:val="tx1"/>
                  </w14:solidFill>
                </w14:textFill>
              </w:rPr>
              <w:t>服务对象满意度指标</w:t>
            </w:r>
          </w:p>
        </w:tc>
        <w:tc>
          <w:tcPr>
            <w:tcW w:w="220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52061C">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18"/>
                <w:szCs w:val="18"/>
                <w14:textFill>
                  <w14:solidFill>
                    <w14:schemeClr w14:val="tx1"/>
                  </w14:solidFill>
                </w14:textFill>
              </w:rPr>
            </w:pPr>
            <w:r>
              <w:rPr>
                <w:rFonts w:hint="default" w:hAnsi="宋体" w:cs="宋体"/>
                <w:color w:val="000000" w:themeColor="text1"/>
                <w:sz w:val="18"/>
                <w:szCs w:val="18"/>
                <w14:textFill>
                  <w14:solidFill>
                    <w14:schemeClr w14:val="tx1"/>
                  </w14:solidFill>
                </w14:textFill>
              </w:rPr>
              <w:t>来访群众满意度</w:t>
            </w:r>
          </w:p>
        </w:tc>
        <w:tc>
          <w:tcPr>
            <w:tcW w:w="11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76D04C">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24"/>
                <w:szCs w:val="24"/>
                <w14:textFill>
                  <w14:solidFill>
                    <w14:schemeClr w14:val="tx1"/>
                  </w14:solidFill>
                </w14:textFill>
              </w:rPr>
            </w:pPr>
            <w:r>
              <w:rPr>
                <w:rFonts w:hint="default" w:ascii="Times New Roman" w:hAnsi="Times New Roman" w:cs="宋体"/>
                <w:color w:val="000000" w:themeColor="text1"/>
                <w:sz w:val="24"/>
                <w:szCs w:val="24"/>
                <w14:textFill>
                  <w14:solidFill>
                    <w14:schemeClr w14:val="tx1"/>
                  </w14:solidFill>
                </w14:textFill>
              </w:rPr>
              <w:t>100</w:t>
            </w:r>
            <w:r>
              <w:rPr>
                <w:rFonts w:hint="default" w:hAnsi="宋体" w:cs="宋体"/>
                <w:color w:val="000000" w:themeColor="text1"/>
                <w:sz w:val="24"/>
                <w:szCs w:val="24"/>
                <w14:textFill>
                  <w14:solidFill>
                    <w14:schemeClr w14:val="tx1"/>
                  </w14:solidFill>
                </w14:textFill>
              </w:rPr>
              <w:t>%</w:t>
            </w:r>
          </w:p>
        </w:tc>
        <w:tc>
          <w:tcPr>
            <w:tcW w:w="16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CE8DC5">
            <w:pPr>
              <w:keepNext w:val="0"/>
              <w:keepLines w:val="0"/>
              <w:pageBreakBefore w:val="0"/>
              <w:widowControl/>
              <w:kinsoku/>
              <w:wordWrap/>
              <w:overflowPunct/>
              <w:topLinePunct w:val="0"/>
              <w:autoSpaceDE w:val="0"/>
              <w:autoSpaceDN w:val="0"/>
              <w:bidi w:val="0"/>
              <w:adjustRightInd w:val="0"/>
              <w:snapToGrid/>
              <w:ind w:left="-60" w:leftChars="-25" w:right="-60" w:rightChars="-25"/>
              <w:jc w:val="center"/>
              <w:textAlignment w:val="center"/>
              <w:rPr>
                <w:rFonts w:hint="default" w:hAnsi="宋体" w:cs="宋体"/>
                <w:color w:val="000000" w:themeColor="text1"/>
                <w:sz w:val="24"/>
                <w:szCs w:val="24"/>
                <w14:textFill>
                  <w14:solidFill>
                    <w14:schemeClr w14:val="tx1"/>
                  </w14:solidFill>
                </w14:textFill>
              </w:rPr>
            </w:pPr>
            <w:r>
              <w:rPr>
                <w:rFonts w:hint="default" w:ascii="Times New Roman" w:hAnsi="Times New Roman" w:cs="宋体"/>
                <w:color w:val="000000" w:themeColor="text1"/>
                <w:sz w:val="24"/>
                <w:szCs w:val="24"/>
                <w14:textFill>
                  <w14:solidFill>
                    <w14:schemeClr w14:val="tx1"/>
                  </w14:solidFill>
                </w14:textFill>
              </w:rPr>
              <w:t>100</w:t>
            </w:r>
            <w:r>
              <w:rPr>
                <w:rFonts w:hint="default" w:hAnsi="宋体" w:cs="宋体"/>
                <w:color w:val="000000" w:themeColor="text1"/>
                <w:sz w:val="24"/>
                <w:szCs w:val="24"/>
                <w14:textFill>
                  <w14:solidFill>
                    <w14:schemeClr w14:val="tx1"/>
                  </w14:solidFill>
                </w14:textFill>
              </w:rPr>
              <w:t>%</w:t>
            </w:r>
          </w:p>
        </w:tc>
        <w:tc>
          <w:tcPr>
            <w:tcW w:w="12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D8ED7C">
            <w:pPr>
              <w:keepNext w:val="0"/>
              <w:keepLines w:val="0"/>
              <w:pageBreakBefore w:val="0"/>
              <w:kinsoku/>
              <w:wordWrap/>
              <w:overflowPunct/>
              <w:topLinePunct w:val="0"/>
              <w:autoSpaceDE w:val="0"/>
              <w:autoSpaceDN w:val="0"/>
              <w:bidi w:val="0"/>
              <w:adjustRightInd w:val="0"/>
              <w:snapToGrid/>
              <w:ind w:left="-60" w:leftChars="-25" w:right="-60" w:rightChars="-25"/>
              <w:jc w:val="center"/>
              <w:rPr>
                <w:rFonts w:hint="default" w:hAnsi="宋体" w:cs="宋体"/>
                <w:color w:val="000000" w:themeColor="text1"/>
                <w:sz w:val="18"/>
                <w:szCs w:val="18"/>
                <w14:textFill>
                  <w14:solidFill>
                    <w14:schemeClr w14:val="tx1"/>
                  </w14:solidFill>
                </w14:textFill>
              </w:rPr>
            </w:pPr>
          </w:p>
        </w:tc>
      </w:tr>
    </w:tbl>
    <w:p w14:paraId="56A97DA6">
      <w:pPr>
        <w:pStyle w:val="2"/>
        <w:rPr>
          <w:rFonts w:hint="eastAsia" w:hAnsi="仿宋_GB2312"/>
          <w:color w:val="000000" w:themeColor="text1"/>
          <w:kern w:val="2"/>
          <w:sz w:val="32"/>
          <w:szCs w:val="24"/>
          <w14:textFill>
            <w14:solidFill>
              <w14:schemeClr w14:val="tx1"/>
            </w14:solidFill>
          </w14:textFill>
        </w:rPr>
      </w:pPr>
    </w:p>
    <w:p w14:paraId="20EB7C18">
      <w:pPr>
        <w:rPr>
          <w:rFonts w:hint="eastAsia" w:ascii="黑体" w:hAnsi="黑体" w:eastAsia="黑体"/>
          <w:color w:val="000000" w:themeColor="text1"/>
          <w:kern w:val="2"/>
          <w:sz w:val="32"/>
          <w:szCs w:val="24"/>
          <w14:textFill>
            <w14:solidFill>
              <w14:schemeClr w14:val="tx1"/>
            </w14:solidFill>
          </w14:textFill>
        </w:rPr>
      </w:pPr>
      <w:r>
        <w:br w:type="page"/>
      </w:r>
    </w:p>
    <w:p w14:paraId="540CE988">
      <w:pPr>
        <w:keepNext w:val="0"/>
        <w:keepLines w:val="0"/>
        <w:pageBreakBefore w:val="0"/>
        <w:widowControl w:val="0"/>
        <w:kinsoku/>
        <w:wordWrap/>
        <w:overflowPunct w:val="0"/>
        <w:topLinePunct w:val="0"/>
        <w:autoSpaceDE w:val="0"/>
        <w:autoSpaceDN w:val="0"/>
        <w:bidi w:val="0"/>
        <w:adjustRightInd w:val="0"/>
        <w:snapToGrid/>
        <w:spacing w:line="576" w:lineRule="exact"/>
        <w:jc w:val="both"/>
        <w:textAlignment w:val="auto"/>
        <w:rPr>
          <w:rFonts w:hint="eastAsia" w:ascii="仿宋_GB2312" w:hAnsi="仿宋_GB2312" w:eastAsia="仿宋_GB2312"/>
          <w:color w:val="000000" w:themeColor="text1"/>
          <w:kern w:val="2"/>
          <w:sz w:val="32"/>
          <w:szCs w:val="24"/>
          <w14:textFill>
            <w14:solidFill>
              <w14:schemeClr w14:val="tx1"/>
            </w14:solidFill>
          </w14:textFill>
        </w:rPr>
      </w:pPr>
      <w:r>
        <w:rPr>
          <w:rFonts w:hint="eastAsia" w:ascii="黑体" w:hAnsi="黑体" w:eastAsia="黑体"/>
          <w:color w:val="000000" w:themeColor="text1"/>
          <w:kern w:val="2"/>
          <w:sz w:val="32"/>
          <w:szCs w:val="24"/>
          <w14:textFill>
            <w14:solidFill>
              <w14:schemeClr w14:val="tx1"/>
            </w14:solidFill>
          </w14:textFill>
        </w:rPr>
        <w:t>附件</w:t>
      </w:r>
      <w:r>
        <w:rPr>
          <w:rFonts w:hint="eastAsia" w:ascii="Times New Roman" w:hAnsi="Times New Roman" w:eastAsia="黑体"/>
          <w:color w:val="000000" w:themeColor="text1"/>
          <w:kern w:val="2"/>
          <w:sz w:val="32"/>
          <w:szCs w:val="24"/>
          <w14:textFill>
            <w14:solidFill>
              <w14:schemeClr w14:val="tx1"/>
            </w14:solidFill>
          </w14:textFill>
        </w:rPr>
        <w:t>2</w:t>
      </w:r>
    </w:p>
    <w:p w14:paraId="33129F63">
      <w:pPr>
        <w:keepNext w:val="0"/>
        <w:keepLines w:val="0"/>
        <w:pageBreakBefore w:val="0"/>
        <w:widowControl w:val="0"/>
        <w:kinsoku/>
        <w:wordWrap/>
        <w:overflowPunct w:val="0"/>
        <w:topLinePunct w:val="0"/>
        <w:autoSpaceDE w:val="0"/>
        <w:autoSpaceDN w:val="0"/>
        <w:bidi w:val="0"/>
        <w:adjustRightInd w:val="0"/>
        <w:snapToGrid/>
        <w:spacing w:line="576" w:lineRule="exact"/>
        <w:jc w:val="center"/>
        <w:textAlignment w:val="auto"/>
        <w:rPr>
          <w:rFonts w:hint="eastAsia" w:ascii="方正小标宋简体" w:hAnsi="方正小标宋简体" w:eastAsia="方正小标宋简体" w:cs="方正小标宋简体"/>
          <w:color w:val="000000" w:themeColor="text1"/>
          <w:spacing w:val="0"/>
          <w:sz w:val="44"/>
          <w:szCs w:val="44"/>
          <w14:textFill>
            <w14:solidFill>
              <w14:schemeClr w14:val="tx1"/>
            </w14:solidFill>
          </w14:textFill>
        </w:rPr>
      </w:pPr>
    </w:p>
    <w:p w14:paraId="0BDA8CD1">
      <w:pPr>
        <w:keepNext w:val="0"/>
        <w:keepLines w:val="0"/>
        <w:pageBreakBefore w:val="0"/>
        <w:widowControl w:val="0"/>
        <w:kinsoku/>
        <w:wordWrap/>
        <w:overflowPunct w:val="0"/>
        <w:topLinePunct w:val="0"/>
        <w:autoSpaceDE w:val="0"/>
        <w:autoSpaceDN w:val="0"/>
        <w:bidi w:val="0"/>
        <w:adjustRightInd w:val="0"/>
        <w:snapToGrid/>
        <w:spacing w:line="576" w:lineRule="exact"/>
        <w:jc w:val="center"/>
        <w:textAlignment w:val="auto"/>
        <w:rPr>
          <w:rFonts w:hint="eastAsia" w:ascii="方正小标宋简体" w:hAnsi="方正小标宋简体" w:eastAsia="方正小标宋简体" w:cs="方正小标宋简体"/>
          <w:color w:val="000000" w:themeColor="text1"/>
          <w:spacing w:val="0"/>
          <w:sz w:val="44"/>
          <w:szCs w:val="44"/>
          <w14:textFill>
            <w14:solidFill>
              <w14:schemeClr w14:val="tx1"/>
            </w14:solidFill>
          </w14:textFill>
        </w:rPr>
      </w:pPr>
      <w:r>
        <w:rPr>
          <w:rFonts w:hint="eastAsia" w:ascii="Times New Roman" w:hAnsi="Times New Roman" w:eastAsia="方正小标宋简体" w:cs="方正小标宋简体"/>
          <w:color w:val="000000" w:themeColor="text1"/>
          <w:spacing w:val="0"/>
          <w:sz w:val="44"/>
          <w:szCs w:val="44"/>
          <w14:textFill>
            <w14:solidFill>
              <w14:schemeClr w14:val="tx1"/>
            </w14:solidFill>
          </w14:textFill>
        </w:rPr>
        <w:t>2023</w:t>
      </w:r>
      <w:r>
        <w:rPr>
          <w:rFonts w:hint="eastAsia" w:ascii="方正小标宋简体" w:hAnsi="方正小标宋简体" w:eastAsia="方正小标宋简体" w:cs="方正小标宋简体"/>
          <w:color w:val="000000" w:themeColor="text1"/>
          <w:spacing w:val="0"/>
          <w:sz w:val="44"/>
          <w:szCs w:val="44"/>
          <w14:textFill>
            <w14:solidFill>
              <w14:schemeClr w14:val="tx1"/>
            </w14:solidFill>
          </w14:textFill>
        </w:rPr>
        <w:t>年信访维稳应急（工作）经费项目支出</w:t>
      </w:r>
    </w:p>
    <w:p w14:paraId="56B0661D">
      <w:pPr>
        <w:keepNext w:val="0"/>
        <w:keepLines w:val="0"/>
        <w:pageBreakBefore w:val="0"/>
        <w:widowControl w:val="0"/>
        <w:kinsoku/>
        <w:wordWrap/>
        <w:overflowPunct w:val="0"/>
        <w:topLinePunct w:val="0"/>
        <w:autoSpaceDE w:val="0"/>
        <w:autoSpaceDN w:val="0"/>
        <w:bidi w:val="0"/>
        <w:adjustRightInd w:val="0"/>
        <w:snapToGrid/>
        <w:spacing w:line="576" w:lineRule="exact"/>
        <w:jc w:val="center"/>
        <w:textAlignment w:val="auto"/>
        <w:rPr>
          <w:rFonts w:hint="eastAsia" w:ascii="方正小标宋简体" w:hAnsi="方正小标宋简体" w:eastAsia="方正小标宋简体"/>
          <w:color w:val="000000" w:themeColor="text1"/>
          <w:spacing w:val="0"/>
          <w:kern w:val="2"/>
          <w:sz w:val="40"/>
          <w:szCs w:val="24"/>
          <w:lang w:val="zh-CN"/>
          <w14:textFill>
            <w14:solidFill>
              <w14:schemeClr w14:val="tx1"/>
            </w14:solidFill>
          </w14:textFill>
        </w:rPr>
      </w:pPr>
      <w:r>
        <w:rPr>
          <w:rFonts w:hint="eastAsia" w:ascii="方正小标宋简体" w:hAnsi="方正小标宋简体" w:eastAsia="方正小标宋简体" w:cs="方正小标宋简体"/>
          <w:color w:val="000000" w:themeColor="text1"/>
          <w:spacing w:val="0"/>
          <w:kern w:val="2"/>
          <w:sz w:val="44"/>
          <w:szCs w:val="44"/>
          <w:lang w:val="zh-CN"/>
          <w14:textFill>
            <w14:solidFill>
              <w14:schemeClr w14:val="tx1"/>
            </w14:solidFill>
          </w14:textFill>
        </w:rPr>
        <w:t>绩效评价报告</w:t>
      </w:r>
    </w:p>
    <w:p w14:paraId="742B8D28">
      <w:pPr>
        <w:spacing w:line="576" w:lineRule="exact"/>
        <w:ind w:firstLine="640"/>
        <w:jc w:val="both"/>
        <w:rPr>
          <w:rFonts w:hint="eastAsia" w:ascii="黑体" w:hAnsi="黑体" w:eastAsia="黑体"/>
          <w:color w:val="000000" w:themeColor="text1"/>
          <w:kern w:val="2"/>
          <w:sz w:val="32"/>
          <w:szCs w:val="24"/>
          <w:lang w:val="zh-CN"/>
          <w14:textFill>
            <w14:solidFill>
              <w14:schemeClr w14:val="tx1"/>
            </w14:solidFill>
          </w14:textFill>
        </w:rPr>
      </w:pPr>
      <w:r>
        <w:rPr>
          <w:rFonts w:hint="eastAsia" w:ascii="黑体" w:hAnsi="黑体" w:eastAsia="黑体"/>
          <w:color w:val="000000" w:themeColor="text1"/>
          <w:kern w:val="2"/>
          <w:sz w:val="32"/>
          <w:szCs w:val="24"/>
          <w14:textFill>
            <w14:solidFill>
              <w14:schemeClr w14:val="tx1"/>
            </w14:solidFill>
          </w14:textFill>
        </w:rPr>
        <w:t>一、</w:t>
      </w:r>
      <w:r>
        <w:rPr>
          <w:rFonts w:hint="eastAsia" w:ascii="黑体" w:hAnsi="黑体" w:eastAsia="黑体"/>
          <w:color w:val="000000" w:themeColor="text1"/>
          <w:kern w:val="2"/>
          <w:sz w:val="32"/>
          <w:szCs w:val="24"/>
          <w:lang w:val="zh-CN"/>
          <w14:textFill>
            <w14:solidFill>
              <w14:schemeClr w14:val="tx1"/>
            </w14:solidFill>
          </w14:textFill>
        </w:rPr>
        <w:t>项目概况</w:t>
      </w:r>
    </w:p>
    <w:p w14:paraId="1E8F9BA5">
      <w:pPr>
        <w:spacing w:line="576" w:lineRule="exact"/>
        <w:ind w:firstLine="643"/>
        <w:jc w:val="both"/>
        <w:rPr>
          <w:rFonts w:hint="eastAsia" w:ascii="楷体_GB2312" w:hAnsi="楷体_GB2312" w:eastAsia="楷体_GB2312"/>
          <w:b w:val="0"/>
          <w:bCs/>
          <w:color w:val="000000" w:themeColor="text1"/>
          <w:kern w:val="2"/>
          <w:sz w:val="32"/>
          <w:szCs w:val="24"/>
          <w:lang w:val="zh-CN"/>
          <w14:textFill>
            <w14:solidFill>
              <w14:schemeClr w14:val="tx1"/>
            </w14:solidFill>
          </w14:textFill>
        </w:rPr>
      </w:pPr>
      <w:r>
        <w:rPr>
          <w:rFonts w:hint="eastAsia" w:ascii="楷体_GB2312" w:hAnsi="楷体_GB2312" w:eastAsia="楷体_GB2312"/>
          <w:b w:val="0"/>
          <w:bCs/>
          <w:color w:val="000000" w:themeColor="text1"/>
          <w:kern w:val="2"/>
          <w:sz w:val="32"/>
          <w:szCs w:val="24"/>
          <w:lang w:val="zh-CN"/>
          <w14:textFill>
            <w14:solidFill>
              <w14:schemeClr w14:val="tx1"/>
            </w14:solidFill>
          </w14:textFill>
        </w:rPr>
        <w:t>（一）设立背景及基本情况。</w:t>
      </w:r>
    </w:p>
    <w:p w14:paraId="43274643">
      <w:pPr>
        <w:autoSpaceDE/>
        <w:autoSpaceDN/>
        <w:adjustRightInd/>
        <w:spacing w:line="520" w:lineRule="exact"/>
        <w:ind w:firstLine="60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本单位</w:t>
      </w:r>
      <w:r>
        <w:rPr>
          <w:rFonts w:hint="eastAsia" w:ascii="Times New Roman" w:hAnsi="Times New Roman" w:eastAsia="仿宋_GB2312" w:cs="仿宋_GB2312"/>
          <w:color w:val="000000" w:themeColor="text1"/>
          <w:sz w:val="30"/>
          <w:szCs w:val="30"/>
          <w14:textFill>
            <w14:solidFill>
              <w14:schemeClr w14:val="tx1"/>
            </w14:solidFill>
          </w14:textFill>
        </w:rPr>
        <w:t>2023</w:t>
      </w:r>
      <w:r>
        <w:rPr>
          <w:rFonts w:hint="eastAsia" w:ascii="仿宋_GB2312" w:hAnsi="仿宋_GB2312" w:eastAsia="仿宋_GB2312" w:cs="仿宋_GB2312"/>
          <w:color w:val="000000" w:themeColor="text1"/>
          <w:sz w:val="30"/>
          <w:szCs w:val="30"/>
          <w14:textFill>
            <w14:solidFill>
              <w14:schemeClr w14:val="tx1"/>
            </w14:solidFill>
          </w14:textFill>
        </w:rPr>
        <w:t>年预算信访维稳应急（工作）经费项目。本项目是基本运转类项目，</w:t>
      </w:r>
      <w:r>
        <w:rPr>
          <w:rFonts w:hint="eastAsia" w:ascii="仿宋_GB2312" w:hAnsi="仿宋_GB2312" w:eastAsia="仿宋_GB2312" w:cs="仿宋_GB2312"/>
          <w:color w:val="000000" w:themeColor="text1"/>
          <w:sz w:val="32"/>
          <w:szCs w:val="32"/>
          <w14:textFill>
            <w14:solidFill>
              <w14:schemeClr w14:val="tx1"/>
            </w14:solidFill>
          </w14:textFill>
        </w:rPr>
        <w:t>这项目是基本运转类项目，是教育群众，让群众少跑路，数据多跑路，上下对称接访，及时处理来访和投诉，让本级政府及时就地解决信访问题，维护社会稳定大局。</w:t>
      </w:r>
    </w:p>
    <w:p w14:paraId="2677F6A1">
      <w:pPr>
        <w:spacing w:line="576" w:lineRule="exact"/>
        <w:ind w:firstLine="643"/>
        <w:jc w:val="both"/>
        <w:rPr>
          <w:rFonts w:hint="eastAsia" w:ascii="楷体_GB2312" w:hAnsi="楷体_GB2312" w:eastAsia="楷体_GB2312" w:cs="Times New Roman"/>
          <w:b w:val="0"/>
          <w:bCs/>
          <w:color w:val="000000" w:themeColor="text1"/>
          <w:kern w:val="2"/>
          <w:sz w:val="32"/>
          <w:szCs w:val="24"/>
          <w:lang w:val="zh-CN"/>
          <w14:textFill>
            <w14:solidFill>
              <w14:schemeClr w14:val="tx1"/>
            </w14:solidFill>
          </w14:textFill>
        </w:rPr>
      </w:pPr>
      <w:r>
        <w:rPr>
          <w:rFonts w:hint="eastAsia" w:ascii="楷体_GB2312" w:hAnsi="楷体_GB2312" w:eastAsia="楷体_GB2312" w:cs="Times New Roman"/>
          <w:b w:val="0"/>
          <w:bCs/>
          <w:color w:val="000000" w:themeColor="text1"/>
          <w:kern w:val="2"/>
          <w:sz w:val="32"/>
          <w:szCs w:val="24"/>
          <w:lang w:val="zh-CN"/>
          <w14:textFill>
            <w14:solidFill>
              <w14:schemeClr w14:val="tx1"/>
            </w14:solidFill>
          </w14:textFill>
        </w:rPr>
        <w:t>（二）实施目的及支持方向。</w:t>
      </w:r>
    </w:p>
    <w:p w14:paraId="1036910F">
      <w:pPr>
        <w:autoSpaceDE/>
        <w:autoSpaceDN/>
        <w:adjustRightInd/>
        <w:spacing w:line="5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该项目是基本运转类项目，</w:t>
      </w:r>
      <w:r>
        <w:rPr>
          <w:rFonts w:hint="eastAsia" w:ascii="Times New Roman" w:eastAsia="仿宋_GB2312"/>
          <w:color w:val="000000" w:themeColor="text1"/>
          <w:sz w:val="32"/>
          <w:szCs w:val="32"/>
          <w14:textFill>
            <w14:solidFill>
              <w14:schemeClr w14:val="tx1"/>
            </w14:solidFill>
          </w14:textFill>
        </w:rPr>
        <w:t>以习近平新时代中国特色社会主义思想为指导，全面贯彻习近平总书记关于加强和改进人民信访工作的重要思想，全面落实中央、省、市信访工作决策部署，坚持以人民为中心，以“事要解决”为核心，围绕“</w:t>
      </w:r>
      <w:r>
        <w:rPr>
          <w:rFonts w:hint="eastAsia" w:ascii="Times New Roman" w:hAnsi="Times New Roman" w:eastAsia="仿宋_GB2312"/>
          <w:color w:val="000000" w:themeColor="text1"/>
          <w:sz w:val="32"/>
          <w:szCs w:val="32"/>
          <w14:textFill>
            <w14:solidFill>
              <w14:schemeClr w14:val="tx1"/>
            </w14:solidFill>
          </w14:textFill>
        </w:rPr>
        <w:t>1331</w:t>
      </w:r>
      <w:r>
        <w:rPr>
          <w:rFonts w:hint="eastAsia" w:ascii="Times New Roman" w:eastAsia="仿宋_GB2312"/>
          <w:color w:val="000000" w:themeColor="text1"/>
          <w:sz w:val="32"/>
          <w:szCs w:val="32"/>
          <w14:textFill>
            <w14:solidFill>
              <w14:schemeClr w14:val="tx1"/>
            </w14:solidFill>
          </w14:textFill>
        </w:rPr>
        <w:t>”(推进“访源治理”，开展“三项活动”、推动“三项实践”，巩固“一套机制”)工作思路，对标国家治理体系和治理能力现代化，畅通和规范诉求表达、利益协调、权益保障通道，提升信访工作化解矛盾的社会效能，更好地维护群众合法权益，服务全区工作大局。</w:t>
      </w:r>
    </w:p>
    <w:p w14:paraId="1B9783B6">
      <w:pPr>
        <w:spacing w:line="576" w:lineRule="exact"/>
        <w:ind w:firstLine="643"/>
        <w:jc w:val="both"/>
        <w:rPr>
          <w:rFonts w:hint="eastAsia" w:ascii="楷体_GB2312" w:hAnsi="楷体_GB2312" w:eastAsia="楷体_GB2312" w:cs="Times New Roman"/>
          <w:b w:val="0"/>
          <w:bCs/>
          <w:color w:val="000000" w:themeColor="text1"/>
          <w:kern w:val="2"/>
          <w:sz w:val="32"/>
          <w:szCs w:val="24"/>
          <w:lang w:val="zh-CN"/>
          <w14:textFill>
            <w14:solidFill>
              <w14:schemeClr w14:val="tx1"/>
            </w14:solidFill>
          </w14:textFill>
        </w:rPr>
      </w:pPr>
      <w:r>
        <w:rPr>
          <w:rFonts w:hint="eastAsia" w:ascii="楷体_GB2312" w:hAnsi="楷体_GB2312" w:eastAsia="楷体_GB2312" w:cs="Times New Roman"/>
          <w:b w:val="0"/>
          <w:bCs/>
          <w:color w:val="000000" w:themeColor="text1"/>
          <w:kern w:val="2"/>
          <w:sz w:val="32"/>
          <w:szCs w:val="24"/>
          <w:lang w:val="zh-CN"/>
          <w14:textFill>
            <w14:solidFill>
              <w14:schemeClr w14:val="tx1"/>
            </w14:solidFill>
          </w14:textFill>
        </w:rPr>
        <w:t>（三）预算安排及分配管理。</w:t>
      </w:r>
    </w:p>
    <w:p w14:paraId="4501CE9F">
      <w:pPr>
        <w:keepNext w:val="0"/>
        <w:keepLines w:val="0"/>
        <w:pageBreakBefore w:val="0"/>
        <w:widowControl w:val="0"/>
        <w:numPr>
          <w:ilvl w:val="0"/>
          <w:numId w:val="0"/>
        </w:numPr>
        <w:kinsoku/>
        <w:wordWrap/>
        <w:overflowPunct w:val="0"/>
        <w:topLinePunct w:val="0"/>
        <w:autoSpaceDE/>
        <w:autoSpaceDN/>
        <w:bidi w:val="0"/>
        <w:adjustRightInd/>
        <w:spacing w:line="576" w:lineRule="exact"/>
        <w:ind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项目经费严格控制预算，专款专用，宣传和预防相结合，确保安全稳定，严格控制在预算资金内，使用率达到</w:t>
      </w:r>
      <w:r>
        <w:rPr>
          <w:rFonts w:hint="eastAsia" w:ascii="Times New Roman" w:hAnsi="Times New Roman" w:eastAsia="仿宋_GB2312" w:cs="仿宋_GB2312"/>
          <w:color w:val="000000" w:themeColor="text1"/>
          <w:sz w:val="32"/>
          <w:szCs w:val="32"/>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w:t>
      </w:r>
    </w:p>
    <w:p w14:paraId="790B4E42">
      <w:pPr>
        <w:keepNext w:val="0"/>
        <w:keepLines w:val="0"/>
        <w:pageBreakBefore w:val="0"/>
        <w:widowControl w:val="0"/>
        <w:kinsoku/>
        <w:wordWrap/>
        <w:overflowPunct w:val="0"/>
        <w:topLinePunct w:val="0"/>
        <w:bidi w:val="0"/>
        <w:spacing w:line="576" w:lineRule="exact"/>
        <w:ind w:leftChars="0" w:firstLine="640" w:firstLineChars="200"/>
        <w:jc w:val="both"/>
        <w:textAlignment w:val="auto"/>
        <w:rPr>
          <w:rFonts w:hint="eastAsia" w:ascii="楷体_GB2312" w:hAnsi="楷体_GB2312" w:eastAsia="楷体_GB2312" w:cs="Times New Roman"/>
          <w:b w:val="0"/>
          <w:bCs/>
          <w:color w:val="000000" w:themeColor="text1"/>
          <w:kern w:val="2"/>
          <w:sz w:val="32"/>
          <w:szCs w:val="24"/>
          <w:lang w:val="zh-CN"/>
          <w14:textFill>
            <w14:solidFill>
              <w14:schemeClr w14:val="tx1"/>
            </w14:solidFill>
          </w14:textFill>
        </w:rPr>
      </w:pPr>
      <w:r>
        <w:rPr>
          <w:rFonts w:hint="eastAsia" w:ascii="楷体_GB2312" w:hAnsi="楷体_GB2312" w:eastAsia="楷体_GB2312" w:cs="Times New Roman"/>
          <w:b w:val="0"/>
          <w:bCs/>
          <w:color w:val="000000" w:themeColor="text1"/>
          <w:kern w:val="2"/>
          <w:sz w:val="32"/>
          <w:szCs w:val="24"/>
          <w:lang w:val="zh-CN"/>
          <w14:textFill>
            <w14:solidFill>
              <w14:schemeClr w14:val="tx1"/>
            </w14:solidFill>
          </w14:textFill>
        </w:rPr>
        <w:t>（四）项目绩效目标设置。</w:t>
      </w:r>
    </w:p>
    <w:p w14:paraId="152251EB">
      <w:pPr>
        <w:pStyle w:val="8"/>
        <w:keepNext w:val="0"/>
        <w:keepLines w:val="0"/>
        <w:pageBreakBefore w:val="0"/>
        <w:widowControl w:val="0"/>
        <w:kinsoku/>
        <w:wordWrap/>
        <w:overflowPunct w:val="0"/>
        <w:topLinePunct w:val="0"/>
        <w:autoSpaceDE/>
        <w:autoSpaceDN/>
        <w:bidi w:val="0"/>
        <w:spacing w:after="0" w:line="576" w:lineRule="exact"/>
        <w:ind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信访维稳应急（工作）经费。该项费用经费是信访维稳应急费用，特殊时期有信访人到省、市上访，组织人员去维稳和劝返开支差旅费，租车费，生活费等费用，保障我区的和谐稳定。每年到省、市处理信访应急约</w:t>
      </w:r>
      <w:r>
        <w:rPr>
          <w:rFonts w:hint="eastAsia" w:ascii="Times New Roman" w:hAnsi="Times New Roman"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次，接待和处理应急信访问题约</w:t>
      </w:r>
      <w:r>
        <w:rPr>
          <w:rFonts w:hint="eastAsia" w:ascii="Times New Roman" w:hAnsi="Times New Roman"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次。费用严格控制预算资金内，到省到市解决信访问题治理很高，服务对象满意率达到</w:t>
      </w:r>
      <w:r>
        <w:rPr>
          <w:rFonts w:hint="eastAsia" w:ascii="Times New Roman" w:hAnsi="Times New Roman" w:eastAsia="仿宋_GB2312" w:cs="仿宋_GB2312"/>
          <w:color w:val="000000" w:themeColor="text1"/>
          <w:sz w:val="32"/>
          <w:szCs w:val="32"/>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w:t>
      </w:r>
    </w:p>
    <w:p w14:paraId="00AADD4E">
      <w:pPr>
        <w:keepNext w:val="0"/>
        <w:keepLines w:val="0"/>
        <w:pageBreakBefore w:val="0"/>
        <w:widowControl w:val="0"/>
        <w:kinsoku/>
        <w:wordWrap/>
        <w:overflowPunct w:val="0"/>
        <w:topLinePunct w:val="0"/>
        <w:bidi w:val="0"/>
        <w:spacing w:line="576" w:lineRule="exact"/>
        <w:ind w:leftChars="0" w:firstLine="640" w:firstLineChars="200"/>
        <w:jc w:val="both"/>
        <w:textAlignment w:val="auto"/>
        <w:rPr>
          <w:rFonts w:hint="eastAsia" w:ascii="黑体" w:hAnsi="黑体" w:eastAsia="黑体"/>
          <w:color w:val="000000" w:themeColor="text1"/>
          <w:kern w:val="2"/>
          <w:sz w:val="32"/>
          <w:szCs w:val="24"/>
          <w14:textFill>
            <w14:solidFill>
              <w14:schemeClr w14:val="tx1"/>
            </w14:solidFill>
          </w14:textFill>
        </w:rPr>
      </w:pPr>
      <w:r>
        <w:rPr>
          <w:rFonts w:hint="eastAsia" w:ascii="黑体" w:hAnsi="黑体" w:eastAsia="黑体"/>
          <w:color w:val="000000" w:themeColor="text1"/>
          <w:kern w:val="2"/>
          <w:sz w:val="32"/>
          <w:szCs w:val="24"/>
          <w14:textFill>
            <w14:solidFill>
              <w14:schemeClr w14:val="tx1"/>
            </w14:solidFill>
          </w14:textFill>
        </w:rPr>
        <w:t>二、评价实施</w:t>
      </w:r>
    </w:p>
    <w:p w14:paraId="7093F513">
      <w:pPr>
        <w:keepNext w:val="0"/>
        <w:keepLines w:val="0"/>
        <w:pageBreakBefore w:val="0"/>
        <w:widowControl w:val="0"/>
        <w:kinsoku/>
        <w:wordWrap/>
        <w:overflowPunct w:val="0"/>
        <w:topLinePunct w:val="0"/>
        <w:bidi w:val="0"/>
        <w:spacing w:line="576" w:lineRule="exact"/>
        <w:ind w:leftChars="0" w:firstLine="640" w:firstLineChars="200"/>
        <w:jc w:val="both"/>
        <w:textAlignment w:val="auto"/>
        <w:rPr>
          <w:rFonts w:hint="eastAsia" w:ascii="楷体_GB2312" w:hAnsi="楷体_GB2312" w:eastAsia="楷体_GB2312" w:cs="Times New Roman"/>
          <w:b w:val="0"/>
          <w:bCs/>
          <w:color w:val="000000" w:themeColor="text1"/>
          <w:kern w:val="2"/>
          <w:sz w:val="32"/>
          <w:szCs w:val="24"/>
          <w:lang w:val="zh-CN"/>
          <w14:textFill>
            <w14:solidFill>
              <w14:schemeClr w14:val="tx1"/>
            </w14:solidFill>
          </w14:textFill>
        </w:rPr>
      </w:pPr>
      <w:r>
        <w:rPr>
          <w:rFonts w:hint="eastAsia" w:ascii="楷体_GB2312" w:hAnsi="楷体_GB2312" w:eastAsia="楷体_GB2312" w:cs="Times New Roman"/>
          <w:b w:val="0"/>
          <w:bCs/>
          <w:color w:val="000000" w:themeColor="text1"/>
          <w:kern w:val="2"/>
          <w:sz w:val="32"/>
          <w:szCs w:val="24"/>
          <w:lang w:val="zh-CN"/>
          <w14:textFill>
            <w14:solidFill>
              <w14:schemeClr w14:val="tx1"/>
            </w14:solidFill>
          </w14:textFill>
        </w:rPr>
        <w:t>（一）评价目的。</w:t>
      </w:r>
    </w:p>
    <w:p w14:paraId="782FBC71">
      <w:pPr>
        <w:keepNext w:val="0"/>
        <w:keepLines w:val="0"/>
        <w:pageBreakBefore w:val="0"/>
        <w:widowControl w:val="0"/>
        <w:numPr>
          <w:ilvl w:val="0"/>
          <w:numId w:val="0"/>
        </w:numPr>
        <w:kinsoku/>
        <w:wordWrap/>
        <w:overflowPunct w:val="0"/>
        <w:topLinePunct w:val="0"/>
        <w:autoSpaceDE/>
        <w:autoSpaceDN/>
        <w:bidi w:val="0"/>
        <w:spacing w:line="576" w:lineRule="exact"/>
        <w:ind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保障我区信访秩序的和谐稳定。解决到省到市信访问题，服务对象满意率达到</w:t>
      </w:r>
      <w:r>
        <w:rPr>
          <w:rFonts w:hint="eastAsia" w:ascii="Times New Roman" w:hAnsi="Times New Roman" w:eastAsia="仿宋_GB2312" w:cs="仿宋_GB2312"/>
          <w:color w:val="000000" w:themeColor="text1"/>
          <w:sz w:val="32"/>
          <w:szCs w:val="32"/>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w:t>
      </w:r>
    </w:p>
    <w:p w14:paraId="250E5BED">
      <w:pPr>
        <w:keepNext w:val="0"/>
        <w:keepLines w:val="0"/>
        <w:pageBreakBefore w:val="0"/>
        <w:widowControl w:val="0"/>
        <w:kinsoku/>
        <w:wordWrap/>
        <w:overflowPunct w:val="0"/>
        <w:topLinePunct w:val="0"/>
        <w:bidi w:val="0"/>
        <w:spacing w:line="576" w:lineRule="exact"/>
        <w:ind w:leftChars="0" w:firstLine="640" w:firstLineChars="200"/>
        <w:jc w:val="both"/>
        <w:textAlignment w:val="auto"/>
        <w:rPr>
          <w:rFonts w:hint="eastAsia" w:ascii="楷体_GB2312" w:hAnsi="楷体_GB2312" w:eastAsia="楷体_GB2312" w:cs="Times New Roman"/>
          <w:b w:val="0"/>
          <w:bCs/>
          <w:color w:val="000000" w:themeColor="text1"/>
          <w:kern w:val="2"/>
          <w:sz w:val="32"/>
          <w:szCs w:val="24"/>
          <w:lang w:val="zh-CN"/>
          <w14:textFill>
            <w14:solidFill>
              <w14:schemeClr w14:val="tx1"/>
            </w14:solidFill>
          </w14:textFill>
        </w:rPr>
      </w:pPr>
      <w:r>
        <w:rPr>
          <w:rFonts w:hint="eastAsia" w:ascii="楷体_GB2312" w:hAnsi="楷体_GB2312" w:eastAsia="楷体_GB2312" w:cs="Times New Roman"/>
          <w:b w:val="0"/>
          <w:bCs/>
          <w:color w:val="000000" w:themeColor="text1"/>
          <w:kern w:val="2"/>
          <w:sz w:val="32"/>
          <w:szCs w:val="24"/>
          <w:lang w:val="zh-CN"/>
          <w14:textFill>
            <w14:solidFill>
              <w14:schemeClr w14:val="tx1"/>
            </w14:solidFill>
          </w14:textFill>
        </w:rPr>
        <w:t>（二）预设问题及评价重点。</w:t>
      </w:r>
    </w:p>
    <w:p w14:paraId="09718236">
      <w:pPr>
        <w:keepNext w:val="0"/>
        <w:keepLines w:val="0"/>
        <w:pageBreakBefore w:val="0"/>
        <w:widowControl w:val="0"/>
        <w:kinsoku/>
        <w:wordWrap/>
        <w:overflowPunct w:val="0"/>
        <w:topLinePunct w:val="0"/>
        <w:bidi w:val="0"/>
        <w:spacing w:line="576" w:lineRule="exact"/>
        <w:ind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信访维稳应急经费，该</w:t>
      </w:r>
      <w:r>
        <w:rPr>
          <w:rFonts w:hint="eastAsia" w:ascii="仿宋_GB2312" w:hAnsi="仿宋_GB2312" w:eastAsia="仿宋_GB2312" w:cs="仿宋_GB2312"/>
          <w:color w:val="000000" w:themeColor="text1"/>
          <w:sz w:val="32"/>
          <w:szCs w:val="32"/>
          <w:lang w:val="zh-CN"/>
          <w14:textFill>
            <w14:solidFill>
              <w14:schemeClr w14:val="tx1"/>
            </w14:solidFill>
          </w14:textFill>
        </w:rPr>
        <w:t>项目申报内容与具体实施内容相符，申报目标是合理可行</w:t>
      </w:r>
      <w:r>
        <w:rPr>
          <w:rFonts w:hint="eastAsia" w:ascii="仿宋_GB2312" w:hAnsi="仿宋_GB2312" w:eastAsia="仿宋_GB2312" w:cs="仿宋_GB2312"/>
          <w:color w:val="000000" w:themeColor="text1"/>
          <w:sz w:val="32"/>
          <w:szCs w:val="32"/>
          <w14:textFill>
            <w14:solidFill>
              <w14:schemeClr w14:val="tx1"/>
            </w14:solidFill>
          </w14:textFill>
        </w:rPr>
        <w:t>的；</w:t>
      </w:r>
    </w:p>
    <w:p w14:paraId="7AF539C5">
      <w:pPr>
        <w:keepNext w:val="0"/>
        <w:keepLines w:val="0"/>
        <w:pageBreakBefore w:val="0"/>
        <w:widowControl w:val="0"/>
        <w:kinsoku/>
        <w:wordWrap/>
        <w:overflowPunct w:val="0"/>
        <w:topLinePunct w:val="0"/>
        <w:bidi w:val="0"/>
        <w:spacing w:line="576" w:lineRule="exact"/>
        <w:ind w:leftChars="0" w:firstLine="640" w:firstLineChars="200"/>
        <w:jc w:val="both"/>
        <w:textAlignment w:val="auto"/>
        <w:rPr>
          <w:rFonts w:hint="eastAsia" w:ascii="楷体_GB2312" w:hAnsi="楷体_GB2312" w:eastAsia="楷体_GB2312"/>
          <w:color w:val="000000" w:themeColor="text1"/>
          <w:kern w:val="2"/>
          <w:sz w:val="32"/>
          <w:szCs w:val="24"/>
          <w14:textFill>
            <w14:solidFill>
              <w14:schemeClr w14:val="tx1"/>
            </w14:solidFill>
          </w14:textFill>
        </w:rPr>
      </w:pPr>
      <w:r>
        <w:rPr>
          <w:rFonts w:hint="eastAsia" w:ascii="楷体_GB2312" w:hAnsi="楷体_GB2312" w:eastAsia="楷体_GB2312" w:cs="Times New Roman"/>
          <w:b w:val="0"/>
          <w:bCs/>
          <w:color w:val="000000" w:themeColor="text1"/>
          <w:kern w:val="2"/>
          <w:sz w:val="32"/>
          <w:szCs w:val="24"/>
          <w:lang w:val="zh-CN"/>
          <w14:textFill>
            <w14:solidFill>
              <w14:schemeClr w14:val="tx1"/>
            </w14:solidFill>
          </w14:textFill>
        </w:rPr>
        <w:t>（三）评价选点。</w:t>
      </w:r>
      <w:r>
        <w:rPr>
          <w:rFonts w:hint="eastAsia" w:ascii="仿宋_GB2312" w:hAnsi="仿宋_GB2312" w:eastAsia="仿宋_GB2312"/>
          <w:color w:val="000000" w:themeColor="text1"/>
          <w:kern w:val="2"/>
          <w:sz w:val="32"/>
          <w:szCs w:val="24"/>
          <w14:textFill>
            <w14:solidFill>
              <w14:schemeClr w14:val="tx1"/>
            </w14:solidFill>
          </w14:textFill>
        </w:rPr>
        <w:t>该项目是运转类项目</w:t>
      </w:r>
    </w:p>
    <w:p w14:paraId="6236D46A">
      <w:pPr>
        <w:keepNext w:val="0"/>
        <w:keepLines w:val="0"/>
        <w:pageBreakBefore w:val="0"/>
        <w:widowControl w:val="0"/>
        <w:kinsoku/>
        <w:wordWrap/>
        <w:overflowPunct w:val="0"/>
        <w:topLinePunct w:val="0"/>
        <w:bidi w:val="0"/>
        <w:spacing w:line="576" w:lineRule="exact"/>
        <w:ind w:leftChars="0" w:firstLine="640" w:firstLineChars="200"/>
        <w:jc w:val="both"/>
        <w:textAlignment w:val="auto"/>
        <w:rPr>
          <w:rFonts w:hint="eastAsia" w:ascii="楷体_GB2312" w:hAnsi="楷体_GB2312" w:eastAsia="楷体_GB2312" w:cs="Times New Roman"/>
          <w:b w:val="0"/>
          <w:bCs/>
          <w:color w:val="000000" w:themeColor="text1"/>
          <w:kern w:val="2"/>
          <w:sz w:val="32"/>
          <w:szCs w:val="24"/>
          <w:lang w:val="zh-CN"/>
          <w14:textFill>
            <w14:solidFill>
              <w14:schemeClr w14:val="tx1"/>
            </w14:solidFill>
          </w14:textFill>
        </w:rPr>
      </w:pPr>
      <w:r>
        <w:rPr>
          <w:rFonts w:hint="eastAsia" w:ascii="楷体_GB2312" w:hAnsi="楷体_GB2312" w:eastAsia="楷体_GB2312" w:cs="Times New Roman"/>
          <w:b w:val="0"/>
          <w:bCs/>
          <w:color w:val="000000" w:themeColor="text1"/>
          <w:kern w:val="2"/>
          <w:sz w:val="32"/>
          <w:szCs w:val="24"/>
          <w:lang w:val="zh-CN"/>
          <w14:textFill>
            <w14:solidFill>
              <w14:schemeClr w14:val="tx1"/>
            </w14:solidFill>
          </w14:textFill>
        </w:rPr>
        <w:t>（四）评价方法。</w:t>
      </w:r>
    </w:p>
    <w:p w14:paraId="6FFE9CD4">
      <w:pPr>
        <w:pStyle w:val="8"/>
        <w:keepNext w:val="0"/>
        <w:keepLines w:val="0"/>
        <w:pageBreakBefore w:val="0"/>
        <w:widowControl w:val="0"/>
        <w:kinsoku/>
        <w:wordWrap/>
        <w:overflowPunct w:val="0"/>
        <w:topLinePunct w:val="0"/>
        <w:autoSpaceDE/>
        <w:autoSpaceDN/>
        <w:bidi w:val="0"/>
        <w:spacing w:after="0" w:line="576" w:lineRule="exact"/>
        <w:ind w:leftChars="0" w:firstLine="640" w:firstLineChars="200"/>
        <w:jc w:val="both"/>
        <w:textAlignment w:val="auto"/>
        <w:rPr>
          <w:rFonts w:hint="eastAsia" w:ascii="仿宋_GB2312" w:hAnsi="仿宋_GB2312" w:eastAsia="仿宋_GB2312" w:cs="仿宋_GB2312"/>
          <w:color w:val="000000" w:themeColor="text1"/>
          <w:sz w:val="24"/>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项目采用成本效益分析法，因素分析法，最低成本法等分析方法开展自评。</w:t>
      </w:r>
    </w:p>
    <w:p w14:paraId="6AB7E924">
      <w:pPr>
        <w:keepNext w:val="0"/>
        <w:keepLines w:val="0"/>
        <w:pageBreakBefore w:val="0"/>
        <w:widowControl w:val="0"/>
        <w:kinsoku/>
        <w:wordWrap/>
        <w:overflowPunct w:val="0"/>
        <w:topLinePunct w:val="0"/>
        <w:bidi w:val="0"/>
        <w:spacing w:line="576" w:lineRule="exact"/>
        <w:ind w:leftChars="0" w:firstLine="640" w:firstLineChars="200"/>
        <w:jc w:val="both"/>
        <w:textAlignment w:val="auto"/>
        <w:rPr>
          <w:rFonts w:hint="eastAsia" w:ascii="黑体" w:hAnsi="黑体" w:eastAsia="黑体"/>
          <w:color w:val="000000" w:themeColor="text1"/>
          <w:kern w:val="2"/>
          <w:sz w:val="32"/>
          <w:szCs w:val="24"/>
          <w14:textFill>
            <w14:solidFill>
              <w14:schemeClr w14:val="tx1"/>
            </w14:solidFill>
          </w14:textFill>
        </w:rPr>
      </w:pPr>
      <w:r>
        <w:rPr>
          <w:rFonts w:hint="eastAsia" w:ascii="黑体" w:hAnsi="黑体" w:eastAsia="黑体"/>
          <w:color w:val="000000" w:themeColor="text1"/>
          <w:kern w:val="2"/>
          <w:sz w:val="32"/>
          <w:szCs w:val="24"/>
          <w14:textFill>
            <w14:solidFill>
              <w14:schemeClr w14:val="tx1"/>
            </w14:solidFill>
          </w14:textFill>
        </w:rPr>
        <w:t>三、绩效分析</w:t>
      </w:r>
    </w:p>
    <w:p w14:paraId="6EAFFD3F">
      <w:pPr>
        <w:keepNext w:val="0"/>
        <w:keepLines w:val="0"/>
        <w:pageBreakBefore w:val="0"/>
        <w:widowControl w:val="0"/>
        <w:kinsoku/>
        <w:wordWrap/>
        <w:overflowPunct w:val="0"/>
        <w:topLinePunct w:val="0"/>
        <w:bidi w:val="0"/>
        <w:spacing w:line="576" w:lineRule="exact"/>
        <w:ind w:leftChars="0" w:firstLine="640" w:firstLineChars="200"/>
        <w:jc w:val="both"/>
        <w:textAlignment w:val="auto"/>
        <w:rPr>
          <w:rFonts w:hint="eastAsia" w:ascii="仿宋_GB2312" w:hAnsi="仿宋_GB2312" w:eastAsia="仿宋_GB2312"/>
          <w:color w:val="000000" w:themeColor="text1"/>
          <w:kern w:val="2"/>
          <w:sz w:val="32"/>
          <w:szCs w:val="24"/>
          <w:highlight w:val="yellow"/>
          <w:lang w:val="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项目采用成本效益分析法，因素分析法，最低成本法等分析方法开展自评。</w:t>
      </w:r>
    </w:p>
    <w:p w14:paraId="39FD8B9D">
      <w:pPr>
        <w:keepNext w:val="0"/>
        <w:keepLines w:val="0"/>
        <w:pageBreakBefore w:val="0"/>
        <w:widowControl w:val="0"/>
        <w:kinsoku/>
        <w:wordWrap/>
        <w:overflowPunct w:val="0"/>
        <w:topLinePunct w:val="0"/>
        <w:bidi w:val="0"/>
        <w:spacing w:line="576" w:lineRule="exact"/>
        <w:ind w:leftChars="0" w:firstLine="640" w:firstLineChars="200"/>
        <w:jc w:val="both"/>
        <w:textAlignment w:val="auto"/>
        <w:rPr>
          <w:rFonts w:hint="eastAsia" w:ascii="黑体" w:hAnsi="黑体" w:eastAsia="黑体"/>
          <w:color w:val="000000" w:themeColor="text1"/>
          <w:kern w:val="2"/>
          <w:sz w:val="32"/>
          <w:szCs w:val="24"/>
          <w14:textFill>
            <w14:solidFill>
              <w14:schemeClr w14:val="tx1"/>
            </w14:solidFill>
          </w14:textFill>
        </w:rPr>
      </w:pPr>
      <w:r>
        <w:rPr>
          <w:rFonts w:hint="eastAsia" w:ascii="黑体" w:hAnsi="黑体" w:eastAsia="黑体"/>
          <w:color w:val="000000" w:themeColor="text1"/>
          <w:kern w:val="2"/>
          <w:sz w:val="32"/>
          <w:szCs w:val="24"/>
          <w14:textFill>
            <w14:solidFill>
              <w14:schemeClr w14:val="tx1"/>
            </w14:solidFill>
          </w14:textFill>
        </w:rPr>
        <w:t>四、评价结论</w:t>
      </w:r>
    </w:p>
    <w:p w14:paraId="0F767FC9">
      <w:pPr>
        <w:keepNext w:val="0"/>
        <w:keepLines w:val="0"/>
        <w:pageBreakBefore w:val="0"/>
        <w:widowControl w:val="0"/>
        <w:kinsoku/>
        <w:wordWrap/>
        <w:overflowPunct w:val="0"/>
        <w:topLinePunct w:val="0"/>
        <w:autoSpaceDE/>
        <w:autoSpaceDN/>
        <w:bidi w:val="0"/>
        <w:snapToGrid w:val="0"/>
        <w:spacing w:line="576" w:lineRule="exact"/>
        <w:ind w:leftChars="0" w:firstLine="640" w:firstLineChars="200"/>
        <w:jc w:val="both"/>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信访维稳应急（工作）经费；该项目是基本运转类项目，是长期使用的项目。该项目严格按照相关制度管理和实施，项目绩效与预决算一同在互联网上公开，严格项目监管。</w:t>
      </w:r>
      <w:r>
        <w:rPr>
          <w:rFonts w:hint="eastAsia" w:ascii="仿宋_GB2312" w:hAnsi="仿宋_GB2312" w:eastAsia="仿宋_GB2312" w:cs="仿宋_GB2312"/>
          <w:color w:val="000000" w:themeColor="text1"/>
          <w:sz w:val="32"/>
          <w:szCs w:val="32"/>
          <w:lang w:val="zh-CN"/>
          <w14:textFill>
            <w14:solidFill>
              <w14:schemeClr w14:val="tx1"/>
            </w14:solidFill>
          </w14:textFill>
        </w:rPr>
        <w:t>资金截止</w:t>
      </w:r>
      <w:r>
        <w:rPr>
          <w:rFonts w:hint="eastAsia" w:ascii="Times New Roman" w:hAnsi="Times New Roman" w:eastAsia="仿宋_GB2312" w:cs="仿宋_GB2312"/>
          <w:color w:val="000000" w:themeColor="text1"/>
          <w:sz w:val="32"/>
          <w:szCs w:val="32"/>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Times New Roman" w:hAnsi="Times New Roman"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Times New Roman" w:hAnsi="Times New Roman" w:eastAsia="仿宋_GB2312" w:cs="仿宋_GB2312"/>
          <w:color w:val="000000" w:themeColor="text1"/>
          <w:sz w:val="32"/>
          <w:szCs w:val="32"/>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日，资金预算批复全部到位</w:t>
      </w:r>
      <w:r>
        <w:rPr>
          <w:rFonts w:hint="eastAsia" w:ascii="仿宋_GB2312" w:hAnsi="仿宋_GB2312" w:eastAsia="仿宋_GB2312" w:cs="仿宋_GB2312"/>
          <w:color w:val="000000" w:themeColor="text1"/>
          <w:sz w:val="32"/>
          <w:szCs w:val="32"/>
          <w:lang w:val="zh-CN"/>
          <w14:textFill>
            <w14:solidFill>
              <w14:schemeClr w14:val="tx1"/>
            </w14:solidFill>
          </w14:textFill>
        </w:rPr>
        <w:t>，资金到位率</w:t>
      </w:r>
      <w:r>
        <w:rPr>
          <w:rFonts w:hint="eastAsia" w:ascii="Times New Roman" w:hAnsi="Times New Roman" w:eastAsia="仿宋_GB2312" w:cs="仿宋_GB2312"/>
          <w:color w:val="000000" w:themeColor="text1"/>
          <w:sz w:val="32"/>
          <w:szCs w:val="32"/>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资金</w:t>
      </w:r>
      <w:r>
        <w:rPr>
          <w:rFonts w:hint="eastAsia" w:ascii="仿宋_GB2312" w:hAnsi="仿宋_GB2312" w:eastAsia="仿宋_GB2312" w:cs="仿宋_GB2312"/>
          <w:color w:val="000000" w:themeColor="text1"/>
          <w:sz w:val="32"/>
          <w:szCs w:val="32"/>
          <w:lang w:val="zh-CN"/>
          <w14:textFill>
            <w14:solidFill>
              <w14:schemeClr w14:val="tx1"/>
            </w14:solidFill>
          </w14:textFill>
        </w:rPr>
        <w:t>到位及时。截止</w:t>
      </w:r>
      <w:r>
        <w:rPr>
          <w:rFonts w:hint="eastAsia" w:ascii="Times New Roman" w:hAnsi="Times New Roman" w:eastAsia="仿宋_GB2312" w:cs="仿宋_GB2312"/>
          <w:color w:val="000000" w:themeColor="text1"/>
          <w:sz w:val="32"/>
          <w:szCs w:val="32"/>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Times New Roman" w:hAnsi="Times New Roman" w:eastAsia="仿宋_GB2312" w:cs="仿宋_GB2312"/>
          <w:color w:val="000000" w:themeColor="text1"/>
          <w:sz w:val="32"/>
          <w:szCs w:val="32"/>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Times New Roman" w:hAnsi="Times New Roman" w:eastAsia="仿宋_GB2312" w:cs="仿宋_GB2312"/>
          <w:color w:val="000000" w:themeColor="text1"/>
          <w:sz w:val="32"/>
          <w:szCs w:val="32"/>
          <w14:textFill>
            <w14:solidFill>
              <w14:schemeClr w14:val="tx1"/>
            </w14:solidFill>
          </w14:textFill>
        </w:rPr>
        <w:t>31</w:t>
      </w:r>
      <w:r>
        <w:rPr>
          <w:rFonts w:hint="eastAsia" w:ascii="仿宋_GB2312" w:hAnsi="仿宋_GB2312" w:eastAsia="仿宋_GB2312" w:cs="仿宋_GB2312"/>
          <w:color w:val="000000" w:themeColor="text1"/>
          <w:sz w:val="32"/>
          <w:szCs w:val="32"/>
          <w14:textFill>
            <w14:solidFill>
              <w14:schemeClr w14:val="tx1"/>
            </w14:solidFill>
          </w14:textFill>
        </w:rPr>
        <w:t>日支付信访维稳应急（工作）经费</w:t>
      </w:r>
      <w:r>
        <w:rPr>
          <w:rFonts w:hint="eastAsia" w:ascii="Times New Roman" w:hAnsi="Times New Roman" w:eastAsia="仿宋_GB2312" w:cs="仿宋_GB2312"/>
          <w:color w:val="000000" w:themeColor="text1"/>
          <w:sz w:val="32"/>
          <w:szCs w:val="32"/>
          <w14:textFill>
            <w14:solidFill>
              <w14:schemeClr w14:val="tx1"/>
            </w14:solidFill>
          </w14:textFill>
        </w:rPr>
        <w:t>41</w:t>
      </w:r>
      <w:r>
        <w:rPr>
          <w:rFonts w:hint="eastAsia" w:ascii="仿宋_GB2312" w:hAnsi="仿宋_GB2312" w:eastAsia="仿宋_GB2312" w:cs="仿宋_GB2312"/>
          <w:color w:val="000000" w:themeColor="text1"/>
          <w:sz w:val="32"/>
          <w:szCs w:val="32"/>
          <w14:textFill>
            <w14:solidFill>
              <w14:schemeClr w14:val="tx1"/>
            </w14:solidFill>
          </w14:textFill>
        </w:rPr>
        <w:t>万元，项目资金全部支付，</w:t>
      </w:r>
      <w:r>
        <w:rPr>
          <w:rFonts w:hint="eastAsia" w:ascii="仿宋_GB2312" w:hAnsi="仿宋_GB2312" w:eastAsia="仿宋_GB2312" w:cs="仿宋_GB2312"/>
          <w:color w:val="000000" w:themeColor="text1"/>
          <w:sz w:val="32"/>
          <w:szCs w:val="32"/>
          <w:lang w:val="zh-CN"/>
          <w14:textFill>
            <w14:solidFill>
              <w14:schemeClr w14:val="tx1"/>
            </w14:solidFill>
          </w14:textFill>
        </w:rPr>
        <w:t>支付依据合规合法，资金支付与预算</w:t>
      </w:r>
      <w:r>
        <w:rPr>
          <w:rFonts w:hint="eastAsia" w:ascii="仿宋_GB2312" w:hAnsi="仿宋_GB2312" w:eastAsia="仿宋_GB2312" w:cs="仿宋_GB2312"/>
          <w:color w:val="000000" w:themeColor="text1"/>
          <w:sz w:val="32"/>
          <w:szCs w:val="32"/>
          <w14:textFill>
            <w14:solidFill>
              <w14:schemeClr w14:val="tx1"/>
            </w14:solidFill>
          </w14:textFill>
        </w:rPr>
        <w:t>相符</w:t>
      </w:r>
      <w:r>
        <w:rPr>
          <w:rFonts w:hint="eastAsia" w:ascii="仿宋_GB2312" w:hAnsi="仿宋_GB2312" w:eastAsia="仿宋_GB2312" w:cs="仿宋_GB2312"/>
          <w:color w:val="000000" w:themeColor="text1"/>
          <w:sz w:val="32"/>
          <w:szCs w:val="32"/>
          <w:lang w:val="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信访维稳应急（工作）经费全面完成全年各项工作，运转正常，该项目评价得分</w:t>
      </w:r>
      <w:r>
        <w:rPr>
          <w:rFonts w:hint="eastAsia" w:ascii="Times New Roman" w:hAnsi="Times New Roman" w:eastAsia="仿宋_GB2312" w:cs="仿宋_GB2312"/>
          <w:color w:val="000000" w:themeColor="text1"/>
          <w:sz w:val="32"/>
          <w:szCs w:val="32"/>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分。</w:t>
      </w:r>
    </w:p>
    <w:p w14:paraId="66F0235D">
      <w:pPr>
        <w:keepNext w:val="0"/>
        <w:keepLines w:val="0"/>
        <w:pageBreakBefore w:val="0"/>
        <w:widowControl w:val="0"/>
        <w:kinsoku/>
        <w:wordWrap/>
        <w:overflowPunct w:val="0"/>
        <w:topLinePunct w:val="0"/>
        <w:bidi w:val="0"/>
        <w:spacing w:line="576" w:lineRule="exact"/>
        <w:ind w:leftChars="0" w:firstLine="640" w:firstLineChars="200"/>
        <w:jc w:val="both"/>
        <w:textAlignment w:val="auto"/>
        <w:rPr>
          <w:rFonts w:hint="eastAsia" w:ascii="黑体" w:hAnsi="黑体" w:eastAsia="黑体"/>
          <w:color w:val="000000" w:themeColor="text1"/>
          <w:kern w:val="2"/>
          <w:sz w:val="32"/>
          <w:szCs w:val="24"/>
          <w14:textFill>
            <w14:solidFill>
              <w14:schemeClr w14:val="tx1"/>
            </w14:solidFill>
          </w14:textFill>
        </w:rPr>
      </w:pPr>
      <w:r>
        <w:rPr>
          <w:rFonts w:hint="eastAsia" w:ascii="黑体" w:hAnsi="黑体" w:eastAsia="黑体"/>
          <w:color w:val="000000" w:themeColor="text1"/>
          <w:kern w:val="2"/>
          <w:sz w:val="32"/>
          <w:szCs w:val="24"/>
          <w:lang w:val="zh-CN"/>
          <w14:textFill>
            <w14:solidFill>
              <w14:schemeClr w14:val="tx1"/>
            </w14:solidFill>
          </w14:textFill>
        </w:rPr>
        <w:t>五、存在主要问题：</w:t>
      </w:r>
      <w:r>
        <w:rPr>
          <w:rFonts w:hint="eastAsia" w:ascii="黑体" w:hAnsi="黑体" w:eastAsia="黑体"/>
          <w:color w:val="000000" w:themeColor="text1"/>
          <w:kern w:val="2"/>
          <w:sz w:val="32"/>
          <w:szCs w:val="24"/>
          <w14:textFill>
            <w14:solidFill>
              <w14:schemeClr w14:val="tx1"/>
            </w14:solidFill>
          </w14:textFill>
        </w:rPr>
        <w:t>无</w:t>
      </w:r>
    </w:p>
    <w:p w14:paraId="0F6FDE1A">
      <w:pPr>
        <w:keepNext w:val="0"/>
        <w:keepLines w:val="0"/>
        <w:pageBreakBefore w:val="0"/>
        <w:widowControl w:val="0"/>
        <w:kinsoku/>
        <w:wordWrap/>
        <w:overflowPunct w:val="0"/>
        <w:topLinePunct w:val="0"/>
        <w:bidi w:val="0"/>
        <w:spacing w:line="576" w:lineRule="exact"/>
        <w:ind w:leftChars="0" w:firstLine="640" w:firstLineChars="200"/>
        <w:jc w:val="both"/>
        <w:textAlignment w:val="auto"/>
        <w:rPr>
          <w:rFonts w:hint="eastAsia" w:ascii="黑体" w:hAnsi="黑体" w:eastAsia="黑体"/>
          <w:color w:val="000000" w:themeColor="text1"/>
          <w:kern w:val="2"/>
          <w:sz w:val="32"/>
          <w:szCs w:val="24"/>
          <w:lang w:val="zh-CN"/>
          <w14:textFill>
            <w14:solidFill>
              <w14:schemeClr w14:val="tx1"/>
            </w14:solidFill>
          </w14:textFill>
        </w:rPr>
      </w:pPr>
      <w:r>
        <w:rPr>
          <w:rFonts w:hint="eastAsia" w:ascii="黑体" w:hAnsi="黑体" w:eastAsia="黑体"/>
          <w:color w:val="000000" w:themeColor="text1"/>
          <w:kern w:val="2"/>
          <w:sz w:val="32"/>
          <w:szCs w:val="24"/>
          <w:lang w:val="zh-CN"/>
          <w14:textFill>
            <w14:solidFill>
              <w14:schemeClr w14:val="tx1"/>
            </w14:solidFill>
          </w14:textFill>
        </w:rPr>
        <w:t>六、改进建议</w:t>
      </w:r>
    </w:p>
    <w:p w14:paraId="4668B638">
      <w:pPr>
        <w:keepNext w:val="0"/>
        <w:keepLines w:val="0"/>
        <w:pageBreakBefore w:val="0"/>
        <w:widowControl w:val="0"/>
        <w:kinsoku/>
        <w:wordWrap/>
        <w:overflowPunct w:val="0"/>
        <w:topLinePunct w:val="0"/>
        <w:autoSpaceDE/>
        <w:autoSpaceDN/>
        <w:bidi w:val="0"/>
        <w:adjustRightInd/>
        <w:spacing w:line="576" w:lineRule="exact"/>
        <w:ind w:firstLine="640" w:firstLineChars="200"/>
        <w:textAlignment w:val="auto"/>
        <w:rPr>
          <w:rFonts w:hint="default"/>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加强目标绩效的管理。严格控制成本和预算，专款专用，确保资金支付和使用进度。</w:t>
      </w:r>
    </w:p>
    <w:p w14:paraId="64188AB1">
      <w:pPr>
        <w:spacing w:line="576" w:lineRule="exact"/>
        <w:ind w:firstLine="640"/>
        <w:jc w:val="both"/>
        <w:rPr>
          <w:rFonts w:hint="eastAsia" w:ascii="黑体" w:hAnsi="黑体" w:eastAsia="黑体"/>
          <w:color w:val="000000" w:themeColor="text1"/>
          <w:kern w:val="2"/>
          <w:sz w:val="32"/>
          <w:szCs w:val="24"/>
          <w:lang w:val="zh-CN"/>
          <w14:textFill>
            <w14:solidFill>
              <w14:schemeClr w14:val="tx1"/>
            </w14:solidFill>
          </w14:textFill>
        </w:rPr>
      </w:pPr>
    </w:p>
    <w:p w14:paraId="7A0C6093">
      <w:pPr>
        <w:pStyle w:val="2"/>
        <w:rPr>
          <w:rFonts w:hint="eastAsia" w:ascii="黑体" w:hAnsi="黑体" w:eastAsia="黑体"/>
          <w:color w:val="000000" w:themeColor="text1"/>
          <w:kern w:val="2"/>
          <w:sz w:val="32"/>
          <w:szCs w:val="24"/>
          <w:lang w:val="zh-CN"/>
          <w14:textFill>
            <w14:solidFill>
              <w14:schemeClr w14:val="tx1"/>
            </w14:solidFill>
          </w14:textFill>
        </w:rPr>
      </w:pPr>
    </w:p>
    <w:p w14:paraId="3E45D52D">
      <w:pPr>
        <w:pStyle w:val="16"/>
        <w:wordWrap w:val="0"/>
        <w:autoSpaceDE/>
        <w:autoSpaceDN/>
        <w:adjustRightInd/>
        <w:spacing w:line="520" w:lineRule="exact"/>
        <w:jc w:val="right"/>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中共广元市昭化区委群众工作局</w:t>
      </w:r>
      <w:r>
        <w:rPr>
          <w:rFonts w:hint="eastAsia" w:ascii="仿宋_GB2312" w:hAnsi="仿宋_GB2312" w:eastAsia="仿宋_GB2312" w:cs="仿宋_GB2312"/>
          <w:color w:val="000000" w:themeColor="text1"/>
          <w:sz w:val="32"/>
          <w:szCs w:val="32"/>
          <w:lang w:eastAsia="zh-CN"/>
          <w14:textFill>
            <w14:solidFill>
              <w14:schemeClr w14:val="tx1"/>
            </w14:solidFill>
          </w14:textFill>
        </w:rPr>
        <w:t>　　</w:t>
      </w:r>
    </w:p>
    <w:p w14:paraId="5744137B">
      <w:pPr>
        <w:pStyle w:val="16"/>
        <w:wordWrap w:val="0"/>
        <w:autoSpaceDE/>
        <w:autoSpaceDN/>
        <w:adjustRightInd/>
        <w:spacing w:line="520" w:lineRule="exact"/>
        <w:jc w:val="right"/>
        <w:rPr>
          <w:rFonts w:hint="eastAsia" w:eastAsia="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Times New Roman" w:hAnsi="Times New Roman" w:eastAsia="仿宋_GB2312" w:cs="仿宋_GB2312"/>
          <w:color w:val="000000" w:themeColor="text1"/>
          <w:sz w:val="32"/>
          <w:szCs w:val="32"/>
          <w14:textFill>
            <w14:solidFill>
              <w14:schemeClr w14:val="tx1"/>
            </w14:solidFill>
          </w14:textFill>
        </w:rPr>
        <w:t>2024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Times New Roman" w:hAnsi="Times New Roman"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Times New Roman" w:hAnsi="Times New Roman" w:eastAsia="仿宋_GB2312" w:cs="仿宋_GB2312"/>
          <w:color w:val="000000" w:themeColor="text1"/>
          <w:sz w:val="32"/>
          <w:szCs w:val="32"/>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eastAsia="zh-CN"/>
          <w14:textFill>
            <w14:solidFill>
              <w14:schemeClr w14:val="tx1"/>
            </w14:solidFill>
          </w14:textFill>
        </w:rPr>
        <w:t>　　　　</w:t>
      </w:r>
    </w:p>
    <w:p w14:paraId="36CC02B4">
      <w:pPr>
        <w:pStyle w:val="2"/>
        <w:rPr>
          <w:rFonts w:hint="eastAsia" w:ascii="黑体" w:hAnsi="黑体" w:eastAsia="黑体"/>
          <w:color w:val="000000" w:themeColor="text1"/>
          <w:kern w:val="2"/>
          <w:sz w:val="32"/>
          <w:szCs w:val="24"/>
          <w:lang w:val="zh-CN"/>
          <w14:textFill>
            <w14:solidFill>
              <w14:schemeClr w14:val="tx1"/>
            </w14:solidFill>
          </w14:textFill>
        </w:rPr>
      </w:pPr>
    </w:p>
    <w:p w14:paraId="114DDF6F">
      <w:pPr>
        <w:pStyle w:val="2"/>
        <w:rPr>
          <w:rFonts w:hint="eastAsia" w:ascii="黑体" w:hAnsi="黑体" w:eastAsia="黑体"/>
          <w:color w:val="000000" w:themeColor="text1"/>
          <w:kern w:val="2"/>
          <w:sz w:val="32"/>
          <w:szCs w:val="24"/>
          <w:lang w:val="zh-CN"/>
          <w14:textFill>
            <w14:solidFill>
              <w14:schemeClr w14:val="tx1"/>
            </w14:solidFill>
          </w14:textFill>
        </w:rPr>
      </w:pPr>
    </w:p>
    <w:p w14:paraId="3F6EE4D1">
      <w:pPr>
        <w:pStyle w:val="2"/>
        <w:rPr>
          <w:rFonts w:hint="eastAsia" w:ascii="黑体" w:hAnsi="黑体" w:eastAsia="黑体"/>
          <w:color w:val="000000" w:themeColor="text1"/>
          <w:kern w:val="2"/>
          <w:sz w:val="32"/>
          <w:szCs w:val="24"/>
          <w:lang w:val="zh-CN"/>
          <w14:textFill>
            <w14:solidFill>
              <w14:schemeClr w14:val="tx1"/>
            </w14:solidFill>
          </w14:textFill>
        </w:rPr>
      </w:pPr>
    </w:p>
    <w:tbl>
      <w:tblPr>
        <w:tblStyle w:val="9"/>
        <w:tblW w:w="92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47"/>
        <w:gridCol w:w="831"/>
        <w:gridCol w:w="1107"/>
        <w:gridCol w:w="1095"/>
        <w:gridCol w:w="1383"/>
        <w:gridCol w:w="1340"/>
        <w:gridCol w:w="1366"/>
        <w:gridCol w:w="1371"/>
      </w:tblGrid>
      <w:tr w14:paraId="4C001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6" w:type="dxa"/>
            <w:gridSpan w:val="8"/>
            <w:tcBorders>
              <w:top w:val="nil"/>
              <w:left w:val="nil"/>
              <w:bottom w:val="nil"/>
              <w:right w:val="nil"/>
              <w:tl2br w:val="nil"/>
              <w:tr2bl w:val="nil"/>
            </w:tcBorders>
            <w:noWrap w:val="0"/>
            <w:vAlign w:val="center"/>
          </w:tcPr>
          <w:p w14:paraId="7B202912">
            <w:pPr>
              <w:widowControl/>
              <w:ind w:left="0" w:leftChars="0" w:firstLine="0" w:firstLineChars="0"/>
              <w:jc w:val="both"/>
              <w:textAlignment w:val="center"/>
              <w:rPr>
                <w:rFonts w:hint="eastAsia" w:ascii="方正小标宋简体" w:hAnsi="方正小标宋简体" w:eastAsia="方正小标宋简体" w:cs="方正小标宋简体"/>
                <w:b w:val="0"/>
                <w:bCs w:val="0"/>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广元市昭化区财政项目（政策）支出绩效自评表</w:t>
            </w:r>
          </w:p>
        </w:tc>
      </w:tr>
      <w:tr w14:paraId="71F62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246" w:type="dxa"/>
            <w:gridSpan w:val="8"/>
            <w:tcBorders>
              <w:top w:val="nil"/>
              <w:left w:val="nil"/>
              <w:bottom w:val="nil"/>
              <w:right w:val="nil"/>
              <w:tl2br w:val="nil"/>
              <w:tr2bl w:val="nil"/>
            </w:tcBorders>
            <w:noWrap w:val="0"/>
            <w:vAlign w:val="top"/>
          </w:tcPr>
          <w:p w14:paraId="1531062F">
            <w:pPr>
              <w:widowControl/>
              <w:jc w:val="center"/>
              <w:textAlignment w:val="top"/>
              <w:rPr>
                <w:rFonts w:hint="default" w:hAnsi="宋体" w:cs="宋体"/>
                <w:b w:val="0"/>
                <w:bCs w:val="0"/>
                <w:color w:val="000000" w:themeColor="text1"/>
                <w:sz w:val="24"/>
                <w:szCs w:val="24"/>
                <w14:textFill>
                  <w14:solidFill>
                    <w14:schemeClr w14:val="tx1"/>
                  </w14:solidFill>
                </w14:textFill>
              </w:rPr>
            </w:pPr>
            <w:r>
              <w:rPr>
                <w:rFonts w:hint="default" w:hAnsi="宋体" w:cs="宋体"/>
                <w:b w:val="0"/>
                <w:bCs w:val="0"/>
                <w:color w:val="000000" w:themeColor="text1"/>
                <w:sz w:val="24"/>
                <w:szCs w:val="24"/>
                <w14:textFill>
                  <w14:solidFill>
                    <w14:schemeClr w14:val="tx1"/>
                  </w14:solidFill>
                </w14:textFill>
              </w:rPr>
              <w:t xml:space="preserve">（ </w:t>
            </w:r>
            <w:r>
              <w:rPr>
                <w:rFonts w:hint="default" w:ascii="Times New Roman" w:hAnsi="Times New Roman" w:cs="宋体"/>
                <w:b w:val="0"/>
                <w:bCs w:val="0"/>
                <w:color w:val="000000" w:themeColor="text1"/>
                <w:sz w:val="24"/>
                <w:szCs w:val="24"/>
                <w14:textFill>
                  <w14:solidFill>
                    <w14:schemeClr w14:val="tx1"/>
                  </w14:solidFill>
                </w14:textFill>
              </w:rPr>
              <w:t>2023</w:t>
            </w:r>
            <w:r>
              <w:rPr>
                <w:rFonts w:hint="default" w:hAnsi="宋体" w:cs="宋体"/>
                <w:b w:val="0"/>
                <w:bCs w:val="0"/>
                <w:color w:val="000000" w:themeColor="text1"/>
                <w:sz w:val="24"/>
                <w:szCs w:val="24"/>
                <w14:textFill>
                  <w14:solidFill>
                    <w14:schemeClr w14:val="tx1"/>
                  </w14:solidFill>
                </w14:textFill>
              </w:rPr>
              <w:t>年度）</w:t>
            </w:r>
          </w:p>
        </w:tc>
      </w:tr>
      <w:tr w14:paraId="3BE17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29C819">
            <w:pPr>
              <w:widowControl/>
              <w:jc w:val="center"/>
              <w:textAlignment w:val="center"/>
              <w:rPr>
                <w:rFonts w:hint="default"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项目（政策）名称</w:t>
            </w:r>
          </w:p>
        </w:tc>
        <w:tc>
          <w:tcPr>
            <w:tcW w:w="7630"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9A0DA2">
            <w:pPr>
              <w:widowControl/>
              <w:jc w:val="center"/>
              <w:textAlignment w:val="center"/>
              <w:rPr>
                <w:rFonts w:hint="default"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信访维稳应急（工作）经费</w:t>
            </w:r>
          </w:p>
        </w:tc>
      </w:tr>
      <w:tr w14:paraId="665C7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18FA45">
            <w:pPr>
              <w:widowControl/>
              <w:jc w:val="center"/>
              <w:textAlignment w:val="center"/>
              <w:rPr>
                <w:rFonts w:hint="default"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主管部门</w:t>
            </w:r>
          </w:p>
        </w:tc>
        <w:tc>
          <w:tcPr>
            <w:tcW w:w="369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CB55B6">
            <w:pPr>
              <w:widowControl/>
              <w:jc w:val="center"/>
              <w:textAlignment w:val="center"/>
              <w:rPr>
                <w:rFonts w:hint="default"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中共广元市昭化区委群众工作局</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DB73F2">
            <w:pPr>
              <w:widowControl/>
              <w:jc w:val="center"/>
              <w:textAlignment w:val="center"/>
              <w:rPr>
                <w:rFonts w:hint="default"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实施单位</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241DCC1F">
            <w:pPr>
              <w:widowControl/>
              <w:jc w:val="center"/>
              <w:textAlignment w:val="center"/>
              <w:rPr>
                <w:rFonts w:hint="default"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中共广元市昭化区委群众工作局</w:t>
            </w:r>
          </w:p>
        </w:tc>
      </w:tr>
      <w:tr w14:paraId="706CF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6"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58C899D2">
            <w:pPr>
              <w:widowControl/>
              <w:jc w:val="center"/>
              <w:textAlignment w:val="center"/>
              <w:rPr>
                <w:rFonts w:hint="default"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项目（政策）资金（万元）</w:t>
            </w:r>
          </w:p>
        </w:tc>
        <w:tc>
          <w:tcPr>
            <w:tcW w:w="2269" w:type="dxa"/>
            <w:gridSpan w:val="2"/>
            <w:tcBorders>
              <w:top w:val="nil"/>
              <w:left w:val="single" w:color="000000" w:sz="4" w:space="0"/>
              <w:bottom w:val="single" w:color="000000" w:sz="4" w:space="0"/>
              <w:right w:val="single" w:color="000000" w:sz="4" w:space="0"/>
              <w:tl2br w:val="nil"/>
              <w:tr2bl w:val="nil"/>
            </w:tcBorders>
            <w:noWrap w:val="0"/>
            <w:vAlign w:val="center"/>
          </w:tcPr>
          <w:p w14:paraId="614DEFEE">
            <w:pPr>
              <w:widowControl/>
              <w:jc w:val="center"/>
              <w:textAlignment w:val="center"/>
              <w:rPr>
                <w:rFonts w:hint="default"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年度预算数（万元）</w:t>
            </w:r>
          </w:p>
        </w:tc>
        <w:tc>
          <w:tcPr>
            <w:tcW w:w="1428" w:type="dxa"/>
            <w:tcBorders>
              <w:top w:val="nil"/>
              <w:left w:val="single" w:color="000000" w:sz="4" w:space="0"/>
              <w:bottom w:val="single" w:color="000000" w:sz="4" w:space="0"/>
              <w:right w:val="single" w:color="000000" w:sz="4" w:space="0"/>
              <w:tl2br w:val="nil"/>
              <w:tr2bl w:val="nil"/>
            </w:tcBorders>
            <w:noWrap w:val="0"/>
            <w:vAlign w:val="center"/>
          </w:tcPr>
          <w:p w14:paraId="693C0F06">
            <w:pPr>
              <w:widowControl/>
              <w:jc w:val="center"/>
              <w:textAlignment w:val="center"/>
              <w:rPr>
                <w:rFonts w:hint="default"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年初预算数</w:t>
            </w:r>
          </w:p>
        </w:tc>
        <w:tc>
          <w:tcPr>
            <w:tcW w:w="1380" w:type="dxa"/>
            <w:tcBorders>
              <w:top w:val="nil"/>
              <w:left w:val="single" w:color="000000" w:sz="4" w:space="0"/>
              <w:bottom w:val="single" w:color="000000" w:sz="4" w:space="0"/>
              <w:right w:val="single" w:color="000000" w:sz="4" w:space="0"/>
              <w:tl2br w:val="nil"/>
              <w:tr2bl w:val="nil"/>
            </w:tcBorders>
            <w:noWrap w:val="0"/>
            <w:vAlign w:val="center"/>
          </w:tcPr>
          <w:p w14:paraId="65A14C77">
            <w:pPr>
              <w:widowControl/>
              <w:jc w:val="center"/>
              <w:textAlignment w:val="center"/>
              <w:rPr>
                <w:rFonts w:hint="default"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全年预算数</w:t>
            </w:r>
          </w:p>
        </w:tc>
        <w:tc>
          <w:tcPr>
            <w:tcW w:w="1320" w:type="dxa"/>
            <w:tcBorders>
              <w:top w:val="nil"/>
              <w:left w:val="single" w:color="000000" w:sz="4" w:space="0"/>
              <w:bottom w:val="single" w:color="000000" w:sz="4" w:space="0"/>
              <w:right w:val="single" w:color="000000" w:sz="4" w:space="0"/>
              <w:tl2br w:val="nil"/>
              <w:tr2bl w:val="nil"/>
            </w:tcBorders>
            <w:noWrap w:val="0"/>
            <w:vAlign w:val="center"/>
          </w:tcPr>
          <w:p w14:paraId="46D3D7D1">
            <w:pPr>
              <w:widowControl/>
              <w:jc w:val="center"/>
              <w:textAlignment w:val="center"/>
              <w:rPr>
                <w:rFonts w:hint="default"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全年执行数</w:t>
            </w:r>
          </w:p>
        </w:tc>
        <w:tc>
          <w:tcPr>
            <w:tcW w:w="1233" w:type="dxa"/>
            <w:tcBorders>
              <w:top w:val="nil"/>
              <w:left w:val="single" w:color="000000" w:sz="4" w:space="0"/>
              <w:bottom w:val="single" w:color="000000" w:sz="4" w:space="0"/>
              <w:right w:val="single" w:color="000000" w:sz="4" w:space="0"/>
              <w:tl2br w:val="nil"/>
              <w:tr2bl w:val="nil"/>
            </w:tcBorders>
            <w:noWrap w:val="0"/>
            <w:vAlign w:val="center"/>
          </w:tcPr>
          <w:p w14:paraId="00A5DDB6">
            <w:pPr>
              <w:widowControl/>
              <w:jc w:val="center"/>
              <w:textAlignment w:val="center"/>
              <w:rPr>
                <w:rFonts w:hint="default"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执行率</w:t>
            </w:r>
          </w:p>
        </w:tc>
      </w:tr>
      <w:tr w14:paraId="53276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074AAB0B">
            <w:pPr>
              <w:jc w:val="center"/>
              <w:rPr>
                <w:rFonts w:hint="default" w:hAnsi="宋体" w:cs="宋体"/>
                <w:b w:val="0"/>
                <w:bCs w:val="0"/>
                <w:color w:val="000000" w:themeColor="text1"/>
                <w:sz w:val="18"/>
                <w:szCs w:val="18"/>
                <w14:textFill>
                  <w14:solidFill>
                    <w14:schemeClr w14:val="tx1"/>
                  </w14:solidFill>
                </w14:textFill>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5002DB">
            <w:pPr>
              <w:widowControl/>
              <w:jc w:val="center"/>
              <w:textAlignment w:val="center"/>
              <w:rPr>
                <w:rFonts w:hint="default"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年度资金总额</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E0140F">
            <w:pPr>
              <w:widowControl/>
              <w:jc w:val="both"/>
              <w:textAlignment w:val="center"/>
              <w:rPr>
                <w:rFonts w:hint="default" w:hAnsi="宋体" w:cs="宋体"/>
                <w:b w:val="0"/>
                <w:bCs w:val="0"/>
                <w:color w:val="000000" w:themeColor="text1"/>
                <w:sz w:val="18"/>
                <w:szCs w:val="18"/>
                <w14:textFill>
                  <w14:solidFill>
                    <w14:schemeClr w14:val="tx1"/>
                  </w14:solidFill>
                </w14:textFill>
              </w:rPr>
            </w:pPr>
            <w:r>
              <w:rPr>
                <w:rFonts w:hint="default" w:ascii="Times New Roman" w:hAnsi="Times New Roman" w:cs="宋体"/>
                <w:b w:val="0"/>
                <w:bCs w:val="0"/>
                <w:color w:val="000000" w:themeColor="text1"/>
                <w:sz w:val="18"/>
                <w:szCs w:val="18"/>
                <w14:textFill>
                  <w14:solidFill>
                    <w14:schemeClr w14:val="tx1"/>
                  </w14:solidFill>
                </w14:textFill>
              </w:rPr>
              <w:t>13</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863210">
            <w:pPr>
              <w:widowControl/>
              <w:jc w:val="both"/>
              <w:textAlignment w:val="center"/>
              <w:rPr>
                <w:rFonts w:hint="default" w:hAnsi="宋体" w:cs="宋体"/>
                <w:b w:val="0"/>
                <w:bCs w:val="0"/>
                <w:color w:val="000000" w:themeColor="text1"/>
                <w:sz w:val="18"/>
                <w:szCs w:val="18"/>
                <w14:textFill>
                  <w14:solidFill>
                    <w14:schemeClr w14:val="tx1"/>
                  </w14:solidFill>
                </w14:textFill>
              </w:rPr>
            </w:pPr>
            <w:r>
              <w:rPr>
                <w:rFonts w:hint="default" w:ascii="Times New Roman" w:hAnsi="Times New Roman" w:cs="宋体"/>
                <w:b w:val="0"/>
                <w:bCs w:val="0"/>
                <w:color w:val="000000" w:themeColor="text1"/>
                <w:sz w:val="18"/>
                <w:szCs w:val="18"/>
                <w14:textFill>
                  <w14:solidFill>
                    <w14:schemeClr w14:val="tx1"/>
                  </w14:solidFill>
                </w14:textFill>
              </w:rPr>
              <w:t>41</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A05943">
            <w:pPr>
              <w:widowControl/>
              <w:jc w:val="both"/>
              <w:textAlignment w:val="center"/>
              <w:rPr>
                <w:rFonts w:hint="default" w:hAnsi="宋体" w:cs="宋体"/>
                <w:b w:val="0"/>
                <w:bCs w:val="0"/>
                <w:color w:val="000000" w:themeColor="text1"/>
                <w:sz w:val="18"/>
                <w:szCs w:val="18"/>
                <w14:textFill>
                  <w14:solidFill>
                    <w14:schemeClr w14:val="tx1"/>
                  </w14:solidFill>
                </w14:textFill>
              </w:rPr>
            </w:pPr>
            <w:r>
              <w:rPr>
                <w:rFonts w:hint="default" w:ascii="Times New Roman" w:hAnsi="Times New Roman" w:cs="宋体"/>
                <w:b w:val="0"/>
                <w:bCs w:val="0"/>
                <w:color w:val="000000" w:themeColor="text1"/>
                <w:sz w:val="18"/>
                <w:szCs w:val="18"/>
                <w14:textFill>
                  <w14:solidFill>
                    <w14:schemeClr w14:val="tx1"/>
                  </w14:solidFill>
                </w14:textFill>
              </w:rPr>
              <w:t>41</w:t>
            </w:r>
          </w:p>
        </w:tc>
        <w:tc>
          <w:tcPr>
            <w:tcW w:w="1233" w:type="dxa"/>
            <w:tcBorders>
              <w:top w:val="nil"/>
              <w:left w:val="single" w:color="000000" w:sz="4" w:space="0"/>
              <w:bottom w:val="single" w:color="000000" w:sz="4" w:space="0"/>
              <w:right w:val="single" w:color="000000" w:sz="4" w:space="0"/>
              <w:tl2br w:val="nil"/>
              <w:tr2bl w:val="nil"/>
            </w:tcBorders>
            <w:noWrap w:val="0"/>
            <w:vAlign w:val="center"/>
          </w:tcPr>
          <w:p w14:paraId="1DAC58CA">
            <w:pPr>
              <w:widowControl/>
              <w:jc w:val="center"/>
              <w:textAlignment w:val="center"/>
              <w:rPr>
                <w:rFonts w:hint="default" w:hAnsi="宋体" w:cs="宋体"/>
                <w:b w:val="0"/>
                <w:bCs w:val="0"/>
                <w:color w:val="000000" w:themeColor="text1"/>
                <w:sz w:val="18"/>
                <w:szCs w:val="18"/>
                <w14:textFill>
                  <w14:solidFill>
                    <w14:schemeClr w14:val="tx1"/>
                  </w14:solidFill>
                </w14:textFill>
              </w:rPr>
            </w:pPr>
            <w:r>
              <w:rPr>
                <w:rFonts w:hint="default" w:ascii="Times New Roman" w:hAnsi="Times New Roman" w:cs="宋体"/>
                <w:b w:val="0"/>
                <w:bCs w:val="0"/>
                <w:color w:val="000000" w:themeColor="text1"/>
                <w:sz w:val="18"/>
                <w:szCs w:val="18"/>
                <w14:textFill>
                  <w14:solidFill>
                    <w14:schemeClr w14:val="tx1"/>
                  </w14:solidFill>
                </w14:textFill>
              </w:rPr>
              <w:t>100</w:t>
            </w:r>
            <w:r>
              <w:rPr>
                <w:rFonts w:hint="default" w:hAnsi="宋体" w:cs="宋体"/>
                <w:b w:val="0"/>
                <w:bCs w:val="0"/>
                <w:color w:val="000000" w:themeColor="text1"/>
                <w:sz w:val="18"/>
                <w:szCs w:val="18"/>
                <w14:textFill>
                  <w14:solidFill>
                    <w14:schemeClr w14:val="tx1"/>
                  </w14:solidFill>
                </w14:textFill>
              </w:rPr>
              <w:t>%</w:t>
            </w:r>
          </w:p>
        </w:tc>
      </w:tr>
      <w:tr w14:paraId="76571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52B27C1">
            <w:pPr>
              <w:jc w:val="center"/>
              <w:rPr>
                <w:rFonts w:hint="default" w:hAnsi="宋体" w:cs="宋体"/>
                <w:b w:val="0"/>
                <w:bCs w:val="0"/>
                <w:color w:val="000000" w:themeColor="text1"/>
                <w:sz w:val="18"/>
                <w:szCs w:val="18"/>
                <w14:textFill>
                  <w14:solidFill>
                    <w14:schemeClr w14:val="tx1"/>
                  </w14:solidFill>
                </w14:textFill>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5FEC54">
            <w:pPr>
              <w:widowControl/>
              <w:textAlignment w:val="center"/>
              <w:rPr>
                <w:rFonts w:hint="default"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（一）财政拨款小计</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F2C806">
            <w:pPr>
              <w:widowControl/>
              <w:jc w:val="both"/>
              <w:textAlignment w:val="center"/>
              <w:rPr>
                <w:rFonts w:hint="default" w:hAnsi="宋体" w:cs="宋体"/>
                <w:b w:val="0"/>
                <w:bCs w:val="0"/>
                <w:color w:val="000000" w:themeColor="text1"/>
                <w:sz w:val="18"/>
                <w:szCs w:val="18"/>
                <w14:textFill>
                  <w14:solidFill>
                    <w14:schemeClr w14:val="tx1"/>
                  </w14:solidFill>
                </w14:textFill>
              </w:rPr>
            </w:pPr>
            <w:r>
              <w:rPr>
                <w:rFonts w:hint="default" w:ascii="Times New Roman" w:hAnsi="Times New Roman" w:cs="宋体"/>
                <w:b w:val="0"/>
                <w:bCs w:val="0"/>
                <w:color w:val="000000" w:themeColor="text1"/>
                <w:sz w:val="18"/>
                <w:szCs w:val="18"/>
                <w14:textFill>
                  <w14:solidFill>
                    <w14:schemeClr w14:val="tx1"/>
                  </w14:solidFill>
                </w14:textFill>
              </w:rPr>
              <w:t>13</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8FB5D5">
            <w:pPr>
              <w:widowControl/>
              <w:jc w:val="both"/>
              <w:textAlignment w:val="center"/>
              <w:rPr>
                <w:rFonts w:hint="default" w:hAnsi="宋体" w:cs="宋体"/>
                <w:b w:val="0"/>
                <w:bCs w:val="0"/>
                <w:color w:val="000000" w:themeColor="text1"/>
                <w:sz w:val="18"/>
                <w:szCs w:val="18"/>
                <w14:textFill>
                  <w14:solidFill>
                    <w14:schemeClr w14:val="tx1"/>
                  </w14:solidFill>
                </w14:textFill>
              </w:rPr>
            </w:pPr>
            <w:r>
              <w:rPr>
                <w:rFonts w:hint="default" w:ascii="Times New Roman" w:hAnsi="Times New Roman" w:cs="宋体"/>
                <w:b w:val="0"/>
                <w:bCs w:val="0"/>
                <w:color w:val="000000" w:themeColor="text1"/>
                <w:sz w:val="18"/>
                <w:szCs w:val="18"/>
                <w14:textFill>
                  <w14:solidFill>
                    <w14:schemeClr w14:val="tx1"/>
                  </w14:solidFill>
                </w14:textFill>
              </w:rPr>
              <w:t>41</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1B572F">
            <w:pPr>
              <w:widowControl/>
              <w:jc w:val="both"/>
              <w:textAlignment w:val="center"/>
              <w:rPr>
                <w:rFonts w:hint="default" w:hAnsi="宋体" w:cs="宋体"/>
                <w:b w:val="0"/>
                <w:bCs w:val="0"/>
                <w:color w:val="000000" w:themeColor="text1"/>
                <w:sz w:val="18"/>
                <w:szCs w:val="18"/>
                <w14:textFill>
                  <w14:solidFill>
                    <w14:schemeClr w14:val="tx1"/>
                  </w14:solidFill>
                </w14:textFill>
              </w:rPr>
            </w:pPr>
            <w:r>
              <w:rPr>
                <w:rFonts w:hint="default" w:ascii="Times New Roman" w:hAnsi="Times New Roman" w:cs="宋体"/>
                <w:b w:val="0"/>
                <w:bCs w:val="0"/>
                <w:color w:val="000000" w:themeColor="text1"/>
                <w:sz w:val="18"/>
                <w:szCs w:val="18"/>
                <w14:textFill>
                  <w14:solidFill>
                    <w14:schemeClr w14:val="tx1"/>
                  </w14:solidFill>
                </w14:textFill>
              </w:rPr>
              <w:t>41</w:t>
            </w:r>
          </w:p>
        </w:tc>
        <w:tc>
          <w:tcPr>
            <w:tcW w:w="1233" w:type="dxa"/>
            <w:tcBorders>
              <w:top w:val="nil"/>
              <w:left w:val="single" w:color="000000" w:sz="4" w:space="0"/>
              <w:bottom w:val="single" w:color="000000" w:sz="4" w:space="0"/>
              <w:right w:val="single" w:color="000000" w:sz="4" w:space="0"/>
              <w:tl2br w:val="nil"/>
              <w:tr2bl w:val="nil"/>
            </w:tcBorders>
            <w:noWrap w:val="0"/>
            <w:vAlign w:val="center"/>
          </w:tcPr>
          <w:p w14:paraId="1D0796BC">
            <w:pPr>
              <w:widowControl/>
              <w:jc w:val="center"/>
              <w:textAlignment w:val="center"/>
              <w:rPr>
                <w:rFonts w:hint="default" w:hAnsi="宋体" w:cs="宋体"/>
                <w:b w:val="0"/>
                <w:bCs w:val="0"/>
                <w:color w:val="000000" w:themeColor="text1"/>
                <w:sz w:val="18"/>
                <w:szCs w:val="18"/>
                <w14:textFill>
                  <w14:solidFill>
                    <w14:schemeClr w14:val="tx1"/>
                  </w14:solidFill>
                </w14:textFill>
              </w:rPr>
            </w:pPr>
            <w:r>
              <w:rPr>
                <w:rFonts w:hint="default" w:ascii="Times New Roman" w:hAnsi="Times New Roman" w:cs="宋体"/>
                <w:b w:val="0"/>
                <w:bCs w:val="0"/>
                <w:color w:val="000000" w:themeColor="text1"/>
                <w:sz w:val="18"/>
                <w:szCs w:val="18"/>
                <w14:textFill>
                  <w14:solidFill>
                    <w14:schemeClr w14:val="tx1"/>
                  </w14:solidFill>
                </w14:textFill>
              </w:rPr>
              <w:t>100</w:t>
            </w:r>
            <w:r>
              <w:rPr>
                <w:rFonts w:hint="default" w:hAnsi="宋体" w:cs="宋体"/>
                <w:b w:val="0"/>
                <w:bCs w:val="0"/>
                <w:color w:val="000000" w:themeColor="text1"/>
                <w:sz w:val="18"/>
                <w:szCs w:val="18"/>
                <w14:textFill>
                  <w14:solidFill>
                    <w14:schemeClr w14:val="tx1"/>
                  </w14:solidFill>
                </w14:textFill>
              </w:rPr>
              <w:t>%</w:t>
            </w:r>
          </w:p>
        </w:tc>
      </w:tr>
      <w:tr w14:paraId="541A8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F6FB34F">
            <w:pPr>
              <w:jc w:val="center"/>
              <w:rPr>
                <w:rFonts w:hint="default" w:hAnsi="宋体" w:cs="宋体"/>
                <w:b w:val="0"/>
                <w:bCs w:val="0"/>
                <w:color w:val="000000" w:themeColor="text1"/>
                <w:sz w:val="18"/>
                <w:szCs w:val="18"/>
                <w14:textFill>
                  <w14:solidFill>
                    <w14:schemeClr w14:val="tx1"/>
                  </w14:solidFill>
                </w14:textFill>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DF837F">
            <w:pPr>
              <w:widowControl/>
              <w:textAlignment w:val="center"/>
              <w:rPr>
                <w:rFonts w:hint="default"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 xml:space="preserve">   </w:t>
            </w:r>
            <w:r>
              <w:rPr>
                <w:rFonts w:hint="default" w:ascii="Times New Roman" w:hAnsi="Times New Roman" w:cs="宋体"/>
                <w:b w:val="0"/>
                <w:bCs w:val="0"/>
                <w:color w:val="000000" w:themeColor="text1"/>
                <w:sz w:val="18"/>
                <w:szCs w:val="18"/>
                <w14:textFill>
                  <w14:solidFill>
                    <w14:schemeClr w14:val="tx1"/>
                  </w14:solidFill>
                </w14:textFill>
              </w:rPr>
              <w:t>1</w:t>
            </w:r>
            <w:r>
              <w:rPr>
                <w:rFonts w:hint="default" w:hAnsi="宋体" w:cs="宋体"/>
                <w:b w:val="0"/>
                <w:bCs w:val="0"/>
                <w:color w:val="000000" w:themeColor="text1"/>
                <w:sz w:val="18"/>
                <w:szCs w:val="18"/>
                <w14:textFill>
                  <w14:solidFill>
                    <w14:schemeClr w14:val="tx1"/>
                  </w14:solidFill>
                </w14:textFill>
              </w:rPr>
              <w:t>.一般公共预算</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AA5845">
            <w:pPr>
              <w:widowControl/>
              <w:jc w:val="both"/>
              <w:textAlignment w:val="center"/>
              <w:rPr>
                <w:rFonts w:hint="default" w:hAnsi="宋体" w:cs="宋体"/>
                <w:b w:val="0"/>
                <w:bCs w:val="0"/>
                <w:color w:val="000000" w:themeColor="text1"/>
                <w:sz w:val="18"/>
                <w:szCs w:val="18"/>
                <w14:textFill>
                  <w14:solidFill>
                    <w14:schemeClr w14:val="tx1"/>
                  </w14:solidFill>
                </w14:textFill>
              </w:rPr>
            </w:pPr>
            <w:r>
              <w:rPr>
                <w:rFonts w:hint="default" w:ascii="Times New Roman" w:hAnsi="Times New Roman" w:cs="宋体"/>
                <w:b w:val="0"/>
                <w:bCs w:val="0"/>
                <w:color w:val="000000" w:themeColor="text1"/>
                <w:sz w:val="18"/>
                <w:szCs w:val="18"/>
                <w14:textFill>
                  <w14:solidFill>
                    <w14:schemeClr w14:val="tx1"/>
                  </w14:solidFill>
                </w14:textFill>
              </w:rPr>
              <w:t>13</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AB95BB">
            <w:pPr>
              <w:widowControl/>
              <w:jc w:val="both"/>
              <w:textAlignment w:val="center"/>
              <w:rPr>
                <w:rFonts w:hint="default" w:hAnsi="宋体" w:cs="宋体"/>
                <w:b w:val="0"/>
                <w:bCs w:val="0"/>
                <w:color w:val="000000" w:themeColor="text1"/>
                <w:sz w:val="18"/>
                <w:szCs w:val="18"/>
                <w14:textFill>
                  <w14:solidFill>
                    <w14:schemeClr w14:val="tx1"/>
                  </w14:solidFill>
                </w14:textFill>
              </w:rPr>
            </w:pPr>
            <w:r>
              <w:rPr>
                <w:rFonts w:hint="default" w:ascii="Times New Roman" w:hAnsi="Times New Roman" w:cs="宋体"/>
                <w:b w:val="0"/>
                <w:bCs w:val="0"/>
                <w:color w:val="000000" w:themeColor="text1"/>
                <w:sz w:val="18"/>
                <w:szCs w:val="18"/>
                <w14:textFill>
                  <w14:solidFill>
                    <w14:schemeClr w14:val="tx1"/>
                  </w14:solidFill>
                </w14:textFill>
              </w:rPr>
              <w:t>41</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20348F">
            <w:pPr>
              <w:widowControl/>
              <w:jc w:val="both"/>
              <w:textAlignment w:val="center"/>
              <w:rPr>
                <w:rFonts w:hint="default" w:hAnsi="宋体" w:cs="宋体"/>
                <w:b w:val="0"/>
                <w:bCs w:val="0"/>
                <w:color w:val="000000" w:themeColor="text1"/>
                <w:sz w:val="18"/>
                <w:szCs w:val="18"/>
                <w14:textFill>
                  <w14:solidFill>
                    <w14:schemeClr w14:val="tx1"/>
                  </w14:solidFill>
                </w14:textFill>
              </w:rPr>
            </w:pPr>
            <w:r>
              <w:rPr>
                <w:rFonts w:hint="default" w:ascii="Times New Roman" w:hAnsi="Times New Roman" w:cs="宋体"/>
                <w:b w:val="0"/>
                <w:bCs w:val="0"/>
                <w:color w:val="000000" w:themeColor="text1"/>
                <w:sz w:val="18"/>
                <w:szCs w:val="18"/>
                <w14:textFill>
                  <w14:solidFill>
                    <w14:schemeClr w14:val="tx1"/>
                  </w14:solidFill>
                </w14:textFill>
              </w:rPr>
              <w:t>41</w:t>
            </w:r>
          </w:p>
        </w:tc>
        <w:tc>
          <w:tcPr>
            <w:tcW w:w="1233" w:type="dxa"/>
            <w:tcBorders>
              <w:top w:val="nil"/>
              <w:left w:val="single" w:color="000000" w:sz="4" w:space="0"/>
              <w:bottom w:val="single" w:color="000000" w:sz="4" w:space="0"/>
              <w:right w:val="single" w:color="000000" w:sz="4" w:space="0"/>
              <w:tl2br w:val="nil"/>
              <w:tr2bl w:val="nil"/>
            </w:tcBorders>
            <w:noWrap w:val="0"/>
            <w:vAlign w:val="center"/>
          </w:tcPr>
          <w:p w14:paraId="2F50B988">
            <w:pPr>
              <w:widowControl/>
              <w:jc w:val="center"/>
              <w:textAlignment w:val="center"/>
              <w:rPr>
                <w:rFonts w:hint="default" w:hAnsi="宋体" w:cs="宋体"/>
                <w:b w:val="0"/>
                <w:bCs w:val="0"/>
                <w:color w:val="000000" w:themeColor="text1"/>
                <w:sz w:val="18"/>
                <w:szCs w:val="18"/>
                <w14:textFill>
                  <w14:solidFill>
                    <w14:schemeClr w14:val="tx1"/>
                  </w14:solidFill>
                </w14:textFill>
              </w:rPr>
            </w:pPr>
            <w:r>
              <w:rPr>
                <w:rFonts w:hint="default" w:ascii="Times New Roman" w:hAnsi="Times New Roman" w:cs="宋体"/>
                <w:b w:val="0"/>
                <w:bCs w:val="0"/>
                <w:color w:val="000000" w:themeColor="text1"/>
                <w:sz w:val="18"/>
                <w:szCs w:val="18"/>
                <w14:textFill>
                  <w14:solidFill>
                    <w14:schemeClr w14:val="tx1"/>
                  </w14:solidFill>
                </w14:textFill>
              </w:rPr>
              <w:t>100</w:t>
            </w:r>
            <w:r>
              <w:rPr>
                <w:rFonts w:hint="default" w:hAnsi="宋体" w:cs="宋体"/>
                <w:b w:val="0"/>
                <w:bCs w:val="0"/>
                <w:color w:val="000000" w:themeColor="text1"/>
                <w:sz w:val="18"/>
                <w:szCs w:val="18"/>
                <w14:textFill>
                  <w14:solidFill>
                    <w14:schemeClr w14:val="tx1"/>
                  </w14:solidFill>
                </w14:textFill>
              </w:rPr>
              <w:t>%</w:t>
            </w:r>
          </w:p>
        </w:tc>
      </w:tr>
      <w:tr w14:paraId="7A89A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A5DE974">
            <w:pPr>
              <w:jc w:val="center"/>
              <w:rPr>
                <w:rFonts w:hint="default" w:hAnsi="宋体" w:cs="宋体"/>
                <w:b w:val="0"/>
                <w:bCs w:val="0"/>
                <w:color w:val="000000" w:themeColor="text1"/>
                <w:sz w:val="18"/>
                <w:szCs w:val="18"/>
                <w14:textFill>
                  <w14:solidFill>
                    <w14:schemeClr w14:val="tx1"/>
                  </w14:solidFill>
                </w14:textFill>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6BDEE5">
            <w:pPr>
              <w:widowControl/>
              <w:textAlignment w:val="center"/>
              <w:rPr>
                <w:rFonts w:hint="default"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 xml:space="preserve">   </w:t>
            </w:r>
            <w:r>
              <w:rPr>
                <w:rFonts w:hint="default" w:ascii="Times New Roman" w:hAnsi="Times New Roman" w:cs="宋体"/>
                <w:b w:val="0"/>
                <w:bCs w:val="0"/>
                <w:color w:val="000000" w:themeColor="text1"/>
                <w:sz w:val="18"/>
                <w:szCs w:val="18"/>
                <w14:textFill>
                  <w14:solidFill>
                    <w14:schemeClr w14:val="tx1"/>
                  </w14:solidFill>
                </w14:textFill>
              </w:rPr>
              <w:t>2</w:t>
            </w:r>
            <w:r>
              <w:rPr>
                <w:rFonts w:hint="default" w:hAnsi="宋体" w:cs="宋体"/>
                <w:b w:val="0"/>
                <w:bCs w:val="0"/>
                <w:color w:val="000000" w:themeColor="text1"/>
                <w:sz w:val="18"/>
                <w:szCs w:val="18"/>
                <w14:textFill>
                  <w14:solidFill>
                    <w14:schemeClr w14:val="tx1"/>
                  </w14:solidFill>
                </w14:textFill>
              </w:rPr>
              <w:t>.政府性基金</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7C4664">
            <w:pPr>
              <w:rPr>
                <w:rFonts w:hint="default" w:hAnsi="宋体" w:cs="宋体"/>
                <w:b w:val="0"/>
                <w:bCs w:val="0"/>
                <w:color w:val="000000" w:themeColor="text1"/>
                <w:sz w:val="18"/>
                <w:szCs w:val="18"/>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DA2752">
            <w:pPr>
              <w:jc w:val="center"/>
              <w:rPr>
                <w:rFonts w:hint="default" w:hAnsi="宋体" w:cs="宋体"/>
                <w:b w:val="0"/>
                <w:bCs w:val="0"/>
                <w:color w:val="000000" w:themeColor="text1"/>
                <w:sz w:val="18"/>
                <w:szCs w:val="18"/>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00D0DD">
            <w:pPr>
              <w:jc w:val="center"/>
              <w:rPr>
                <w:rFonts w:hint="default" w:hAnsi="宋体" w:cs="宋体"/>
                <w:b w:val="0"/>
                <w:bCs w:val="0"/>
                <w:color w:val="000000" w:themeColor="text1"/>
                <w:sz w:val="18"/>
                <w:szCs w:val="18"/>
                <w14:textFill>
                  <w14:solidFill>
                    <w14:schemeClr w14:val="tx1"/>
                  </w14:solidFill>
                </w14:textFill>
              </w:rPr>
            </w:pP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1F2C3C">
            <w:pPr>
              <w:jc w:val="center"/>
              <w:rPr>
                <w:rFonts w:hint="default" w:hAnsi="宋体" w:cs="宋体"/>
                <w:b w:val="0"/>
                <w:bCs w:val="0"/>
                <w:color w:val="000000" w:themeColor="text1"/>
                <w:sz w:val="18"/>
                <w:szCs w:val="18"/>
                <w14:textFill>
                  <w14:solidFill>
                    <w14:schemeClr w14:val="tx1"/>
                  </w14:solidFill>
                </w14:textFill>
              </w:rPr>
            </w:pPr>
          </w:p>
        </w:tc>
      </w:tr>
      <w:tr w14:paraId="4DAFB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8EF373B">
            <w:pPr>
              <w:jc w:val="center"/>
              <w:rPr>
                <w:rFonts w:hint="default" w:hAnsi="宋体" w:cs="宋体"/>
                <w:b w:val="0"/>
                <w:bCs w:val="0"/>
                <w:color w:val="000000" w:themeColor="text1"/>
                <w:sz w:val="18"/>
                <w:szCs w:val="18"/>
                <w14:textFill>
                  <w14:solidFill>
                    <w14:schemeClr w14:val="tx1"/>
                  </w14:solidFill>
                </w14:textFill>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9DD215">
            <w:pPr>
              <w:widowControl/>
              <w:textAlignment w:val="center"/>
              <w:rPr>
                <w:rFonts w:hint="default"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 xml:space="preserve">   </w:t>
            </w:r>
            <w:r>
              <w:rPr>
                <w:rFonts w:hint="default" w:ascii="Times New Roman" w:hAnsi="Times New Roman" w:cs="宋体"/>
                <w:b w:val="0"/>
                <w:bCs w:val="0"/>
                <w:color w:val="000000" w:themeColor="text1"/>
                <w:sz w:val="18"/>
                <w:szCs w:val="18"/>
                <w14:textFill>
                  <w14:solidFill>
                    <w14:schemeClr w14:val="tx1"/>
                  </w14:solidFill>
                </w14:textFill>
              </w:rPr>
              <w:t>3</w:t>
            </w:r>
            <w:r>
              <w:rPr>
                <w:rFonts w:hint="default" w:hAnsi="宋体" w:cs="宋体"/>
                <w:b w:val="0"/>
                <w:bCs w:val="0"/>
                <w:color w:val="000000" w:themeColor="text1"/>
                <w:sz w:val="18"/>
                <w:szCs w:val="18"/>
                <w14:textFill>
                  <w14:solidFill>
                    <w14:schemeClr w14:val="tx1"/>
                  </w14:solidFill>
                </w14:textFill>
              </w:rPr>
              <w:t>.国有资本经营预算</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FDD45E">
            <w:pPr>
              <w:rPr>
                <w:rFonts w:hint="default" w:hAnsi="宋体" w:cs="宋体"/>
                <w:b w:val="0"/>
                <w:bCs w:val="0"/>
                <w:color w:val="000000" w:themeColor="text1"/>
                <w:sz w:val="18"/>
                <w:szCs w:val="18"/>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603262">
            <w:pPr>
              <w:jc w:val="center"/>
              <w:rPr>
                <w:rFonts w:hint="default" w:hAnsi="宋体" w:cs="宋体"/>
                <w:b w:val="0"/>
                <w:bCs w:val="0"/>
                <w:color w:val="000000" w:themeColor="text1"/>
                <w:sz w:val="18"/>
                <w:szCs w:val="18"/>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EC58DD">
            <w:pPr>
              <w:jc w:val="center"/>
              <w:rPr>
                <w:rFonts w:hint="default" w:hAnsi="宋体" w:cs="宋体"/>
                <w:b w:val="0"/>
                <w:bCs w:val="0"/>
                <w:color w:val="000000" w:themeColor="text1"/>
                <w:sz w:val="18"/>
                <w:szCs w:val="18"/>
                <w14:textFill>
                  <w14:solidFill>
                    <w14:schemeClr w14:val="tx1"/>
                  </w14:solidFill>
                </w14:textFill>
              </w:rPr>
            </w:pP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A52C62">
            <w:pPr>
              <w:jc w:val="center"/>
              <w:rPr>
                <w:rFonts w:hint="default" w:hAnsi="宋体" w:cs="宋体"/>
                <w:b w:val="0"/>
                <w:bCs w:val="0"/>
                <w:color w:val="000000" w:themeColor="text1"/>
                <w:sz w:val="18"/>
                <w:szCs w:val="18"/>
                <w14:textFill>
                  <w14:solidFill>
                    <w14:schemeClr w14:val="tx1"/>
                  </w14:solidFill>
                </w14:textFill>
              </w:rPr>
            </w:pPr>
          </w:p>
        </w:tc>
      </w:tr>
      <w:tr w14:paraId="0142C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9704252">
            <w:pPr>
              <w:jc w:val="center"/>
              <w:rPr>
                <w:rFonts w:hint="default" w:hAnsi="宋体" w:cs="宋体"/>
                <w:b w:val="0"/>
                <w:bCs w:val="0"/>
                <w:color w:val="000000" w:themeColor="text1"/>
                <w:sz w:val="18"/>
                <w:szCs w:val="18"/>
                <w14:textFill>
                  <w14:solidFill>
                    <w14:schemeClr w14:val="tx1"/>
                  </w14:solidFill>
                </w14:textFill>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7ACF12">
            <w:pPr>
              <w:widowControl/>
              <w:textAlignment w:val="center"/>
              <w:rPr>
                <w:rFonts w:hint="default"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（二）其他资金</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8E5F2D">
            <w:pPr>
              <w:rPr>
                <w:rFonts w:hint="default" w:hAnsi="宋体" w:cs="宋体"/>
                <w:b w:val="0"/>
                <w:bCs w:val="0"/>
                <w:color w:val="000000" w:themeColor="text1"/>
                <w:sz w:val="18"/>
                <w:szCs w:val="18"/>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C8EB1A">
            <w:pPr>
              <w:jc w:val="center"/>
              <w:rPr>
                <w:rFonts w:hint="default" w:hAnsi="宋体" w:cs="宋体"/>
                <w:b w:val="0"/>
                <w:bCs w:val="0"/>
                <w:color w:val="000000" w:themeColor="text1"/>
                <w:sz w:val="18"/>
                <w:szCs w:val="18"/>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BF7239">
            <w:pPr>
              <w:jc w:val="center"/>
              <w:rPr>
                <w:rFonts w:hint="default" w:hAnsi="宋体" w:cs="宋体"/>
                <w:b w:val="0"/>
                <w:bCs w:val="0"/>
                <w:color w:val="000000" w:themeColor="text1"/>
                <w:sz w:val="18"/>
                <w:szCs w:val="18"/>
                <w14:textFill>
                  <w14:solidFill>
                    <w14:schemeClr w14:val="tx1"/>
                  </w14:solidFill>
                </w14:textFill>
              </w:rPr>
            </w:pP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193494">
            <w:pPr>
              <w:jc w:val="center"/>
              <w:rPr>
                <w:rFonts w:hint="default" w:hAnsi="宋体" w:cs="宋体"/>
                <w:b w:val="0"/>
                <w:bCs w:val="0"/>
                <w:color w:val="000000" w:themeColor="text1"/>
                <w:sz w:val="18"/>
                <w:szCs w:val="18"/>
                <w14:textFill>
                  <w14:solidFill>
                    <w14:schemeClr w14:val="tx1"/>
                  </w14:solidFill>
                </w14:textFill>
              </w:rPr>
            </w:pPr>
          </w:p>
        </w:tc>
      </w:tr>
      <w:tr w14:paraId="03F63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4B60F9">
            <w:pPr>
              <w:widowControl/>
              <w:jc w:val="center"/>
              <w:textAlignment w:val="center"/>
              <w:rPr>
                <w:rFonts w:hint="default"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年度总体目标</w:t>
            </w:r>
          </w:p>
        </w:tc>
        <w:tc>
          <w:tcPr>
            <w:tcW w:w="454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992305">
            <w:pPr>
              <w:widowControl/>
              <w:jc w:val="center"/>
              <w:textAlignment w:val="center"/>
              <w:rPr>
                <w:rFonts w:hint="default"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预期目标</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AAC96A">
            <w:pPr>
              <w:widowControl/>
              <w:jc w:val="center"/>
              <w:textAlignment w:val="center"/>
              <w:rPr>
                <w:rFonts w:hint="default"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全年实际完成情况</w:t>
            </w:r>
          </w:p>
        </w:tc>
      </w:tr>
      <w:tr w14:paraId="14386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2F44B7">
            <w:pPr>
              <w:jc w:val="center"/>
              <w:rPr>
                <w:rFonts w:hint="default" w:hAnsi="宋体" w:cs="宋体"/>
                <w:b w:val="0"/>
                <w:bCs w:val="0"/>
                <w:color w:val="000000" w:themeColor="text1"/>
                <w:sz w:val="18"/>
                <w:szCs w:val="18"/>
                <w14:textFill>
                  <w14:solidFill>
                    <w14:schemeClr w14:val="tx1"/>
                  </w14:solidFill>
                </w14:textFill>
              </w:rPr>
            </w:pPr>
          </w:p>
        </w:tc>
        <w:tc>
          <w:tcPr>
            <w:tcW w:w="454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0120F2">
            <w:pPr>
              <w:widowControl/>
              <w:jc w:val="center"/>
              <w:textAlignment w:val="center"/>
              <w:rPr>
                <w:rFonts w:hint="default"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该项经费是信访维稳应急费用，特殊时期乡镇和部门有信访人到省、市上访，组织人员去维稳和劝返开支差旅费，租车费，生活费等费用，保障我区的和谐稳定。每年到省、市处理信访应急约</w:t>
            </w:r>
            <w:r>
              <w:rPr>
                <w:rFonts w:hint="default" w:ascii="Times New Roman" w:hAnsi="Times New Roman" w:cs="宋体"/>
                <w:b w:val="0"/>
                <w:bCs w:val="0"/>
                <w:color w:val="000000" w:themeColor="text1"/>
                <w:sz w:val="18"/>
                <w:szCs w:val="18"/>
                <w14:textFill>
                  <w14:solidFill>
                    <w14:schemeClr w14:val="tx1"/>
                  </w14:solidFill>
                </w14:textFill>
              </w:rPr>
              <w:t>20</w:t>
            </w:r>
            <w:r>
              <w:rPr>
                <w:rFonts w:hint="default" w:hAnsi="宋体" w:cs="宋体"/>
                <w:b w:val="0"/>
                <w:bCs w:val="0"/>
                <w:color w:val="000000" w:themeColor="text1"/>
                <w:sz w:val="18"/>
                <w:szCs w:val="18"/>
                <w14:textFill>
                  <w14:solidFill>
                    <w14:schemeClr w14:val="tx1"/>
                  </w14:solidFill>
                </w14:textFill>
              </w:rPr>
              <w:t>次，接待和处理应急信访问题约</w:t>
            </w:r>
            <w:r>
              <w:rPr>
                <w:rFonts w:hint="default" w:ascii="Times New Roman" w:hAnsi="Times New Roman" w:cs="宋体"/>
                <w:b w:val="0"/>
                <w:bCs w:val="0"/>
                <w:color w:val="000000" w:themeColor="text1"/>
                <w:sz w:val="18"/>
                <w:szCs w:val="18"/>
                <w14:textFill>
                  <w14:solidFill>
                    <w14:schemeClr w14:val="tx1"/>
                  </w14:solidFill>
                </w14:textFill>
              </w:rPr>
              <w:t>86</w:t>
            </w:r>
            <w:r>
              <w:rPr>
                <w:rFonts w:hint="default" w:hAnsi="宋体" w:cs="宋体"/>
                <w:b w:val="0"/>
                <w:bCs w:val="0"/>
                <w:color w:val="000000" w:themeColor="text1"/>
                <w:sz w:val="18"/>
                <w:szCs w:val="18"/>
                <w14:textFill>
                  <w14:solidFill>
                    <w14:schemeClr w14:val="tx1"/>
                  </w14:solidFill>
                </w14:textFill>
              </w:rPr>
              <w:t>次。</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8E80DF">
            <w:pPr>
              <w:widowControl/>
              <w:jc w:val="center"/>
              <w:textAlignment w:val="center"/>
              <w:rPr>
                <w:rFonts w:hint="default"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每年到省、市接待和处理信访问题</w:t>
            </w:r>
            <w:r>
              <w:rPr>
                <w:rFonts w:hint="default" w:ascii="Times New Roman" w:hAnsi="Times New Roman" w:cs="宋体"/>
                <w:b w:val="0"/>
                <w:bCs w:val="0"/>
                <w:color w:val="000000" w:themeColor="text1"/>
                <w:sz w:val="18"/>
                <w:szCs w:val="18"/>
                <w14:textFill>
                  <w14:solidFill>
                    <w14:schemeClr w14:val="tx1"/>
                  </w14:solidFill>
                </w14:textFill>
              </w:rPr>
              <w:t>85</w:t>
            </w:r>
            <w:r>
              <w:rPr>
                <w:rFonts w:hint="default" w:hAnsi="宋体" w:cs="宋体"/>
                <w:b w:val="0"/>
                <w:bCs w:val="0"/>
                <w:color w:val="000000" w:themeColor="text1"/>
                <w:sz w:val="18"/>
                <w:szCs w:val="18"/>
                <w14:textFill>
                  <w14:solidFill>
                    <w14:schemeClr w14:val="tx1"/>
                  </w14:solidFill>
                </w14:textFill>
              </w:rPr>
              <w:t>批次</w:t>
            </w:r>
          </w:p>
        </w:tc>
      </w:tr>
      <w:tr w14:paraId="20691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09F074">
            <w:pPr>
              <w:widowControl/>
              <w:jc w:val="center"/>
              <w:textAlignment w:val="center"/>
              <w:rPr>
                <w:rFonts w:hint="default"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绩效</w:t>
            </w:r>
            <w:r>
              <w:rPr>
                <w:rFonts w:hint="default" w:hAnsi="宋体" w:cs="宋体"/>
                <w:b w:val="0"/>
                <w:bCs w:val="0"/>
                <w:color w:val="000000" w:themeColor="text1"/>
                <w:sz w:val="18"/>
                <w:szCs w:val="18"/>
                <w14:textFill>
                  <w14:solidFill>
                    <w14:schemeClr w14:val="tx1"/>
                  </w14:solidFill>
                </w14:textFill>
              </w:rPr>
              <w:br w:type="textWrapping"/>
            </w:r>
            <w:r>
              <w:rPr>
                <w:rFonts w:hint="default" w:hAnsi="宋体" w:cs="宋体"/>
                <w:b w:val="0"/>
                <w:bCs w:val="0"/>
                <w:color w:val="000000" w:themeColor="text1"/>
                <w:sz w:val="18"/>
                <w:szCs w:val="18"/>
                <w14:textFill>
                  <w14:solidFill>
                    <w14:schemeClr w14:val="tx1"/>
                  </w14:solidFill>
                </w14:textFill>
              </w:rPr>
              <w:t>指标</w:t>
            </w: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AF2EDB">
            <w:pPr>
              <w:widowControl/>
              <w:jc w:val="center"/>
              <w:textAlignment w:val="center"/>
              <w:rPr>
                <w:rFonts w:hint="default"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一级指标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8993BF">
            <w:pPr>
              <w:widowControl/>
              <w:jc w:val="center"/>
              <w:textAlignment w:val="center"/>
              <w:rPr>
                <w:rFonts w:hint="default"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二级指标</w:t>
            </w:r>
          </w:p>
        </w:tc>
        <w:tc>
          <w:tcPr>
            <w:tcW w:w="25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C80313">
            <w:pPr>
              <w:widowControl/>
              <w:jc w:val="center"/>
              <w:textAlignment w:val="center"/>
              <w:rPr>
                <w:rFonts w:hint="default"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三级指标</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83FFFE">
            <w:pPr>
              <w:widowControl/>
              <w:jc w:val="center"/>
              <w:textAlignment w:val="center"/>
              <w:rPr>
                <w:rFonts w:hint="default"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年度指标值</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8B5159">
            <w:pPr>
              <w:widowControl/>
              <w:jc w:val="center"/>
              <w:textAlignment w:val="center"/>
              <w:rPr>
                <w:rFonts w:hint="default"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实际完成值</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460D52">
            <w:pPr>
              <w:widowControl/>
              <w:jc w:val="center"/>
              <w:textAlignment w:val="center"/>
              <w:rPr>
                <w:rFonts w:hint="default"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偏差原因分析及改进措施</w:t>
            </w:r>
          </w:p>
        </w:tc>
      </w:tr>
      <w:tr w14:paraId="68652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244B44">
            <w:pPr>
              <w:jc w:val="center"/>
              <w:rPr>
                <w:rFonts w:hint="default" w:hAnsi="宋体" w:cs="宋体"/>
                <w:b w:val="0"/>
                <w:bCs w:val="0"/>
                <w:color w:val="000000" w:themeColor="text1"/>
                <w:sz w:val="18"/>
                <w:szCs w:val="18"/>
                <w14:textFill>
                  <w14:solidFill>
                    <w14:schemeClr w14:val="tx1"/>
                  </w14:solidFill>
                </w14:textFill>
              </w:rPr>
            </w:pPr>
          </w:p>
        </w:tc>
        <w:tc>
          <w:tcPr>
            <w:tcW w:w="8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EF0A82">
            <w:pPr>
              <w:widowControl/>
              <w:jc w:val="center"/>
              <w:textAlignment w:val="center"/>
              <w:rPr>
                <w:rFonts w:hint="default"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产出指标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8A694E">
            <w:pPr>
              <w:widowControl/>
              <w:jc w:val="center"/>
              <w:textAlignment w:val="center"/>
              <w:rPr>
                <w:rFonts w:hint="default"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数量指标</w:t>
            </w:r>
          </w:p>
        </w:tc>
        <w:tc>
          <w:tcPr>
            <w:tcW w:w="25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24CB36">
            <w:pPr>
              <w:widowControl/>
              <w:jc w:val="center"/>
              <w:textAlignment w:val="center"/>
              <w:rPr>
                <w:rFonts w:hint="default"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接待和处理应急信访问题</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2A6360">
            <w:pPr>
              <w:widowControl/>
              <w:textAlignment w:val="center"/>
              <w:rPr>
                <w:rFonts w:hint="default" w:hAnsi="宋体" w:cs="宋体"/>
                <w:b w:val="0"/>
                <w:bCs w:val="0"/>
                <w:color w:val="000000" w:themeColor="text1"/>
                <w:sz w:val="18"/>
                <w:szCs w:val="18"/>
                <w14:textFill>
                  <w14:solidFill>
                    <w14:schemeClr w14:val="tx1"/>
                  </w14:solidFill>
                </w14:textFill>
              </w:rPr>
            </w:pPr>
            <w:r>
              <w:rPr>
                <w:rFonts w:hint="default" w:ascii="Times New Roman" w:hAnsi="Times New Roman" w:cs="宋体"/>
                <w:b w:val="0"/>
                <w:bCs w:val="0"/>
                <w:color w:val="000000" w:themeColor="text1"/>
                <w:sz w:val="18"/>
                <w:szCs w:val="18"/>
                <w14:textFill>
                  <w14:solidFill>
                    <w14:schemeClr w14:val="tx1"/>
                  </w14:solidFill>
                </w14:textFill>
              </w:rPr>
              <w:t>50</w:t>
            </w:r>
            <w:r>
              <w:rPr>
                <w:rFonts w:hint="default" w:hAnsi="宋体" w:cs="宋体"/>
                <w:b w:val="0"/>
                <w:bCs w:val="0"/>
                <w:color w:val="000000" w:themeColor="text1"/>
                <w:sz w:val="18"/>
                <w:szCs w:val="18"/>
                <w14:textFill>
                  <w14:solidFill>
                    <w14:schemeClr w14:val="tx1"/>
                  </w14:solidFill>
                </w14:textFill>
              </w:rPr>
              <w:t>批次</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9B22DE">
            <w:pPr>
              <w:widowControl/>
              <w:textAlignment w:val="center"/>
              <w:rPr>
                <w:rFonts w:hint="default" w:hAnsi="宋体" w:cs="宋体"/>
                <w:b w:val="0"/>
                <w:bCs w:val="0"/>
                <w:color w:val="000000" w:themeColor="text1"/>
                <w:sz w:val="18"/>
                <w:szCs w:val="18"/>
                <w14:textFill>
                  <w14:solidFill>
                    <w14:schemeClr w14:val="tx1"/>
                  </w14:solidFill>
                </w14:textFill>
              </w:rPr>
            </w:pPr>
            <w:r>
              <w:rPr>
                <w:rFonts w:hint="default" w:ascii="Times New Roman" w:hAnsi="Times New Roman" w:cs="宋体"/>
                <w:b w:val="0"/>
                <w:bCs w:val="0"/>
                <w:color w:val="000000" w:themeColor="text1"/>
                <w:sz w:val="18"/>
                <w:szCs w:val="18"/>
                <w14:textFill>
                  <w14:solidFill>
                    <w14:schemeClr w14:val="tx1"/>
                  </w14:solidFill>
                </w14:textFill>
              </w:rPr>
              <w:t>85</w:t>
            </w:r>
            <w:r>
              <w:rPr>
                <w:rFonts w:hint="default" w:hAnsi="宋体" w:cs="宋体"/>
                <w:b w:val="0"/>
                <w:bCs w:val="0"/>
                <w:color w:val="000000" w:themeColor="text1"/>
                <w:sz w:val="18"/>
                <w:szCs w:val="18"/>
                <w14:textFill>
                  <w14:solidFill>
                    <w14:schemeClr w14:val="tx1"/>
                  </w14:solidFill>
                </w14:textFill>
              </w:rPr>
              <w:t>批次</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7549F7">
            <w:pPr>
              <w:widowControl/>
              <w:jc w:val="center"/>
              <w:textAlignment w:val="center"/>
              <w:rPr>
                <w:rFonts w:hint="default"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无</w:t>
            </w:r>
          </w:p>
        </w:tc>
      </w:tr>
      <w:tr w14:paraId="7EE8C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82B3DE">
            <w:pPr>
              <w:jc w:val="center"/>
              <w:rPr>
                <w:rFonts w:hint="default" w:hAnsi="宋体" w:cs="宋体"/>
                <w:b w:val="0"/>
                <w:bCs w:val="0"/>
                <w:color w:val="000000" w:themeColor="text1"/>
                <w:sz w:val="18"/>
                <w:szCs w:val="18"/>
                <w14:textFill>
                  <w14:solidFill>
                    <w14:schemeClr w14:val="tx1"/>
                  </w14:solidFill>
                </w14:textFill>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BE3246">
            <w:pPr>
              <w:jc w:val="center"/>
              <w:rPr>
                <w:rFonts w:hint="default" w:hAnsi="宋体" w:cs="宋体"/>
                <w:b w:val="0"/>
                <w:bCs w:val="0"/>
                <w:color w:val="000000" w:themeColor="text1"/>
                <w:sz w:val="18"/>
                <w:szCs w:val="18"/>
                <w14:textFill>
                  <w14:solidFill>
                    <w14:schemeClr w14:val="tx1"/>
                  </w14:solidFill>
                </w14:textFill>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12B676">
            <w:pPr>
              <w:widowControl/>
              <w:jc w:val="center"/>
              <w:textAlignment w:val="center"/>
              <w:rPr>
                <w:rFonts w:hint="default"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质量指标</w:t>
            </w:r>
          </w:p>
        </w:tc>
        <w:tc>
          <w:tcPr>
            <w:tcW w:w="25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4151AE">
            <w:pPr>
              <w:widowControl/>
              <w:jc w:val="center"/>
              <w:textAlignment w:val="center"/>
              <w:rPr>
                <w:rFonts w:hint="default"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到省市处理信访问题质量</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3EC12D">
            <w:pPr>
              <w:widowControl/>
              <w:textAlignment w:val="center"/>
              <w:rPr>
                <w:rFonts w:hint="default"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好</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3D7847">
            <w:pPr>
              <w:widowControl/>
              <w:jc w:val="center"/>
              <w:textAlignment w:val="center"/>
              <w:rPr>
                <w:rFonts w:hint="default"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好</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9A5F9D">
            <w:pPr>
              <w:widowControl/>
              <w:jc w:val="center"/>
              <w:textAlignment w:val="center"/>
              <w:rPr>
                <w:rFonts w:hint="default"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无</w:t>
            </w:r>
          </w:p>
        </w:tc>
      </w:tr>
      <w:tr w14:paraId="2DB4B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D9746D">
            <w:pPr>
              <w:jc w:val="center"/>
              <w:rPr>
                <w:rFonts w:hint="default" w:hAnsi="宋体" w:cs="宋体"/>
                <w:b w:val="0"/>
                <w:bCs w:val="0"/>
                <w:color w:val="000000" w:themeColor="text1"/>
                <w:sz w:val="18"/>
                <w:szCs w:val="18"/>
                <w14:textFill>
                  <w14:solidFill>
                    <w14:schemeClr w14:val="tx1"/>
                  </w14:solidFill>
                </w14:textFill>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74A894">
            <w:pPr>
              <w:jc w:val="center"/>
              <w:rPr>
                <w:rFonts w:hint="default" w:hAnsi="宋体" w:cs="宋体"/>
                <w:b w:val="0"/>
                <w:bCs w:val="0"/>
                <w:color w:val="000000" w:themeColor="text1"/>
                <w:sz w:val="18"/>
                <w:szCs w:val="18"/>
                <w14:textFill>
                  <w14:solidFill>
                    <w14:schemeClr w14:val="tx1"/>
                  </w14:solidFill>
                </w14:textFill>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580F67">
            <w:pPr>
              <w:widowControl/>
              <w:jc w:val="center"/>
              <w:textAlignment w:val="center"/>
              <w:rPr>
                <w:rFonts w:hint="default"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成本指标</w:t>
            </w:r>
          </w:p>
        </w:tc>
        <w:tc>
          <w:tcPr>
            <w:tcW w:w="25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A34017">
            <w:pPr>
              <w:widowControl/>
              <w:jc w:val="center"/>
              <w:textAlignment w:val="center"/>
              <w:rPr>
                <w:rFonts w:hint="default"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差旅费，生活费，租车费等费用</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9C65F1">
            <w:pPr>
              <w:widowControl/>
              <w:textAlignment w:val="center"/>
              <w:rPr>
                <w:rFonts w:hint="default" w:hAnsi="宋体" w:cs="宋体"/>
                <w:b w:val="0"/>
                <w:bCs w:val="0"/>
                <w:color w:val="000000" w:themeColor="text1"/>
                <w:sz w:val="18"/>
                <w:szCs w:val="18"/>
                <w14:textFill>
                  <w14:solidFill>
                    <w14:schemeClr w14:val="tx1"/>
                  </w14:solidFill>
                </w14:textFill>
              </w:rPr>
            </w:pPr>
            <w:r>
              <w:rPr>
                <w:rFonts w:hint="default" w:ascii="Times New Roman" w:hAnsi="Times New Roman" w:cs="宋体"/>
                <w:b w:val="0"/>
                <w:bCs w:val="0"/>
                <w:color w:val="000000" w:themeColor="text1"/>
                <w:sz w:val="18"/>
                <w:szCs w:val="18"/>
                <w14:textFill>
                  <w14:solidFill>
                    <w14:schemeClr w14:val="tx1"/>
                  </w14:solidFill>
                </w14:textFill>
              </w:rPr>
              <w:t>13</w:t>
            </w:r>
            <w:r>
              <w:rPr>
                <w:rFonts w:hint="default" w:hAnsi="宋体" w:cs="宋体"/>
                <w:b w:val="0"/>
                <w:bCs w:val="0"/>
                <w:color w:val="000000" w:themeColor="text1"/>
                <w:sz w:val="18"/>
                <w:szCs w:val="18"/>
                <w14:textFill>
                  <w14:solidFill>
                    <w14:schemeClr w14:val="tx1"/>
                  </w14:solidFill>
                </w14:textFill>
              </w:rPr>
              <w:t>万</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3D772A">
            <w:pPr>
              <w:widowControl/>
              <w:jc w:val="center"/>
              <w:textAlignment w:val="center"/>
              <w:rPr>
                <w:rFonts w:hint="default" w:hAnsi="宋体" w:cs="宋体"/>
                <w:b w:val="0"/>
                <w:bCs w:val="0"/>
                <w:color w:val="000000" w:themeColor="text1"/>
                <w:sz w:val="18"/>
                <w:szCs w:val="18"/>
                <w14:textFill>
                  <w14:solidFill>
                    <w14:schemeClr w14:val="tx1"/>
                  </w14:solidFill>
                </w14:textFill>
              </w:rPr>
            </w:pPr>
            <w:r>
              <w:rPr>
                <w:rFonts w:hint="default" w:ascii="Times New Roman" w:hAnsi="Times New Roman" w:cs="宋体"/>
                <w:b w:val="0"/>
                <w:bCs w:val="0"/>
                <w:color w:val="000000" w:themeColor="text1"/>
                <w:sz w:val="18"/>
                <w:szCs w:val="18"/>
                <w14:textFill>
                  <w14:solidFill>
                    <w14:schemeClr w14:val="tx1"/>
                  </w14:solidFill>
                </w14:textFill>
              </w:rPr>
              <w:t>13</w:t>
            </w:r>
            <w:r>
              <w:rPr>
                <w:rFonts w:hint="default" w:hAnsi="宋体" w:cs="宋体"/>
                <w:b w:val="0"/>
                <w:bCs w:val="0"/>
                <w:color w:val="000000" w:themeColor="text1"/>
                <w:sz w:val="18"/>
                <w:szCs w:val="18"/>
                <w14:textFill>
                  <w14:solidFill>
                    <w14:schemeClr w14:val="tx1"/>
                  </w14:solidFill>
                </w14:textFill>
              </w:rPr>
              <w:t>万</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C49A98">
            <w:pPr>
              <w:widowControl/>
              <w:jc w:val="center"/>
              <w:textAlignment w:val="center"/>
              <w:rPr>
                <w:rFonts w:hint="default"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无</w:t>
            </w:r>
          </w:p>
        </w:tc>
      </w:tr>
      <w:tr w14:paraId="60D4D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02A5CA">
            <w:pPr>
              <w:jc w:val="center"/>
              <w:rPr>
                <w:rFonts w:hint="default" w:hAnsi="宋体" w:cs="宋体"/>
                <w:b w:val="0"/>
                <w:bCs w:val="0"/>
                <w:color w:val="000000" w:themeColor="text1"/>
                <w:sz w:val="18"/>
                <w:szCs w:val="18"/>
                <w14:textFill>
                  <w14:solidFill>
                    <w14:schemeClr w14:val="tx1"/>
                  </w14:solidFill>
                </w14:textFill>
              </w:rPr>
            </w:pPr>
          </w:p>
        </w:tc>
        <w:tc>
          <w:tcPr>
            <w:tcW w:w="8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4ABF86">
            <w:pPr>
              <w:jc w:val="center"/>
              <w:rPr>
                <w:rFonts w:hint="default" w:hAnsi="宋体" w:cs="宋体"/>
                <w:b w:val="0"/>
                <w:bCs w:val="0"/>
                <w:color w:val="000000" w:themeColor="text1"/>
                <w:sz w:val="18"/>
                <w:szCs w:val="18"/>
                <w14:textFill>
                  <w14:solidFill>
                    <w14:schemeClr w14:val="tx1"/>
                  </w14:solidFill>
                </w14:textFill>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B18999">
            <w:pPr>
              <w:widowControl/>
              <w:jc w:val="center"/>
              <w:textAlignment w:val="center"/>
              <w:rPr>
                <w:rFonts w:hint="default"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社会效益</w:t>
            </w:r>
            <w:r>
              <w:rPr>
                <w:rFonts w:hint="default" w:hAnsi="宋体" w:cs="宋体"/>
                <w:b w:val="0"/>
                <w:bCs w:val="0"/>
                <w:color w:val="000000" w:themeColor="text1"/>
                <w:sz w:val="18"/>
                <w:szCs w:val="18"/>
                <w14:textFill>
                  <w14:solidFill>
                    <w14:schemeClr w14:val="tx1"/>
                  </w14:solidFill>
                </w14:textFill>
              </w:rPr>
              <w:br w:type="textWrapping"/>
            </w:r>
            <w:r>
              <w:rPr>
                <w:rFonts w:hint="default" w:hAnsi="宋体" w:cs="宋体"/>
                <w:b w:val="0"/>
                <w:bCs w:val="0"/>
                <w:color w:val="000000" w:themeColor="text1"/>
                <w:sz w:val="18"/>
                <w:szCs w:val="18"/>
                <w14:textFill>
                  <w14:solidFill>
                    <w14:schemeClr w14:val="tx1"/>
                  </w14:solidFill>
                </w14:textFill>
              </w:rPr>
              <w:t>指标</w:t>
            </w:r>
          </w:p>
        </w:tc>
        <w:tc>
          <w:tcPr>
            <w:tcW w:w="25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EA799B">
            <w:pPr>
              <w:widowControl/>
              <w:jc w:val="center"/>
              <w:textAlignment w:val="center"/>
              <w:rPr>
                <w:rFonts w:hint="default"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处理应急信访问题，维护全区社会稳定</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0F7B3A">
            <w:pPr>
              <w:widowControl/>
              <w:textAlignment w:val="center"/>
              <w:rPr>
                <w:rFonts w:hint="default"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好</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3F24F6">
            <w:pPr>
              <w:widowControl/>
              <w:jc w:val="center"/>
              <w:textAlignment w:val="center"/>
              <w:rPr>
                <w:rFonts w:hint="default"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好</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55EF51">
            <w:pPr>
              <w:widowControl/>
              <w:jc w:val="center"/>
              <w:textAlignment w:val="center"/>
              <w:rPr>
                <w:rFonts w:hint="default"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无</w:t>
            </w:r>
          </w:p>
        </w:tc>
      </w:tr>
      <w:tr w14:paraId="36456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C967FC">
            <w:pPr>
              <w:jc w:val="center"/>
              <w:rPr>
                <w:rFonts w:hint="default" w:hAnsi="宋体" w:cs="宋体"/>
                <w:b w:val="0"/>
                <w:bCs w:val="0"/>
                <w:color w:val="000000" w:themeColor="text1"/>
                <w:sz w:val="18"/>
                <w:szCs w:val="18"/>
                <w14:textFill>
                  <w14:solidFill>
                    <w14:schemeClr w14:val="tx1"/>
                  </w14:solidFill>
                </w14:textFill>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BA9BA9">
            <w:pPr>
              <w:jc w:val="center"/>
              <w:rPr>
                <w:rFonts w:hint="default" w:hAnsi="宋体" w:cs="宋体"/>
                <w:b w:val="0"/>
                <w:bCs w:val="0"/>
                <w:color w:val="000000" w:themeColor="text1"/>
                <w:sz w:val="18"/>
                <w:szCs w:val="18"/>
                <w14:textFill>
                  <w14:solidFill>
                    <w14:schemeClr w14:val="tx1"/>
                  </w14:solidFill>
                </w14:textFill>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D69B3F">
            <w:pPr>
              <w:widowControl/>
              <w:textAlignment w:val="center"/>
              <w:rPr>
                <w:rFonts w:hint="default"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产出指标</w:t>
            </w:r>
          </w:p>
        </w:tc>
        <w:tc>
          <w:tcPr>
            <w:tcW w:w="25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475D95">
            <w:pPr>
              <w:widowControl/>
              <w:jc w:val="center"/>
              <w:textAlignment w:val="center"/>
              <w:rPr>
                <w:rFonts w:hint="default"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每年到市处理信访应急问题</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955CFC">
            <w:pPr>
              <w:widowControl/>
              <w:textAlignment w:val="center"/>
              <w:rPr>
                <w:rFonts w:hint="default" w:hAnsi="宋体" w:cs="宋体"/>
                <w:b w:val="0"/>
                <w:bCs w:val="0"/>
                <w:color w:val="000000" w:themeColor="text1"/>
                <w:sz w:val="18"/>
                <w:szCs w:val="18"/>
                <w14:textFill>
                  <w14:solidFill>
                    <w14:schemeClr w14:val="tx1"/>
                  </w14:solidFill>
                </w14:textFill>
              </w:rPr>
            </w:pPr>
            <w:r>
              <w:rPr>
                <w:rFonts w:hint="default" w:ascii="Times New Roman" w:hAnsi="Times New Roman" w:cs="宋体"/>
                <w:b w:val="0"/>
                <w:bCs w:val="0"/>
                <w:color w:val="000000" w:themeColor="text1"/>
                <w:sz w:val="18"/>
                <w:szCs w:val="18"/>
                <w14:textFill>
                  <w14:solidFill>
                    <w14:schemeClr w14:val="tx1"/>
                  </w14:solidFill>
                </w14:textFill>
              </w:rPr>
              <w:t>110</w:t>
            </w:r>
            <w:r>
              <w:rPr>
                <w:rFonts w:hint="default" w:hAnsi="宋体" w:cs="宋体"/>
                <w:b w:val="0"/>
                <w:bCs w:val="0"/>
                <w:color w:val="000000" w:themeColor="text1"/>
                <w:sz w:val="18"/>
                <w:szCs w:val="18"/>
                <w14:textFill>
                  <w14:solidFill>
                    <w14:schemeClr w14:val="tx1"/>
                  </w14:solidFill>
                </w14:textFill>
              </w:rPr>
              <w:t>批次</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DAAC4F">
            <w:pPr>
              <w:widowControl/>
              <w:jc w:val="center"/>
              <w:textAlignment w:val="center"/>
              <w:rPr>
                <w:rFonts w:hint="default" w:hAnsi="宋体" w:cs="宋体"/>
                <w:b w:val="0"/>
                <w:bCs w:val="0"/>
                <w:color w:val="000000" w:themeColor="text1"/>
                <w:sz w:val="18"/>
                <w:szCs w:val="18"/>
                <w14:textFill>
                  <w14:solidFill>
                    <w14:schemeClr w14:val="tx1"/>
                  </w14:solidFill>
                </w14:textFill>
              </w:rPr>
            </w:pPr>
            <w:r>
              <w:rPr>
                <w:rFonts w:hint="default" w:ascii="Times New Roman" w:hAnsi="Times New Roman" w:cs="宋体"/>
                <w:b w:val="0"/>
                <w:bCs w:val="0"/>
                <w:color w:val="000000" w:themeColor="text1"/>
                <w:sz w:val="18"/>
                <w:szCs w:val="18"/>
                <w14:textFill>
                  <w14:solidFill>
                    <w14:schemeClr w14:val="tx1"/>
                  </w14:solidFill>
                </w14:textFill>
              </w:rPr>
              <w:t>85</w:t>
            </w:r>
            <w:r>
              <w:rPr>
                <w:rFonts w:hint="default" w:hAnsi="宋体" w:cs="宋体"/>
                <w:b w:val="0"/>
                <w:bCs w:val="0"/>
                <w:color w:val="000000" w:themeColor="text1"/>
                <w:sz w:val="18"/>
                <w:szCs w:val="18"/>
                <w14:textFill>
                  <w14:solidFill>
                    <w14:schemeClr w14:val="tx1"/>
                  </w14:solidFill>
                </w14:textFill>
              </w:rPr>
              <w:t>批次</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0E3ADA">
            <w:pPr>
              <w:widowControl/>
              <w:jc w:val="center"/>
              <w:textAlignment w:val="center"/>
              <w:rPr>
                <w:rFonts w:hint="default"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无</w:t>
            </w:r>
          </w:p>
        </w:tc>
      </w:tr>
      <w:tr w14:paraId="68E1E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660181">
            <w:pPr>
              <w:jc w:val="center"/>
              <w:rPr>
                <w:rFonts w:hint="default" w:hAnsi="宋体" w:cs="宋体"/>
                <w:b w:val="0"/>
                <w:bCs w:val="0"/>
                <w:color w:val="000000" w:themeColor="text1"/>
                <w:sz w:val="18"/>
                <w:szCs w:val="18"/>
                <w14:textFill>
                  <w14:solidFill>
                    <w14:schemeClr w14:val="tx1"/>
                  </w14:solidFill>
                </w14:textFill>
              </w:rPr>
            </w:pP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E7E98C">
            <w:pPr>
              <w:widowControl/>
              <w:jc w:val="center"/>
              <w:textAlignment w:val="center"/>
              <w:rPr>
                <w:rFonts w:hint="default"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满意度</w:t>
            </w:r>
            <w:r>
              <w:rPr>
                <w:rFonts w:hint="default" w:hAnsi="宋体" w:cs="宋体"/>
                <w:b w:val="0"/>
                <w:bCs w:val="0"/>
                <w:color w:val="000000" w:themeColor="text1"/>
                <w:sz w:val="18"/>
                <w:szCs w:val="18"/>
                <w14:textFill>
                  <w14:solidFill>
                    <w14:schemeClr w14:val="tx1"/>
                  </w14:solidFill>
                </w14:textFill>
              </w:rPr>
              <w:br w:type="textWrapping"/>
            </w:r>
            <w:r>
              <w:rPr>
                <w:rFonts w:hint="default" w:hAnsi="宋体" w:cs="宋体"/>
                <w:b w:val="0"/>
                <w:bCs w:val="0"/>
                <w:color w:val="000000" w:themeColor="text1"/>
                <w:sz w:val="18"/>
                <w:szCs w:val="18"/>
                <w14:textFill>
                  <w14:solidFill>
                    <w14:schemeClr w14:val="tx1"/>
                  </w14:solidFill>
                </w14:textFill>
              </w:rPr>
              <w:t>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B932A4">
            <w:pPr>
              <w:widowControl/>
              <w:jc w:val="center"/>
              <w:textAlignment w:val="center"/>
              <w:rPr>
                <w:rFonts w:hint="default"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服务对象满意度指标</w:t>
            </w:r>
          </w:p>
        </w:tc>
        <w:tc>
          <w:tcPr>
            <w:tcW w:w="25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674842">
            <w:pPr>
              <w:widowControl/>
              <w:jc w:val="center"/>
              <w:textAlignment w:val="center"/>
              <w:rPr>
                <w:rFonts w:hint="default"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上访人满意度</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CACAB2">
            <w:pPr>
              <w:widowControl/>
              <w:textAlignment w:val="center"/>
              <w:rPr>
                <w:rFonts w:hint="default" w:hAnsi="宋体" w:cs="宋体"/>
                <w:b w:val="0"/>
                <w:bCs w:val="0"/>
                <w:color w:val="000000" w:themeColor="text1"/>
                <w:sz w:val="18"/>
                <w:szCs w:val="18"/>
                <w14:textFill>
                  <w14:solidFill>
                    <w14:schemeClr w14:val="tx1"/>
                  </w14:solidFill>
                </w14:textFill>
              </w:rPr>
            </w:pPr>
            <w:r>
              <w:rPr>
                <w:rFonts w:hint="default" w:ascii="Times New Roman" w:hAnsi="Times New Roman" w:cs="宋体"/>
                <w:b w:val="0"/>
                <w:bCs w:val="0"/>
                <w:color w:val="000000" w:themeColor="text1"/>
                <w:sz w:val="18"/>
                <w:szCs w:val="18"/>
                <w14:textFill>
                  <w14:solidFill>
                    <w14:schemeClr w14:val="tx1"/>
                  </w14:solidFill>
                </w14:textFill>
              </w:rPr>
              <w:t>95</w:t>
            </w:r>
            <w:r>
              <w:rPr>
                <w:rFonts w:hint="default" w:hAnsi="宋体" w:cs="宋体"/>
                <w:b w:val="0"/>
                <w:bCs w:val="0"/>
                <w:color w:val="000000" w:themeColor="text1"/>
                <w:sz w:val="18"/>
                <w:szCs w:val="18"/>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9692E5">
            <w:pPr>
              <w:widowControl/>
              <w:jc w:val="center"/>
              <w:textAlignment w:val="center"/>
              <w:rPr>
                <w:rFonts w:hint="default" w:hAnsi="宋体" w:cs="宋体"/>
                <w:b w:val="0"/>
                <w:bCs w:val="0"/>
                <w:color w:val="000000" w:themeColor="text1"/>
                <w:sz w:val="18"/>
                <w:szCs w:val="18"/>
                <w14:textFill>
                  <w14:solidFill>
                    <w14:schemeClr w14:val="tx1"/>
                  </w14:solidFill>
                </w14:textFill>
              </w:rPr>
            </w:pPr>
            <w:r>
              <w:rPr>
                <w:rFonts w:hint="default" w:ascii="Times New Roman" w:hAnsi="Times New Roman" w:cs="宋体"/>
                <w:b w:val="0"/>
                <w:bCs w:val="0"/>
                <w:color w:val="000000" w:themeColor="text1"/>
                <w:sz w:val="18"/>
                <w:szCs w:val="18"/>
                <w14:textFill>
                  <w14:solidFill>
                    <w14:schemeClr w14:val="tx1"/>
                  </w14:solidFill>
                </w14:textFill>
              </w:rPr>
              <w:t>95</w:t>
            </w:r>
            <w:r>
              <w:rPr>
                <w:rFonts w:hint="default" w:hAnsi="宋体" w:cs="宋体"/>
                <w:b w:val="0"/>
                <w:bCs w:val="0"/>
                <w:color w:val="000000" w:themeColor="text1"/>
                <w:sz w:val="18"/>
                <w:szCs w:val="18"/>
                <w14:textFill>
                  <w14:solidFill>
                    <w14:schemeClr w14:val="tx1"/>
                  </w14:solidFill>
                </w14:textFill>
              </w:rPr>
              <w:t>%</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5027F0">
            <w:pPr>
              <w:widowControl/>
              <w:jc w:val="center"/>
              <w:textAlignment w:val="center"/>
              <w:rPr>
                <w:rFonts w:hint="default"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无</w:t>
            </w:r>
          </w:p>
        </w:tc>
      </w:tr>
    </w:tbl>
    <w:p w14:paraId="665320DA">
      <w:pPr>
        <w:keepNext w:val="0"/>
        <w:keepLines w:val="0"/>
        <w:pageBreakBefore w:val="0"/>
        <w:widowControl w:val="0"/>
        <w:kinsoku/>
        <w:wordWrap/>
        <w:overflowPunct w:val="0"/>
        <w:topLinePunct w:val="0"/>
        <w:autoSpaceDE w:val="0"/>
        <w:autoSpaceDN w:val="0"/>
        <w:bidi w:val="0"/>
        <w:adjustRightInd w:val="0"/>
        <w:snapToGrid/>
        <w:spacing w:line="576" w:lineRule="exact"/>
        <w:ind w:left="0" w:leftChars="0" w:firstLine="0" w:firstLineChars="0"/>
        <w:jc w:val="center"/>
        <w:textAlignment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关于</w:t>
      </w:r>
      <w:r>
        <w:rPr>
          <w:rFonts w:hint="eastAsia" w:ascii="Times New Roman" w:hAnsi="Times New Roman" w:eastAsia="方正小标宋简体" w:cs="方正小标宋简体"/>
          <w:b w:val="0"/>
          <w:bCs w:val="0"/>
          <w:color w:val="000000" w:themeColor="text1"/>
          <w:sz w:val="44"/>
          <w:szCs w:val="44"/>
          <w14:textFill>
            <w14:solidFill>
              <w14:schemeClr w14:val="tx1"/>
            </w14:solidFill>
          </w14:textFill>
        </w:rPr>
        <w:t>2023</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年特殊疑难信访资金项目支出绩效</w:t>
      </w:r>
    </w:p>
    <w:p w14:paraId="5F3BC4C1">
      <w:pPr>
        <w:keepNext w:val="0"/>
        <w:keepLines w:val="0"/>
        <w:pageBreakBefore w:val="0"/>
        <w:widowControl w:val="0"/>
        <w:kinsoku/>
        <w:wordWrap/>
        <w:overflowPunct w:val="0"/>
        <w:topLinePunct w:val="0"/>
        <w:autoSpaceDE w:val="0"/>
        <w:autoSpaceDN w:val="0"/>
        <w:bidi w:val="0"/>
        <w:adjustRightInd w:val="0"/>
        <w:snapToGrid/>
        <w:spacing w:line="576" w:lineRule="exact"/>
        <w:ind w:left="0" w:leftChars="0" w:firstLine="0" w:firstLineChars="0"/>
        <w:jc w:val="center"/>
        <w:textAlignment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自评报告</w:t>
      </w:r>
    </w:p>
    <w:p w14:paraId="2969C8C9">
      <w:pPr>
        <w:autoSpaceDE/>
        <w:autoSpaceDN/>
        <w:adjustRightInd/>
        <w:spacing w:line="520" w:lineRule="exact"/>
        <w:ind w:firstLine="640" w:firstLineChars="200"/>
        <w:jc w:val="both"/>
        <w:rPr>
          <w:rFonts w:hint="eastAsia" w:ascii="黑体" w:hAnsi="黑体" w:eastAsia="黑体" w:cs="黑体"/>
          <w:color w:val="000000" w:themeColor="text1"/>
          <w:sz w:val="32"/>
          <w:szCs w:val="32"/>
          <w14:textFill>
            <w14:solidFill>
              <w14:schemeClr w14:val="tx1"/>
            </w14:solidFill>
          </w14:textFill>
        </w:rPr>
      </w:pPr>
    </w:p>
    <w:p w14:paraId="4FC35F5E">
      <w:pPr>
        <w:keepNext w:val="0"/>
        <w:keepLines w:val="0"/>
        <w:pageBreakBefore w:val="0"/>
        <w:widowControl w:val="0"/>
        <w:kinsoku/>
        <w:wordWrap/>
        <w:overflowPunct w:val="0"/>
        <w:topLinePunct w:val="0"/>
        <w:autoSpaceDE/>
        <w:autoSpaceDN/>
        <w:bidi w:val="0"/>
        <w:adjustRightInd/>
        <w:spacing w:line="576" w:lineRule="exact"/>
        <w:ind w:leftChars="0" w:firstLine="640" w:firstLineChars="200"/>
        <w:jc w:val="both"/>
        <w:textAlignment w:val="auto"/>
        <w:rPr>
          <w:rFonts w:hint="eastAsia" w:ascii="黑体" w:hAnsi="黑体" w:eastAsia="黑体" w:cs="黑体"/>
          <w:color w:val="000000" w:themeColor="text1"/>
          <w:sz w:val="32"/>
          <w:szCs w:val="32"/>
          <w:lang w:val="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w:t>
      </w:r>
      <w:r>
        <w:rPr>
          <w:rFonts w:hint="eastAsia" w:ascii="黑体" w:hAnsi="黑体" w:eastAsia="黑体" w:cs="黑体"/>
          <w:color w:val="000000" w:themeColor="text1"/>
          <w:sz w:val="32"/>
          <w:szCs w:val="32"/>
          <w:lang w:val="zh-CN"/>
          <w14:textFill>
            <w14:solidFill>
              <w14:schemeClr w14:val="tx1"/>
            </w14:solidFill>
          </w14:textFill>
        </w:rPr>
        <w:t>项目概况</w:t>
      </w:r>
    </w:p>
    <w:p w14:paraId="38AB5FE4">
      <w:pPr>
        <w:keepNext w:val="0"/>
        <w:keepLines w:val="0"/>
        <w:pageBreakBefore w:val="0"/>
        <w:widowControl w:val="0"/>
        <w:kinsoku/>
        <w:wordWrap/>
        <w:overflowPunct w:val="0"/>
        <w:topLinePunct w:val="0"/>
        <w:autoSpaceDE/>
        <w:autoSpaceDN/>
        <w:bidi w:val="0"/>
        <w:adjustRightInd/>
        <w:spacing w:line="576" w:lineRule="exact"/>
        <w:ind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本单位</w:t>
      </w:r>
      <w:r>
        <w:rPr>
          <w:rFonts w:hint="eastAsia" w:ascii="Times New Roman" w:hAnsi="Times New Roman" w:eastAsia="仿宋_GB2312" w:cs="仿宋_GB2312"/>
          <w:color w:val="000000" w:themeColor="text1"/>
          <w:sz w:val="32"/>
          <w:szCs w:val="32"/>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年追加预算</w:t>
      </w:r>
      <w:r>
        <w:rPr>
          <w:rFonts w:hint="eastAsia" w:ascii="Times New Roman" w:hAnsi="Times New Roman" w:eastAsia="仿宋_GB2312" w:cs="仿宋_GB2312"/>
          <w:color w:val="000000" w:themeColor="text1"/>
          <w:sz w:val="32"/>
          <w:szCs w:val="32"/>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年特殊疑难信访资金项目。该项目是转移类项目，</w:t>
      </w:r>
      <w:r>
        <w:rPr>
          <w:rFonts w:hint="eastAsia" w:ascii="Times New Roman" w:eastAsia="仿宋_GB2312"/>
          <w:color w:val="000000" w:themeColor="text1"/>
          <w:sz w:val="32"/>
          <w:szCs w:val="32"/>
          <w14:textFill>
            <w14:solidFill>
              <w14:schemeClr w14:val="tx1"/>
            </w14:solidFill>
          </w14:textFill>
        </w:rPr>
        <w:t>全面落实中央、省、市信访工作决策部署，坚持以人民为中心，以“事要解决”为核心的工作思路，化解信访矛盾的社会效能，更好地维护群众合法权益，服务全区工作大局。</w:t>
      </w:r>
    </w:p>
    <w:p w14:paraId="0EBA3473">
      <w:pPr>
        <w:keepNext w:val="0"/>
        <w:keepLines w:val="0"/>
        <w:pageBreakBefore w:val="0"/>
        <w:widowControl w:val="0"/>
        <w:numPr>
          <w:ilvl w:val="0"/>
          <w:numId w:val="0"/>
        </w:numPr>
        <w:kinsoku/>
        <w:wordWrap/>
        <w:overflowPunct w:val="0"/>
        <w:topLinePunct w:val="0"/>
        <w:autoSpaceDE/>
        <w:autoSpaceDN/>
        <w:bidi w:val="0"/>
        <w:adjustRightInd/>
        <w:spacing w:line="576" w:lineRule="exact"/>
        <w:ind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（一）</w:t>
      </w:r>
      <w:r>
        <w:rPr>
          <w:rFonts w:hint="eastAsia" w:ascii="楷体_GB2312" w:hAnsi="楷体_GB2312" w:eastAsia="楷体_GB2312" w:cs="楷体_GB2312"/>
          <w:b w:val="0"/>
          <w:bCs/>
          <w:color w:val="000000" w:themeColor="text1"/>
          <w:sz w:val="32"/>
          <w:szCs w:val="32"/>
          <w:lang w:val="zh-CN"/>
          <w14:textFill>
            <w14:solidFill>
              <w14:schemeClr w14:val="tx1"/>
            </w14:solidFill>
          </w14:textFill>
        </w:rPr>
        <w:t>项目资金申报及批复情况。</w:t>
      </w:r>
      <w:r>
        <w:rPr>
          <w:rFonts w:hint="eastAsia" w:ascii="仿宋_GB2312" w:hAnsi="仿宋_GB2312" w:eastAsia="仿宋_GB2312" w:cs="仿宋_GB2312"/>
          <w:color w:val="000000" w:themeColor="text1"/>
          <w:sz w:val="32"/>
          <w:szCs w:val="32"/>
          <w14:textFill>
            <w14:solidFill>
              <w14:schemeClr w14:val="tx1"/>
            </w14:solidFill>
          </w14:textFill>
        </w:rPr>
        <w:t>该项目是</w:t>
      </w:r>
      <w:r>
        <w:rPr>
          <w:rFonts w:hint="eastAsia" w:ascii="Times New Roman" w:hAnsi="Times New Roman" w:eastAsia="仿宋_GB2312" w:cs="仿宋_GB2312"/>
          <w:color w:val="000000" w:themeColor="text1"/>
          <w:sz w:val="32"/>
          <w:szCs w:val="32"/>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年追加预算的项目，该项目长期使用。</w:t>
      </w:r>
    </w:p>
    <w:p w14:paraId="0C079EB6">
      <w:pPr>
        <w:keepNext w:val="0"/>
        <w:keepLines w:val="0"/>
        <w:pageBreakBefore w:val="0"/>
        <w:widowControl w:val="0"/>
        <w:numPr>
          <w:ilvl w:val="0"/>
          <w:numId w:val="0"/>
        </w:numPr>
        <w:kinsoku/>
        <w:wordWrap/>
        <w:overflowPunct w:val="0"/>
        <w:topLinePunct w:val="0"/>
        <w:autoSpaceDE/>
        <w:autoSpaceDN/>
        <w:bidi w:val="0"/>
        <w:adjustRightInd/>
        <w:spacing w:line="576" w:lineRule="exact"/>
        <w:ind w:leftChars="0" w:firstLine="640" w:firstLineChars="200"/>
        <w:jc w:val="both"/>
        <w:textAlignment w:val="auto"/>
        <w:rPr>
          <w:rFonts w:hint="eastAsia" w:ascii="楷体_GB2312" w:hAnsi="楷体_GB2312" w:eastAsia="楷体_GB2312" w:cs="楷体_GB2312"/>
          <w:b w:val="0"/>
          <w:bCs/>
          <w:color w:val="000000" w:themeColor="text1"/>
          <w:sz w:val="32"/>
          <w:szCs w:val="32"/>
          <w:lang w:val="zh-CN"/>
          <w14:textFill>
            <w14:solidFill>
              <w14:schemeClr w14:val="tx1"/>
            </w14:solidFill>
          </w14:textFill>
        </w:rPr>
      </w:pPr>
      <w:r>
        <w:rPr>
          <w:rFonts w:hint="eastAsia" w:ascii="楷体_GB2312" w:hAnsi="楷体_GB2312" w:eastAsia="楷体_GB2312" w:cs="楷体_GB2312"/>
          <w:b w:val="0"/>
          <w:bCs/>
          <w:color w:val="000000" w:themeColor="text1"/>
          <w:sz w:val="32"/>
          <w:szCs w:val="32"/>
          <w:lang w:val="zh-CN"/>
          <w14:textFill>
            <w14:solidFill>
              <w14:schemeClr w14:val="tx1"/>
            </w14:solidFill>
          </w14:textFill>
        </w:rPr>
        <w:t>（二）项目绩效目标。</w:t>
      </w:r>
    </w:p>
    <w:p w14:paraId="664761A0">
      <w:pPr>
        <w:pStyle w:val="8"/>
        <w:keepNext w:val="0"/>
        <w:keepLines w:val="0"/>
        <w:pageBreakBefore w:val="0"/>
        <w:widowControl w:val="0"/>
        <w:kinsoku/>
        <w:wordWrap/>
        <w:overflowPunct w:val="0"/>
        <w:topLinePunct w:val="0"/>
        <w:autoSpaceDE/>
        <w:autoSpaceDN/>
        <w:bidi w:val="0"/>
        <w:spacing w:after="0" w:line="576" w:lineRule="exact"/>
        <w:ind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年特殊疑难信访资金。该项经费是中央划拨的用于协调处理特殊信访疑难问题的资金，需要兑付给信访补偿款的相关费用，为切实推动信访问题的化解，巩固特殊疑难信访资金化解成果。特殊疑难信访问题及时受理率和办结率</w:t>
      </w:r>
      <w:r>
        <w:rPr>
          <w:rFonts w:hint="eastAsia" w:ascii="Times New Roman" w:hAnsi="Times New Roman" w:eastAsia="仿宋_GB2312" w:cs="仿宋_GB2312"/>
          <w:color w:val="000000" w:themeColor="text1"/>
          <w:sz w:val="32"/>
          <w:szCs w:val="32"/>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%。严格控制在预算资金内，解决特殊疑难信访问题质量很高，信访事项处理群众满意率</w:t>
      </w:r>
      <w:r>
        <w:rPr>
          <w:rFonts w:hint="eastAsia" w:ascii="Times New Roman" w:hAnsi="Times New Roman" w:eastAsia="仿宋_GB2312" w:cs="仿宋_GB2312"/>
          <w:color w:val="000000" w:themeColor="text1"/>
          <w:sz w:val="32"/>
          <w:szCs w:val="32"/>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w:t>
      </w:r>
    </w:p>
    <w:p w14:paraId="7E413CB0">
      <w:pPr>
        <w:pStyle w:val="8"/>
        <w:keepNext w:val="0"/>
        <w:keepLines w:val="0"/>
        <w:pageBreakBefore w:val="0"/>
        <w:widowControl w:val="0"/>
        <w:kinsoku/>
        <w:wordWrap/>
        <w:overflowPunct w:val="0"/>
        <w:topLinePunct w:val="0"/>
        <w:autoSpaceDE/>
        <w:autoSpaceDN/>
        <w:bidi w:val="0"/>
        <w:spacing w:after="0" w:line="576" w:lineRule="exact"/>
        <w:ind w:leftChars="0" w:firstLine="640" w:firstLineChars="200"/>
        <w:jc w:val="both"/>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楷体_GB2312" w:hAnsi="楷体_GB2312" w:eastAsia="楷体_GB2312" w:cs="楷体_GB2312"/>
          <w:b w:val="0"/>
          <w:bCs/>
          <w:color w:val="000000" w:themeColor="text1"/>
          <w:sz w:val="32"/>
          <w:szCs w:val="32"/>
          <w:lang w:val="zh-CN" w:eastAsia="zh-CN" w:bidi="ar-SA"/>
          <w14:textFill>
            <w14:solidFill>
              <w14:schemeClr w14:val="tx1"/>
            </w14:solidFill>
          </w14:textFill>
        </w:rPr>
        <w:t>（三）项目资金申报相符性。</w:t>
      </w:r>
      <w:r>
        <w:rPr>
          <w:rFonts w:hint="eastAsia" w:ascii="仿宋_GB2312" w:hAnsi="仿宋_GB2312" w:eastAsia="仿宋_GB2312" w:cs="仿宋_GB2312"/>
          <w:color w:val="000000" w:themeColor="text1"/>
          <w:sz w:val="32"/>
          <w:szCs w:val="32"/>
          <w14:textFill>
            <w14:solidFill>
              <w14:schemeClr w14:val="tx1"/>
            </w14:solidFill>
          </w14:textFill>
        </w:rPr>
        <w:t>追加</w:t>
      </w:r>
      <w:r>
        <w:rPr>
          <w:rFonts w:hint="eastAsia" w:ascii="Times New Roman" w:hAnsi="Times New Roman" w:eastAsia="仿宋_GB2312" w:cs="仿宋_GB2312"/>
          <w:color w:val="000000" w:themeColor="text1"/>
          <w:sz w:val="32"/>
          <w:szCs w:val="32"/>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年特殊疑难信访资金项目，该</w:t>
      </w:r>
      <w:r>
        <w:rPr>
          <w:rFonts w:hint="eastAsia" w:ascii="仿宋_GB2312" w:hAnsi="仿宋_GB2312" w:eastAsia="仿宋_GB2312" w:cs="仿宋_GB2312"/>
          <w:color w:val="000000" w:themeColor="text1"/>
          <w:sz w:val="32"/>
          <w:szCs w:val="32"/>
          <w:lang w:val="zh-CN"/>
          <w14:textFill>
            <w14:solidFill>
              <w14:schemeClr w14:val="tx1"/>
            </w14:solidFill>
          </w14:textFill>
        </w:rPr>
        <w:t>项目申报内容与具体实施内容相符，申报目标是合理可行</w:t>
      </w:r>
      <w:r>
        <w:rPr>
          <w:rFonts w:hint="eastAsia" w:ascii="仿宋_GB2312" w:hAnsi="仿宋_GB2312" w:eastAsia="仿宋_GB2312" w:cs="仿宋_GB2312"/>
          <w:color w:val="000000" w:themeColor="text1"/>
          <w:sz w:val="32"/>
          <w:szCs w:val="32"/>
          <w14:textFill>
            <w14:solidFill>
              <w14:schemeClr w14:val="tx1"/>
            </w14:solidFill>
          </w14:textFill>
        </w:rPr>
        <w:t>的；</w:t>
      </w:r>
    </w:p>
    <w:p w14:paraId="5FC0A412">
      <w:pPr>
        <w:pStyle w:val="8"/>
        <w:keepNext w:val="0"/>
        <w:keepLines w:val="0"/>
        <w:pageBreakBefore w:val="0"/>
        <w:widowControl w:val="0"/>
        <w:kinsoku/>
        <w:wordWrap/>
        <w:overflowPunct w:val="0"/>
        <w:topLinePunct w:val="0"/>
        <w:autoSpaceDE/>
        <w:autoSpaceDN/>
        <w:bidi w:val="0"/>
        <w:spacing w:after="0" w:line="576" w:lineRule="exact"/>
        <w:ind w:leftChars="0" w:firstLine="640" w:firstLineChars="200"/>
        <w:jc w:val="both"/>
        <w:textAlignment w:val="auto"/>
        <w:rPr>
          <w:rFonts w:hint="eastAsia" w:ascii="仿宋_GB2312" w:hAnsi="仿宋_GB2312" w:eastAsia="仿宋_GB2312" w:cs="仿宋_GB2312"/>
          <w:color w:val="000000" w:themeColor="text1"/>
          <w:sz w:val="24"/>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lang w:val="zh-CN" w:eastAsia="zh-CN" w:bidi="ar-SA"/>
          <w14:textFill>
            <w14:solidFill>
              <w14:schemeClr w14:val="tx1"/>
            </w14:solidFill>
          </w14:textFill>
        </w:rPr>
        <w:t>（四）自评步骤及方法。</w:t>
      </w:r>
      <w:r>
        <w:rPr>
          <w:rFonts w:hint="eastAsia" w:ascii="仿宋_GB2312" w:hAnsi="仿宋_GB2312" w:eastAsia="仿宋_GB2312" w:cs="仿宋_GB2312"/>
          <w:color w:val="000000" w:themeColor="text1"/>
          <w:sz w:val="32"/>
          <w:szCs w:val="32"/>
          <w14:textFill>
            <w14:solidFill>
              <w14:schemeClr w14:val="tx1"/>
            </w14:solidFill>
          </w14:textFill>
        </w:rPr>
        <w:t>项目采用成本效益分析法，因素分析法，最低成本法等分析方法开展自评。</w:t>
      </w:r>
    </w:p>
    <w:p w14:paraId="256913CC">
      <w:pPr>
        <w:keepNext w:val="0"/>
        <w:keepLines w:val="0"/>
        <w:pageBreakBefore w:val="0"/>
        <w:widowControl w:val="0"/>
        <w:kinsoku/>
        <w:wordWrap/>
        <w:overflowPunct w:val="0"/>
        <w:topLinePunct w:val="0"/>
        <w:autoSpaceDE/>
        <w:autoSpaceDN/>
        <w:bidi w:val="0"/>
        <w:snapToGrid w:val="0"/>
        <w:spacing w:line="576" w:lineRule="exact"/>
        <w:ind w:leftChars="0"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二、项目实施及管理情况</w:t>
      </w:r>
    </w:p>
    <w:p w14:paraId="4E06E3BE">
      <w:pPr>
        <w:keepNext w:val="0"/>
        <w:keepLines w:val="0"/>
        <w:pageBreakBefore w:val="0"/>
        <w:widowControl w:val="0"/>
        <w:kinsoku/>
        <w:wordWrap/>
        <w:overflowPunct w:val="0"/>
        <w:topLinePunct w:val="0"/>
        <w:autoSpaceDE/>
        <w:autoSpaceDN/>
        <w:bidi w:val="0"/>
        <w:snapToGrid w:val="0"/>
        <w:spacing w:line="576" w:lineRule="exact"/>
        <w:ind w:leftChars="0" w:firstLine="640" w:firstLineChars="200"/>
        <w:jc w:val="both"/>
        <w:textAlignment w:val="auto"/>
        <w:rPr>
          <w:rFonts w:hint="eastAsia" w:ascii="仿宋_GB2312" w:hAnsi="仿宋_GB2312" w:eastAsia="仿宋_GB2312" w:cs="仿宋_GB2312"/>
          <w:b/>
          <w:color w:val="000000" w:themeColor="text1"/>
          <w:sz w:val="32"/>
          <w:szCs w:val="32"/>
          <w:lang w:val="zh-CN"/>
          <w14:textFill>
            <w14:solidFill>
              <w14:schemeClr w14:val="tx1"/>
            </w14:solidFill>
          </w14:textFill>
        </w:rPr>
      </w:pPr>
      <w:r>
        <w:rPr>
          <w:rFonts w:hint="eastAsia" w:ascii="楷体_GB2312" w:hAnsi="楷体_GB2312" w:eastAsia="楷体_GB2312" w:cs="楷体_GB2312"/>
          <w:b w:val="0"/>
          <w:bCs/>
          <w:color w:val="000000" w:themeColor="text1"/>
          <w:sz w:val="32"/>
          <w:szCs w:val="32"/>
          <w:lang w:val="zh-CN" w:eastAsia="zh-CN" w:bidi="ar-SA"/>
          <w14:textFill>
            <w14:solidFill>
              <w14:schemeClr w14:val="tx1"/>
            </w14:solidFill>
          </w14:textFill>
        </w:rPr>
        <w:t>（一）资金计划、到位及使用情况</w:t>
      </w:r>
    </w:p>
    <w:p w14:paraId="58FE88AA">
      <w:pPr>
        <w:keepNext w:val="0"/>
        <w:keepLines w:val="0"/>
        <w:pageBreakBefore w:val="0"/>
        <w:widowControl w:val="0"/>
        <w:kinsoku/>
        <w:wordWrap/>
        <w:overflowPunct w:val="0"/>
        <w:topLinePunct w:val="0"/>
        <w:autoSpaceDE/>
        <w:autoSpaceDN/>
        <w:bidi w:val="0"/>
        <w:snapToGrid w:val="0"/>
        <w:spacing w:line="576" w:lineRule="exact"/>
        <w:ind w:leftChars="0" w:firstLine="640" w:firstLineChars="200"/>
        <w:jc w:val="both"/>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资金截止</w:t>
      </w:r>
      <w:r>
        <w:rPr>
          <w:rFonts w:hint="eastAsia" w:ascii="Times New Roman" w:hAnsi="Times New Roman" w:eastAsia="仿宋_GB2312" w:cs="仿宋_GB2312"/>
          <w:color w:val="000000" w:themeColor="text1"/>
          <w:sz w:val="32"/>
          <w:szCs w:val="32"/>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Times New Roman" w:hAnsi="Times New Roman" w:eastAsia="仿宋_GB2312" w:cs="仿宋_GB2312"/>
          <w:color w:val="000000" w:themeColor="text1"/>
          <w:sz w:val="32"/>
          <w:szCs w:val="32"/>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Times New Roman" w:hAnsi="Times New Roman" w:eastAsia="仿宋_GB2312" w:cs="仿宋_GB2312"/>
          <w:color w:val="000000" w:themeColor="text1"/>
          <w:sz w:val="32"/>
          <w:szCs w:val="32"/>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日，资金分两次到位（分别是</w:t>
      </w:r>
      <w:r>
        <w:rPr>
          <w:rFonts w:hint="eastAsia" w:ascii="Times New Roman" w:hAnsi="Times New Roman" w:eastAsia="仿宋_GB2312" w:cs="仿宋_GB2312"/>
          <w:color w:val="000000" w:themeColor="text1"/>
          <w:sz w:val="32"/>
          <w:szCs w:val="32"/>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Times New Roman" w:hAnsi="Times New Roman"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Times New Roman" w:hAnsi="Times New Roman" w:eastAsia="仿宋_GB2312" w:cs="仿宋_GB2312"/>
          <w:color w:val="000000" w:themeColor="text1"/>
          <w:sz w:val="32"/>
          <w:szCs w:val="32"/>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日和</w:t>
      </w:r>
      <w:r>
        <w:rPr>
          <w:rFonts w:hint="eastAsia" w:ascii="Times New Roman" w:hAnsi="Times New Roman" w:eastAsia="仿宋_GB2312" w:cs="仿宋_GB2312"/>
          <w:color w:val="000000" w:themeColor="text1"/>
          <w:sz w:val="32"/>
          <w:szCs w:val="32"/>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Times New Roman" w:hAnsi="Times New Roman" w:eastAsia="仿宋_GB2312" w:cs="仿宋_GB2312"/>
          <w:color w:val="000000" w:themeColor="text1"/>
          <w:sz w:val="32"/>
          <w:szCs w:val="32"/>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Times New Roman" w:hAnsi="Times New Roman" w:eastAsia="仿宋_GB2312" w:cs="仿宋_GB2312"/>
          <w:color w:val="000000" w:themeColor="text1"/>
          <w:sz w:val="32"/>
          <w:szCs w:val="32"/>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val="zh-CN"/>
          <w14:textFill>
            <w14:solidFill>
              <w14:schemeClr w14:val="tx1"/>
            </w14:solidFill>
          </w14:textFill>
        </w:rPr>
        <w:t>，资金到位率</w:t>
      </w:r>
      <w:r>
        <w:rPr>
          <w:rFonts w:hint="eastAsia" w:ascii="Times New Roman" w:hAnsi="Times New Roman" w:eastAsia="仿宋_GB2312" w:cs="仿宋_GB2312"/>
          <w:color w:val="000000" w:themeColor="text1"/>
          <w:sz w:val="32"/>
          <w:szCs w:val="32"/>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资金</w:t>
      </w:r>
      <w:r>
        <w:rPr>
          <w:rFonts w:hint="eastAsia" w:ascii="仿宋_GB2312" w:hAnsi="仿宋_GB2312" w:eastAsia="仿宋_GB2312" w:cs="仿宋_GB2312"/>
          <w:color w:val="000000" w:themeColor="text1"/>
          <w:sz w:val="32"/>
          <w:szCs w:val="32"/>
          <w:lang w:val="zh-CN"/>
          <w14:textFill>
            <w14:solidFill>
              <w14:schemeClr w14:val="tx1"/>
            </w14:solidFill>
          </w14:textFill>
        </w:rPr>
        <w:t>到位及时。截止</w:t>
      </w:r>
      <w:r>
        <w:rPr>
          <w:rFonts w:hint="eastAsia" w:ascii="Times New Roman" w:hAnsi="Times New Roman" w:eastAsia="仿宋_GB2312" w:cs="仿宋_GB2312"/>
          <w:color w:val="000000" w:themeColor="text1"/>
          <w:sz w:val="32"/>
          <w:szCs w:val="32"/>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Times New Roman" w:hAnsi="Times New Roman" w:eastAsia="仿宋_GB2312" w:cs="仿宋_GB2312"/>
          <w:color w:val="000000" w:themeColor="text1"/>
          <w:sz w:val="32"/>
          <w:szCs w:val="32"/>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Times New Roman" w:hAnsi="Times New Roman" w:eastAsia="仿宋_GB2312" w:cs="仿宋_GB2312"/>
          <w:color w:val="000000" w:themeColor="text1"/>
          <w:sz w:val="32"/>
          <w:szCs w:val="32"/>
          <w14:textFill>
            <w14:solidFill>
              <w14:schemeClr w14:val="tx1"/>
            </w14:solidFill>
          </w14:textFill>
        </w:rPr>
        <w:t>31</w:t>
      </w:r>
      <w:r>
        <w:rPr>
          <w:rFonts w:hint="eastAsia" w:ascii="仿宋_GB2312" w:hAnsi="仿宋_GB2312" w:eastAsia="仿宋_GB2312" w:cs="仿宋_GB2312"/>
          <w:color w:val="000000" w:themeColor="text1"/>
          <w:sz w:val="32"/>
          <w:szCs w:val="32"/>
          <w14:textFill>
            <w14:solidFill>
              <w14:schemeClr w14:val="tx1"/>
            </w14:solidFill>
          </w14:textFill>
        </w:rPr>
        <w:t>日支付</w:t>
      </w:r>
      <w:r>
        <w:rPr>
          <w:rFonts w:hint="eastAsia" w:ascii="Times New Roman" w:hAnsi="Times New Roman" w:eastAsia="仿宋_GB2312" w:cs="仿宋_GB2312"/>
          <w:color w:val="000000" w:themeColor="text1"/>
          <w:sz w:val="32"/>
          <w:szCs w:val="32"/>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年特殊疑难信访资金</w:t>
      </w:r>
      <w:r>
        <w:rPr>
          <w:rFonts w:hint="eastAsia" w:ascii="Times New Roman" w:hAnsi="Times New Roman" w:eastAsia="仿宋_GB2312" w:cs="仿宋_GB2312"/>
          <w:color w:val="000000" w:themeColor="text1"/>
          <w:sz w:val="32"/>
          <w:szCs w:val="32"/>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zh-CN"/>
          <w14:textFill>
            <w14:solidFill>
              <w14:schemeClr w14:val="tx1"/>
            </w14:solidFill>
          </w14:textFill>
        </w:rPr>
        <w:t>支付依据合规合法，资金支付与</w:t>
      </w:r>
      <w:r>
        <w:rPr>
          <w:rFonts w:hint="eastAsia" w:ascii="仿宋_GB2312" w:hAnsi="仿宋_GB2312" w:eastAsia="仿宋_GB2312" w:cs="仿宋_GB2312"/>
          <w:color w:val="000000" w:themeColor="text1"/>
          <w:sz w:val="32"/>
          <w:szCs w:val="32"/>
          <w14:textFill>
            <w14:solidFill>
              <w14:schemeClr w14:val="tx1"/>
            </w14:solidFill>
          </w14:textFill>
        </w:rPr>
        <w:t>追加</w:t>
      </w:r>
      <w:r>
        <w:rPr>
          <w:rFonts w:hint="eastAsia" w:ascii="仿宋_GB2312" w:hAnsi="仿宋_GB2312" w:eastAsia="仿宋_GB2312" w:cs="仿宋_GB2312"/>
          <w:color w:val="000000" w:themeColor="text1"/>
          <w:sz w:val="32"/>
          <w:szCs w:val="32"/>
          <w:lang w:val="zh-CN"/>
          <w14:textFill>
            <w14:solidFill>
              <w14:schemeClr w14:val="tx1"/>
            </w14:solidFill>
          </w14:textFill>
        </w:rPr>
        <w:t>预算</w:t>
      </w:r>
      <w:r>
        <w:rPr>
          <w:rFonts w:hint="eastAsia" w:ascii="仿宋_GB2312" w:hAnsi="仿宋_GB2312" w:eastAsia="仿宋_GB2312" w:cs="仿宋_GB2312"/>
          <w:color w:val="000000" w:themeColor="text1"/>
          <w:sz w:val="32"/>
          <w:szCs w:val="32"/>
          <w14:textFill>
            <w14:solidFill>
              <w14:schemeClr w14:val="tx1"/>
            </w14:solidFill>
          </w14:textFill>
        </w:rPr>
        <w:t>相符</w:t>
      </w:r>
      <w:r>
        <w:rPr>
          <w:rFonts w:hint="eastAsia" w:ascii="仿宋_GB2312" w:hAnsi="仿宋_GB2312" w:eastAsia="仿宋_GB2312" w:cs="仿宋_GB2312"/>
          <w:color w:val="000000" w:themeColor="text1"/>
          <w:sz w:val="32"/>
          <w:szCs w:val="32"/>
          <w:lang w:val="zh-CN"/>
          <w14:textFill>
            <w14:solidFill>
              <w14:schemeClr w14:val="tx1"/>
            </w14:solidFill>
          </w14:textFill>
        </w:rPr>
        <w:t>。</w:t>
      </w:r>
    </w:p>
    <w:p w14:paraId="6BB895C4">
      <w:pPr>
        <w:keepNext w:val="0"/>
        <w:keepLines w:val="0"/>
        <w:pageBreakBefore w:val="0"/>
        <w:widowControl w:val="0"/>
        <w:kinsoku/>
        <w:wordWrap/>
        <w:overflowPunct w:val="0"/>
        <w:topLinePunct w:val="0"/>
        <w:autoSpaceDE/>
        <w:autoSpaceDN/>
        <w:bidi w:val="0"/>
        <w:snapToGrid w:val="0"/>
        <w:spacing w:line="576" w:lineRule="exact"/>
        <w:ind w:leftChars="0" w:firstLine="640" w:firstLineChars="200"/>
        <w:jc w:val="both"/>
        <w:textAlignment w:val="auto"/>
        <w:rPr>
          <w:rFonts w:hint="eastAsia" w:ascii="楷体_GB2312" w:hAnsi="楷体_GB2312" w:eastAsia="楷体_GB2312" w:cs="楷体_GB2312"/>
          <w:b w:val="0"/>
          <w:bCs/>
          <w:color w:val="000000" w:themeColor="text1"/>
          <w:sz w:val="32"/>
          <w:szCs w:val="32"/>
          <w:lang w:val="zh-CN" w:eastAsia="zh-CN" w:bidi="ar-SA"/>
          <w14:textFill>
            <w14:solidFill>
              <w14:schemeClr w14:val="tx1"/>
            </w14:solidFill>
          </w14:textFill>
        </w:rPr>
      </w:pPr>
      <w:r>
        <w:rPr>
          <w:rFonts w:hint="eastAsia" w:ascii="楷体_GB2312" w:hAnsi="楷体_GB2312" w:eastAsia="楷体_GB2312" w:cs="楷体_GB2312"/>
          <w:b w:val="0"/>
          <w:bCs/>
          <w:color w:val="000000" w:themeColor="text1"/>
          <w:sz w:val="32"/>
          <w:szCs w:val="32"/>
          <w:lang w:val="zh-CN" w:eastAsia="zh-CN" w:bidi="ar-SA"/>
          <w14:textFill>
            <w14:solidFill>
              <w14:schemeClr w14:val="tx1"/>
            </w14:solidFill>
          </w14:textFill>
        </w:rPr>
        <w:t>（二）项目财务管理情况</w:t>
      </w:r>
    </w:p>
    <w:p w14:paraId="167E8F48">
      <w:pPr>
        <w:keepNext w:val="0"/>
        <w:keepLines w:val="0"/>
        <w:pageBreakBefore w:val="0"/>
        <w:widowControl w:val="0"/>
        <w:kinsoku/>
        <w:wordWrap/>
        <w:overflowPunct w:val="0"/>
        <w:topLinePunct w:val="0"/>
        <w:autoSpaceDE/>
        <w:autoSpaceDN/>
        <w:bidi w:val="0"/>
        <w:snapToGrid w:val="0"/>
        <w:spacing w:line="576" w:lineRule="exact"/>
        <w:ind w:leftChars="0" w:firstLine="640" w:firstLineChars="200"/>
        <w:jc w:val="both"/>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经费严格按照</w:t>
      </w:r>
      <w:r>
        <w:rPr>
          <w:rFonts w:hint="eastAsia" w:ascii="仿宋_GB2312" w:hAnsi="仿宋_GB2312" w:eastAsia="仿宋_GB2312" w:cs="仿宋_GB2312"/>
          <w:color w:val="000000" w:themeColor="text1"/>
          <w:sz w:val="32"/>
          <w:szCs w:val="32"/>
          <w:lang w:val="zh-CN"/>
          <w14:textFill>
            <w14:solidFill>
              <w14:schemeClr w14:val="tx1"/>
            </w14:solidFill>
          </w14:textFill>
        </w:rPr>
        <w:t>项目财务管理制度</w:t>
      </w:r>
      <w:r>
        <w:rPr>
          <w:rFonts w:hint="eastAsia" w:ascii="仿宋_GB2312" w:hAnsi="仿宋_GB2312" w:eastAsia="仿宋_GB2312" w:cs="仿宋_GB2312"/>
          <w:color w:val="000000" w:themeColor="text1"/>
          <w:sz w:val="32"/>
          <w:szCs w:val="32"/>
          <w14:textFill>
            <w14:solidFill>
              <w14:schemeClr w14:val="tx1"/>
            </w14:solidFill>
          </w14:textFill>
        </w:rPr>
        <w:t>执行</w:t>
      </w:r>
      <w:r>
        <w:rPr>
          <w:rFonts w:hint="eastAsia" w:ascii="仿宋_GB2312" w:hAnsi="仿宋_GB2312" w:eastAsia="仿宋_GB2312" w:cs="仿宋_GB2312"/>
          <w:color w:val="000000" w:themeColor="text1"/>
          <w:sz w:val="32"/>
          <w:szCs w:val="32"/>
          <w:lang w:val="zh-CN"/>
          <w14:textFill>
            <w14:solidFill>
              <w14:schemeClr w14:val="tx1"/>
            </w14:solidFill>
          </w14:textFill>
        </w:rPr>
        <w:t>、机构设置</w:t>
      </w:r>
      <w:r>
        <w:rPr>
          <w:rFonts w:hint="eastAsia" w:ascii="仿宋_GB2312" w:hAnsi="仿宋_GB2312" w:eastAsia="仿宋_GB2312" w:cs="仿宋_GB2312"/>
          <w:color w:val="000000" w:themeColor="text1"/>
          <w:sz w:val="32"/>
          <w:szCs w:val="32"/>
          <w14:textFill>
            <w14:solidFill>
              <w14:schemeClr w14:val="tx1"/>
            </w14:solidFill>
          </w14:textFill>
        </w:rPr>
        <w:t>健全，</w:t>
      </w:r>
      <w:r>
        <w:rPr>
          <w:rFonts w:hint="eastAsia" w:ascii="仿宋_GB2312" w:hAnsi="仿宋_GB2312" w:eastAsia="仿宋_GB2312" w:cs="仿宋_GB2312"/>
          <w:color w:val="000000" w:themeColor="text1"/>
          <w:sz w:val="32"/>
          <w:szCs w:val="32"/>
          <w:lang w:val="zh-CN"/>
          <w14:textFill>
            <w14:solidFill>
              <w14:schemeClr w14:val="tx1"/>
            </w14:solidFill>
          </w14:textFill>
        </w:rPr>
        <w:t>会计核算及账务处理</w:t>
      </w:r>
      <w:r>
        <w:rPr>
          <w:rFonts w:hint="eastAsia" w:ascii="仿宋_GB2312" w:hAnsi="仿宋_GB2312" w:eastAsia="仿宋_GB2312" w:cs="仿宋_GB2312"/>
          <w:color w:val="000000" w:themeColor="text1"/>
          <w:sz w:val="32"/>
          <w:szCs w:val="32"/>
          <w14:textFill>
            <w14:solidFill>
              <w14:schemeClr w14:val="tx1"/>
            </w14:solidFill>
          </w14:textFill>
        </w:rPr>
        <w:t>到位</w:t>
      </w:r>
      <w:r>
        <w:rPr>
          <w:rFonts w:hint="eastAsia" w:ascii="仿宋_GB2312" w:hAnsi="仿宋_GB2312" w:eastAsia="仿宋_GB2312" w:cs="仿宋_GB2312"/>
          <w:color w:val="000000" w:themeColor="text1"/>
          <w:sz w:val="32"/>
          <w:szCs w:val="32"/>
          <w:lang w:val="zh-CN"/>
          <w14:textFill>
            <w14:solidFill>
              <w14:schemeClr w14:val="tx1"/>
            </w14:solidFill>
          </w14:textFill>
        </w:rPr>
        <w:t>。严格执行财务管理制度、财务处理及时、会计核算规范。</w:t>
      </w:r>
    </w:p>
    <w:p w14:paraId="653AB1B2">
      <w:pPr>
        <w:keepNext w:val="0"/>
        <w:keepLines w:val="0"/>
        <w:pageBreakBefore w:val="0"/>
        <w:widowControl w:val="0"/>
        <w:kinsoku/>
        <w:wordWrap/>
        <w:overflowPunct w:val="0"/>
        <w:topLinePunct w:val="0"/>
        <w:autoSpaceDE/>
        <w:autoSpaceDN/>
        <w:bidi w:val="0"/>
        <w:snapToGrid w:val="0"/>
        <w:spacing w:line="576" w:lineRule="exact"/>
        <w:ind w:leftChars="0" w:firstLine="640" w:firstLineChars="200"/>
        <w:jc w:val="both"/>
        <w:textAlignment w:val="auto"/>
        <w:rPr>
          <w:rFonts w:hint="eastAsia" w:ascii="楷体_GB2312" w:hAnsi="楷体_GB2312" w:eastAsia="楷体_GB2312" w:cs="楷体_GB2312"/>
          <w:b w:val="0"/>
          <w:bCs/>
          <w:color w:val="000000" w:themeColor="text1"/>
          <w:sz w:val="32"/>
          <w:szCs w:val="32"/>
          <w:lang w:val="zh-CN" w:eastAsia="zh-CN" w:bidi="ar-SA"/>
          <w14:textFill>
            <w14:solidFill>
              <w14:schemeClr w14:val="tx1"/>
            </w14:solidFill>
          </w14:textFill>
        </w:rPr>
      </w:pPr>
      <w:r>
        <w:rPr>
          <w:rFonts w:hint="eastAsia" w:ascii="楷体_GB2312" w:hAnsi="楷体_GB2312" w:eastAsia="楷体_GB2312" w:cs="楷体_GB2312"/>
          <w:color w:val="000000" w:themeColor="text1"/>
          <w:sz w:val="32"/>
          <w:szCs w:val="32"/>
          <w:lang w:val="zh-CN"/>
          <w14:textFill>
            <w14:solidFill>
              <w14:schemeClr w14:val="tx1"/>
            </w14:solidFill>
          </w14:textFill>
        </w:rPr>
        <w:t>（三）</w:t>
      </w:r>
      <w:r>
        <w:rPr>
          <w:rFonts w:hint="eastAsia" w:ascii="楷体_GB2312" w:hAnsi="楷体_GB2312" w:eastAsia="楷体_GB2312" w:cs="楷体_GB2312"/>
          <w:b w:val="0"/>
          <w:bCs/>
          <w:color w:val="000000" w:themeColor="text1"/>
          <w:sz w:val="32"/>
          <w:szCs w:val="32"/>
          <w:lang w:val="zh-CN" w:eastAsia="zh-CN" w:bidi="ar-SA"/>
          <w14:textFill>
            <w14:solidFill>
              <w14:schemeClr w14:val="tx1"/>
            </w14:solidFill>
          </w14:textFill>
        </w:rPr>
        <w:t>项目组织实施及管理情况</w:t>
      </w:r>
    </w:p>
    <w:p w14:paraId="204D6F75">
      <w:pPr>
        <w:pStyle w:val="8"/>
        <w:keepNext w:val="0"/>
        <w:keepLines w:val="0"/>
        <w:pageBreakBefore w:val="0"/>
        <w:widowControl w:val="0"/>
        <w:numPr>
          <w:ilvl w:val="0"/>
          <w:numId w:val="0"/>
        </w:numPr>
        <w:kinsoku/>
        <w:wordWrap/>
        <w:overflowPunct w:val="0"/>
        <w:topLinePunct w:val="0"/>
        <w:autoSpaceDE/>
        <w:autoSpaceDN/>
        <w:bidi w:val="0"/>
        <w:spacing w:after="0" w:line="576" w:lineRule="exact"/>
        <w:ind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追加</w:t>
      </w:r>
      <w:r>
        <w:rPr>
          <w:rFonts w:hint="eastAsia" w:ascii="Times New Roman" w:hAnsi="Times New Roman" w:eastAsia="仿宋_GB2312" w:cs="仿宋_GB2312"/>
          <w:color w:val="000000" w:themeColor="text1"/>
          <w:sz w:val="32"/>
          <w:szCs w:val="32"/>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年特殊疑难信访资金项目。该项目是转移类项目，是长期使用的项目。该项目严格按照相关制度管理和实施，严格项目监管。</w:t>
      </w:r>
    </w:p>
    <w:p w14:paraId="5378A34A">
      <w:pPr>
        <w:keepNext w:val="0"/>
        <w:keepLines w:val="0"/>
        <w:pageBreakBefore w:val="0"/>
        <w:widowControl w:val="0"/>
        <w:kinsoku/>
        <w:wordWrap/>
        <w:overflowPunct w:val="0"/>
        <w:topLinePunct w:val="0"/>
        <w:autoSpaceDE/>
        <w:autoSpaceDN/>
        <w:bidi w:val="0"/>
        <w:snapToGrid w:val="0"/>
        <w:spacing w:line="576" w:lineRule="exact"/>
        <w:ind w:leftChars="0" w:firstLine="640" w:firstLineChars="200"/>
        <w:jc w:val="both"/>
        <w:textAlignment w:val="auto"/>
        <w:rPr>
          <w:rFonts w:hint="eastAsia" w:ascii="黑体" w:hAnsi="黑体" w:eastAsia="黑体" w:cs="黑体"/>
          <w:color w:val="000000" w:themeColor="text1"/>
          <w:sz w:val="32"/>
          <w:szCs w:val="32"/>
          <w:lang w:val="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三、项目绩效情况</w:t>
      </w:r>
      <w:r>
        <w:rPr>
          <w:rFonts w:hint="eastAsia" w:ascii="黑体" w:hAnsi="黑体" w:eastAsia="黑体" w:cs="黑体"/>
          <w:color w:val="000000" w:themeColor="text1"/>
          <w:sz w:val="32"/>
          <w:szCs w:val="32"/>
          <w:lang w:val="zh-CN"/>
          <w14:textFill>
            <w14:solidFill>
              <w14:schemeClr w14:val="tx1"/>
            </w14:solidFill>
          </w14:textFill>
        </w:rPr>
        <w:tab/>
      </w:r>
    </w:p>
    <w:p w14:paraId="59F9EF53">
      <w:pPr>
        <w:keepNext w:val="0"/>
        <w:keepLines w:val="0"/>
        <w:pageBreakBefore w:val="0"/>
        <w:widowControl w:val="0"/>
        <w:kinsoku/>
        <w:wordWrap/>
        <w:overflowPunct w:val="0"/>
        <w:topLinePunct w:val="0"/>
        <w:autoSpaceDE/>
        <w:autoSpaceDN/>
        <w:bidi w:val="0"/>
        <w:snapToGrid w:val="0"/>
        <w:spacing w:line="576" w:lineRule="exact"/>
        <w:ind w:leftChars="0" w:firstLine="640" w:firstLineChars="200"/>
        <w:jc w:val="both"/>
        <w:textAlignment w:val="auto"/>
        <w:rPr>
          <w:rFonts w:hint="eastAsia" w:ascii="楷体_GB2312" w:hAnsi="楷体_GB2312" w:eastAsia="楷体_GB2312" w:cs="楷体_GB2312"/>
          <w:b w:val="0"/>
          <w:bCs/>
          <w:color w:val="000000" w:themeColor="text1"/>
          <w:sz w:val="32"/>
          <w:szCs w:val="32"/>
          <w:lang w:val="zh-CN" w:eastAsia="zh-CN" w:bidi="ar-SA"/>
          <w14:textFill>
            <w14:solidFill>
              <w14:schemeClr w14:val="tx1"/>
            </w14:solidFill>
          </w14:textFill>
        </w:rPr>
      </w:pPr>
      <w:r>
        <w:rPr>
          <w:rFonts w:hint="eastAsia" w:ascii="楷体_GB2312" w:hAnsi="楷体_GB2312" w:eastAsia="楷体_GB2312" w:cs="楷体_GB2312"/>
          <w:b w:val="0"/>
          <w:bCs/>
          <w:color w:val="000000" w:themeColor="text1"/>
          <w:sz w:val="32"/>
          <w:szCs w:val="32"/>
          <w:lang w:val="zh-CN" w:eastAsia="zh-CN" w:bidi="ar-SA"/>
          <w14:textFill>
            <w14:solidFill>
              <w14:schemeClr w14:val="tx1"/>
            </w14:solidFill>
          </w14:textFill>
        </w:rPr>
        <w:t>（一）项目完成情况</w:t>
      </w:r>
    </w:p>
    <w:p w14:paraId="678BB80E">
      <w:pPr>
        <w:pStyle w:val="8"/>
        <w:keepNext w:val="0"/>
        <w:keepLines w:val="0"/>
        <w:pageBreakBefore w:val="0"/>
        <w:widowControl w:val="0"/>
        <w:kinsoku/>
        <w:wordWrap/>
        <w:overflowPunct w:val="0"/>
        <w:topLinePunct w:val="0"/>
        <w:autoSpaceDE/>
        <w:autoSpaceDN/>
        <w:bidi w:val="0"/>
        <w:spacing w:after="0" w:line="576" w:lineRule="exact"/>
        <w:ind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追加</w:t>
      </w:r>
      <w:r>
        <w:rPr>
          <w:rFonts w:hint="eastAsia" w:ascii="Times New Roman" w:hAnsi="Times New Roman" w:eastAsia="仿宋_GB2312" w:cs="仿宋_GB2312"/>
          <w:color w:val="000000" w:themeColor="text1"/>
          <w:sz w:val="32"/>
          <w:szCs w:val="32"/>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年特殊疑难信访资金项目。解决特殊疑难行问题</w:t>
      </w:r>
      <w:r>
        <w:rPr>
          <w:rFonts w:hint="eastAsia" w:ascii="Times New Roman" w:hAnsi="Times New Roman"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件次，特殊疑难信访问题及时受理率和办结率</w:t>
      </w:r>
      <w:r>
        <w:rPr>
          <w:rFonts w:hint="eastAsia" w:ascii="Times New Roman" w:hAnsi="Times New Roman" w:eastAsia="仿宋_GB2312" w:cs="仿宋_GB2312"/>
          <w:color w:val="000000" w:themeColor="text1"/>
          <w:sz w:val="32"/>
          <w:szCs w:val="32"/>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%。严格控制在预算资金内，解决特殊疑难信访问题质量很高，信访事项处理群众满意率</w:t>
      </w:r>
      <w:r>
        <w:rPr>
          <w:rFonts w:hint="eastAsia" w:ascii="Times New Roman" w:hAnsi="Times New Roman" w:eastAsia="仿宋_GB2312" w:cs="仿宋_GB2312"/>
          <w:color w:val="000000" w:themeColor="text1"/>
          <w:sz w:val="32"/>
          <w:szCs w:val="32"/>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w:t>
      </w:r>
    </w:p>
    <w:p w14:paraId="48F75475">
      <w:pPr>
        <w:keepNext w:val="0"/>
        <w:keepLines w:val="0"/>
        <w:pageBreakBefore w:val="0"/>
        <w:widowControl w:val="0"/>
        <w:kinsoku/>
        <w:wordWrap/>
        <w:overflowPunct w:val="0"/>
        <w:topLinePunct w:val="0"/>
        <w:autoSpaceDE/>
        <w:autoSpaceDN/>
        <w:bidi w:val="0"/>
        <w:snapToGrid w:val="0"/>
        <w:spacing w:line="576" w:lineRule="exact"/>
        <w:ind w:leftChars="0" w:firstLine="640" w:firstLineChars="200"/>
        <w:jc w:val="both"/>
        <w:textAlignment w:val="auto"/>
        <w:rPr>
          <w:rFonts w:hint="eastAsia" w:ascii="楷体_GB2312" w:hAnsi="楷体_GB2312" w:eastAsia="楷体_GB2312" w:cs="楷体_GB2312"/>
          <w:b w:val="0"/>
          <w:bCs/>
          <w:color w:val="000000" w:themeColor="text1"/>
          <w:sz w:val="32"/>
          <w:szCs w:val="32"/>
          <w:lang w:val="zh-CN" w:eastAsia="zh-CN" w:bidi="ar-SA"/>
          <w14:textFill>
            <w14:solidFill>
              <w14:schemeClr w14:val="tx1"/>
            </w14:solidFill>
          </w14:textFill>
        </w:rPr>
      </w:pPr>
      <w:r>
        <w:rPr>
          <w:rFonts w:hint="eastAsia" w:ascii="楷体_GB2312" w:hAnsi="楷体_GB2312" w:eastAsia="楷体_GB2312" w:cs="楷体_GB2312"/>
          <w:b w:val="0"/>
          <w:bCs/>
          <w:color w:val="000000" w:themeColor="text1"/>
          <w:sz w:val="32"/>
          <w:szCs w:val="32"/>
          <w:lang w:val="zh-CN" w:eastAsia="zh-CN" w:bidi="ar-SA"/>
          <w14:textFill>
            <w14:solidFill>
              <w14:schemeClr w14:val="tx1"/>
            </w14:solidFill>
          </w14:textFill>
        </w:rPr>
        <w:t>（二）项目效益情况。</w:t>
      </w:r>
    </w:p>
    <w:p w14:paraId="13F347AA">
      <w:pPr>
        <w:keepNext w:val="0"/>
        <w:keepLines w:val="0"/>
        <w:pageBreakBefore w:val="0"/>
        <w:widowControl w:val="0"/>
        <w:numPr>
          <w:ilvl w:val="0"/>
          <w:numId w:val="0"/>
        </w:numPr>
        <w:kinsoku/>
        <w:wordWrap/>
        <w:overflowPunct w:val="0"/>
        <w:topLinePunct w:val="0"/>
        <w:autoSpaceDE/>
        <w:autoSpaceDN/>
        <w:bidi w:val="0"/>
        <w:spacing w:line="576" w:lineRule="exact"/>
        <w:ind w:leftChars="0" w:firstLine="640" w:firstLineChars="200"/>
        <w:jc w:val="both"/>
        <w:textAlignment w:val="auto"/>
        <w:rPr>
          <w:rFonts w:hint="eastAsia" w:ascii="仿宋_GB2312" w:hAnsi="仿宋_GB2312" w:eastAsia="仿宋_GB2312" w:cs="仿宋_GB2312"/>
          <w:b/>
          <w:color w:val="000000" w:themeColor="text1"/>
          <w:sz w:val="32"/>
          <w:szCs w:val="32"/>
          <w:lang w:val="zh-CN"/>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年特殊疑难信访资金项目。解决特殊疑难信访问题质量很高，信访事项处理群众满意率</w:t>
      </w:r>
      <w:r>
        <w:rPr>
          <w:rFonts w:hint="eastAsia" w:ascii="Times New Roman" w:hAnsi="Times New Roman" w:eastAsia="仿宋_GB2312" w:cs="仿宋_GB2312"/>
          <w:color w:val="000000" w:themeColor="text1"/>
          <w:sz w:val="32"/>
          <w:szCs w:val="32"/>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14:paraId="12BC62C1">
      <w:pPr>
        <w:keepNext w:val="0"/>
        <w:keepLines w:val="0"/>
        <w:pageBreakBefore w:val="0"/>
        <w:widowControl w:val="0"/>
        <w:kinsoku/>
        <w:wordWrap/>
        <w:overflowPunct w:val="0"/>
        <w:topLinePunct w:val="0"/>
        <w:autoSpaceDE/>
        <w:autoSpaceDN/>
        <w:bidi w:val="0"/>
        <w:snapToGrid w:val="0"/>
        <w:spacing w:line="576" w:lineRule="exact"/>
        <w:ind w:leftChars="0"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四、评价结论及问题建议</w:t>
      </w:r>
    </w:p>
    <w:p w14:paraId="1E475533">
      <w:pPr>
        <w:keepNext w:val="0"/>
        <w:keepLines w:val="0"/>
        <w:pageBreakBefore w:val="0"/>
        <w:widowControl w:val="0"/>
        <w:kinsoku/>
        <w:wordWrap/>
        <w:overflowPunct w:val="0"/>
        <w:topLinePunct w:val="0"/>
        <w:autoSpaceDE/>
        <w:autoSpaceDN/>
        <w:bidi w:val="0"/>
        <w:snapToGrid w:val="0"/>
        <w:spacing w:line="576" w:lineRule="exact"/>
        <w:ind w:leftChars="0" w:firstLine="640" w:firstLineChars="200"/>
        <w:jc w:val="both"/>
        <w:textAlignment w:val="auto"/>
        <w:rPr>
          <w:rFonts w:hint="eastAsia" w:ascii="楷体_GB2312" w:hAnsi="楷体_GB2312" w:eastAsia="楷体_GB2312" w:cs="楷体_GB2312"/>
          <w:b w:val="0"/>
          <w:bCs/>
          <w:color w:val="000000" w:themeColor="text1"/>
          <w:sz w:val="32"/>
          <w:szCs w:val="32"/>
          <w:lang w:val="zh-CN" w:eastAsia="zh-CN" w:bidi="ar-SA"/>
          <w14:textFill>
            <w14:solidFill>
              <w14:schemeClr w14:val="tx1"/>
            </w14:solidFill>
          </w14:textFill>
        </w:rPr>
      </w:pPr>
      <w:r>
        <w:rPr>
          <w:rFonts w:hint="eastAsia" w:ascii="楷体_GB2312" w:hAnsi="楷体_GB2312" w:eastAsia="楷体_GB2312" w:cs="楷体_GB2312"/>
          <w:b w:val="0"/>
          <w:bCs/>
          <w:color w:val="000000" w:themeColor="text1"/>
          <w:sz w:val="32"/>
          <w:szCs w:val="32"/>
          <w:lang w:val="zh-CN" w:eastAsia="zh-CN" w:bidi="ar-SA"/>
          <w14:textFill>
            <w14:solidFill>
              <w14:schemeClr w14:val="tx1"/>
            </w14:solidFill>
          </w14:textFill>
        </w:rPr>
        <w:t>（一）评价结论。</w:t>
      </w:r>
    </w:p>
    <w:p w14:paraId="51991A4D">
      <w:pPr>
        <w:keepNext w:val="0"/>
        <w:keepLines w:val="0"/>
        <w:pageBreakBefore w:val="0"/>
        <w:widowControl w:val="0"/>
        <w:numPr>
          <w:ilvl w:val="0"/>
          <w:numId w:val="0"/>
        </w:numPr>
        <w:kinsoku/>
        <w:wordWrap/>
        <w:overflowPunct w:val="0"/>
        <w:topLinePunct w:val="0"/>
        <w:autoSpaceDE/>
        <w:autoSpaceDN/>
        <w:bidi w:val="0"/>
        <w:snapToGrid w:val="0"/>
        <w:spacing w:line="576" w:lineRule="exact"/>
        <w:ind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追加</w:t>
      </w:r>
      <w:r>
        <w:rPr>
          <w:rFonts w:hint="eastAsia" w:ascii="Times New Roman" w:hAnsi="Times New Roman" w:eastAsia="仿宋_GB2312" w:cs="仿宋_GB2312"/>
          <w:color w:val="000000" w:themeColor="text1"/>
          <w:sz w:val="32"/>
          <w:szCs w:val="32"/>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年特殊疑难信访资金项目，项目全面完成全年各项工作，运转正常，该项目评价得分</w:t>
      </w:r>
      <w:r>
        <w:rPr>
          <w:rFonts w:hint="eastAsia" w:ascii="Times New Roman" w:hAnsi="Times New Roman" w:eastAsia="仿宋_GB2312" w:cs="仿宋_GB2312"/>
          <w:color w:val="000000" w:themeColor="text1"/>
          <w:sz w:val="32"/>
          <w:szCs w:val="32"/>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分。</w:t>
      </w:r>
    </w:p>
    <w:p w14:paraId="1BB0E3A0">
      <w:pPr>
        <w:keepNext w:val="0"/>
        <w:keepLines w:val="0"/>
        <w:pageBreakBefore w:val="0"/>
        <w:widowControl w:val="0"/>
        <w:numPr>
          <w:ilvl w:val="0"/>
          <w:numId w:val="0"/>
        </w:numPr>
        <w:kinsoku/>
        <w:wordWrap/>
        <w:overflowPunct w:val="0"/>
        <w:topLinePunct w:val="0"/>
        <w:autoSpaceDE/>
        <w:autoSpaceDN/>
        <w:bidi w:val="0"/>
        <w:snapToGrid w:val="0"/>
        <w:spacing w:line="576" w:lineRule="exact"/>
        <w:ind w:leftChars="0" w:firstLine="640" w:firstLineChars="200"/>
        <w:jc w:val="both"/>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lang w:val="zh-CN" w:eastAsia="zh-CN" w:bidi="ar-SA"/>
          <w14:textFill>
            <w14:solidFill>
              <w14:schemeClr w14:val="tx1"/>
            </w14:solidFill>
          </w14:textFill>
        </w:rPr>
        <w:t>（二）存在的问题：</w:t>
      </w:r>
      <w:r>
        <w:rPr>
          <w:rFonts w:hint="eastAsia" w:ascii="仿宋_GB2312" w:hAnsi="仿宋_GB2312" w:eastAsia="仿宋_GB2312" w:cs="仿宋_GB2312"/>
          <w:b/>
          <w:color w:val="000000" w:themeColor="text1"/>
          <w:sz w:val="32"/>
          <w:szCs w:val="32"/>
          <w14:textFill>
            <w14:solidFill>
              <w14:schemeClr w14:val="tx1"/>
            </w14:solidFill>
          </w14:textFill>
        </w:rPr>
        <w:t>无</w:t>
      </w:r>
    </w:p>
    <w:p w14:paraId="7323AE52">
      <w:pPr>
        <w:keepNext w:val="0"/>
        <w:keepLines w:val="0"/>
        <w:pageBreakBefore w:val="0"/>
        <w:widowControl w:val="0"/>
        <w:kinsoku/>
        <w:wordWrap/>
        <w:overflowPunct w:val="0"/>
        <w:topLinePunct w:val="0"/>
        <w:autoSpaceDE/>
        <w:autoSpaceDN/>
        <w:bidi w:val="0"/>
        <w:snapToGrid w:val="0"/>
        <w:spacing w:line="576" w:lineRule="exact"/>
        <w:ind w:leftChars="0" w:firstLine="640" w:firstLineChars="200"/>
        <w:jc w:val="both"/>
        <w:textAlignment w:val="auto"/>
        <w:rPr>
          <w:rFonts w:hint="eastAsia" w:ascii="楷体_GB2312" w:hAnsi="楷体_GB2312" w:eastAsia="楷体_GB2312" w:cs="楷体_GB2312"/>
          <w:b w:val="0"/>
          <w:bCs/>
          <w:color w:val="000000" w:themeColor="text1"/>
          <w:sz w:val="32"/>
          <w:szCs w:val="32"/>
          <w:lang w:val="zh-CN" w:eastAsia="zh-CN" w:bidi="ar-SA"/>
          <w14:textFill>
            <w14:solidFill>
              <w14:schemeClr w14:val="tx1"/>
            </w14:solidFill>
          </w14:textFill>
        </w:rPr>
      </w:pPr>
      <w:r>
        <w:rPr>
          <w:rFonts w:hint="eastAsia" w:ascii="楷体_GB2312" w:hAnsi="楷体_GB2312" w:eastAsia="楷体_GB2312" w:cs="楷体_GB2312"/>
          <w:b w:val="0"/>
          <w:bCs/>
          <w:color w:val="000000" w:themeColor="text1"/>
          <w:sz w:val="32"/>
          <w:szCs w:val="32"/>
          <w:lang w:val="zh-CN" w:eastAsia="zh-CN" w:bidi="ar-SA"/>
          <w14:textFill>
            <w14:solidFill>
              <w14:schemeClr w14:val="tx1"/>
            </w14:solidFill>
          </w14:textFill>
        </w:rPr>
        <w:t>（三）相关措施建议：</w:t>
      </w:r>
    </w:p>
    <w:p w14:paraId="2181D818">
      <w:pPr>
        <w:keepNext w:val="0"/>
        <w:keepLines w:val="0"/>
        <w:pageBreakBefore w:val="0"/>
        <w:widowControl w:val="0"/>
        <w:kinsoku/>
        <w:wordWrap/>
        <w:overflowPunct w:val="0"/>
        <w:topLinePunct w:val="0"/>
        <w:autoSpaceDE/>
        <w:autoSpaceDN/>
        <w:bidi w:val="0"/>
        <w:adjustRightInd/>
        <w:spacing w:line="576" w:lineRule="exact"/>
        <w:ind w:leftChars="0" w:firstLine="640" w:firstLineChars="200"/>
        <w:jc w:val="both"/>
        <w:textAlignment w:val="auto"/>
        <w:rPr>
          <w:rFonts w:hint="default"/>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加强目标绩效的管理。严格控制成本和预算，专款专用，确保资金支付进度。</w:t>
      </w:r>
    </w:p>
    <w:p w14:paraId="0CA8AE25">
      <w:pPr>
        <w:numPr>
          <w:ilvl w:val="0"/>
          <w:numId w:val="0"/>
        </w:numPr>
        <w:autoSpaceDE/>
        <w:autoSpaceDN/>
        <w:adjustRightInd/>
        <w:spacing w:line="520" w:lineRule="exact"/>
        <w:ind w:leftChars="200"/>
        <w:rPr>
          <w:rFonts w:hint="eastAsia" w:ascii="仿宋_GB2312" w:hAnsi="仿宋_GB2312" w:eastAsia="仿宋_GB2312" w:cs="仿宋_GB2312"/>
          <w:color w:val="000000" w:themeColor="text1"/>
          <w:sz w:val="32"/>
          <w:szCs w:val="32"/>
          <w14:textFill>
            <w14:solidFill>
              <w14:schemeClr w14:val="tx1"/>
            </w14:solidFill>
          </w14:textFill>
        </w:rPr>
      </w:pPr>
    </w:p>
    <w:p w14:paraId="39C60C41">
      <w:pPr>
        <w:pStyle w:val="16"/>
        <w:autoSpaceDE/>
        <w:autoSpaceDN/>
        <w:adjustRightInd/>
        <w:spacing w:line="520" w:lineRule="exact"/>
        <w:rPr>
          <w:rFonts w:hint="eastAsia" w:ascii="仿宋_GB2312" w:hAnsi="仿宋_GB2312" w:eastAsia="仿宋_GB2312" w:cs="仿宋_GB2312"/>
          <w:color w:val="000000" w:themeColor="text1"/>
          <w:sz w:val="32"/>
          <w:szCs w:val="32"/>
          <w14:textFill>
            <w14:solidFill>
              <w14:schemeClr w14:val="tx1"/>
            </w14:solidFill>
          </w14:textFill>
        </w:rPr>
      </w:pPr>
    </w:p>
    <w:tbl>
      <w:tblPr>
        <w:tblStyle w:val="9"/>
        <w:tblW w:w="943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47"/>
        <w:gridCol w:w="832"/>
        <w:gridCol w:w="1107"/>
        <w:gridCol w:w="1094"/>
        <w:gridCol w:w="1569"/>
        <w:gridCol w:w="1336"/>
        <w:gridCol w:w="1320"/>
        <w:gridCol w:w="1427"/>
      </w:tblGrid>
      <w:tr w14:paraId="493C9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42" w:type="dxa"/>
            <w:gridSpan w:val="8"/>
            <w:tcBorders>
              <w:top w:val="nil"/>
              <w:left w:val="nil"/>
              <w:bottom w:val="nil"/>
              <w:right w:val="nil"/>
              <w:tl2br w:val="nil"/>
              <w:tr2bl w:val="nil"/>
            </w:tcBorders>
            <w:noWrap w:val="0"/>
            <w:vAlign w:val="center"/>
          </w:tcPr>
          <w:p w14:paraId="6C7BA4B5">
            <w:pPr>
              <w:pStyle w:val="16"/>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中共广元市昭化区委群众工作局</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　</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p>
          <w:p w14:paraId="24072972">
            <w:pPr>
              <w:pStyle w:val="16"/>
              <w:keepNext w:val="0"/>
              <w:keepLines w:val="0"/>
              <w:pageBreakBefore w:val="0"/>
              <w:widowControl w:val="0"/>
              <w:kinsoku/>
              <w:wordWrap w:val="0"/>
              <w:overflowPunct/>
              <w:topLinePunct w:val="0"/>
              <w:autoSpaceDE/>
              <w:autoSpaceDN/>
              <w:bidi w:val="0"/>
              <w:adjustRightInd/>
              <w:snapToGrid/>
              <w:spacing w:line="576" w:lineRule="exact"/>
              <w:jc w:val="right"/>
              <w:textAlignment w:val="auto"/>
              <w:rPr>
                <w:rFonts w:hint="eastAsia" w:eastAsia="仿宋_GB2312"/>
                <w:b w:val="0"/>
                <w:bCs w:val="0"/>
                <w:color w:val="000000" w:themeColor="text1"/>
                <w:sz w:val="24"/>
                <w:szCs w:val="24"/>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Times New Roman" w:hAnsi="Times New Roman" w:eastAsia="仿宋_GB2312" w:cs="仿宋_GB2312"/>
                <w:b w:val="0"/>
                <w:bCs w:val="0"/>
                <w:color w:val="000000" w:themeColor="text1"/>
                <w:sz w:val="32"/>
                <w:szCs w:val="32"/>
                <w14:textFill>
                  <w14:solidFill>
                    <w14:schemeClr w14:val="tx1"/>
                  </w14:solidFill>
                </w14:textFill>
              </w:rPr>
              <w:t>2024</w:t>
            </w:r>
            <w:r>
              <w:rPr>
                <w:rFonts w:hint="eastAsia" w:ascii="仿宋_GB2312" w:hAnsi="仿宋_GB2312" w:eastAsia="仿宋_GB2312" w:cs="仿宋_GB2312"/>
                <w:b w:val="0"/>
                <w:bCs w:val="0"/>
                <w:color w:val="000000" w:themeColor="text1"/>
                <w:sz w:val="32"/>
                <w:szCs w:val="32"/>
                <w14:textFill>
                  <w14:solidFill>
                    <w14:schemeClr w14:val="tx1"/>
                  </w14:solidFill>
                </w14:textFill>
              </w:rPr>
              <w:t>年</w:t>
            </w:r>
            <w:r>
              <w:rPr>
                <w:rFonts w:hint="eastAsia" w:ascii="Times New Roman" w:hAnsi="Times New Roman" w:eastAsia="仿宋_GB2312" w:cs="仿宋_GB2312"/>
                <w:b w:val="0"/>
                <w:bCs w:val="0"/>
                <w:color w:val="000000" w:themeColor="text1"/>
                <w:sz w:val="32"/>
                <w:szCs w:val="32"/>
                <w14:textFill>
                  <w14:solidFill>
                    <w14:schemeClr w14:val="tx1"/>
                  </w14:solidFill>
                </w14:textFill>
              </w:rPr>
              <w:t>4</w:t>
            </w:r>
            <w:r>
              <w:rPr>
                <w:rFonts w:hint="eastAsia" w:ascii="仿宋_GB2312" w:hAnsi="仿宋_GB2312" w:eastAsia="仿宋_GB2312" w:cs="仿宋_GB2312"/>
                <w:b w:val="0"/>
                <w:bCs w:val="0"/>
                <w:color w:val="000000" w:themeColor="text1"/>
                <w:sz w:val="32"/>
                <w:szCs w:val="32"/>
                <w14:textFill>
                  <w14:solidFill>
                    <w14:schemeClr w14:val="tx1"/>
                  </w14:solidFill>
                </w14:textFill>
              </w:rPr>
              <w:t>月</w:t>
            </w:r>
            <w:r>
              <w:rPr>
                <w:rFonts w:hint="eastAsia" w:ascii="Times New Roman" w:hAnsi="Times New Roman" w:eastAsia="仿宋_GB2312" w:cs="仿宋_GB2312"/>
                <w:b w:val="0"/>
                <w:bCs w:val="0"/>
                <w:color w:val="000000" w:themeColor="text1"/>
                <w:sz w:val="32"/>
                <w:szCs w:val="32"/>
                <w14:textFill>
                  <w14:solidFill>
                    <w14:schemeClr w14:val="tx1"/>
                  </w14:solidFill>
                </w14:textFill>
              </w:rPr>
              <w:t>12</w:t>
            </w:r>
            <w:r>
              <w:rPr>
                <w:rFonts w:hint="eastAsia" w:ascii="仿宋_GB2312" w:hAnsi="仿宋_GB2312" w:eastAsia="仿宋_GB2312" w:cs="仿宋_GB2312"/>
                <w:b w:val="0"/>
                <w:bCs w:val="0"/>
                <w:color w:val="000000" w:themeColor="text1"/>
                <w:sz w:val="32"/>
                <w:szCs w:val="32"/>
                <w14:textFill>
                  <w14:solidFill>
                    <w14:schemeClr w14:val="tx1"/>
                  </w14:solidFill>
                </w14:textFill>
              </w:rPr>
              <w:t>日</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　　　　</w:t>
            </w:r>
          </w:p>
          <w:p w14:paraId="15A12E28">
            <w:pPr>
              <w:widowControl/>
              <w:jc w:val="center"/>
              <w:textAlignment w:val="center"/>
              <w:rPr>
                <w:rFonts w:hint="eastAsia" w:ascii="方正小标宋简体" w:hAnsi="方正小标宋简体" w:eastAsia="方正小标宋简体" w:cs="方正小标宋简体"/>
                <w:b w:val="0"/>
                <w:bCs w:val="0"/>
                <w:color w:val="000000" w:themeColor="text1"/>
                <w:sz w:val="36"/>
                <w:szCs w:val="36"/>
                <w14:textFill>
                  <w14:solidFill>
                    <w14:schemeClr w14:val="tx1"/>
                  </w14:solidFill>
                </w14:textFill>
              </w:rPr>
            </w:pPr>
          </w:p>
          <w:p w14:paraId="39A073AD">
            <w:pPr>
              <w:widowControl/>
              <w:jc w:val="center"/>
              <w:textAlignment w:val="center"/>
              <w:rPr>
                <w:rFonts w:hint="eastAsia" w:ascii="方正小标宋简体" w:hAnsi="方正小标宋简体" w:eastAsia="方正小标宋简体" w:cs="方正小标宋简体"/>
                <w:b w:val="0"/>
                <w:bCs w:val="0"/>
                <w:color w:val="000000" w:themeColor="text1"/>
                <w:sz w:val="36"/>
                <w:szCs w:val="36"/>
                <w14:textFill>
                  <w14:solidFill>
                    <w14:schemeClr w14:val="tx1"/>
                  </w14:solidFill>
                </w14:textFill>
              </w:rPr>
            </w:pPr>
          </w:p>
          <w:p w14:paraId="57C6E028">
            <w:pPr>
              <w:widowControl/>
              <w:jc w:val="center"/>
              <w:textAlignment w:val="center"/>
              <w:rPr>
                <w:rFonts w:hint="eastAsia" w:ascii="方正小标宋简体" w:hAnsi="方正小标宋简体" w:eastAsia="方正小标宋简体" w:cs="方正小标宋简体"/>
                <w:b w:val="0"/>
                <w:bCs w:val="0"/>
                <w:color w:val="000000" w:themeColor="text1"/>
                <w:sz w:val="36"/>
                <w:szCs w:val="36"/>
                <w14:textFill>
                  <w14:solidFill>
                    <w14:schemeClr w14:val="tx1"/>
                  </w14:solidFill>
                </w14:textFill>
              </w:rPr>
            </w:pPr>
          </w:p>
          <w:p w14:paraId="5D9894AB">
            <w:pPr>
              <w:widowControl/>
              <w:jc w:val="center"/>
              <w:textAlignment w:val="center"/>
              <w:rPr>
                <w:rFonts w:hint="eastAsia" w:ascii="方正小标宋简体" w:hAnsi="方正小标宋简体" w:eastAsia="方正小标宋简体" w:cs="方正小标宋简体"/>
                <w:b w:val="0"/>
                <w:bCs w:val="0"/>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广元市昭化区财政预算项目支出绩效自评表</w:t>
            </w:r>
          </w:p>
        </w:tc>
      </w:tr>
      <w:tr w14:paraId="384DD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442" w:type="dxa"/>
            <w:gridSpan w:val="8"/>
            <w:tcBorders>
              <w:top w:val="nil"/>
              <w:left w:val="nil"/>
              <w:bottom w:val="nil"/>
              <w:right w:val="nil"/>
              <w:tl2br w:val="nil"/>
              <w:tr2bl w:val="nil"/>
            </w:tcBorders>
            <w:noWrap w:val="0"/>
            <w:vAlign w:val="top"/>
          </w:tcPr>
          <w:p w14:paraId="15779CFC">
            <w:pPr>
              <w:widowControl/>
              <w:jc w:val="center"/>
              <w:textAlignment w:val="top"/>
              <w:rPr>
                <w:rFonts w:hint="default" w:ascii="Times New Roman" w:hAnsi="宋体" w:cs="宋体"/>
                <w:b w:val="0"/>
                <w:bCs w:val="0"/>
                <w:color w:val="000000" w:themeColor="text1"/>
                <w:sz w:val="24"/>
                <w:szCs w:val="24"/>
                <w14:textFill>
                  <w14:solidFill>
                    <w14:schemeClr w14:val="tx1"/>
                  </w14:solidFill>
                </w14:textFill>
              </w:rPr>
            </w:pPr>
            <w:r>
              <w:rPr>
                <w:rFonts w:hint="default" w:hAnsi="宋体" w:cs="宋体"/>
                <w:b w:val="0"/>
                <w:bCs w:val="0"/>
                <w:color w:val="000000" w:themeColor="text1"/>
                <w:sz w:val="28"/>
                <w:szCs w:val="28"/>
                <w14:textFill>
                  <w14:solidFill>
                    <w14:schemeClr w14:val="tx1"/>
                  </w14:solidFill>
                </w14:textFill>
              </w:rPr>
              <w:t>（</w:t>
            </w:r>
            <w:r>
              <w:rPr>
                <w:rFonts w:hint="default" w:ascii="Times New Roman" w:hAnsi="Times New Roman" w:cs="宋体"/>
                <w:b w:val="0"/>
                <w:bCs w:val="0"/>
                <w:color w:val="000000" w:themeColor="text1"/>
                <w:sz w:val="28"/>
                <w:szCs w:val="28"/>
                <w14:textFill>
                  <w14:solidFill>
                    <w14:schemeClr w14:val="tx1"/>
                  </w14:solidFill>
                </w14:textFill>
              </w:rPr>
              <w:t>2023</w:t>
            </w:r>
            <w:r>
              <w:rPr>
                <w:rFonts w:hint="default" w:hAnsi="宋体" w:cs="宋体"/>
                <w:b w:val="0"/>
                <w:bCs w:val="0"/>
                <w:color w:val="000000" w:themeColor="text1"/>
                <w:sz w:val="28"/>
                <w:szCs w:val="28"/>
                <w14:textFill>
                  <w14:solidFill>
                    <w14:schemeClr w14:val="tx1"/>
                  </w14:solidFill>
                </w14:textFill>
              </w:rPr>
              <w:t>年度）</w:t>
            </w:r>
          </w:p>
        </w:tc>
      </w:tr>
      <w:tr w14:paraId="7EF59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A66126">
            <w:pPr>
              <w:widowControl/>
              <w:jc w:val="center"/>
              <w:textAlignment w:val="center"/>
              <w:rPr>
                <w:rFonts w:hint="default" w:ascii="Times New Roman"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项目（政策）名称</w:t>
            </w:r>
          </w:p>
        </w:tc>
        <w:tc>
          <w:tcPr>
            <w:tcW w:w="7826"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C5A06B">
            <w:pPr>
              <w:widowControl/>
              <w:jc w:val="center"/>
              <w:textAlignment w:val="center"/>
              <w:rPr>
                <w:rFonts w:hint="default" w:ascii="Times New Roman" w:hAnsi="宋体" w:cs="宋体"/>
                <w:b w:val="0"/>
                <w:bCs w:val="0"/>
                <w:color w:val="000000" w:themeColor="text1"/>
                <w:sz w:val="18"/>
                <w:szCs w:val="18"/>
                <w14:textFill>
                  <w14:solidFill>
                    <w14:schemeClr w14:val="tx1"/>
                  </w14:solidFill>
                </w14:textFill>
              </w:rPr>
            </w:pPr>
            <w:r>
              <w:rPr>
                <w:rFonts w:hint="default" w:ascii="Times New Roman" w:hAnsi="Times New Roman" w:cs="宋体"/>
                <w:b w:val="0"/>
                <w:bCs w:val="0"/>
                <w:color w:val="000000" w:themeColor="text1"/>
                <w:sz w:val="18"/>
                <w:szCs w:val="18"/>
                <w14:textFill>
                  <w14:solidFill>
                    <w14:schemeClr w14:val="tx1"/>
                  </w14:solidFill>
                </w14:textFill>
              </w:rPr>
              <w:t>2023</w:t>
            </w:r>
            <w:r>
              <w:rPr>
                <w:rFonts w:hint="default" w:hAnsi="宋体" w:cs="宋体"/>
                <w:b w:val="0"/>
                <w:bCs w:val="0"/>
                <w:color w:val="000000" w:themeColor="text1"/>
                <w:sz w:val="18"/>
                <w:szCs w:val="18"/>
                <w14:textFill>
                  <w14:solidFill>
                    <w14:schemeClr w14:val="tx1"/>
                  </w14:solidFill>
                </w14:textFill>
              </w:rPr>
              <w:t>年特殊疑难信访资金</w:t>
            </w:r>
          </w:p>
        </w:tc>
      </w:tr>
      <w:tr w14:paraId="75954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47E373">
            <w:pPr>
              <w:widowControl/>
              <w:jc w:val="center"/>
              <w:textAlignment w:val="center"/>
              <w:rPr>
                <w:rFonts w:hint="default" w:ascii="Times New Roman"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主管部门</w:t>
            </w:r>
          </w:p>
        </w:tc>
        <w:tc>
          <w:tcPr>
            <w:tcW w:w="389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D72D41">
            <w:pPr>
              <w:widowControl/>
              <w:jc w:val="center"/>
              <w:textAlignment w:val="center"/>
              <w:rPr>
                <w:rFonts w:hint="default" w:ascii="Times New Roman"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中共广元市昭化区委群众工作局</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84382C">
            <w:pPr>
              <w:widowControl/>
              <w:jc w:val="center"/>
              <w:textAlignment w:val="center"/>
              <w:rPr>
                <w:rFonts w:hint="default" w:ascii="Times New Roman"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实施单位</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10EB01B2">
            <w:pPr>
              <w:widowControl/>
              <w:jc w:val="center"/>
              <w:textAlignment w:val="center"/>
              <w:rPr>
                <w:rFonts w:hint="default" w:ascii="Times New Roman"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中共广元市昭化区委群众工作局</w:t>
            </w:r>
          </w:p>
        </w:tc>
      </w:tr>
      <w:tr w14:paraId="63E3E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16"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7B6D342E">
            <w:pPr>
              <w:widowControl/>
              <w:jc w:val="center"/>
              <w:textAlignment w:val="center"/>
              <w:rPr>
                <w:rFonts w:hint="default" w:ascii="Times New Roman"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项目（政策）资金（万元）</w:t>
            </w:r>
          </w:p>
        </w:tc>
        <w:tc>
          <w:tcPr>
            <w:tcW w:w="2269" w:type="dxa"/>
            <w:gridSpan w:val="2"/>
            <w:tcBorders>
              <w:top w:val="nil"/>
              <w:left w:val="single" w:color="000000" w:sz="4" w:space="0"/>
              <w:bottom w:val="single" w:color="000000" w:sz="4" w:space="0"/>
              <w:right w:val="single" w:color="000000" w:sz="4" w:space="0"/>
              <w:tl2br w:val="nil"/>
              <w:tr2bl w:val="nil"/>
            </w:tcBorders>
            <w:noWrap w:val="0"/>
            <w:vAlign w:val="center"/>
          </w:tcPr>
          <w:p w14:paraId="3CD73F92">
            <w:pPr>
              <w:widowControl/>
              <w:jc w:val="center"/>
              <w:textAlignment w:val="center"/>
              <w:rPr>
                <w:rFonts w:hint="default" w:ascii="Times New Roman"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年度预算数（万元）</w:t>
            </w:r>
          </w:p>
        </w:tc>
        <w:tc>
          <w:tcPr>
            <w:tcW w:w="1624" w:type="dxa"/>
            <w:tcBorders>
              <w:top w:val="nil"/>
              <w:left w:val="single" w:color="000000" w:sz="4" w:space="0"/>
              <w:bottom w:val="single" w:color="000000" w:sz="4" w:space="0"/>
              <w:right w:val="single" w:color="000000" w:sz="4" w:space="0"/>
              <w:tl2br w:val="nil"/>
              <w:tr2bl w:val="nil"/>
            </w:tcBorders>
            <w:noWrap w:val="0"/>
            <w:vAlign w:val="center"/>
          </w:tcPr>
          <w:p w14:paraId="4AB66EF4">
            <w:pPr>
              <w:widowControl/>
              <w:jc w:val="center"/>
              <w:textAlignment w:val="center"/>
              <w:rPr>
                <w:rFonts w:hint="default" w:ascii="Times New Roman"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年初预算数</w:t>
            </w:r>
          </w:p>
        </w:tc>
        <w:tc>
          <w:tcPr>
            <w:tcW w:w="1380" w:type="dxa"/>
            <w:tcBorders>
              <w:top w:val="nil"/>
              <w:left w:val="single" w:color="000000" w:sz="4" w:space="0"/>
              <w:bottom w:val="single" w:color="000000" w:sz="4" w:space="0"/>
              <w:right w:val="single" w:color="000000" w:sz="4" w:space="0"/>
              <w:tl2br w:val="nil"/>
              <w:tr2bl w:val="nil"/>
            </w:tcBorders>
            <w:noWrap w:val="0"/>
            <w:vAlign w:val="center"/>
          </w:tcPr>
          <w:p w14:paraId="454DACCF">
            <w:pPr>
              <w:widowControl/>
              <w:jc w:val="center"/>
              <w:textAlignment w:val="center"/>
              <w:rPr>
                <w:rFonts w:hint="default" w:ascii="Times New Roman"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全年预算数</w:t>
            </w:r>
          </w:p>
        </w:tc>
        <w:tc>
          <w:tcPr>
            <w:tcW w:w="1320" w:type="dxa"/>
            <w:tcBorders>
              <w:top w:val="nil"/>
              <w:left w:val="single" w:color="000000" w:sz="4" w:space="0"/>
              <w:bottom w:val="single" w:color="000000" w:sz="4" w:space="0"/>
              <w:right w:val="single" w:color="000000" w:sz="4" w:space="0"/>
              <w:tl2br w:val="nil"/>
              <w:tr2bl w:val="nil"/>
            </w:tcBorders>
            <w:noWrap w:val="0"/>
            <w:vAlign w:val="center"/>
          </w:tcPr>
          <w:p w14:paraId="4515134A">
            <w:pPr>
              <w:widowControl/>
              <w:jc w:val="center"/>
              <w:textAlignment w:val="center"/>
              <w:rPr>
                <w:rFonts w:hint="default" w:ascii="Times New Roman"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全年执行数</w:t>
            </w:r>
          </w:p>
        </w:tc>
        <w:tc>
          <w:tcPr>
            <w:tcW w:w="1233" w:type="dxa"/>
            <w:tcBorders>
              <w:top w:val="nil"/>
              <w:left w:val="single" w:color="000000" w:sz="4" w:space="0"/>
              <w:bottom w:val="single" w:color="000000" w:sz="4" w:space="0"/>
              <w:right w:val="single" w:color="000000" w:sz="4" w:space="0"/>
              <w:tl2br w:val="nil"/>
              <w:tr2bl w:val="nil"/>
            </w:tcBorders>
            <w:noWrap w:val="0"/>
            <w:vAlign w:val="center"/>
          </w:tcPr>
          <w:p w14:paraId="580629D2">
            <w:pPr>
              <w:widowControl/>
              <w:jc w:val="center"/>
              <w:textAlignment w:val="center"/>
              <w:rPr>
                <w:rFonts w:hint="default" w:ascii="Times New Roman"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执行率</w:t>
            </w:r>
          </w:p>
        </w:tc>
      </w:tr>
      <w:tr w14:paraId="19D21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0D5F2717">
            <w:pPr>
              <w:jc w:val="center"/>
              <w:rPr>
                <w:rFonts w:hint="default" w:ascii="Times New Roman" w:hAnsi="宋体" w:cs="宋体"/>
                <w:b w:val="0"/>
                <w:bCs w:val="0"/>
                <w:color w:val="000000" w:themeColor="text1"/>
                <w:sz w:val="18"/>
                <w:szCs w:val="18"/>
                <w14:textFill>
                  <w14:solidFill>
                    <w14:schemeClr w14:val="tx1"/>
                  </w14:solidFill>
                </w14:textFill>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B39887">
            <w:pPr>
              <w:widowControl/>
              <w:jc w:val="center"/>
              <w:textAlignment w:val="center"/>
              <w:rPr>
                <w:rFonts w:hint="default" w:ascii="Times New Roman"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年度资金总额</w:t>
            </w:r>
          </w:p>
        </w:tc>
        <w:tc>
          <w:tcPr>
            <w:tcW w:w="16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EDAC04">
            <w:pPr>
              <w:jc w:val="both"/>
              <w:rPr>
                <w:rFonts w:hint="default" w:ascii="Times New Roman" w:hAnsi="宋体" w:cs="宋体"/>
                <w:b w:val="0"/>
                <w:bCs w:val="0"/>
                <w:color w:val="000000" w:themeColor="text1"/>
                <w:sz w:val="18"/>
                <w:szCs w:val="18"/>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5E9453">
            <w:pPr>
              <w:widowControl/>
              <w:jc w:val="center"/>
              <w:textAlignment w:val="center"/>
              <w:rPr>
                <w:rFonts w:hint="default" w:ascii="Times New Roman" w:hAnsi="宋体" w:cs="宋体"/>
                <w:b w:val="0"/>
                <w:bCs w:val="0"/>
                <w:color w:val="000000" w:themeColor="text1"/>
                <w:sz w:val="18"/>
                <w:szCs w:val="18"/>
                <w14:textFill>
                  <w14:solidFill>
                    <w14:schemeClr w14:val="tx1"/>
                  </w14:solidFill>
                </w14:textFill>
              </w:rPr>
            </w:pPr>
            <w:r>
              <w:rPr>
                <w:rFonts w:hint="default" w:ascii="Times New Roman" w:hAnsi="Times New Roman" w:cs="宋体"/>
                <w:b w:val="0"/>
                <w:bCs w:val="0"/>
                <w:color w:val="000000" w:themeColor="text1"/>
                <w:sz w:val="18"/>
                <w:szCs w:val="18"/>
                <w14:textFill>
                  <w14:solidFill>
                    <w14:schemeClr w14:val="tx1"/>
                  </w14:solidFill>
                </w14:textFill>
              </w:rPr>
              <w:t>11</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DE8882">
            <w:pPr>
              <w:widowControl/>
              <w:jc w:val="center"/>
              <w:textAlignment w:val="center"/>
              <w:rPr>
                <w:rFonts w:hint="default" w:ascii="Times New Roman" w:hAnsi="宋体" w:cs="宋体"/>
                <w:b w:val="0"/>
                <w:bCs w:val="0"/>
                <w:color w:val="000000" w:themeColor="text1"/>
                <w:sz w:val="18"/>
                <w:szCs w:val="18"/>
                <w14:textFill>
                  <w14:solidFill>
                    <w14:schemeClr w14:val="tx1"/>
                  </w14:solidFill>
                </w14:textFill>
              </w:rPr>
            </w:pPr>
            <w:r>
              <w:rPr>
                <w:rFonts w:hint="default" w:ascii="Times New Roman" w:hAnsi="Times New Roman" w:cs="宋体"/>
                <w:b w:val="0"/>
                <w:bCs w:val="0"/>
                <w:color w:val="000000" w:themeColor="text1"/>
                <w:sz w:val="18"/>
                <w:szCs w:val="18"/>
                <w14:textFill>
                  <w14:solidFill>
                    <w14:schemeClr w14:val="tx1"/>
                  </w14:solidFill>
                </w14:textFill>
              </w:rPr>
              <w:t>11</w:t>
            </w:r>
          </w:p>
        </w:tc>
        <w:tc>
          <w:tcPr>
            <w:tcW w:w="1233" w:type="dxa"/>
            <w:tcBorders>
              <w:top w:val="nil"/>
              <w:left w:val="single" w:color="000000" w:sz="4" w:space="0"/>
              <w:bottom w:val="single" w:color="000000" w:sz="4" w:space="0"/>
              <w:right w:val="single" w:color="000000" w:sz="4" w:space="0"/>
              <w:tl2br w:val="nil"/>
              <w:tr2bl w:val="nil"/>
            </w:tcBorders>
            <w:noWrap w:val="0"/>
            <w:vAlign w:val="center"/>
          </w:tcPr>
          <w:p w14:paraId="2FD0DC16">
            <w:pPr>
              <w:widowControl/>
              <w:jc w:val="center"/>
              <w:textAlignment w:val="center"/>
              <w:rPr>
                <w:rFonts w:hint="default" w:ascii="Times New Roman" w:hAnsi="宋体" w:cs="宋体"/>
                <w:b w:val="0"/>
                <w:bCs w:val="0"/>
                <w:color w:val="000000" w:themeColor="text1"/>
                <w:sz w:val="18"/>
                <w:szCs w:val="18"/>
                <w14:textFill>
                  <w14:solidFill>
                    <w14:schemeClr w14:val="tx1"/>
                  </w14:solidFill>
                </w14:textFill>
              </w:rPr>
            </w:pPr>
            <w:r>
              <w:rPr>
                <w:rFonts w:hint="default" w:ascii="Times New Roman" w:hAnsi="Times New Roman" w:cs="宋体"/>
                <w:b w:val="0"/>
                <w:bCs w:val="0"/>
                <w:color w:val="000000" w:themeColor="text1"/>
                <w:sz w:val="18"/>
                <w:szCs w:val="18"/>
                <w14:textFill>
                  <w14:solidFill>
                    <w14:schemeClr w14:val="tx1"/>
                  </w14:solidFill>
                </w14:textFill>
              </w:rPr>
              <w:t>100</w:t>
            </w:r>
            <w:r>
              <w:rPr>
                <w:rFonts w:hint="default" w:ascii="Times New Roman" w:hAnsi="宋体" w:cs="宋体"/>
                <w:b w:val="0"/>
                <w:bCs w:val="0"/>
                <w:color w:val="000000" w:themeColor="text1"/>
                <w:sz w:val="18"/>
                <w:szCs w:val="18"/>
                <w14:textFill>
                  <w14:solidFill>
                    <w14:schemeClr w14:val="tx1"/>
                  </w14:solidFill>
                </w14:textFill>
              </w:rPr>
              <w:t>%</w:t>
            </w:r>
          </w:p>
        </w:tc>
      </w:tr>
      <w:tr w14:paraId="14B83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E017205">
            <w:pPr>
              <w:jc w:val="center"/>
              <w:rPr>
                <w:rFonts w:hint="default" w:ascii="Times New Roman" w:hAnsi="宋体" w:cs="宋体"/>
                <w:b w:val="0"/>
                <w:bCs w:val="0"/>
                <w:color w:val="000000" w:themeColor="text1"/>
                <w:sz w:val="18"/>
                <w:szCs w:val="18"/>
                <w14:textFill>
                  <w14:solidFill>
                    <w14:schemeClr w14:val="tx1"/>
                  </w14:solidFill>
                </w14:textFill>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4E636D">
            <w:pPr>
              <w:widowControl/>
              <w:textAlignment w:val="center"/>
              <w:rPr>
                <w:rFonts w:hint="default" w:ascii="Times New Roman"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（一）财政拨款小计</w:t>
            </w:r>
          </w:p>
        </w:tc>
        <w:tc>
          <w:tcPr>
            <w:tcW w:w="16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162818">
            <w:pPr>
              <w:jc w:val="both"/>
              <w:rPr>
                <w:rFonts w:hint="default" w:ascii="Times New Roman" w:hAnsi="宋体" w:cs="宋体"/>
                <w:b w:val="0"/>
                <w:bCs w:val="0"/>
                <w:color w:val="000000" w:themeColor="text1"/>
                <w:sz w:val="18"/>
                <w:szCs w:val="18"/>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41D586">
            <w:pPr>
              <w:widowControl/>
              <w:jc w:val="center"/>
              <w:textAlignment w:val="center"/>
              <w:rPr>
                <w:rFonts w:hint="default" w:ascii="Times New Roman" w:hAnsi="宋体" w:cs="宋体"/>
                <w:b w:val="0"/>
                <w:bCs w:val="0"/>
                <w:color w:val="000000" w:themeColor="text1"/>
                <w:sz w:val="18"/>
                <w:szCs w:val="18"/>
                <w14:textFill>
                  <w14:solidFill>
                    <w14:schemeClr w14:val="tx1"/>
                  </w14:solidFill>
                </w14:textFill>
              </w:rPr>
            </w:pPr>
            <w:r>
              <w:rPr>
                <w:rFonts w:hint="default" w:ascii="Times New Roman" w:hAnsi="Times New Roman" w:cs="宋体"/>
                <w:b w:val="0"/>
                <w:bCs w:val="0"/>
                <w:color w:val="000000" w:themeColor="text1"/>
                <w:sz w:val="18"/>
                <w:szCs w:val="18"/>
                <w14:textFill>
                  <w14:solidFill>
                    <w14:schemeClr w14:val="tx1"/>
                  </w14:solidFill>
                </w14:textFill>
              </w:rPr>
              <w:t>11</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3AFB41">
            <w:pPr>
              <w:widowControl/>
              <w:jc w:val="center"/>
              <w:textAlignment w:val="center"/>
              <w:rPr>
                <w:rFonts w:hint="default" w:ascii="Times New Roman" w:hAnsi="宋体" w:cs="宋体"/>
                <w:b w:val="0"/>
                <w:bCs w:val="0"/>
                <w:color w:val="000000" w:themeColor="text1"/>
                <w:sz w:val="18"/>
                <w:szCs w:val="18"/>
                <w14:textFill>
                  <w14:solidFill>
                    <w14:schemeClr w14:val="tx1"/>
                  </w14:solidFill>
                </w14:textFill>
              </w:rPr>
            </w:pPr>
            <w:r>
              <w:rPr>
                <w:rFonts w:hint="default" w:ascii="Times New Roman" w:hAnsi="Times New Roman" w:cs="宋体"/>
                <w:b w:val="0"/>
                <w:bCs w:val="0"/>
                <w:color w:val="000000" w:themeColor="text1"/>
                <w:sz w:val="18"/>
                <w:szCs w:val="18"/>
                <w14:textFill>
                  <w14:solidFill>
                    <w14:schemeClr w14:val="tx1"/>
                  </w14:solidFill>
                </w14:textFill>
              </w:rPr>
              <w:t>11</w:t>
            </w:r>
          </w:p>
        </w:tc>
        <w:tc>
          <w:tcPr>
            <w:tcW w:w="1233" w:type="dxa"/>
            <w:tcBorders>
              <w:top w:val="nil"/>
              <w:left w:val="single" w:color="000000" w:sz="4" w:space="0"/>
              <w:bottom w:val="single" w:color="000000" w:sz="4" w:space="0"/>
              <w:right w:val="single" w:color="000000" w:sz="4" w:space="0"/>
              <w:tl2br w:val="nil"/>
              <w:tr2bl w:val="nil"/>
            </w:tcBorders>
            <w:noWrap w:val="0"/>
            <w:vAlign w:val="center"/>
          </w:tcPr>
          <w:p w14:paraId="70F360E1">
            <w:pPr>
              <w:widowControl/>
              <w:jc w:val="center"/>
              <w:textAlignment w:val="center"/>
              <w:rPr>
                <w:rFonts w:hint="default" w:ascii="Times New Roman" w:hAnsi="宋体" w:cs="宋体"/>
                <w:b w:val="0"/>
                <w:bCs w:val="0"/>
                <w:color w:val="000000" w:themeColor="text1"/>
                <w:sz w:val="18"/>
                <w:szCs w:val="18"/>
                <w14:textFill>
                  <w14:solidFill>
                    <w14:schemeClr w14:val="tx1"/>
                  </w14:solidFill>
                </w14:textFill>
              </w:rPr>
            </w:pPr>
            <w:r>
              <w:rPr>
                <w:rFonts w:hint="default" w:ascii="Times New Roman" w:hAnsi="Times New Roman" w:cs="宋体"/>
                <w:b w:val="0"/>
                <w:bCs w:val="0"/>
                <w:color w:val="000000" w:themeColor="text1"/>
                <w:sz w:val="18"/>
                <w:szCs w:val="18"/>
                <w14:textFill>
                  <w14:solidFill>
                    <w14:schemeClr w14:val="tx1"/>
                  </w14:solidFill>
                </w14:textFill>
              </w:rPr>
              <w:t>100</w:t>
            </w:r>
            <w:r>
              <w:rPr>
                <w:rFonts w:hint="default" w:ascii="Times New Roman" w:hAnsi="宋体" w:cs="宋体"/>
                <w:b w:val="0"/>
                <w:bCs w:val="0"/>
                <w:color w:val="000000" w:themeColor="text1"/>
                <w:sz w:val="18"/>
                <w:szCs w:val="18"/>
                <w14:textFill>
                  <w14:solidFill>
                    <w14:schemeClr w14:val="tx1"/>
                  </w14:solidFill>
                </w14:textFill>
              </w:rPr>
              <w:t>%</w:t>
            </w:r>
          </w:p>
        </w:tc>
      </w:tr>
      <w:tr w14:paraId="73D3D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10BC6D1">
            <w:pPr>
              <w:jc w:val="center"/>
              <w:rPr>
                <w:rFonts w:hint="default" w:ascii="Times New Roman" w:hAnsi="宋体" w:cs="宋体"/>
                <w:b w:val="0"/>
                <w:bCs w:val="0"/>
                <w:color w:val="000000" w:themeColor="text1"/>
                <w:sz w:val="18"/>
                <w:szCs w:val="18"/>
                <w14:textFill>
                  <w14:solidFill>
                    <w14:schemeClr w14:val="tx1"/>
                  </w14:solidFill>
                </w14:textFill>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8EF3B1">
            <w:pPr>
              <w:widowControl/>
              <w:textAlignment w:val="center"/>
              <w:rPr>
                <w:rFonts w:hint="default" w:ascii="Times New Roman" w:hAnsi="宋体" w:cs="宋体"/>
                <w:b w:val="0"/>
                <w:bCs w:val="0"/>
                <w:color w:val="000000" w:themeColor="text1"/>
                <w:sz w:val="18"/>
                <w:szCs w:val="18"/>
                <w14:textFill>
                  <w14:solidFill>
                    <w14:schemeClr w14:val="tx1"/>
                  </w14:solidFill>
                </w14:textFill>
              </w:rPr>
            </w:pPr>
            <w:r>
              <w:rPr>
                <w:rFonts w:hint="default" w:ascii="Times New Roman" w:hAnsi="宋体" w:cs="宋体"/>
                <w:b w:val="0"/>
                <w:bCs w:val="0"/>
                <w:color w:val="000000" w:themeColor="text1"/>
                <w:sz w:val="18"/>
                <w:szCs w:val="18"/>
                <w14:textFill>
                  <w14:solidFill>
                    <w14:schemeClr w14:val="tx1"/>
                  </w14:solidFill>
                </w14:textFill>
              </w:rPr>
              <w:t xml:space="preserve">   </w:t>
            </w:r>
            <w:r>
              <w:rPr>
                <w:rFonts w:hint="default" w:ascii="Times New Roman" w:hAnsi="Times New Roman" w:cs="宋体"/>
                <w:b w:val="0"/>
                <w:bCs w:val="0"/>
                <w:color w:val="000000" w:themeColor="text1"/>
                <w:sz w:val="18"/>
                <w:szCs w:val="18"/>
                <w14:textFill>
                  <w14:solidFill>
                    <w14:schemeClr w14:val="tx1"/>
                  </w14:solidFill>
                </w14:textFill>
              </w:rPr>
              <w:t>1</w:t>
            </w:r>
            <w:r>
              <w:rPr>
                <w:rFonts w:hint="default" w:ascii="Times New Roman" w:hAnsi="宋体" w:cs="宋体"/>
                <w:b w:val="0"/>
                <w:bCs w:val="0"/>
                <w:color w:val="000000" w:themeColor="text1"/>
                <w:sz w:val="18"/>
                <w:szCs w:val="18"/>
                <w14:textFill>
                  <w14:solidFill>
                    <w14:schemeClr w14:val="tx1"/>
                  </w14:solidFill>
                </w14:textFill>
              </w:rPr>
              <w:t>.</w:t>
            </w:r>
            <w:r>
              <w:rPr>
                <w:rFonts w:hint="default" w:hAnsi="宋体" w:cs="宋体"/>
                <w:b w:val="0"/>
                <w:bCs w:val="0"/>
                <w:color w:val="000000" w:themeColor="text1"/>
                <w:sz w:val="18"/>
                <w:szCs w:val="18"/>
                <w14:textFill>
                  <w14:solidFill>
                    <w14:schemeClr w14:val="tx1"/>
                  </w14:solidFill>
                </w14:textFill>
              </w:rPr>
              <w:t>一般公共预算</w:t>
            </w:r>
          </w:p>
        </w:tc>
        <w:tc>
          <w:tcPr>
            <w:tcW w:w="16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A1052E">
            <w:pPr>
              <w:jc w:val="both"/>
              <w:rPr>
                <w:rFonts w:hint="default" w:ascii="Times New Roman" w:hAnsi="宋体" w:cs="宋体"/>
                <w:b w:val="0"/>
                <w:bCs w:val="0"/>
                <w:color w:val="000000" w:themeColor="text1"/>
                <w:sz w:val="18"/>
                <w:szCs w:val="18"/>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E278C6">
            <w:pPr>
              <w:widowControl/>
              <w:jc w:val="center"/>
              <w:textAlignment w:val="center"/>
              <w:rPr>
                <w:rFonts w:hint="default" w:ascii="Times New Roman" w:hAnsi="宋体" w:cs="宋体"/>
                <w:b w:val="0"/>
                <w:bCs w:val="0"/>
                <w:color w:val="000000" w:themeColor="text1"/>
                <w:sz w:val="18"/>
                <w:szCs w:val="18"/>
                <w14:textFill>
                  <w14:solidFill>
                    <w14:schemeClr w14:val="tx1"/>
                  </w14:solidFill>
                </w14:textFill>
              </w:rPr>
            </w:pPr>
            <w:r>
              <w:rPr>
                <w:rFonts w:hint="default" w:ascii="Times New Roman" w:hAnsi="Times New Roman" w:cs="宋体"/>
                <w:b w:val="0"/>
                <w:bCs w:val="0"/>
                <w:color w:val="000000" w:themeColor="text1"/>
                <w:sz w:val="18"/>
                <w:szCs w:val="18"/>
                <w14:textFill>
                  <w14:solidFill>
                    <w14:schemeClr w14:val="tx1"/>
                  </w14:solidFill>
                </w14:textFill>
              </w:rPr>
              <w:t>11</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4A3AFE">
            <w:pPr>
              <w:widowControl/>
              <w:jc w:val="center"/>
              <w:textAlignment w:val="center"/>
              <w:rPr>
                <w:rFonts w:hint="default" w:ascii="Times New Roman" w:hAnsi="宋体" w:cs="宋体"/>
                <w:b w:val="0"/>
                <w:bCs w:val="0"/>
                <w:color w:val="000000" w:themeColor="text1"/>
                <w:sz w:val="18"/>
                <w:szCs w:val="18"/>
                <w14:textFill>
                  <w14:solidFill>
                    <w14:schemeClr w14:val="tx1"/>
                  </w14:solidFill>
                </w14:textFill>
              </w:rPr>
            </w:pPr>
            <w:r>
              <w:rPr>
                <w:rFonts w:hint="default" w:ascii="Times New Roman" w:hAnsi="Times New Roman" w:cs="宋体"/>
                <w:b w:val="0"/>
                <w:bCs w:val="0"/>
                <w:color w:val="000000" w:themeColor="text1"/>
                <w:sz w:val="18"/>
                <w:szCs w:val="18"/>
                <w14:textFill>
                  <w14:solidFill>
                    <w14:schemeClr w14:val="tx1"/>
                  </w14:solidFill>
                </w14:textFill>
              </w:rPr>
              <w:t>11</w:t>
            </w:r>
          </w:p>
        </w:tc>
        <w:tc>
          <w:tcPr>
            <w:tcW w:w="1233" w:type="dxa"/>
            <w:tcBorders>
              <w:top w:val="nil"/>
              <w:left w:val="single" w:color="000000" w:sz="4" w:space="0"/>
              <w:bottom w:val="single" w:color="000000" w:sz="4" w:space="0"/>
              <w:right w:val="single" w:color="000000" w:sz="4" w:space="0"/>
              <w:tl2br w:val="nil"/>
              <w:tr2bl w:val="nil"/>
            </w:tcBorders>
            <w:noWrap w:val="0"/>
            <w:vAlign w:val="center"/>
          </w:tcPr>
          <w:p w14:paraId="23F66283">
            <w:pPr>
              <w:widowControl/>
              <w:jc w:val="center"/>
              <w:textAlignment w:val="center"/>
              <w:rPr>
                <w:rFonts w:hint="default" w:ascii="Times New Roman" w:hAnsi="宋体" w:cs="宋体"/>
                <w:b w:val="0"/>
                <w:bCs w:val="0"/>
                <w:color w:val="000000" w:themeColor="text1"/>
                <w:sz w:val="18"/>
                <w:szCs w:val="18"/>
                <w14:textFill>
                  <w14:solidFill>
                    <w14:schemeClr w14:val="tx1"/>
                  </w14:solidFill>
                </w14:textFill>
              </w:rPr>
            </w:pPr>
            <w:r>
              <w:rPr>
                <w:rFonts w:hint="default" w:ascii="Times New Roman" w:hAnsi="Times New Roman" w:cs="宋体"/>
                <w:b w:val="0"/>
                <w:bCs w:val="0"/>
                <w:color w:val="000000" w:themeColor="text1"/>
                <w:sz w:val="18"/>
                <w:szCs w:val="18"/>
                <w14:textFill>
                  <w14:solidFill>
                    <w14:schemeClr w14:val="tx1"/>
                  </w14:solidFill>
                </w14:textFill>
              </w:rPr>
              <w:t>100</w:t>
            </w:r>
            <w:r>
              <w:rPr>
                <w:rFonts w:hint="default" w:ascii="Times New Roman" w:hAnsi="宋体" w:cs="宋体"/>
                <w:b w:val="0"/>
                <w:bCs w:val="0"/>
                <w:color w:val="000000" w:themeColor="text1"/>
                <w:sz w:val="18"/>
                <w:szCs w:val="18"/>
                <w14:textFill>
                  <w14:solidFill>
                    <w14:schemeClr w14:val="tx1"/>
                  </w14:solidFill>
                </w14:textFill>
              </w:rPr>
              <w:t>%</w:t>
            </w:r>
          </w:p>
        </w:tc>
      </w:tr>
      <w:tr w14:paraId="77865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2B516B1">
            <w:pPr>
              <w:jc w:val="center"/>
              <w:rPr>
                <w:rFonts w:hint="default" w:ascii="Times New Roman" w:hAnsi="宋体" w:cs="宋体"/>
                <w:b w:val="0"/>
                <w:bCs w:val="0"/>
                <w:color w:val="000000" w:themeColor="text1"/>
                <w:sz w:val="18"/>
                <w:szCs w:val="18"/>
                <w14:textFill>
                  <w14:solidFill>
                    <w14:schemeClr w14:val="tx1"/>
                  </w14:solidFill>
                </w14:textFill>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DD9911">
            <w:pPr>
              <w:widowControl/>
              <w:textAlignment w:val="center"/>
              <w:rPr>
                <w:rFonts w:hint="default" w:ascii="Times New Roman" w:hAnsi="宋体" w:cs="宋体"/>
                <w:b w:val="0"/>
                <w:bCs w:val="0"/>
                <w:color w:val="000000" w:themeColor="text1"/>
                <w:sz w:val="18"/>
                <w:szCs w:val="18"/>
                <w14:textFill>
                  <w14:solidFill>
                    <w14:schemeClr w14:val="tx1"/>
                  </w14:solidFill>
                </w14:textFill>
              </w:rPr>
            </w:pPr>
            <w:r>
              <w:rPr>
                <w:rFonts w:hint="default" w:ascii="Times New Roman" w:hAnsi="宋体" w:cs="宋体"/>
                <w:b w:val="0"/>
                <w:bCs w:val="0"/>
                <w:color w:val="000000" w:themeColor="text1"/>
                <w:sz w:val="18"/>
                <w:szCs w:val="18"/>
                <w14:textFill>
                  <w14:solidFill>
                    <w14:schemeClr w14:val="tx1"/>
                  </w14:solidFill>
                </w14:textFill>
              </w:rPr>
              <w:t xml:space="preserve">   </w:t>
            </w:r>
            <w:r>
              <w:rPr>
                <w:rFonts w:hint="default" w:ascii="Times New Roman" w:hAnsi="Times New Roman" w:cs="宋体"/>
                <w:b w:val="0"/>
                <w:bCs w:val="0"/>
                <w:color w:val="000000" w:themeColor="text1"/>
                <w:sz w:val="18"/>
                <w:szCs w:val="18"/>
                <w14:textFill>
                  <w14:solidFill>
                    <w14:schemeClr w14:val="tx1"/>
                  </w14:solidFill>
                </w14:textFill>
              </w:rPr>
              <w:t>2</w:t>
            </w:r>
            <w:r>
              <w:rPr>
                <w:rFonts w:hint="default" w:ascii="Times New Roman" w:hAnsi="宋体" w:cs="宋体"/>
                <w:b w:val="0"/>
                <w:bCs w:val="0"/>
                <w:color w:val="000000" w:themeColor="text1"/>
                <w:sz w:val="18"/>
                <w:szCs w:val="18"/>
                <w14:textFill>
                  <w14:solidFill>
                    <w14:schemeClr w14:val="tx1"/>
                  </w14:solidFill>
                </w14:textFill>
              </w:rPr>
              <w:t>.</w:t>
            </w:r>
            <w:r>
              <w:rPr>
                <w:rFonts w:hint="default" w:hAnsi="宋体" w:cs="宋体"/>
                <w:b w:val="0"/>
                <w:bCs w:val="0"/>
                <w:color w:val="000000" w:themeColor="text1"/>
                <w:sz w:val="18"/>
                <w:szCs w:val="18"/>
                <w14:textFill>
                  <w14:solidFill>
                    <w14:schemeClr w14:val="tx1"/>
                  </w14:solidFill>
                </w14:textFill>
              </w:rPr>
              <w:t>政府性基金</w:t>
            </w:r>
          </w:p>
        </w:tc>
        <w:tc>
          <w:tcPr>
            <w:tcW w:w="16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C16E2E">
            <w:pPr>
              <w:rPr>
                <w:rFonts w:hint="default" w:ascii="Times New Roman" w:hAnsi="宋体" w:cs="宋体"/>
                <w:b w:val="0"/>
                <w:bCs w:val="0"/>
                <w:color w:val="000000" w:themeColor="text1"/>
                <w:sz w:val="18"/>
                <w:szCs w:val="18"/>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7211F8">
            <w:pPr>
              <w:jc w:val="center"/>
              <w:rPr>
                <w:rFonts w:hint="default" w:ascii="Times New Roman" w:hAnsi="宋体" w:cs="宋体"/>
                <w:b w:val="0"/>
                <w:bCs w:val="0"/>
                <w:color w:val="000000" w:themeColor="text1"/>
                <w:sz w:val="18"/>
                <w:szCs w:val="18"/>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7F5694">
            <w:pPr>
              <w:jc w:val="center"/>
              <w:rPr>
                <w:rFonts w:hint="default" w:ascii="Times New Roman" w:hAnsi="宋体" w:cs="宋体"/>
                <w:b w:val="0"/>
                <w:bCs w:val="0"/>
                <w:color w:val="000000" w:themeColor="text1"/>
                <w:sz w:val="18"/>
                <w:szCs w:val="18"/>
                <w14:textFill>
                  <w14:solidFill>
                    <w14:schemeClr w14:val="tx1"/>
                  </w14:solidFill>
                </w14:textFill>
              </w:rPr>
            </w:pP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761F08">
            <w:pPr>
              <w:jc w:val="center"/>
              <w:rPr>
                <w:rFonts w:hint="default" w:ascii="Times New Roman" w:hAnsi="宋体" w:cs="宋体"/>
                <w:b w:val="0"/>
                <w:bCs w:val="0"/>
                <w:color w:val="000000" w:themeColor="text1"/>
                <w:sz w:val="18"/>
                <w:szCs w:val="18"/>
                <w14:textFill>
                  <w14:solidFill>
                    <w14:schemeClr w14:val="tx1"/>
                  </w14:solidFill>
                </w14:textFill>
              </w:rPr>
            </w:pPr>
          </w:p>
        </w:tc>
      </w:tr>
      <w:tr w14:paraId="19866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27AC186">
            <w:pPr>
              <w:jc w:val="center"/>
              <w:rPr>
                <w:rFonts w:hint="default" w:ascii="Times New Roman" w:hAnsi="宋体" w:cs="宋体"/>
                <w:b w:val="0"/>
                <w:bCs w:val="0"/>
                <w:color w:val="000000" w:themeColor="text1"/>
                <w:sz w:val="18"/>
                <w:szCs w:val="18"/>
                <w14:textFill>
                  <w14:solidFill>
                    <w14:schemeClr w14:val="tx1"/>
                  </w14:solidFill>
                </w14:textFill>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B277EE">
            <w:pPr>
              <w:widowControl/>
              <w:textAlignment w:val="center"/>
              <w:rPr>
                <w:rFonts w:hint="default" w:ascii="Times New Roman" w:hAnsi="宋体" w:cs="宋体"/>
                <w:b w:val="0"/>
                <w:bCs w:val="0"/>
                <w:color w:val="000000" w:themeColor="text1"/>
                <w:sz w:val="18"/>
                <w:szCs w:val="18"/>
                <w14:textFill>
                  <w14:solidFill>
                    <w14:schemeClr w14:val="tx1"/>
                  </w14:solidFill>
                </w14:textFill>
              </w:rPr>
            </w:pPr>
            <w:r>
              <w:rPr>
                <w:rFonts w:hint="default" w:ascii="Times New Roman" w:hAnsi="宋体" w:cs="宋体"/>
                <w:b w:val="0"/>
                <w:bCs w:val="0"/>
                <w:color w:val="000000" w:themeColor="text1"/>
                <w:sz w:val="18"/>
                <w:szCs w:val="18"/>
                <w14:textFill>
                  <w14:solidFill>
                    <w14:schemeClr w14:val="tx1"/>
                  </w14:solidFill>
                </w14:textFill>
              </w:rPr>
              <w:t xml:space="preserve">   </w:t>
            </w:r>
            <w:r>
              <w:rPr>
                <w:rFonts w:hint="default" w:ascii="Times New Roman" w:hAnsi="Times New Roman" w:cs="宋体"/>
                <w:b w:val="0"/>
                <w:bCs w:val="0"/>
                <w:color w:val="000000" w:themeColor="text1"/>
                <w:sz w:val="18"/>
                <w:szCs w:val="18"/>
                <w14:textFill>
                  <w14:solidFill>
                    <w14:schemeClr w14:val="tx1"/>
                  </w14:solidFill>
                </w14:textFill>
              </w:rPr>
              <w:t>3</w:t>
            </w:r>
            <w:r>
              <w:rPr>
                <w:rFonts w:hint="default" w:ascii="Times New Roman" w:hAnsi="宋体" w:cs="宋体"/>
                <w:b w:val="0"/>
                <w:bCs w:val="0"/>
                <w:color w:val="000000" w:themeColor="text1"/>
                <w:sz w:val="18"/>
                <w:szCs w:val="18"/>
                <w14:textFill>
                  <w14:solidFill>
                    <w14:schemeClr w14:val="tx1"/>
                  </w14:solidFill>
                </w14:textFill>
              </w:rPr>
              <w:t>.</w:t>
            </w:r>
            <w:r>
              <w:rPr>
                <w:rFonts w:hint="default" w:hAnsi="宋体" w:cs="宋体"/>
                <w:b w:val="0"/>
                <w:bCs w:val="0"/>
                <w:color w:val="000000" w:themeColor="text1"/>
                <w:sz w:val="18"/>
                <w:szCs w:val="18"/>
                <w14:textFill>
                  <w14:solidFill>
                    <w14:schemeClr w14:val="tx1"/>
                  </w14:solidFill>
                </w14:textFill>
              </w:rPr>
              <w:t>国有资本经营预算</w:t>
            </w:r>
          </w:p>
        </w:tc>
        <w:tc>
          <w:tcPr>
            <w:tcW w:w="16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23F5ED">
            <w:pPr>
              <w:rPr>
                <w:rFonts w:hint="default" w:ascii="Times New Roman" w:hAnsi="宋体" w:cs="宋体"/>
                <w:b w:val="0"/>
                <w:bCs w:val="0"/>
                <w:color w:val="000000" w:themeColor="text1"/>
                <w:sz w:val="18"/>
                <w:szCs w:val="18"/>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1662E0">
            <w:pPr>
              <w:jc w:val="center"/>
              <w:rPr>
                <w:rFonts w:hint="default" w:ascii="Times New Roman" w:hAnsi="宋体" w:cs="宋体"/>
                <w:b w:val="0"/>
                <w:bCs w:val="0"/>
                <w:color w:val="000000" w:themeColor="text1"/>
                <w:sz w:val="18"/>
                <w:szCs w:val="18"/>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24808F">
            <w:pPr>
              <w:jc w:val="center"/>
              <w:rPr>
                <w:rFonts w:hint="default" w:ascii="Times New Roman" w:hAnsi="宋体" w:cs="宋体"/>
                <w:b w:val="0"/>
                <w:bCs w:val="0"/>
                <w:color w:val="000000" w:themeColor="text1"/>
                <w:sz w:val="18"/>
                <w:szCs w:val="18"/>
                <w14:textFill>
                  <w14:solidFill>
                    <w14:schemeClr w14:val="tx1"/>
                  </w14:solidFill>
                </w14:textFill>
              </w:rPr>
            </w:pP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67738C">
            <w:pPr>
              <w:jc w:val="center"/>
              <w:rPr>
                <w:rFonts w:hint="default" w:ascii="Times New Roman" w:hAnsi="宋体" w:cs="宋体"/>
                <w:b w:val="0"/>
                <w:bCs w:val="0"/>
                <w:color w:val="000000" w:themeColor="text1"/>
                <w:sz w:val="18"/>
                <w:szCs w:val="18"/>
                <w14:textFill>
                  <w14:solidFill>
                    <w14:schemeClr w14:val="tx1"/>
                  </w14:solidFill>
                </w14:textFill>
              </w:rPr>
            </w:pPr>
          </w:p>
        </w:tc>
      </w:tr>
      <w:tr w14:paraId="37898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852B984">
            <w:pPr>
              <w:jc w:val="center"/>
              <w:rPr>
                <w:rFonts w:hint="default" w:ascii="Times New Roman" w:hAnsi="宋体" w:cs="宋体"/>
                <w:b w:val="0"/>
                <w:bCs w:val="0"/>
                <w:color w:val="000000" w:themeColor="text1"/>
                <w:sz w:val="18"/>
                <w:szCs w:val="18"/>
                <w14:textFill>
                  <w14:solidFill>
                    <w14:schemeClr w14:val="tx1"/>
                  </w14:solidFill>
                </w14:textFill>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BBC653">
            <w:pPr>
              <w:widowControl/>
              <w:textAlignment w:val="center"/>
              <w:rPr>
                <w:rFonts w:hint="default" w:ascii="Times New Roman"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（二）其他资金</w:t>
            </w:r>
          </w:p>
        </w:tc>
        <w:tc>
          <w:tcPr>
            <w:tcW w:w="16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BF455B">
            <w:pPr>
              <w:rPr>
                <w:rFonts w:hint="default" w:ascii="Times New Roman" w:hAnsi="宋体" w:cs="宋体"/>
                <w:b w:val="0"/>
                <w:bCs w:val="0"/>
                <w:color w:val="000000" w:themeColor="text1"/>
                <w:sz w:val="18"/>
                <w:szCs w:val="18"/>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9A64D4">
            <w:pPr>
              <w:jc w:val="center"/>
              <w:rPr>
                <w:rFonts w:hint="default" w:ascii="Times New Roman" w:hAnsi="宋体" w:cs="宋体"/>
                <w:b w:val="0"/>
                <w:bCs w:val="0"/>
                <w:color w:val="000000" w:themeColor="text1"/>
                <w:sz w:val="18"/>
                <w:szCs w:val="18"/>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78748F">
            <w:pPr>
              <w:jc w:val="center"/>
              <w:rPr>
                <w:rFonts w:hint="default" w:ascii="Times New Roman" w:hAnsi="宋体" w:cs="宋体"/>
                <w:b w:val="0"/>
                <w:bCs w:val="0"/>
                <w:color w:val="000000" w:themeColor="text1"/>
                <w:sz w:val="18"/>
                <w:szCs w:val="18"/>
                <w14:textFill>
                  <w14:solidFill>
                    <w14:schemeClr w14:val="tx1"/>
                  </w14:solidFill>
                </w14:textFill>
              </w:rPr>
            </w:pP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DBDCC9">
            <w:pPr>
              <w:jc w:val="center"/>
              <w:rPr>
                <w:rFonts w:hint="default" w:ascii="Times New Roman" w:hAnsi="宋体" w:cs="宋体"/>
                <w:b w:val="0"/>
                <w:bCs w:val="0"/>
                <w:color w:val="000000" w:themeColor="text1"/>
                <w:sz w:val="18"/>
                <w:szCs w:val="18"/>
                <w14:textFill>
                  <w14:solidFill>
                    <w14:schemeClr w14:val="tx1"/>
                  </w14:solidFill>
                </w14:textFill>
              </w:rPr>
            </w:pPr>
          </w:p>
        </w:tc>
      </w:tr>
      <w:tr w14:paraId="7FADB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257778">
            <w:pPr>
              <w:widowControl/>
              <w:jc w:val="center"/>
              <w:textAlignment w:val="center"/>
              <w:rPr>
                <w:rFonts w:hint="default" w:ascii="Times New Roman"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年度总体目标</w:t>
            </w:r>
          </w:p>
        </w:tc>
        <w:tc>
          <w:tcPr>
            <w:tcW w:w="474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714978">
            <w:pPr>
              <w:widowControl/>
              <w:jc w:val="center"/>
              <w:textAlignment w:val="center"/>
              <w:rPr>
                <w:rFonts w:hint="default" w:ascii="Times New Roman"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预期目标</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51300C">
            <w:pPr>
              <w:widowControl/>
              <w:jc w:val="center"/>
              <w:textAlignment w:val="center"/>
              <w:rPr>
                <w:rFonts w:hint="default" w:ascii="Times New Roman"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全年实际完成情况</w:t>
            </w:r>
          </w:p>
        </w:tc>
      </w:tr>
      <w:tr w14:paraId="6D78E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776D2E">
            <w:pPr>
              <w:jc w:val="center"/>
              <w:rPr>
                <w:rFonts w:hint="default" w:ascii="Times New Roman" w:hAnsi="宋体" w:cs="宋体"/>
                <w:b w:val="0"/>
                <w:bCs w:val="0"/>
                <w:color w:val="000000" w:themeColor="text1"/>
                <w:sz w:val="18"/>
                <w:szCs w:val="18"/>
                <w14:textFill>
                  <w14:solidFill>
                    <w14:schemeClr w14:val="tx1"/>
                  </w14:solidFill>
                </w14:textFill>
              </w:rPr>
            </w:pPr>
          </w:p>
        </w:tc>
        <w:tc>
          <w:tcPr>
            <w:tcW w:w="474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073E0D">
            <w:pPr>
              <w:widowControl/>
              <w:jc w:val="left"/>
              <w:textAlignment w:val="center"/>
              <w:rPr>
                <w:rFonts w:hint="default" w:ascii="Times New Roman"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中央拨的解决特殊疑难信访问题的资金，兑付给信访人的资金</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EF1CB0">
            <w:pPr>
              <w:widowControl/>
              <w:jc w:val="center"/>
              <w:textAlignment w:val="center"/>
              <w:rPr>
                <w:rFonts w:hint="default" w:ascii="Times New Roman"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解决特殊疑难性</w:t>
            </w:r>
            <w:bookmarkStart w:id="0" w:name="_GoBack"/>
            <w:bookmarkEnd w:id="0"/>
            <w:r>
              <w:rPr>
                <w:rFonts w:hint="default" w:hAnsi="宋体" w:cs="宋体"/>
                <w:b w:val="0"/>
                <w:bCs w:val="0"/>
                <w:color w:val="000000" w:themeColor="text1"/>
                <w:sz w:val="18"/>
                <w:szCs w:val="18"/>
                <w14:textFill>
                  <w14:solidFill>
                    <w14:schemeClr w14:val="tx1"/>
                  </w14:solidFill>
                </w14:textFill>
              </w:rPr>
              <w:t>问题</w:t>
            </w:r>
            <w:r>
              <w:rPr>
                <w:rFonts w:hint="default" w:ascii="Times New Roman" w:hAnsi="Times New Roman" w:cs="宋体"/>
                <w:b w:val="0"/>
                <w:bCs w:val="0"/>
                <w:color w:val="000000" w:themeColor="text1"/>
                <w:sz w:val="18"/>
                <w:szCs w:val="18"/>
                <w14:textFill>
                  <w14:solidFill>
                    <w14:schemeClr w14:val="tx1"/>
                  </w14:solidFill>
                </w14:textFill>
              </w:rPr>
              <w:t>4</w:t>
            </w:r>
            <w:r>
              <w:rPr>
                <w:rFonts w:hint="default" w:hAnsi="宋体" w:cs="宋体"/>
                <w:b w:val="0"/>
                <w:bCs w:val="0"/>
                <w:color w:val="000000" w:themeColor="text1"/>
                <w:sz w:val="18"/>
                <w:szCs w:val="18"/>
                <w14:textFill>
                  <w14:solidFill>
                    <w14:schemeClr w14:val="tx1"/>
                  </w14:solidFill>
                </w14:textFill>
              </w:rPr>
              <w:t>件次，兑付资金</w:t>
            </w:r>
            <w:r>
              <w:rPr>
                <w:rFonts w:hint="default" w:ascii="Times New Roman" w:hAnsi="Times New Roman" w:cs="宋体"/>
                <w:b w:val="0"/>
                <w:bCs w:val="0"/>
                <w:color w:val="000000" w:themeColor="text1"/>
                <w:sz w:val="18"/>
                <w:szCs w:val="18"/>
                <w14:textFill>
                  <w14:solidFill>
                    <w14:schemeClr w14:val="tx1"/>
                  </w14:solidFill>
                </w14:textFill>
              </w:rPr>
              <w:t>11</w:t>
            </w:r>
            <w:r>
              <w:rPr>
                <w:rFonts w:hint="default" w:hAnsi="宋体" w:cs="宋体"/>
                <w:b w:val="0"/>
                <w:bCs w:val="0"/>
                <w:color w:val="000000" w:themeColor="text1"/>
                <w:sz w:val="18"/>
                <w:szCs w:val="18"/>
                <w14:textFill>
                  <w14:solidFill>
                    <w14:schemeClr w14:val="tx1"/>
                  </w14:solidFill>
                </w14:textFill>
              </w:rPr>
              <w:t>万元</w:t>
            </w:r>
          </w:p>
        </w:tc>
      </w:tr>
      <w:tr w14:paraId="7ED2D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48A90B">
            <w:pPr>
              <w:widowControl/>
              <w:jc w:val="center"/>
              <w:textAlignment w:val="center"/>
              <w:rPr>
                <w:rFonts w:hint="default" w:ascii="Times New Roman"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绩效</w:t>
            </w:r>
            <w:r>
              <w:rPr>
                <w:rFonts w:hint="default" w:ascii="Times New Roman" w:hAnsi="宋体" w:cs="宋体"/>
                <w:b w:val="0"/>
                <w:bCs w:val="0"/>
                <w:color w:val="000000" w:themeColor="text1"/>
                <w:sz w:val="18"/>
                <w:szCs w:val="18"/>
                <w14:textFill>
                  <w14:solidFill>
                    <w14:schemeClr w14:val="tx1"/>
                  </w14:solidFill>
                </w14:textFill>
              </w:rPr>
              <w:br w:type="textWrapping"/>
            </w:r>
            <w:r>
              <w:rPr>
                <w:rFonts w:hint="default" w:hAnsi="宋体" w:cs="宋体"/>
                <w:b w:val="0"/>
                <w:bCs w:val="0"/>
                <w:color w:val="000000" w:themeColor="text1"/>
                <w:sz w:val="18"/>
                <w:szCs w:val="18"/>
                <w14:textFill>
                  <w14:solidFill>
                    <w14:schemeClr w14:val="tx1"/>
                  </w14:solidFill>
                </w14:textFill>
              </w:rPr>
              <w:t>指标</w:t>
            </w: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F2CCE1">
            <w:pPr>
              <w:widowControl/>
              <w:jc w:val="center"/>
              <w:textAlignment w:val="center"/>
              <w:rPr>
                <w:rFonts w:hint="default"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一级</w:t>
            </w:r>
          </w:p>
          <w:p w14:paraId="7B35CD4F">
            <w:pPr>
              <w:widowControl/>
              <w:jc w:val="center"/>
              <w:textAlignment w:val="center"/>
              <w:rPr>
                <w:rFonts w:hint="default" w:ascii="Times New Roman"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E542CD">
            <w:pPr>
              <w:widowControl/>
              <w:jc w:val="center"/>
              <w:textAlignment w:val="center"/>
              <w:rPr>
                <w:rFonts w:hint="default" w:ascii="Times New Roman"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二级指标</w:t>
            </w:r>
          </w:p>
        </w:tc>
        <w:tc>
          <w:tcPr>
            <w:tcW w:w="276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721B37">
            <w:pPr>
              <w:widowControl/>
              <w:jc w:val="center"/>
              <w:textAlignment w:val="center"/>
              <w:rPr>
                <w:rFonts w:hint="default" w:ascii="Times New Roman"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三级指标</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119827">
            <w:pPr>
              <w:widowControl/>
              <w:jc w:val="center"/>
              <w:textAlignment w:val="center"/>
              <w:rPr>
                <w:rFonts w:hint="default" w:ascii="Times New Roman"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年度指标值</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189E93">
            <w:pPr>
              <w:widowControl/>
              <w:jc w:val="center"/>
              <w:textAlignment w:val="center"/>
              <w:rPr>
                <w:rFonts w:hint="default" w:ascii="Times New Roman"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实际完成值</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41A0D8">
            <w:pPr>
              <w:widowControl/>
              <w:jc w:val="center"/>
              <w:textAlignment w:val="center"/>
              <w:rPr>
                <w:rFonts w:hint="default" w:ascii="Times New Roman"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偏差原因分析及改进措施</w:t>
            </w:r>
          </w:p>
        </w:tc>
      </w:tr>
      <w:tr w14:paraId="1786E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EC292E">
            <w:pPr>
              <w:jc w:val="center"/>
              <w:rPr>
                <w:rFonts w:hint="default" w:ascii="Times New Roman" w:hAnsi="宋体" w:cs="宋体"/>
                <w:b w:val="0"/>
                <w:bCs w:val="0"/>
                <w:color w:val="000000" w:themeColor="text1"/>
                <w:sz w:val="18"/>
                <w:szCs w:val="18"/>
                <w14:textFill>
                  <w14:solidFill>
                    <w14:schemeClr w14:val="tx1"/>
                  </w14:solidFill>
                </w14:textFill>
              </w:rPr>
            </w:pPr>
          </w:p>
        </w:tc>
        <w:tc>
          <w:tcPr>
            <w:tcW w:w="8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87C7C5">
            <w:pPr>
              <w:widowControl/>
              <w:jc w:val="center"/>
              <w:textAlignment w:val="center"/>
              <w:rPr>
                <w:rFonts w:hint="default"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产出</w:t>
            </w:r>
          </w:p>
          <w:p w14:paraId="75FA86CB">
            <w:pPr>
              <w:widowControl/>
              <w:jc w:val="center"/>
              <w:textAlignment w:val="center"/>
              <w:rPr>
                <w:rFonts w:hint="default" w:ascii="Times New Roman"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21F34D">
            <w:pPr>
              <w:widowControl/>
              <w:jc w:val="center"/>
              <w:textAlignment w:val="center"/>
              <w:rPr>
                <w:rFonts w:hint="default" w:ascii="Times New Roman"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数量指标</w:t>
            </w:r>
          </w:p>
        </w:tc>
        <w:tc>
          <w:tcPr>
            <w:tcW w:w="276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BC9AAF">
            <w:pPr>
              <w:widowControl/>
              <w:jc w:val="center"/>
              <w:textAlignment w:val="center"/>
              <w:rPr>
                <w:rFonts w:hint="default" w:ascii="Times New Roman"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解决特殊疑难信访问题件次</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EC444B">
            <w:pPr>
              <w:widowControl/>
              <w:jc w:val="center"/>
              <w:textAlignment w:val="center"/>
              <w:rPr>
                <w:rFonts w:hint="default" w:ascii="Times New Roman" w:hAnsi="宋体" w:cs="宋体"/>
                <w:b w:val="0"/>
                <w:bCs w:val="0"/>
                <w:color w:val="000000" w:themeColor="text1"/>
                <w:sz w:val="18"/>
                <w:szCs w:val="18"/>
                <w14:textFill>
                  <w14:solidFill>
                    <w14:schemeClr w14:val="tx1"/>
                  </w14:solidFill>
                </w14:textFill>
              </w:rPr>
            </w:pPr>
            <w:r>
              <w:rPr>
                <w:rFonts w:hint="default" w:ascii="Times New Roman" w:hAnsi="Times New Roman" w:cs="宋体"/>
                <w:b w:val="0"/>
                <w:bCs w:val="0"/>
                <w:color w:val="000000" w:themeColor="text1"/>
                <w:sz w:val="18"/>
                <w:szCs w:val="18"/>
                <w14:textFill>
                  <w14:solidFill>
                    <w14:schemeClr w14:val="tx1"/>
                  </w14:solidFill>
                </w14:textFill>
              </w:rPr>
              <w:t>6</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1CC217">
            <w:pPr>
              <w:widowControl/>
              <w:jc w:val="center"/>
              <w:textAlignment w:val="center"/>
              <w:rPr>
                <w:rFonts w:hint="default" w:ascii="Times New Roman" w:hAnsi="宋体" w:cs="宋体"/>
                <w:b w:val="0"/>
                <w:bCs w:val="0"/>
                <w:color w:val="000000" w:themeColor="text1"/>
                <w:sz w:val="18"/>
                <w:szCs w:val="18"/>
                <w14:textFill>
                  <w14:solidFill>
                    <w14:schemeClr w14:val="tx1"/>
                  </w14:solidFill>
                </w14:textFill>
              </w:rPr>
            </w:pPr>
            <w:r>
              <w:rPr>
                <w:rFonts w:hint="default" w:ascii="Times New Roman" w:hAnsi="Times New Roman" w:cs="宋体"/>
                <w:b w:val="0"/>
                <w:bCs w:val="0"/>
                <w:color w:val="000000" w:themeColor="text1"/>
                <w:sz w:val="18"/>
                <w:szCs w:val="18"/>
                <w14:textFill>
                  <w14:solidFill>
                    <w14:schemeClr w14:val="tx1"/>
                  </w14:solidFill>
                </w14:textFill>
              </w:rPr>
              <w:t>4</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863563">
            <w:pPr>
              <w:widowControl/>
              <w:jc w:val="center"/>
              <w:textAlignment w:val="center"/>
              <w:rPr>
                <w:rFonts w:hint="default" w:ascii="Times New Roman"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无</w:t>
            </w:r>
          </w:p>
        </w:tc>
      </w:tr>
      <w:tr w14:paraId="583A5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16DE1A">
            <w:pPr>
              <w:jc w:val="center"/>
              <w:rPr>
                <w:rFonts w:hint="default" w:ascii="Times New Roman" w:hAnsi="宋体" w:cs="宋体"/>
                <w:b w:val="0"/>
                <w:bCs w:val="0"/>
                <w:color w:val="000000" w:themeColor="text1"/>
                <w:sz w:val="18"/>
                <w:szCs w:val="18"/>
                <w14:textFill>
                  <w14:solidFill>
                    <w14:schemeClr w14:val="tx1"/>
                  </w14:solidFill>
                </w14:textFill>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7918E4">
            <w:pPr>
              <w:jc w:val="center"/>
              <w:rPr>
                <w:rFonts w:hint="default" w:ascii="Times New Roman" w:hAnsi="宋体" w:cs="宋体"/>
                <w:b w:val="0"/>
                <w:bCs w:val="0"/>
                <w:color w:val="000000" w:themeColor="text1"/>
                <w:sz w:val="18"/>
                <w:szCs w:val="18"/>
                <w14:textFill>
                  <w14:solidFill>
                    <w14:schemeClr w14:val="tx1"/>
                  </w14:solidFill>
                </w14:textFill>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FF4A56">
            <w:pPr>
              <w:widowControl/>
              <w:jc w:val="center"/>
              <w:textAlignment w:val="center"/>
              <w:rPr>
                <w:rFonts w:hint="default" w:ascii="Times New Roman"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成本指标</w:t>
            </w:r>
          </w:p>
        </w:tc>
        <w:tc>
          <w:tcPr>
            <w:tcW w:w="276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D47050">
            <w:pPr>
              <w:widowControl/>
              <w:jc w:val="center"/>
              <w:textAlignment w:val="center"/>
              <w:rPr>
                <w:rFonts w:hint="default" w:ascii="Times New Roman"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解决特殊疑难信访问题所需资金</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C443FD">
            <w:pPr>
              <w:widowControl/>
              <w:jc w:val="center"/>
              <w:textAlignment w:val="center"/>
              <w:rPr>
                <w:rFonts w:hint="default" w:ascii="Times New Roman" w:hAnsi="宋体" w:cs="宋体"/>
                <w:b w:val="0"/>
                <w:bCs w:val="0"/>
                <w:color w:val="000000" w:themeColor="text1"/>
                <w:sz w:val="18"/>
                <w:szCs w:val="18"/>
                <w14:textFill>
                  <w14:solidFill>
                    <w14:schemeClr w14:val="tx1"/>
                  </w14:solidFill>
                </w14:textFill>
              </w:rPr>
            </w:pPr>
            <w:r>
              <w:rPr>
                <w:rFonts w:hint="default" w:ascii="Times New Roman" w:hAnsi="Times New Roman" w:cs="宋体"/>
                <w:b w:val="0"/>
                <w:bCs w:val="0"/>
                <w:color w:val="000000" w:themeColor="text1"/>
                <w:sz w:val="18"/>
                <w:szCs w:val="18"/>
                <w14:textFill>
                  <w14:solidFill>
                    <w14:schemeClr w14:val="tx1"/>
                  </w14:solidFill>
                </w14:textFill>
              </w:rPr>
              <w:t>11</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77B83F">
            <w:pPr>
              <w:widowControl/>
              <w:jc w:val="center"/>
              <w:textAlignment w:val="center"/>
              <w:rPr>
                <w:rFonts w:hint="default" w:ascii="Times New Roman" w:hAnsi="宋体" w:cs="宋体"/>
                <w:b w:val="0"/>
                <w:bCs w:val="0"/>
                <w:color w:val="000000" w:themeColor="text1"/>
                <w:sz w:val="18"/>
                <w:szCs w:val="18"/>
                <w14:textFill>
                  <w14:solidFill>
                    <w14:schemeClr w14:val="tx1"/>
                  </w14:solidFill>
                </w14:textFill>
              </w:rPr>
            </w:pPr>
            <w:r>
              <w:rPr>
                <w:rFonts w:hint="default" w:ascii="Times New Roman" w:hAnsi="Times New Roman" w:cs="宋体"/>
                <w:b w:val="0"/>
                <w:bCs w:val="0"/>
                <w:color w:val="000000" w:themeColor="text1"/>
                <w:sz w:val="18"/>
                <w:szCs w:val="18"/>
                <w14:textFill>
                  <w14:solidFill>
                    <w14:schemeClr w14:val="tx1"/>
                  </w14:solidFill>
                </w14:textFill>
              </w:rPr>
              <w:t>11</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11E9D1">
            <w:pPr>
              <w:widowControl/>
              <w:jc w:val="center"/>
              <w:textAlignment w:val="center"/>
              <w:rPr>
                <w:rFonts w:hint="default" w:ascii="Times New Roman"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无</w:t>
            </w:r>
          </w:p>
        </w:tc>
      </w:tr>
      <w:tr w14:paraId="0B70B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7656FF">
            <w:pPr>
              <w:jc w:val="center"/>
              <w:rPr>
                <w:rFonts w:hint="default" w:ascii="Times New Roman" w:hAnsi="宋体" w:cs="宋体"/>
                <w:b w:val="0"/>
                <w:bCs w:val="0"/>
                <w:color w:val="000000" w:themeColor="text1"/>
                <w:sz w:val="18"/>
                <w:szCs w:val="18"/>
                <w14:textFill>
                  <w14:solidFill>
                    <w14:schemeClr w14:val="tx1"/>
                  </w14:solidFill>
                </w14:textFill>
              </w:rPr>
            </w:pP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B5BE63">
            <w:pPr>
              <w:jc w:val="center"/>
              <w:rPr>
                <w:rFonts w:hint="default" w:ascii="Times New Roman" w:hAnsi="宋体" w:cs="宋体"/>
                <w:b w:val="0"/>
                <w:bCs w:val="0"/>
                <w:color w:val="000000" w:themeColor="text1"/>
                <w:sz w:val="18"/>
                <w:szCs w:val="18"/>
                <w14:textFill>
                  <w14:solidFill>
                    <w14:schemeClr w14:val="tx1"/>
                  </w14:solidFill>
                </w14:textFill>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671198">
            <w:pPr>
              <w:widowControl/>
              <w:jc w:val="center"/>
              <w:textAlignment w:val="center"/>
              <w:rPr>
                <w:rFonts w:hint="default" w:ascii="Times New Roman"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社会效益</w:t>
            </w:r>
            <w:r>
              <w:rPr>
                <w:rFonts w:hint="default" w:ascii="Times New Roman" w:hAnsi="宋体" w:cs="宋体"/>
                <w:b w:val="0"/>
                <w:bCs w:val="0"/>
                <w:color w:val="000000" w:themeColor="text1"/>
                <w:sz w:val="18"/>
                <w:szCs w:val="18"/>
                <w14:textFill>
                  <w14:solidFill>
                    <w14:schemeClr w14:val="tx1"/>
                  </w14:solidFill>
                </w14:textFill>
              </w:rPr>
              <w:br w:type="textWrapping"/>
            </w:r>
            <w:r>
              <w:rPr>
                <w:rFonts w:hint="default" w:hAnsi="宋体" w:cs="宋体"/>
                <w:b w:val="0"/>
                <w:bCs w:val="0"/>
                <w:color w:val="000000" w:themeColor="text1"/>
                <w:sz w:val="18"/>
                <w:szCs w:val="18"/>
                <w14:textFill>
                  <w14:solidFill>
                    <w14:schemeClr w14:val="tx1"/>
                  </w14:solidFill>
                </w14:textFill>
              </w:rPr>
              <w:t>指标</w:t>
            </w:r>
          </w:p>
        </w:tc>
        <w:tc>
          <w:tcPr>
            <w:tcW w:w="276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DD46F7">
            <w:pPr>
              <w:widowControl/>
              <w:jc w:val="center"/>
              <w:textAlignment w:val="center"/>
              <w:rPr>
                <w:rFonts w:hint="default" w:ascii="Times New Roman"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群众满意度很高</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20EFB4">
            <w:pPr>
              <w:widowControl/>
              <w:jc w:val="center"/>
              <w:textAlignment w:val="center"/>
              <w:rPr>
                <w:rFonts w:hint="default" w:ascii="Times New Roman"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好</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78AD5E">
            <w:pPr>
              <w:widowControl/>
              <w:jc w:val="center"/>
              <w:textAlignment w:val="center"/>
              <w:rPr>
                <w:rFonts w:hint="default" w:ascii="Times New Roman"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好</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CAA73D">
            <w:pPr>
              <w:widowControl/>
              <w:jc w:val="center"/>
              <w:textAlignment w:val="center"/>
              <w:rPr>
                <w:rFonts w:hint="default" w:ascii="Times New Roman" w:hAnsi="宋体" w:cs="宋体"/>
                <w:b w:val="0"/>
                <w:bCs w:val="0"/>
                <w:color w:val="000000" w:themeColor="text1"/>
                <w:sz w:val="18"/>
                <w:szCs w:val="18"/>
                <w14:textFill>
                  <w14:solidFill>
                    <w14:schemeClr w14:val="tx1"/>
                  </w14:solidFill>
                </w14:textFill>
              </w:rPr>
            </w:pPr>
            <w:r>
              <w:rPr>
                <w:rFonts w:hint="default" w:hAnsi="宋体" w:cs="宋体"/>
                <w:b w:val="0"/>
                <w:bCs w:val="0"/>
                <w:color w:val="000000" w:themeColor="text1"/>
                <w:sz w:val="18"/>
                <w:szCs w:val="18"/>
                <w14:textFill>
                  <w14:solidFill>
                    <w14:schemeClr w14:val="tx1"/>
                  </w14:solidFill>
                </w14:textFill>
              </w:rPr>
              <w:t>无</w:t>
            </w:r>
          </w:p>
        </w:tc>
      </w:tr>
    </w:tbl>
    <w:p w14:paraId="5C1C1EE3">
      <w:pPr>
        <w:overflowPunct w:val="0"/>
        <w:topLinePunct/>
        <w:spacing w:line="576" w:lineRule="exact"/>
        <w:jc w:val="center"/>
        <w:rPr>
          <w:rFonts w:hint="eastAsia" w:ascii="仿宋_GB2312" w:hAnsi="仿宋_GB2312" w:eastAsia="仿宋_GB2312"/>
          <w:b w:val="0"/>
          <w:bCs w:val="0"/>
          <w:color w:val="000000" w:themeColor="text1"/>
          <w:kern w:val="2"/>
          <w:sz w:val="32"/>
          <w:szCs w:val="24"/>
          <w:highlight w:val="yellow"/>
          <w14:textFill>
            <w14:solidFill>
              <w14:schemeClr w14:val="tx1"/>
            </w14:solidFill>
          </w14:textFill>
        </w:rPr>
      </w:pPr>
    </w:p>
    <w:p w14:paraId="41A9825C">
      <w:pPr>
        <w:keepNext w:val="0"/>
        <w:keepLines w:val="0"/>
        <w:pageBreakBefore w:val="0"/>
        <w:widowControl w:val="0"/>
        <w:kinsoku/>
        <w:wordWrap/>
        <w:overflowPunct w:val="0"/>
        <w:topLinePunct w:val="0"/>
        <w:autoSpaceDE w:val="0"/>
        <w:autoSpaceDN w:val="0"/>
        <w:bidi w:val="0"/>
        <w:adjustRightInd w:val="0"/>
        <w:snapToGrid/>
        <w:spacing w:line="576" w:lineRule="exact"/>
        <w:jc w:val="center"/>
        <w:textAlignment w:val="auto"/>
        <w:rPr>
          <w:rFonts w:hint="eastAsia" w:ascii="方正小标宋简体" w:hAnsi="方正小标宋简体" w:eastAsia="方正小标宋简体" w:cs="方正小标宋简体"/>
          <w:color w:val="000000" w:themeColor="text1"/>
          <w:kern w:val="44"/>
          <w:sz w:val="44"/>
          <w:szCs w:val="24"/>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44"/>
          <w:szCs w:val="24"/>
          <w14:textFill>
            <w14:solidFill>
              <w14:schemeClr w14:val="tx1"/>
            </w14:solidFill>
          </w14:textFill>
        </w:rPr>
        <w:t>第</w:t>
      </w:r>
      <w:r>
        <w:rPr>
          <w:rFonts w:hint="eastAsia" w:ascii="方正小标宋简体" w:hAnsi="方正小标宋简体" w:eastAsia="方正小标宋简体" w:cs="方正小标宋简体"/>
          <w:color w:val="000000" w:themeColor="text1"/>
          <w:kern w:val="44"/>
          <w:sz w:val="44"/>
          <w:szCs w:val="24"/>
          <w14:textFill>
            <w14:solidFill>
              <w14:schemeClr w14:val="tx1"/>
            </w14:solidFill>
          </w14:textFill>
        </w:rPr>
        <w:t>五部分  附表</w:t>
      </w:r>
    </w:p>
    <w:p w14:paraId="344C379D">
      <w:pPr>
        <w:pStyle w:val="4"/>
        <w:keepNext w:val="0"/>
        <w:keepLines w:val="0"/>
        <w:pageBreakBefore w:val="0"/>
        <w:widowControl w:val="0"/>
        <w:kinsoku/>
        <w:wordWrap/>
        <w:overflowPunct w:val="0"/>
        <w:topLinePunct w:val="0"/>
        <w:autoSpaceDE w:val="0"/>
        <w:autoSpaceDN w:val="0"/>
        <w:bidi w:val="0"/>
        <w:adjustRightInd w:val="0"/>
        <w:snapToGrid/>
        <w:spacing w:line="576" w:lineRule="exact"/>
        <w:ind w:firstLine="640"/>
        <w:jc w:val="both"/>
        <w:textAlignment w:val="auto"/>
        <w:rPr>
          <w:rFonts w:hint="eastAsia" w:ascii="仿宋_GB2312" w:hAnsi="仿宋_GB2312" w:eastAsia="仿宋_GB2312"/>
          <w:color w:val="000000" w:themeColor="text1"/>
          <w:kern w:val="2"/>
          <w:sz w:val="32"/>
          <w:szCs w:val="24"/>
          <w14:textFill>
            <w14:solidFill>
              <w14:schemeClr w14:val="tx1"/>
            </w14:solidFill>
          </w14:textFill>
        </w:rPr>
      </w:pPr>
    </w:p>
    <w:p w14:paraId="094E34A9">
      <w:pPr>
        <w:pStyle w:val="4"/>
        <w:keepNext w:val="0"/>
        <w:keepLines w:val="0"/>
        <w:pageBreakBefore w:val="0"/>
        <w:widowControl w:val="0"/>
        <w:kinsoku/>
        <w:wordWrap/>
        <w:overflowPunct w:val="0"/>
        <w:topLinePunct w:val="0"/>
        <w:autoSpaceDE w:val="0"/>
        <w:autoSpaceDN w:val="0"/>
        <w:bidi w:val="0"/>
        <w:adjustRightInd w:val="0"/>
        <w:snapToGrid/>
        <w:spacing w:line="576" w:lineRule="exact"/>
        <w:ind w:firstLine="640"/>
        <w:jc w:val="both"/>
        <w:textAlignment w:val="auto"/>
        <w:rPr>
          <w:rFonts w:hint="eastAsia" w:ascii="仿宋_GB2312" w:hAnsi="仿宋_GB2312" w:eastAsia="仿宋_GB2312"/>
          <w:b/>
          <w:color w:val="000000" w:themeColor="text1"/>
          <w:kern w:val="2"/>
          <w:sz w:val="32"/>
          <w:szCs w:val="24"/>
          <w14:textFill>
            <w14:solidFill>
              <w14:schemeClr w14:val="tx1"/>
            </w14:solidFill>
          </w14:textFill>
        </w:rPr>
      </w:pPr>
      <w:r>
        <w:rPr>
          <w:rFonts w:hint="eastAsia" w:ascii="仿宋_GB2312" w:hAnsi="仿宋_GB2312" w:eastAsia="仿宋_GB2312"/>
          <w:color w:val="000000" w:themeColor="text1"/>
          <w:kern w:val="2"/>
          <w:sz w:val="32"/>
          <w:szCs w:val="24"/>
          <w14:textFill>
            <w14:solidFill>
              <w14:schemeClr w14:val="tx1"/>
            </w14:solidFill>
          </w14:textFill>
        </w:rPr>
        <w:t>一、收入支出决算总表</w:t>
      </w:r>
    </w:p>
    <w:p w14:paraId="665BE20B">
      <w:pPr>
        <w:pStyle w:val="4"/>
        <w:keepNext w:val="0"/>
        <w:keepLines w:val="0"/>
        <w:pageBreakBefore w:val="0"/>
        <w:widowControl w:val="0"/>
        <w:kinsoku/>
        <w:wordWrap/>
        <w:overflowPunct w:val="0"/>
        <w:topLinePunct w:val="0"/>
        <w:autoSpaceDE w:val="0"/>
        <w:autoSpaceDN w:val="0"/>
        <w:bidi w:val="0"/>
        <w:adjustRightInd w:val="0"/>
        <w:snapToGrid/>
        <w:spacing w:line="576" w:lineRule="exact"/>
        <w:ind w:firstLine="640"/>
        <w:jc w:val="both"/>
        <w:textAlignment w:val="auto"/>
        <w:rPr>
          <w:rFonts w:hint="eastAsia" w:ascii="仿宋_GB2312" w:hAnsi="仿宋_GB2312" w:eastAsia="仿宋_GB2312"/>
          <w:b/>
          <w:color w:val="000000" w:themeColor="text1"/>
          <w:kern w:val="2"/>
          <w:sz w:val="32"/>
          <w:szCs w:val="24"/>
          <w14:textFill>
            <w14:solidFill>
              <w14:schemeClr w14:val="tx1"/>
            </w14:solidFill>
          </w14:textFill>
        </w:rPr>
      </w:pPr>
      <w:r>
        <w:rPr>
          <w:rFonts w:hint="eastAsia" w:ascii="仿宋_GB2312" w:hAnsi="仿宋_GB2312" w:eastAsia="仿宋_GB2312"/>
          <w:color w:val="000000" w:themeColor="text1"/>
          <w:kern w:val="2"/>
          <w:sz w:val="32"/>
          <w:szCs w:val="24"/>
          <w14:textFill>
            <w14:solidFill>
              <w14:schemeClr w14:val="tx1"/>
            </w14:solidFill>
          </w14:textFill>
        </w:rPr>
        <w:t>二、收入决算表</w:t>
      </w:r>
    </w:p>
    <w:p w14:paraId="7C8BE601">
      <w:pPr>
        <w:pStyle w:val="4"/>
        <w:keepNext w:val="0"/>
        <w:keepLines w:val="0"/>
        <w:pageBreakBefore w:val="0"/>
        <w:widowControl w:val="0"/>
        <w:kinsoku/>
        <w:wordWrap/>
        <w:overflowPunct w:val="0"/>
        <w:topLinePunct w:val="0"/>
        <w:autoSpaceDE w:val="0"/>
        <w:autoSpaceDN w:val="0"/>
        <w:bidi w:val="0"/>
        <w:adjustRightInd w:val="0"/>
        <w:snapToGrid/>
        <w:spacing w:line="576" w:lineRule="exact"/>
        <w:ind w:firstLine="640"/>
        <w:jc w:val="both"/>
        <w:textAlignment w:val="auto"/>
        <w:rPr>
          <w:rFonts w:hint="eastAsia" w:ascii="仿宋_GB2312" w:hAnsi="仿宋_GB2312" w:eastAsia="仿宋_GB2312"/>
          <w:b/>
          <w:color w:val="000000" w:themeColor="text1"/>
          <w:kern w:val="2"/>
          <w:sz w:val="32"/>
          <w:szCs w:val="24"/>
          <w14:textFill>
            <w14:solidFill>
              <w14:schemeClr w14:val="tx1"/>
            </w14:solidFill>
          </w14:textFill>
        </w:rPr>
      </w:pPr>
      <w:r>
        <w:rPr>
          <w:rFonts w:hint="eastAsia" w:ascii="仿宋_GB2312" w:hAnsi="仿宋_GB2312" w:eastAsia="仿宋_GB2312"/>
          <w:color w:val="000000" w:themeColor="text1"/>
          <w:kern w:val="2"/>
          <w:sz w:val="32"/>
          <w:szCs w:val="24"/>
          <w14:textFill>
            <w14:solidFill>
              <w14:schemeClr w14:val="tx1"/>
            </w14:solidFill>
          </w14:textFill>
        </w:rPr>
        <w:t>三、支出决算表</w:t>
      </w:r>
    </w:p>
    <w:p w14:paraId="3C3181DC">
      <w:pPr>
        <w:pStyle w:val="4"/>
        <w:keepNext w:val="0"/>
        <w:keepLines w:val="0"/>
        <w:pageBreakBefore w:val="0"/>
        <w:widowControl w:val="0"/>
        <w:kinsoku/>
        <w:wordWrap/>
        <w:overflowPunct w:val="0"/>
        <w:topLinePunct w:val="0"/>
        <w:autoSpaceDE w:val="0"/>
        <w:autoSpaceDN w:val="0"/>
        <w:bidi w:val="0"/>
        <w:adjustRightInd w:val="0"/>
        <w:snapToGrid/>
        <w:spacing w:line="576" w:lineRule="exact"/>
        <w:ind w:firstLine="640"/>
        <w:jc w:val="both"/>
        <w:textAlignment w:val="auto"/>
        <w:rPr>
          <w:rFonts w:hint="eastAsia" w:ascii="仿宋_GB2312" w:hAnsi="仿宋_GB2312" w:eastAsia="仿宋_GB2312"/>
          <w:color w:val="000000" w:themeColor="text1"/>
          <w:kern w:val="2"/>
          <w:sz w:val="32"/>
          <w:szCs w:val="24"/>
          <w14:textFill>
            <w14:solidFill>
              <w14:schemeClr w14:val="tx1"/>
            </w14:solidFill>
          </w14:textFill>
        </w:rPr>
      </w:pPr>
      <w:r>
        <w:rPr>
          <w:rFonts w:hint="eastAsia" w:ascii="仿宋_GB2312" w:hAnsi="仿宋_GB2312" w:eastAsia="仿宋_GB2312"/>
          <w:color w:val="000000" w:themeColor="text1"/>
          <w:kern w:val="2"/>
          <w:sz w:val="32"/>
          <w:szCs w:val="24"/>
          <w14:textFill>
            <w14:solidFill>
              <w14:schemeClr w14:val="tx1"/>
            </w14:solidFill>
          </w14:textFill>
        </w:rPr>
        <w:t>四、财政拨款收入支出决算总表</w:t>
      </w:r>
    </w:p>
    <w:p w14:paraId="24D2E294">
      <w:pPr>
        <w:pStyle w:val="4"/>
        <w:keepNext w:val="0"/>
        <w:keepLines w:val="0"/>
        <w:pageBreakBefore w:val="0"/>
        <w:widowControl w:val="0"/>
        <w:kinsoku/>
        <w:wordWrap/>
        <w:overflowPunct w:val="0"/>
        <w:topLinePunct w:val="0"/>
        <w:autoSpaceDE w:val="0"/>
        <w:autoSpaceDN w:val="0"/>
        <w:bidi w:val="0"/>
        <w:adjustRightInd w:val="0"/>
        <w:snapToGrid/>
        <w:spacing w:line="576" w:lineRule="exact"/>
        <w:ind w:firstLine="640"/>
        <w:jc w:val="both"/>
        <w:textAlignment w:val="auto"/>
        <w:rPr>
          <w:rFonts w:hint="eastAsia" w:ascii="仿宋_GB2312" w:hAnsi="仿宋_GB2312" w:eastAsia="仿宋_GB2312"/>
          <w:color w:val="000000" w:themeColor="text1"/>
          <w:kern w:val="2"/>
          <w:sz w:val="32"/>
          <w:szCs w:val="24"/>
          <w14:textFill>
            <w14:solidFill>
              <w14:schemeClr w14:val="tx1"/>
            </w14:solidFill>
          </w14:textFill>
        </w:rPr>
      </w:pPr>
      <w:r>
        <w:rPr>
          <w:rFonts w:hint="eastAsia" w:ascii="仿宋_GB2312" w:hAnsi="仿宋_GB2312" w:eastAsia="仿宋_GB2312"/>
          <w:color w:val="000000" w:themeColor="text1"/>
          <w:kern w:val="2"/>
          <w:sz w:val="32"/>
          <w:szCs w:val="24"/>
          <w14:textFill>
            <w14:solidFill>
              <w14:schemeClr w14:val="tx1"/>
            </w14:solidFill>
          </w14:textFill>
        </w:rPr>
        <w:t>五、财政拨款支出决算明细表</w:t>
      </w:r>
    </w:p>
    <w:p w14:paraId="52C58FD0">
      <w:pPr>
        <w:pStyle w:val="4"/>
        <w:keepNext w:val="0"/>
        <w:keepLines w:val="0"/>
        <w:pageBreakBefore w:val="0"/>
        <w:widowControl w:val="0"/>
        <w:kinsoku/>
        <w:wordWrap/>
        <w:overflowPunct w:val="0"/>
        <w:topLinePunct w:val="0"/>
        <w:autoSpaceDE w:val="0"/>
        <w:autoSpaceDN w:val="0"/>
        <w:bidi w:val="0"/>
        <w:adjustRightInd w:val="0"/>
        <w:snapToGrid/>
        <w:spacing w:line="576" w:lineRule="exact"/>
        <w:ind w:firstLine="640"/>
        <w:jc w:val="both"/>
        <w:textAlignment w:val="auto"/>
        <w:rPr>
          <w:rFonts w:hint="eastAsia" w:ascii="仿宋_GB2312" w:hAnsi="仿宋_GB2312" w:eastAsia="仿宋_GB2312"/>
          <w:b/>
          <w:color w:val="000000" w:themeColor="text1"/>
          <w:kern w:val="2"/>
          <w:sz w:val="32"/>
          <w:szCs w:val="24"/>
          <w14:textFill>
            <w14:solidFill>
              <w14:schemeClr w14:val="tx1"/>
            </w14:solidFill>
          </w14:textFill>
        </w:rPr>
      </w:pPr>
      <w:r>
        <w:rPr>
          <w:rFonts w:hint="eastAsia" w:ascii="仿宋_GB2312" w:hAnsi="仿宋_GB2312" w:eastAsia="仿宋_GB2312"/>
          <w:color w:val="000000" w:themeColor="text1"/>
          <w:kern w:val="2"/>
          <w:sz w:val="32"/>
          <w:szCs w:val="24"/>
          <w14:textFill>
            <w14:solidFill>
              <w14:schemeClr w14:val="tx1"/>
            </w14:solidFill>
          </w14:textFill>
        </w:rPr>
        <w:t>六、一般公共预算财政拨款支出决算表</w:t>
      </w:r>
    </w:p>
    <w:p w14:paraId="037376EA">
      <w:pPr>
        <w:pStyle w:val="4"/>
        <w:keepNext w:val="0"/>
        <w:keepLines w:val="0"/>
        <w:pageBreakBefore w:val="0"/>
        <w:widowControl w:val="0"/>
        <w:kinsoku/>
        <w:wordWrap/>
        <w:overflowPunct w:val="0"/>
        <w:topLinePunct w:val="0"/>
        <w:autoSpaceDE w:val="0"/>
        <w:autoSpaceDN w:val="0"/>
        <w:bidi w:val="0"/>
        <w:adjustRightInd w:val="0"/>
        <w:snapToGrid/>
        <w:spacing w:line="576" w:lineRule="exact"/>
        <w:ind w:firstLine="640"/>
        <w:jc w:val="both"/>
        <w:textAlignment w:val="auto"/>
        <w:rPr>
          <w:rFonts w:hint="eastAsia" w:ascii="仿宋_GB2312" w:hAnsi="仿宋_GB2312" w:eastAsia="仿宋_GB2312"/>
          <w:b/>
          <w:color w:val="000000" w:themeColor="text1"/>
          <w:kern w:val="2"/>
          <w:sz w:val="32"/>
          <w:szCs w:val="24"/>
          <w14:textFill>
            <w14:solidFill>
              <w14:schemeClr w14:val="tx1"/>
            </w14:solidFill>
          </w14:textFill>
        </w:rPr>
      </w:pPr>
      <w:r>
        <w:rPr>
          <w:rFonts w:hint="eastAsia" w:ascii="仿宋_GB2312" w:hAnsi="仿宋_GB2312" w:eastAsia="仿宋_GB2312"/>
          <w:color w:val="000000" w:themeColor="text1"/>
          <w:kern w:val="2"/>
          <w:sz w:val="32"/>
          <w:szCs w:val="24"/>
          <w14:textFill>
            <w14:solidFill>
              <w14:schemeClr w14:val="tx1"/>
            </w14:solidFill>
          </w14:textFill>
        </w:rPr>
        <w:t>七、一般公共预算财政拨款支出决算明细表</w:t>
      </w:r>
    </w:p>
    <w:p w14:paraId="61BFC645">
      <w:pPr>
        <w:pStyle w:val="4"/>
        <w:keepNext w:val="0"/>
        <w:keepLines w:val="0"/>
        <w:pageBreakBefore w:val="0"/>
        <w:widowControl w:val="0"/>
        <w:kinsoku/>
        <w:wordWrap/>
        <w:overflowPunct w:val="0"/>
        <w:topLinePunct w:val="0"/>
        <w:autoSpaceDE w:val="0"/>
        <w:autoSpaceDN w:val="0"/>
        <w:bidi w:val="0"/>
        <w:adjustRightInd w:val="0"/>
        <w:snapToGrid/>
        <w:spacing w:line="576" w:lineRule="exact"/>
        <w:ind w:firstLine="640"/>
        <w:jc w:val="both"/>
        <w:textAlignment w:val="auto"/>
        <w:rPr>
          <w:rFonts w:hint="eastAsia" w:ascii="仿宋_GB2312" w:hAnsi="仿宋_GB2312" w:eastAsia="仿宋_GB2312"/>
          <w:b/>
          <w:color w:val="000000" w:themeColor="text1"/>
          <w:kern w:val="2"/>
          <w:sz w:val="32"/>
          <w:szCs w:val="24"/>
          <w14:textFill>
            <w14:solidFill>
              <w14:schemeClr w14:val="tx1"/>
            </w14:solidFill>
          </w14:textFill>
        </w:rPr>
      </w:pPr>
      <w:r>
        <w:rPr>
          <w:rFonts w:hint="eastAsia" w:ascii="仿宋_GB2312" w:hAnsi="仿宋_GB2312" w:eastAsia="仿宋_GB2312"/>
          <w:color w:val="000000" w:themeColor="text1"/>
          <w:kern w:val="2"/>
          <w:sz w:val="32"/>
          <w:szCs w:val="24"/>
          <w14:textFill>
            <w14:solidFill>
              <w14:schemeClr w14:val="tx1"/>
            </w14:solidFill>
          </w14:textFill>
        </w:rPr>
        <w:t>八、一般公共预算财政拨款基本支出决算表</w:t>
      </w:r>
    </w:p>
    <w:p w14:paraId="2D3C00E9">
      <w:pPr>
        <w:pStyle w:val="4"/>
        <w:keepNext w:val="0"/>
        <w:keepLines w:val="0"/>
        <w:pageBreakBefore w:val="0"/>
        <w:widowControl w:val="0"/>
        <w:kinsoku/>
        <w:wordWrap/>
        <w:overflowPunct w:val="0"/>
        <w:topLinePunct w:val="0"/>
        <w:autoSpaceDE w:val="0"/>
        <w:autoSpaceDN w:val="0"/>
        <w:bidi w:val="0"/>
        <w:adjustRightInd w:val="0"/>
        <w:snapToGrid/>
        <w:spacing w:line="576" w:lineRule="exact"/>
        <w:ind w:firstLine="640"/>
        <w:jc w:val="both"/>
        <w:textAlignment w:val="auto"/>
        <w:rPr>
          <w:rFonts w:hint="eastAsia" w:ascii="仿宋_GB2312" w:hAnsi="仿宋_GB2312" w:eastAsia="仿宋_GB2312"/>
          <w:b/>
          <w:color w:val="000000" w:themeColor="text1"/>
          <w:kern w:val="2"/>
          <w:sz w:val="32"/>
          <w:szCs w:val="24"/>
          <w14:textFill>
            <w14:solidFill>
              <w14:schemeClr w14:val="tx1"/>
            </w14:solidFill>
          </w14:textFill>
        </w:rPr>
      </w:pPr>
      <w:r>
        <w:rPr>
          <w:rFonts w:hint="eastAsia" w:ascii="仿宋_GB2312" w:hAnsi="仿宋_GB2312" w:eastAsia="仿宋_GB2312"/>
          <w:color w:val="000000" w:themeColor="text1"/>
          <w:kern w:val="2"/>
          <w:sz w:val="32"/>
          <w:szCs w:val="24"/>
          <w14:textFill>
            <w14:solidFill>
              <w14:schemeClr w14:val="tx1"/>
            </w14:solidFill>
          </w14:textFill>
        </w:rPr>
        <w:t>九、一般公共预算财政拨款项目支出决算表</w:t>
      </w:r>
    </w:p>
    <w:p w14:paraId="7C004567">
      <w:pPr>
        <w:pStyle w:val="4"/>
        <w:keepNext w:val="0"/>
        <w:keepLines w:val="0"/>
        <w:pageBreakBefore w:val="0"/>
        <w:widowControl w:val="0"/>
        <w:kinsoku/>
        <w:wordWrap/>
        <w:overflowPunct w:val="0"/>
        <w:topLinePunct w:val="0"/>
        <w:autoSpaceDE w:val="0"/>
        <w:autoSpaceDN w:val="0"/>
        <w:bidi w:val="0"/>
        <w:adjustRightInd w:val="0"/>
        <w:snapToGrid/>
        <w:spacing w:line="576" w:lineRule="exact"/>
        <w:ind w:firstLine="640"/>
        <w:jc w:val="both"/>
        <w:textAlignment w:val="auto"/>
        <w:rPr>
          <w:rFonts w:hint="eastAsia" w:ascii="仿宋_GB2312" w:hAnsi="仿宋_GB2312" w:eastAsia="仿宋_GB2312"/>
          <w:b/>
          <w:color w:val="000000" w:themeColor="text1"/>
          <w:kern w:val="2"/>
          <w:sz w:val="32"/>
          <w:szCs w:val="24"/>
          <w14:textFill>
            <w14:solidFill>
              <w14:schemeClr w14:val="tx1"/>
            </w14:solidFill>
          </w14:textFill>
        </w:rPr>
      </w:pPr>
      <w:r>
        <w:rPr>
          <w:rFonts w:hint="eastAsia" w:ascii="仿宋_GB2312" w:hAnsi="仿宋_GB2312" w:eastAsia="仿宋_GB2312"/>
          <w:color w:val="000000" w:themeColor="text1"/>
          <w:kern w:val="2"/>
          <w:sz w:val="32"/>
          <w:szCs w:val="24"/>
          <w14:textFill>
            <w14:solidFill>
              <w14:schemeClr w14:val="tx1"/>
            </w14:solidFill>
          </w14:textFill>
        </w:rPr>
        <w:t>十、政府性基金预算财政拨款收入支出决算表</w:t>
      </w:r>
    </w:p>
    <w:p w14:paraId="0BB42DD7">
      <w:pPr>
        <w:pStyle w:val="4"/>
        <w:keepNext w:val="0"/>
        <w:keepLines w:val="0"/>
        <w:pageBreakBefore w:val="0"/>
        <w:widowControl w:val="0"/>
        <w:kinsoku/>
        <w:wordWrap/>
        <w:overflowPunct w:val="0"/>
        <w:topLinePunct w:val="0"/>
        <w:autoSpaceDE w:val="0"/>
        <w:autoSpaceDN w:val="0"/>
        <w:bidi w:val="0"/>
        <w:adjustRightInd w:val="0"/>
        <w:snapToGrid/>
        <w:spacing w:line="576" w:lineRule="exact"/>
        <w:ind w:firstLine="640"/>
        <w:jc w:val="both"/>
        <w:textAlignment w:val="auto"/>
        <w:rPr>
          <w:rFonts w:hint="eastAsia" w:ascii="仿宋_GB2312" w:hAnsi="仿宋_GB2312" w:eastAsia="仿宋_GB2312"/>
          <w:color w:val="000000" w:themeColor="text1"/>
          <w:kern w:val="2"/>
          <w:sz w:val="32"/>
          <w:szCs w:val="24"/>
          <w14:textFill>
            <w14:solidFill>
              <w14:schemeClr w14:val="tx1"/>
            </w14:solidFill>
          </w14:textFill>
        </w:rPr>
      </w:pPr>
      <w:r>
        <w:rPr>
          <w:rFonts w:hint="eastAsia" w:ascii="仿宋_GB2312" w:hAnsi="仿宋_GB2312" w:eastAsia="仿宋_GB2312"/>
          <w:color w:val="000000" w:themeColor="text1"/>
          <w:kern w:val="2"/>
          <w:sz w:val="32"/>
          <w:szCs w:val="24"/>
          <w14:textFill>
            <w14:solidFill>
              <w14:schemeClr w14:val="tx1"/>
            </w14:solidFill>
          </w14:textFill>
        </w:rPr>
        <w:t>十一、国有资本经营预算财政拨款收入支出决算表</w:t>
      </w:r>
    </w:p>
    <w:p w14:paraId="0F030B74">
      <w:pPr>
        <w:pStyle w:val="4"/>
        <w:keepNext w:val="0"/>
        <w:keepLines w:val="0"/>
        <w:pageBreakBefore w:val="0"/>
        <w:widowControl w:val="0"/>
        <w:kinsoku/>
        <w:wordWrap/>
        <w:overflowPunct w:val="0"/>
        <w:topLinePunct w:val="0"/>
        <w:autoSpaceDE w:val="0"/>
        <w:autoSpaceDN w:val="0"/>
        <w:bidi w:val="0"/>
        <w:adjustRightInd w:val="0"/>
        <w:snapToGrid/>
        <w:spacing w:line="576" w:lineRule="exact"/>
        <w:ind w:firstLine="640"/>
        <w:jc w:val="both"/>
        <w:textAlignment w:val="auto"/>
        <w:rPr>
          <w:rFonts w:hint="eastAsia" w:ascii="仿宋_GB2312" w:hAnsi="仿宋_GB2312" w:eastAsia="仿宋_GB2312"/>
          <w:color w:val="000000" w:themeColor="text1"/>
          <w:kern w:val="2"/>
          <w:sz w:val="32"/>
          <w:szCs w:val="24"/>
          <w14:textFill>
            <w14:solidFill>
              <w14:schemeClr w14:val="tx1"/>
            </w14:solidFill>
          </w14:textFill>
        </w:rPr>
      </w:pPr>
      <w:r>
        <w:rPr>
          <w:rFonts w:hint="eastAsia" w:ascii="仿宋_GB2312" w:hAnsi="仿宋_GB2312" w:eastAsia="仿宋_GB2312"/>
          <w:color w:val="000000" w:themeColor="text1"/>
          <w:kern w:val="2"/>
          <w:sz w:val="32"/>
          <w:szCs w:val="24"/>
          <w14:textFill>
            <w14:solidFill>
              <w14:schemeClr w14:val="tx1"/>
            </w14:solidFill>
          </w14:textFill>
        </w:rPr>
        <w:t>十二、国有资本经营预算财政拨款支出决算表</w:t>
      </w:r>
    </w:p>
    <w:p w14:paraId="71364A8F">
      <w:pPr>
        <w:keepNext w:val="0"/>
        <w:keepLines w:val="0"/>
        <w:pageBreakBefore w:val="0"/>
        <w:widowControl w:val="0"/>
        <w:kinsoku/>
        <w:wordWrap/>
        <w:overflowPunct w:val="0"/>
        <w:topLinePunct w:val="0"/>
        <w:autoSpaceDE w:val="0"/>
        <w:autoSpaceDN w:val="0"/>
        <w:bidi w:val="0"/>
        <w:adjustRightInd w:val="0"/>
        <w:snapToGrid/>
        <w:spacing w:line="576" w:lineRule="exact"/>
        <w:textAlignment w:val="auto"/>
        <w:rPr>
          <w:rFonts w:hint="eastAsia" w:ascii="方正小标宋简体" w:hAnsi="方正小标宋简体" w:eastAsia="方正小标宋简体"/>
          <w:color w:val="000000" w:themeColor="text1"/>
          <w:kern w:val="2"/>
          <w:sz w:val="30"/>
          <w:szCs w:val="24"/>
          <w14:textFill>
            <w14:solidFill>
              <w14:schemeClr w14:val="tx1"/>
            </w14:solidFill>
          </w14:textFill>
        </w:rPr>
      </w:pPr>
      <w:r>
        <w:rPr>
          <w:rFonts w:hint="eastAsia" w:ascii="仿宋_GB2312" w:hAnsi="仿宋_GB2312" w:eastAsia="仿宋_GB2312"/>
          <w:color w:val="000000" w:themeColor="text1"/>
          <w:kern w:val="2"/>
          <w:sz w:val="32"/>
          <w:szCs w:val="24"/>
          <w14:textFill>
            <w14:solidFill>
              <w14:schemeClr w14:val="tx1"/>
            </w14:solidFill>
          </w14:textFill>
        </w:rPr>
        <w:t xml:space="preserve">    十三、财政拨款“三公”经费支出决算表</w:t>
      </w:r>
    </w:p>
    <w:sectPr>
      <w:footerReference r:id="rId4" w:type="default"/>
      <w:pgSz w:w="12240" w:h="15840"/>
      <w:pgMar w:top="2098" w:right="1474" w:bottom="1984" w:left="1587" w:header="850" w:footer="1587" w:gutter="0"/>
      <w:lnNumType w:countBy="0" w:distance="36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6059B">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143E9CC3">
                          <w:pPr>
                            <w:pStyle w:val="6"/>
                            <w:keepNext w:val="0"/>
                            <w:keepLines w:val="0"/>
                            <w:pageBreakBefore w:val="0"/>
                            <w:widowControl w:val="0"/>
                            <w:kinsoku/>
                            <w:wordWrap/>
                            <w:overflowPunct w:val="0"/>
                            <w:topLinePunct w:val="0"/>
                            <w:bidi w:val="0"/>
                            <w:adjustRightInd w:val="0"/>
                            <w:snapToGrid w:val="0"/>
                            <w:ind w:left="240" w:leftChars="100" w:right="240" w:rightChars="100"/>
                            <w:jc w:val="both"/>
                            <w:textAlignment w:val="auto"/>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XW5UtAAAAAFAQAADwAAAAAAAAABACAAAAAiAAAAZHJzL2Rvd25yZXYueG1s&#10;UEsBAhQAFAAAAAgAh07iQIxa8bMAAgAACQQAAA4AAAAAAAAAAQAgAAAAHwEAAGRycy9lMm9Eb2Mu&#10;eG1sUEsFBgAAAAAGAAYAWQEAAJEFAAAAAA==&#10;">
              <v:fill on="f" focussize="0,0"/>
              <v:stroke on="f"/>
              <v:imagedata o:title=""/>
              <o:lock v:ext="edit" aspectratio="f"/>
              <v:textbox inset="0mm,0mm,0mm,0mm" style="mso-fit-shape-to-text:t;">
                <w:txbxContent>
                  <w:p w14:paraId="143E9CC3">
                    <w:pPr>
                      <w:pStyle w:val="6"/>
                      <w:keepNext w:val="0"/>
                      <w:keepLines w:val="0"/>
                      <w:pageBreakBefore w:val="0"/>
                      <w:widowControl w:val="0"/>
                      <w:kinsoku/>
                      <w:wordWrap/>
                      <w:overflowPunct w:val="0"/>
                      <w:topLinePunct w:val="0"/>
                      <w:bidi w:val="0"/>
                      <w:adjustRightInd w:val="0"/>
                      <w:snapToGrid w:val="0"/>
                      <w:ind w:left="240" w:leftChars="100" w:right="240" w:rightChars="100"/>
                      <w:jc w:val="both"/>
                      <w:textAlignment w:val="auto"/>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C9D9E">
    <w:pPr>
      <w:pStyle w:val="6"/>
      <w:spacing w:beforeLines="0" w:afterLines="0"/>
      <w:rPr>
        <w:rFonts w:hint="eastAsia"/>
        <w:sz w:val="18"/>
        <w:szCs w:val="18"/>
      </w:rPr>
    </w:pPr>
    <w:r>
      <w:rPr>
        <w:rFonts w:hint="default"/>
        <w:sz w:val="18"/>
        <w:szCs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3FB3577">
                          <w:pPr>
                            <w:pStyle w:val="6"/>
                            <w:spacing w:beforeLines="0" w:afterLines="0"/>
                            <w:ind w:left="240" w:leftChars="100" w:right="240" w:rightChars="100"/>
                            <w:jc w:val="both"/>
                            <w:rPr>
                              <w:rFonts w:hint="eastAsia"/>
                              <w:sz w:val="18"/>
                              <w:szCs w:val="18"/>
                            </w:rPr>
                          </w:pPr>
                          <w:r>
                            <w:rPr>
                              <w:rFonts w:hint="eastAsia" w:hAnsi="宋体" w:cs="宋体"/>
                              <w:sz w:val="28"/>
                              <w:szCs w:val="28"/>
                            </w:rPr>
                            <w:t xml:space="preserve">— </w:t>
                          </w:r>
                          <w:r>
                            <w:rPr>
                              <w:rFonts w:hint="eastAsia" w:hAnsi="宋体" w:cs="宋体"/>
                              <w:sz w:val="28"/>
                              <w:szCs w:val="28"/>
                            </w:rPr>
                            <w:fldChar w:fldCharType="begin"/>
                          </w:r>
                          <w:r>
                            <w:rPr>
                              <w:rFonts w:hint="eastAsia" w:hAnsi="宋体" w:cs="宋体"/>
                              <w:sz w:val="28"/>
                              <w:szCs w:val="28"/>
                            </w:rPr>
                            <w:instrText xml:space="preserve"> PAGE  \* MERGEFORMAT </w:instrText>
                          </w:r>
                          <w:r>
                            <w:rPr>
                              <w:rFonts w:hint="eastAsia" w:hAnsi="宋体" w:cs="宋体"/>
                              <w:sz w:val="28"/>
                              <w:szCs w:val="28"/>
                            </w:rPr>
                            <w:fldChar w:fldCharType="separate"/>
                          </w:r>
                          <w:r>
                            <w:rPr>
                              <w:rFonts w:hint="eastAsia" w:hAnsi="宋体" w:cs="宋体"/>
                              <w:sz w:val="28"/>
                              <w:szCs w:val="28"/>
                            </w:rPr>
                            <w:t>1</w:t>
                          </w:r>
                          <w:r>
                            <w:rPr>
                              <w:rFonts w:hint="eastAsia" w:hAnsi="宋体" w:cs="宋体"/>
                              <w:sz w:val="28"/>
                              <w:szCs w:val="28"/>
                            </w:rPr>
                            <w:fldChar w:fldCharType="end"/>
                          </w:r>
                          <w:r>
                            <w:rPr>
                              <w:rFonts w:hint="eastAsia" w:hAnsi="宋体" w:cs="宋体"/>
                              <w:sz w:val="28"/>
                              <w:szCs w:val="28"/>
                            </w:rPr>
                            <w:t xml:space="preserve"> —</w:t>
                          </w:r>
                        </w:p>
                      </w:txbxContent>
                    </wps:txbx>
                    <wps:bodyPr rot="0" spcFirstLastPara="0" vertOverflow="overflow" horzOverflow="overflow" vert="horz" wrap="none" lIns="0" tIns="0" rIns="0" bIns="0" numCol="1" anchor="t" upright="1">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XW5UtAAAAAFAQAADwAAAAAAAAABACAAAAAiAAAAZHJzL2Rvd25yZXYueG1sUEsB&#10;AhQAFAAAAAgAh07iQMC8U9X9AQAA/wMAAA4AAAAAAAAAAQAgAAAAHwEAAGRycy9lMm9Eb2MueG1s&#10;UEsFBgAAAAAGAAYAWQEAAI4FAAAAAA==&#10;">
              <v:fill on="f" focussize="0,0"/>
              <v:stroke on="f"/>
              <v:imagedata o:title=""/>
              <o:lock v:ext="edit" aspectratio="f"/>
              <v:textbox inset="0mm,0mm,0mm,0mm" style="mso-fit-shape-to-text:t;">
                <w:txbxContent>
                  <w:p w14:paraId="73FB3577">
                    <w:pPr>
                      <w:pStyle w:val="6"/>
                      <w:spacing w:beforeLines="0" w:afterLines="0"/>
                      <w:ind w:left="240" w:leftChars="100" w:right="240" w:rightChars="100"/>
                      <w:jc w:val="both"/>
                      <w:rPr>
                        <w:rFonts w:hint="eastAsia"/>
                        <w:sz w:val="18"/>
                        <w:szCs w:val="18"/>
                      </w:rPr>
                    </w:pPr>
                    <w:r>
                      <w:rPr>
                        <w:rFonts w:hint="eastAsia" w:hAnsi="宋体" w:cs="宋体"/>
                        <w:sz w:val="28"/>
                        <w:szCs w:val="28"/>
                      </w:rPr>
                      <w:t xml:space="preserve">— </w:t>
                    </w:r>
                    <w:r>
                      <w:rPr>
                        <w:rFonts w:hint="eastAsia" w:hAnsi="宋体" w:cs="宋体"/>
                        <w:sz w:val="28"/>
                        <w:szCs w:val="28"/>
                      </w:rPr>
                      <w:fldChar w:fldCharType="begin"/>
                    </w:r>
                    <w:r>
                      <w:rPr>
                        <w:rFonts w:hint="eastAsia" w:hAnsi="宋体" w:cs="宋体"/>
                        <w:sz w:val="28"/>
                        <w:szCs w:val="28"/>
                      </w:rPr>
                      <w:instrText xml:space="preserve"> PAGE  \* MERGEFORMAT </w:instrText>
                    </w:r>
                    <w:r>
                      <w:rPr>
                        <w:rFonts w:hint="eastAsia" w:hAnsi="宋体" w:cs="宋体"/>
                        <w:sz w:val="28"/>
                        <w:szCs w:val="28"/>
                      </w:rPr>
                      <w:fldChar w:fldCharType="separate"/>
                    </w:r>
                    <w:r>
                      <w:rPr>
                        <w:rFonts w:hint="eastAsia" w:hAnsi="宋体" w:cs="宋体"/>
                        <w:sz w:val="28"/>
                        <w:szCs w:val="28"/>
                      </w:rPr>
                      <w:t>1</w:t>
                    </w:r>
                    <w:r>
                      <w:rPr>
                        <w:rFonts w:hint="eastAsia" w:hAnsi="宋体" w:cs="宋体"/>
                        <w:sz w:val="28"/>
                        <w:szCs w:val="28"/>
                      </w:rPr>
                      <w:fldChar w:fldCharType="end"/>
                    </w:r>
                    <w:r>
                      <w:rPr>
                        <w:rFonts w:hint="eastAsia" w:hAnsi="宋体" w:cs="宋体"/>
                        <w:sz w:val="28"/>
                        <w:szCs w:val="28"/>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566DE7"/>
    <w:multiLevelType w:val="multilevel"/>
    <w:tmpl w:val="96566DE7"/>
    <w:lvl w:ilvl="0" w:tentative="0">
      <w:start w:val="1"/>
      <w:numFmt w:val="decimal"/>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
    <w:nsid w:val="FC84485D"/>
    <w:multiLevelType w:val="multilevel"/>
    <w:tmpl w:val="FC84485D"/>
    <w:lvl w:ilvl="0" w:tentative="0">
      <w:start w:val="2"/>
      <w:numFmt w:val="chineseCounting"/>
      <w:suff w:val="nothing"/>
      <w:lvlText w:val="（%1）"/>
      <w:lvlJc w:val="left"/>
      <w:rPr>
        <w:rFonts w:hint="eastAsia" w:ascii="楷体_GB2312" w:hAnsi="楷体_GB2312" w:eastAsia="楷体_GB2312" w:cs="楷体_GB2312"/>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20"/>
  <w:drawingGridHorizontalSpacing w:val="120"/>
  <w:drawingGridVerticalSpacing w:val="120"/>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5NjM4YjE1MTk1NmU3MjE3MDFhZDcyODQ0MjAzNWUifQ=="/>
  </w:docVars>
  <w:rsids>
    <w:rsidRoot w:val="00000000"/>
    <w:rsid w:val="0462410A"/>
  </w:rsids>
  <m:mathPr>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iPriority="0"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iPriority="99" w:semiHidden="0" w:name="Body Text"/>
    <w:lsdException w:qFormat="1"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0"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autoSpaceDE w:val="0"/>
      <w:autoSpaceDN w:val="0"/>
      <w:adjustRightInd w:val="0"/>
    </w:pPr>
    <w:rPr>
      <w:rFonts w:hint="default" w:ascii="宋体" w:hAnsi="Times New Roman" w:eastAsia="宋体" w:cs="Times New Roman"/>
      <w:sz w:val="24"/>
      <w:szCs w:val="24"/>
      <w:lang w:val="en-US" w:eastAsia="zh-CN" w:bidi="ar-SA"/>
    </w:rPr>
  </w:style>
  <w:style w:type="paragraph" w:styleId="3">
    <w:name w:val="heading 1"/>
    <w:basedOn w:val="1"/>
    <w:link w:val="22"/>
    <w:unhideWhenUsed/>
    <w:qFormat/>
    <w:uiPriority w:val="99"/>
    <w:pPr>
      <w:outlineLvl w:val="0"/>
    </w:pPr>
    <w:rPr>
      <w:rFonts w:hint="default"/>
      <w:sz w:val="24"/>
      <w:szCs w:val="24"/>
    </w:rPr>
  </w:style>
  <w:style w:type="paragraph" w:styleId="4">
    <w:name w:val="heading 2"/>
    <w:basedOn w:val="1"/>
    <w:link w:val="21"/>
    <w:unhideWhenUsed/>
    <w:qFormat/>
    <w:uiPriority w:val="99"/>
    <w:pPr>
      <w:outlineLvl w:val="1"/>
    </w:pPr>
    <w:rPr>
      <w:rFonts w:hint="default"/>
      <w:sz w:val="24"/>
      <w:szCs w:val="24"/>
    </w:rPr>
  </w:style>
  <w:style w:type="character" w:default="1" w:styleId="11">
    <w:name w:val="Default Paragraph Font"/>
    <w:unhideWhenUsed/>
    <w:qFormat/>
    <w:uiPriority w:val="99"/>
    <w:rPr>
      <w:rFonts w:hint="default"/>
      <w:sz w:val="24"/>
      <w:szCs w:val="24"/>
    </w:rPr>
  </w:style>
  <w:style w:type="table" w:default="1" w:styleId="9">
    <w:name w:val="Normal Table"/>
    <w:qFormat/>
    <w:uiPriority w:val="99"/>
    <w:rPr>
      <w:sz w:val="24"/>
      <w:szCs w:val="24"/>
    </w:rPr>
    <w:tblPr>
      <w:tblCellMar>
        <w:top w:w="0" w:type="dxa"/>
        <w:left w:w="108" w:type="dxa"/>
        <w:bottom w:w="0" w:type="dxa"/>
        <w:right w:w="108" w:type="dxa"/>
      </w:tblCellMar>
    </w:tblPr>
  </w:style>
  <w:style w:type="paragraph" w:styleId="2">
    <w:name w:val="Body Text"/>
    <w:basedOn w:val="1"/>
    <w:link w:val="23"/>
    <w:unhideWhenUsed/>
    <w:qFormat/>
    <w:uiPriority w:val="99"/>
    <w:pPr>
      <w:spacing w:beforeLines="30"/>
    </w:pPr>
    <w:rPr>
      <w:rFonts w:hint="eastAsia" w:ascii="仿宋_GB2312" w:eastAsia="仿宋_GB2312"/>
      <w:sz w:val="30"/>
      <w:szCs w:val="24"/>
    </w:rPr>
  </w:style>
  <w:style w:type="paragraph" w:styleId="5">
    <w:name w:val="Body Text Indent"/>
    <w:basedOn w:val="1"/>
    <w:unhideWhenUsed/>
    <w:qFormat/>
    <w:uiPriority w:val="0"/>
    <w:pPr>
      <w:spacing w:after="120"/>
      <w:ind w:leftChars="200"/>
    </w:pPr>
    <w:rPr>
      <w:rFonts w:hint="default" w:ascii="Times New Roman"/>
      <w:sz w:val="24"/>
      <w:szCs w:val="32"/>
    </w:rPr>
  </w:style>
  <w:style w:type="paragraph" w:styleId="6">
    <w:name w:val="footer"/>
    <w:basedOn w:val="1"/>
    <w:link w:val="20"/>
    <w:unhideWhenUsed/>
    <w:qFormat/>
    <w:uiPriority w:val="99"/>
    <w:pPr>
      <w:tabs>
        <w:tab w:val="center" w:pos="4153"/>
        <w:tab w:val="right" w:pos="8306"/>
      </w:tabs>
      <w:snapToGrid w:val="0"/>
    </w:pPr>
    <w:rPr>
      <w:rFonts w:hint="default"/>
      <w:sz w:val="18"/>
      <w:szCs w:val="18"/>
    </w:rPr>
  </w:style>
  <w:style w:type="paragraph" w:styleId="7">
    <w:name w:val="header"/>
    <w:basedOn w:val="1"/>
    <w:link w:val="24"/>
    <w:unhideWhenUsed/>
    <w:qFormat/>
    <w:uiPriority w:val="99"/>
    <w:pPr>
      <w:pBdr>
        <w:bottom w:val="single" w:color="auto" w:sz="6" w:space="1"/>
      </w:pBdr>
      <w:tabs>
        <w:tab w:val="center" w:pos="4153"/>
        <w:tab w:val="right" w:pos="8306"/>
      </w:tabs>
      <w:snapToGrid w:val="0"/>
      <w:jc w:val="center"/>
    </w:pPr>
    <w:rPr>
      <w:rFonts w:hint="default"/>
      <w:sz w:val="18"/>
      <w:szCs w:val="18"/>
    </w:rPr>
  </w:style>
  <w:style w:type="paragraph" w:styleId="8">
    <w:name w:val="Body Text First Indent 2"/>
    <w:basedOn w:val="5"/>
    <w:unhideWhenUsed/>
    <w:qFormat/>
    <w:uiPriority w:val="99"/>
    <w:pPr>
      <w:ind w:firstLine="420" w:firstLineChars="200"/>
    </w:pPr>
    <w:rPr>
      <w:rFonts w:hint="default"/>
      <w:sz w:val="24"/>
      <w:szCs w:val="32"/>
    </w:rPr>
  </w:style>
  <w:style w:type="table" w:styleId="10">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Strong"/>
    <w:basedOn w:val="11"/>
    <w:unhideWhenUsed/>
    <w:qFormat/>
    <w:uiPriority w:val="99"/>
    <w:rPr>
      <w:rFonts w:hint="default"/>
      <w:b/>
      <w:sz w:val="24"/>
      <w:szCs w:val="24"/>
    </w:rPr>
  </w:style>
  <w:style w:type="character" w:styleId="13">
    <w:name w:val="page number"/>
    <w:basedOn w:val="11"/>
    <w:unhideWhenUsed/>
    <w:qFormat/>
    <w:uiPriority w:val="0"/>
    <w:rPr>
      <w:rFonts w:hint="default"/>
      <w:sz w:val="24"/>
      <w:szCs w:val="24"/>
    </w:rPr>
  </w:style>
  <w:style w:type="paragraph" w:customStyle="1" w:styleId="14">
    <w:name w:val="Comment Text"/>
    <w:basedOn w:val="1"/>
    <w:unhideWhenUsed/>
    <w:qFormat/>
    <w:uiPriority w:val="0"/>
    <w:rPr>
      <w:rFonts w:hint="default"/>
      <w:sz w:val="24"/>
      <w:szCs w:val="24"/>
    </w:rPr>
  </w:style>
  <w:style w:type="paragraph" w:customStyle="1" w:styleId="15">
    <w:name w:val="Default"/>
    <w:unhideWhenUsed/>
    <w:qFormat/>
    <w:uiPriority w:val="99"/>
    <w:pPr>
      <w:widowControl w:val="0"/>
      <w:autoSpaceDE w:val="0"/>
      <w:autoSpaceDN w:val="0"/>
      <w:adjustRightInd w:val="0"/>
      <w:spacing w:beforeLines="0" w:afterLines="0"/>
    </w:pPr>
    <w:rPr>
      <w:rFonts w:hint="eastAsia" w:ascii="仿宋" w:hAnsi="Calibri" w:eastAsia="仿宋" w:cs="仿宋"/>
      <w:color w:val="000000"/>
      <w:sz w:val="24"/>
      <w:szCs w:val="24"/>
      <w:lang w:val="en-US" w:eastAsia="zh-CN" w:bidi="ar-SA"/>
    </w:rPr>
  </w:style>
  <w:style w:type="paragraph" w:customStyle="1" w:styleId="16">
    <w:name w:val=" Char Char Char Char Char Char Char Char Char Char Char Char Char Char1 Char Char Char Char"/>
    <w:basedOn w:val="1"/>
    <w:unhideWhenUsed/>
    <w:qFormat/>
    <w:uiPriority w:val="0"/>
    <w:rPr>
      <w:rFonts w:hint="default"/>
      <w:sz w:val="24"/>
      <w:szCs w:val="24"/>
    </w:rPr>
  </w:style>
  <w:style w:type="paragraph" w:customStyle="1" w:styleId="17">
    <w:name w:val="UserStyle_1"/>
    <w:basedOn w:val="1"/>
    <w:link w:val="25"/>
    <w:unhideWhenUsed/>
    <w:qFormat/>
    <w:uiPriority w:val="0"/>
    <w:pPr>
      <w:keepNext/>
      <w:keepLines/>
      <w:widowControl/>
      <w:spacing w:line="500" w:lineRule="exact"/>
      <w:ind w:firstLine="200" w:firstLineChars="200"/>
      <w:textAlignment w:val="baseline"/>
    </w:pPr>
    <w:rPr>
      <w:rFonts w:hint="default" w:ascii="Times New Roman" w:hAnsi="Calibri"/>
      <w:kern w:val="2"/>
      <w:sz w:val="21"/>
      <w:szCs w:val="24"/>
    </w:rPr>
  </w:style>
  <w:style w:type="paragraph" w:customStyle="1" w:styleId="18">
    <w:name w:val="Char Char Char Char"/>
    <w:basedOn w:val="1"/>
    <w:unhideWhenUsed/>
    <w:qFormat/>
    <w:uiPriority w:val="0"/>
    <w:rPr>
      <w:rFonts w:hint="default"/>
      <w:sz w:val="24"/>
      <w:szCs w:val="24"/>
    </w:rPr>
  </w:style>
  <w:style w:type="character" w:customStyle="1" w:styleId="19">
    <w:name w:val="font71"/>
    <w:basedOn w:val="11"/>
    <w:unhideWhenUsed/>
    <w:qFormat/>
    <w:uiPriority w:val="0"/>
    <w:rPr>
      <w:rFonts w:hint="default" w:ascii="Times New Roman" w:hAnsi="Times New Roman" w:eastAsia="Times New Roman" w:cs="Times New Roman"/>
      <w:sz w:val="28"/>
      <w:szCs w:val="24"/>
    </w:rPr>
  </w:style>
  <w:style w:type="character" w:customStyle="1" w:styleId="20">
    <w:name w:val="页脚 Char"/>
    <w:basedOn w:val="11"/>
    <w:link w:val="6"/>
    <w:unhideWhenUsed/>
    <w:qFormat/>
    <w:locked/>
    <w:uiPriority w:val="99"/>
    <w:rPr>
      <w:rFonts w:hint="default" w:cs="Times New Roman"/>
      <w:sz w:val="18"/>
      <w:szCs w:val="18"/>
    </w:rPr>
  </w:style>
  <w:style w:type="character" w:customStyle="1" w:styleId="21">
    <w:name w:val="标题 2 Char"/>
    <w:basedOn w:val="11"/>
    <w:link w:val="4"/>
    <w:unhideWhenUsed/>
    <w:qFormat/>
    <w:locked/>
    <w:uiPriority w:val="9"/>
    <w:rPr>
      <w:rFonts w:hint="default" w:ascii="宋体" w:hAnsi="Cambria" w:eastAsia="宋体" w:cs="Times New Roman"/>
      <w:b/>
      <w:sz w:val="32"/>
      <w:szCs w:val="32"/>
    </w:rPr>
  </w:style>
  <w:style w:type="character" w:customStyle="1" w:styleId="22">
    <w:name w:val="标题 1 Char"/>
    <w:basedOn w:val="11"/>
    <w:link w:val="3"/>
    <w:unhideWhenUsed/>
    <w:qFormat/>
    <w:locked/>
    <w:uiPriority w:val="9"/>
    <w:rPr>
      <w:rFonts w:hint="default" w:cs="Times New Roman"/>
      <w:b/>
      <w:kern w:val="44"/>
      <w:sz w:val="44"/>
      <w:szCs w:val="44"/>
    </w:rPr>
  </w:style>
  <w:style w:type="character" w:customStyle="1" w:styleId="23">
    <w:name w:val="正文文本 Char"/>
    <w:basedOn w:val="11"/>
    <w:link w:val="2"/>
    <w:unhideWhenUsed/>
    <w:qFormat/>
    <w:locked/>
    <w:uiPriority w:val="99"/>
    <w:rPr>
      <w:rFonts w:hint="default" w:cs="Times New Roman"/>
      <w:sz w:val="24"/>
      <w:szCs w:val="24"/>
    </w:rPr>
  </w:style>
  <w:style w:type="character" w:customStyle="1" w:styleId="24">
    <w:name w:val="页眉 Char"/>
    <w:basedOn w:val="11"/>
    <w:link w:val="7"/>
    <w:unhideWhenUsed/>
    <w:qFormat/>
    <w:locked/>
    <w:uiPriority w:val="99"/>
    <w:rPr>
      <w:rFonts w:hint="default" w:cs="Times New Roman"/>
      <w:sz w:val="18"/>
      <w:szCs w:val="18"/>
    </w:rPr>
  </w:style>
  <w:style w:type="character" w:customStyle="1" w:styleId="25">
    <w:name w:val="NormalCharacter"/>
    <w:link w:val="17"/>
    <w:unhideWhenUsed/>
    <w:qFormat/>
    <w:uiPriority w:val="0"/>
    <w:rPr>
      <w:rFonts w:hint="default" w:ascii="Times New Roman" w:hAnsi="Calibri" w:eastAsia="宋体"/>
      <w:kern w:val="2"/>
      <w:sz w:val="21"/>
      <w:szCs w:val="24"/>
    </w:rPr>
  </w:style>
  <w:style w:type="character" w:customStyle="1" w:styleId="26">
    <w:name w:val="CharStyle46"/>
    <w:basedOn w:val="11"/>
    <w:unhideWhenUsed/>
    <w:qFormat/>
    <w:uiPriority w:val="0"/>
    <w:rPr>
      <w:rFonts w:hint="default" w:ascii="Arial" w:hAnsi="Arial" w:eastAsia="宋体" w:cs="Arial"/>
      <w:sz w:val="24"/>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图</a:t>
            </a:r>
            <a:r>
              <a:rPr lang="en-US" altLang="zh-CN"/>
              <a:t>1</a:t>
            </a:r>
            <a:r>
              <a:rPr altLang="en-US"/>
              <a:t>：收、支决算总计变动情况图</a:t>
            </a:r>
            <a:endParaRPr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支</c:v>
                </c:pt>
              </c:strCache>
            </c:strRef>
          </c:tx>
          <c:spPr>
            <a:solidFill>
              <a:schemeClr val="accent1"/>
            </a:solidFill>
            <a:ln>
              <a:noFill/>
            </a:ln>
            <a:effectLst/>
          </c:spPr>
          <c:invertIfNegative val="0"/>
          <c:dLbls>
            <c:delete val="1"/>
          </c:dLbls>
          <c:cat>
            <c:strRef>
              <c:f>Sheet1!$A$2:$A$3</c:f>
              <c:strCache>
                <c:ptCount val="2"/>
                <c:pt idx="0">
                  <c:v>2022年（万元）</c:v>
                </c:pt>
                <c:pt idx="1">
                  <c:v>2023年（万元）</c:v>
                </c:pt>
              </c:strCache>
            </c:strRef>
          </c:cat>
          <c:val>
            <c:numRef>
              <c:f>Sheet1!$B$2:$B$3</c:f>
              <c:numCache>
                <c:formatCode>General</c:formatCode>
                <c:ptCount val="2"/>
                <c:pt idx="0">
                  <c:v>195.64</c:v>
                </c:pt>
                <c:pt idx="1">
                  <c:v>223.06</c:v>
                </c:pt>
              </c:numCache>
            </c:numRef>
          </c:val>
        </c:ser>
        <c:ser>
          <c:idx val="1"/>
          <c:order val="1"/>
          <c:tx>
            <c:strRef>
              <c:f>Sheet1!$C$1</c:f>
              <c:strCache>
                <c:ptCount val="1"/>
                <c:pt idx="0">
                  <c:v>出</c:v>
                </c:pt>
              </c:strCache>
            </c:strRef>
          </c:tx>
          <c:spPr>
            <a:solidFill>
              <a:schemeClr val="accent2"/>
            </a:solidFill>
            <a:ln>
              <a:noFill/>
            </a:ln>
            <a:effectLst/>
          </c:spPr>
          <c:invertIfNegative val="0"/>
          <c:dLbls>
            <c:delete val="1"/>
          </c:dLbls>
          <c:cat>
            <c:strRef>
              <c:f>Sheet1!$A$2:$A$3</c:f>
              <c:strCache>
                <c:ptCount val="2"/>
                <c:pt idx="0">
                  <c:v>2022年（万元）</c:v>
                </c:pt>
                <c:pt idx="1">
                  <c:v>2023年（万元）</c:v>
                </c:pt>
              </c:strCache>
            </c:strRef>
          </c:cat>
          <c:val>
            <c:numRef>
              <c:f>Sheet1!$C$2:$C$3</c:f>
              <c:numCache>
                <c:formatCode>General</c:formatCode>
                <c:ptCount val="2"/>
                <c:pt idx="0">
                  <c:v>195.64</c:v>
                </c:pt>
                <c:pt idx="1">
                  <c:v>223.06</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2022年（万元）</c:v>
                </c:pt>
                <c:pt idx="1">
                  <c:v>2023年（万元）</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46"/>
        <c:overlap val="-28"/>
        <c:axId val="829856027"/>
        <c:axId val="110657882"/>
      </c:barChart>
      <c:catAx>
        <c:axId val="829856027"/>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0657882"/>
        <c:crosses val="autoZero"/>
        <c:auto val="1"/>
        <c:lblAlgn val="ctr"/>
        <c:lblOffset val="100"/>
        <c:noMultiLvlLbl val="0"/>
      </c:catAx>
      <c:valAx>
        <c:axId val="110657882"/>
        <c:scaling>
          <c:orientation val="minMax"/>
        </c:scaling>
        <c:delete val="0"/>
        <c:axPos val="l"/>
        <c:majorGridlines>
          <c:spPr>
            <a:ln w="9525" cap="flat" cmpd="sng" algn="ctr">
              <a:solidFill>
                <a:schemeClr val="lt1">
                  <a:lumMod val="902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985602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图2：收入决算结构图</c:v>
                </c:pt>
              </c:strCache>
            </c:strRef>
          </c:tx>
          <c:explosion val="0"/>
          <c:dPt>
            <c:idx val="0"/>
            <c:bubble3D val="0"/>
            <c:spPr>
              <a:solidFill>
                <a:schemeClr val="accent1"/>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一般公共预算财政拨款收入</c:v>
                </c:pt>
              </c:strCache>
            </c:strRef>
          </c:cat>
          <c:val>
            <c:numRef>
              <c:f>Sheet1!$B$2</c:f>
              <c:numCache>
                <c:formatCode>General</c:formatCode>
                <c:ptCount val="1"/>
                <c:pt idx="0">
                  <c:v>223.06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图3：支出决算结构图</c:v>
                </c:pt>
              </c:strCache>
            </c:strRef>
          </c:tx>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138.42</c:v>
                </c:pt>
                <c:pt idx="1">
                  <c:v>84.64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图</a:t>
            </a:r>
            <a:r>
              <a:rPr lang="en-US" altLang="zh-CN"/>
              <a:t>4</a:t>
            </a:r>
            <a:r>
              <a:rPr altLang="en-US"/>
              <a:t>：财政拨款收、支决算总计变动情况</a:t>
            </a:r>
            <a:endParaRPr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c:v>
                </c:pt>
              </c:strCache>
            </c:strRef>
          </c:tx>
          <c:spPr>
            <a:solidFill>
              <a:schemeClr val="accent1"/>
            </a:solidFill>
            <a:ln>
              <a:noFill/>
            </a:ln>
            <a:effectLst/>
          </c:spPr>
          <c:invertIfNegative val="0"/>
          <c:dLbls>
            <c:delete val="1"/>
          </c:dLbls>
          <c:cat>
            <c:strRef>
              <c:f>Sheet1!$A$2:$A$3</c:f>
              <c:strCache>
                <c:ptCount val="2"/>
                <c:pt idx="0">
                  <c:v>2022年（万元）</c:v>
                </c:pt>
                <c:pt idx="1">
                  <c:v>2023年（万元）</c:v>
                </c:pt>
              </c:strCache>
            </c:strRef>
          </c:cat>
          <c:val>
            <c:numRef>
              <c:f>Sheet1!$B$2:$B$3</c:f>
              <c:numCache>
                <c:formatCode>General</c:formatCode>
                <c:ptCount val="2"/>
                <c:pt idx="0">
                  <c:v>195.64</c:v>
                </c:pt>
                <c:pt idx="1">
                  <c:v>223.06</c:v>
                </c:pt>
              </c:numCache>
            </c:numRef>
          </c:val>
        </c:ser>
        <c:ser>
          <c:idx val="1"/>
          <c:order val="1"/>
          <c:tx>
            <c:strRef>
              <c:f>Sheet1!$C$1</c:f>
              <c:strCache>
                <c:ptCount val="1"/>
                <c:pt idx="0">
                  <c:v>支</c:v>
                </c:pt>
              </c:strCache>
            </c:strRef>
          </c:tx>
          <c:spPr>
            <a:solidFill>
              <a:schemeClr val="accent2"/>
            </a:solidFill>
            <a:ln>
              <a:noFill/>
            </a:ln>
            <a:effectLst/>
          </c:spPr>
          <c:invertIfNegative val="0"/>
          <c:dLbls>
            <c:delete val="1"/>
          </c:dLbls>
          <c:cat>
            <c:strRef>
              <c:f>Sheet1!$A$2:$A$3</c:f>
              <c:strCache>
                <c:ptCount val="2"/>
                <c:pt idx="0">
                  <c:v>2022年（万元）</c:v>
                </c:pt>
                <c:pt idx="1">
                  <c:v>2023年（万元）</c:v>
                </c:pt>
              </c:strCache>
            </c:strRef>
          </c:cat>
          <c:val>
            <c:numRef>
              <c:f>Sheet1!$C$2:$C$3</c:f>
              <c:numCache>
                <c:formatCode>General</c:formatCode>
                <c:ptCount val="2"/>
                <c:pt idx="0">
                  <c:v>195.64</c:v>
                </c:pt>
                <c:pt idx="1">
                  <c:v>223.06</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2022年（万元）</c:v>
                </c:pt>
                <c:pt idx="1">
                  <c:v>2023年（万元）</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46"/>
        <c:overlap val="-28"/>
        <c:axId val="176238969"/>
        <c:axId val="243276038"/>
      </c:barChart>
      <c:catAx>
        <c:axId val="176238969"/>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3276038"/>
        <c:crosses val="autoZero"/>
        <c:auto val="1"/>
        <c:lblAlgn val="ctr"/>
        <c:lblOffset val="100"/>
        <c:noMultiLvlLbl val="0"/>
      </c:catAx>
      <c:valAx>
        <c:axId val="243276038"/>
        <c:scaling>
          <c:orientation val="minMax"/>
        </c:scaling>
        <c:delete val="0"/>
        <c:axPos val="l"/>
        <c:majorGridlines>
          <c:spPr>
            <a:ln w="9525" cap="flat" cmpd="sng" algn="ctr">
              <a:solidFill>
                <a:schemeClr val="lt1">
                  <a:lumMod val="902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6238969"/>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图</a:t>
            </a:r>
            <a:r>
              <a:rPr lang="en-US" altLang="zh-CN"/>
              <a:t>5</a:t>
            </a:r>
            <a:r>
              <a:rPr altLang="en-US"/>
              <a:t>：一般公共预算财政拨款支出决算变动情况</a:t>
            </a:r>
            <a:endParaRPr altLang="en-US"/>
          </a:p>
        </c:rich>
      </c:tx>
      <c:layout>
        <c:manualLayout>
          <c:xMode val="edge"/>
          <c:yMode val="edge"/>
          <c:x val="0.158733993718289"/>
          <c:y val="0.0352741181470463"/>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收</c:v>
                </c:pt>
              </c:strCache>
            </c:strRef>
          </c:tx>
          <c:spPr>
            <a:solidFill>
              <a:schemeClr val="accent1"/>
            </a:solidFill>
            <a:ln>
              <a:noFill/>
            </a:ln>
            <a:effectLst/>
          </c:spPr>
          <c:invertIfNegative val="0"/>
          <c:dLbls>
            <c:delete val="1"/>
          </c:dLbls>
          <c:cat>
            <c:strRef>
              <c:f>Sheet1!$A$2:$A$3</c:f>
              <c:strCache>
                <c:ptCount val="2"/>
                <c:pt idx="0">
                  <c:v>2022年（万元）</c:v>
                </c:pt>
                <c:pt idx="1">
                  <c:v>2023年（万元）</c:v>
                </c:pt>
              </c:strCache>
            </c:strRef>
          </c:cat>
          <c:val>
            <c:numRef>
              <c:f>Sheet1!$B$2:$B$3</c:f>
              <c:numCache>
                <c:formatCode>General</c:formatCode>
                <c:ptCount val="2"/>
                <c:pt idx="0">
                  <c:v>195.64</c:v>
                </c:pt>
                <c:pt idx="1">
                  <c:v>223.06</c:v>
                </c:pt>
              </c:numCache>
            </c:numRef>
          </c:val>
        </c:ser>
        <c:ser>
          <c:idx val="1"/>
          <c:order val="1"/>
          <c:tx>
            <c:strRef>
              <c:f>Sheet1!$C$1</c:f>
              <c:strCache>
                <c:ptCount val="1"/>
                <c:pt idx="0">
                  <c:v>支</c:v>
                </c:pt>
              </c:strCache>
            </c:strRef>
          </c:tx>
          <c:spPr>
            <a:solidFill>
              <a:schemeClr val="accent2"/>
            </a:solidFill>
            <a:ln>
              <a:noFill/>
            </a:ln>
            <a:effectLst/>
          </c:spPr>
          <c:invertIfNegative val="0"/>
          <c:dLbls>
            <c:delete val="1"/>
          </c:dLbls>
          <c:cat>
            <c:strRef>
              <c:f>Sheet1!$A$2:$A$3</c:f>
              <c:strCache>
                <c:ptCount val="2"/>
                <c:pt idx="0">
                  <c:v>2022年（万元）</c:v>
                </c:pt>
                <c:pt idx="1">
                  <c:v>2023年（万元）</c:v>
                </c:pt>
              </c:strCache>
            </c:strRef>
          </c:cat>
          <c:val>
            <c:numRef>
              <c:f>Sheet1!$C$2:$C$3</c:f>
              <c:numCache>
                <c:formatCode>General</c:formatCode>
                <c:ptCount val="2"/>
                <c:pt idx="0">
                  <c:v>195.64</c:v>
                </c:pt>
                <c:pt idx="1">
                  <c:v>223.06</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2022年（万元）</c:v>
                </c:pt>
                <c:pt idx="1">
                  <c:v>2023年（万元）</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46"/>
        <c:overlap val="-28"/>
        <c:axId val="824412998"/>
        <c:axId val="98160771"/>
      </c:barChart>
      <c:catAx>
        <c:axId val="82441299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160771"/>
        <c:crosses val="autoZero"/>
        <c:auto val="1"/>
        <c:lblAlgn val="ctr"/>
        <c:lblOffset val="100"/>
        <c:noMultiLvlLbl val="0"/>
      </c:catAx>
      <c:valAx>
        <c:axId val="98160771"/>
        <c:scaling>
          <c:orientation val="minMax"/>
        </c:scaling>
        <c:delete val="0"/>
        <c:axPos val="l"/>
        <c:majorGridlines>
          <c:spPr>
            <a:ln w="9525" cap="flat" cmpd="sng" algn="ctr">
              <a:solidFill>
                <a:schemeClr val="lt1">
                  <a:lumMod val="902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441299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图6：一般公共预算财政拨款支出决算结构</c:v>
                </c:pt>
              </c:strCache>
            </c:strRef>
          </c:tx>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General</c:formatCode>
                <c:ptCount val="4"/>
                <c:pt idx="0">
                  <c:v>195.31</c:v>
                </c:pt>
                <c:pt idx="1">
                  <c:v>13.12</c:v>
                </c:pt>
                <c:pt idx="2">
                  <c:v>4.78</c:v>
                </c:pt>
                <c:pt idx="3">
                  <c:v>9.84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manualLayout>
          <c:xMode val="edge"/>
          <c:yMode val="edge"/>
          <c:x val="0.0677133105802048"/>
          <c:y val="0.1533629939806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图7：“三公”经费财政拨款支出结构</c:v>
                </c:pt>
              </c:strCache>
            </c:strRef>
          </c:tx>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Lbl>
              <c:idx val="0"/>
              <c:delete val="1"/>
            </c:dLbl>
            <c:dLbl>
              <c:idx val="1"/>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因公出国（境）费支出</c:v>
                </c:pt>
                <c:pt idx="1">
                  <c:v>公务用车购置及运行维护费支出</c:v>
                </c:pt>
                <c:pt idx="2">
                  <c:v>公务接待费支出决算</c:v>
                </c:pt>
              </c:strCache>
            </c:strRef>
          </c:cat>
          <c:val>
            <c:numRef>
              <c:f>Sheet1!$B$2:$B$4</c:f>
              <c:numCache>
                <c:formatCode>General</c:formatCode>
                <c:ptCount val="3"/>
                <c:pt idx="0">
                  <c:v>0</c:v>
                </c:pt>
                <c:pt idx="1">
                  <c:v>0</c:v>
                </c:pt>
                <c:pt idx="2">
                  <c:v>2.95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E1FB856BD44840FBA67BC6B3D2029251_13</vt:lpwstr>
  </property>
</Properties>
</file>

<file path=customXml/item3.xml><?xml version="1.0" encoding="utf-8"?>
<Properties xmlns="http://schemas.openxmlformats.org/officeDocument/2006/extended-properties" xmlns:vt="http://schemas.openxmlformats.org/officeDocument/2006/docPropsVTypes">
  <Pages>40</Pages>
  <Words>15028</Words>
  <Characters>16093</Characters>
  <TotalTime>4</TotalTime>
  <ScaleCrop>false</ScaleCrop>
  <LinksUpToDate>false</LinksUpToDate>
  <CharactersWithSpaces>16526</CharactersWithSpaces>
  <Application>WPS Office_12.1.0.18276_F1E327BC-269C-435d-A152-05C5408002CA</Applicat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2024-09-19T07:03:00Z</dcterms:created>
  <dc:creator>Administrator</dc:creator>
  <cp:lastModifiedBy>Administrator</cp:lastModifiedBy>
  <dcterms:modified xsi:type="dcterms:W3CDTF">2024-09-24T02:17:37Z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66d92b-d10b-47fb-bc31-134492e54248}">
  <ds:schemaRefs/>
</ds:datastoreItem>
</file>

<file path=customXml/itemProps3.xml><?xml version="1.0" encoding="utf-8"?>
<ds:datastoreItem xmlns:ds="http://schemas.openxmlformats.org/officeDocument/2006/customXml" ds:itemID="{4fb1975f-24eb-4fe7-86f5-ee2981fa281c}">
  <ds:schemaRefs/>
</ds:datastoreItem>
</file>

<file path=customXml/itemProps4.xml><?xml version="1.0" encoding="utf-8"?>
<ds:datastoreItem xmlns:ds="http://schemas.openxmlformats.org/officeDocument/2006/customXml" ds:itemID="{5a4daa5d-c87d-4216-a511-44fc27379097}">
  <ds:schemaRefs/>
</ds:datastoreItem>
</file>

<file path=docProps/app.xml><?xml version="1.0" encoding="utf-8"?>
<Properties xmlns="http://schemas.openxmlformats.org/officeDocument/2006/extended-properties" xmlns:vt="http://schemas.openxmlformats.org/officeDocument/2006/docPropsVTypes">
  <Pages>40</Pages>
  <Words>14861</Words>
  <Characters>15923</Characters>
  <TotalTime>8</TotalTime>
  <ScaleCrop>false</ScaleCrop>
  <LinksUpToDate>false</LinksUpToDate>
  <CharactersWithSpaces>16354</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2024-09-19T07:03:00Z</dcterms:created>
  <dc:creator>Administrator</dc:creator>
  <cp:lastModifiedBy>Administrator</cp:lastModifiedBy>
  <dcterms:modified xsi:type="dcterms:W3CDTF">2024-09-25T02:35:55Z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E1FB856BD44840FBA67BC6B3D2029251_13</vt:lpwstr>
  </property>
</Properties>
</file>