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7EC06D">
      <w:pPr>
        <w:spacing w:line="600" w:lineRule="exact"/>
        <w:jc w:val="center"/>
        <w:rPr>
          <w:rFonts w:hint="eastAsia" w:ascii="方正小标宋简体" w:hAnsi="方正小标宋简体" w:eastAsia="方正小标宋简体"/>
          <w:b w:val="0"/>
          <w:bCs w:val="0"/>
          <w:color w:val="000000"/>
          <w:kern w:val="2"/>
          <w:sz w:val="72"/>
          <w:szCs w:val="24"/>
          <w:lang w:val="zh-CN"/>
        </w:rPr>
      </w:pPr>
    </w:p>
    <w:p w14:paraId="1788C804">
      <w:pPr>
        <w:pStyle w:val="10"/>
        <w:rPr>
          <w:rFonts w:hint="default"/>
          <w:b w:val="0"/>
          <w:bCs w:val="0"/>
          <w:sz w:val="24"/>
          <w:szCs w:val="24"/>
          <w:lang w:val="zh-CN"/>
        </w:rPr>
      </w:pPr>
    </w:p>
    <w:p w14:paraId="706E5FC8">
      <w:pPr>
        <w:rPr>
          <w:rFonts w:hint="default"/>
          <w:b w:val="0"/>
          <w:bCs w:val="0"/>
          <w:sz w:val="24"/>
          <w:szCs w:val="24"/>
          <w:lang w:val="zh-CN"/>
        </w:rPr>
      </w:pPr>
    </w:p>
    <w:p w14:paraId="1BC9724B">
      <w:pPr>
        <w:pStyle w:val="10"/>
        <w:rPr>
          <w:rFonts w:hint="default"/>
          <w:b w:val="0"/>
          <w:bCs w:val="0"/>
          <w:sz w:val="24"/>
          <w:szCs w:val="24"/>
          <w:lang w:val="zh-CN"/>
        </w:rPr>
      </w:pPr>
    </w:p>
    <w:p w14:paraId="3059C0E1">
      <w:pPr>
        <w:spacing w:line="600" w:lineRule="exact"/>
        <w:jc w:val="center"/>
        <w:rPr>
          <w:rFonts w:hint="eastAsia" w:ascii="方正小标宋简体" w:hAnsi="方正小标宋简体" w:eastAsia="方正小标宋简体"/>
          <w:b w:val="0"/>
          <w:bCs w:val="0"/>
          <w:color w:val="000000"/>
          <w:kern w:val="2"/>
          <w:sz w:val="72"/>
          <w:szCs w:val="24"/>
          <w:lang w:val="zh-CN"/>
        </w:rPr>
      </w:pPr>
    </w:p>
    <w:p w14:paraId="48F63261">
      <w:pPr>
        <w:spacing w:line="600" w:lineRule="exact"/>
        <w:jc w:val="center"/>
        <w:rPr>
          <w:rFonts w:hint="eastAsia" w:ascii="方正小标宋简体" w:hAnsi="方正小标宋简体" w:eastAsia="方正小标宋简体"/>
          <w:b w:val="0"/>
          <w:bCs w:val="0"/>
          <w:color w:val="000000"/>
          <w:kern w:val="2"/>
          <w:sz w:val="72"/>
          <w:szCs w:val="24"/>
          <w:lang w:val="zh-CN"/>
        </w:rPr>
      </w:pPr>
    </w:p>
    <w:p w14:paraId="66DD2515">
      <w:pPr>
        <w:spacing w:line="1400" w:lineRule="exact"/>
        <w:jc w:val="center"/>
        <w:rPr>
          <w:rFonts w:hint="eastAsia" w:ascii="方正小标宋简体" w:hAnsi="黑体" w:eastAsia="方正小标宋简体"/>
          <w:b w:val="0"/>
          <w:bCs w:val="0"/>
          <w:color w:val="000000"/>
          <w:kern w:val="2"/>
          <w:sz w:val="72"/>
          <w:szCs w:val="24"/>
          <w:lang w:val="zh-CN"/>
        </w:rPr>
      </w:pPr>
      <w:r>
        <w:rPr>
          <w:rFonts w:hint="eastAsia" w:ascii="Times New Roman" w:hAnsi="Times New Roman" w:eastAsia="方正小标宋简体"/>
          <w:b w:val="0"/>
          <w:bCs w:val="0"/>
          <w:color w:val="000000"/>
          <w:kern w:val="2"/>
          <w:sz w:val="72"/>
          <w:szCs w:val="24"/>
          <w:lang w:val="zh-CN"/>
        </w:rPr>
        <w:t>2023</w:t>
      </w:r>
      <w:r>
        <w:rPr>
          <w:rFonts w:hint="eastAsia" w:ascii="方正小标宋简体" w:hAnsi="黑体" w:eastAsia="方正小标宋简体"/>
          <w:b w:val="0"/>
          <w:bCs w:val="0"/>
          <w:color w:val="000000"/>
          <w:kern w:val="2"/>
          <w:sz w:val="72"/>
          <w:szCs w:val="24"/>
          <w:lang w:val="zh-CN"/>
        </w:rPr>
        <w:t>年度</w:t>
      </w:r>
    </w:p>
    <w:p w14:paraId="5FDD33D2">
      <w:pPr>
        <w:snapToGrid w:val="0"/>
        <w:spacing w:line="1400" w:lineRule="exact"/>
        <w:jc w:val="center"/>
        <w:rPr>
          <w:rFonts w:hint="eastAsia" w:ascii="方正小标宋简体" w:hAnsi="黑体" w:eastAsia="方正小标宋简体"/>
          <w:b w:val="0"/>
          <w:bCs w:val="0"/>
          <w:color w:val="000000"/>
          <w:kern w:val="2"/>
          <w:sz w:val="72"/>
          <w:szCs w:val="24"/>
          <w:lang w:val="zh-CN"/>
        </w:rPr>
      </w:pPr>
      <w:r>
        <w:rPr>
          <w:rFonts w:hint="eastAsia" w:ascii="方正小标宋简体" w:hAnsi="方正小标宋简体" w:eastAsia="方正小标宋简体" w:cs="方正小标宋简体"/>
          <w:b w:val="0"/>
          <w:bCs w:val="0"/>
          <w:sz w:val="72"/>
          <w:szCs w:val="72"/>
        </w:rPr>
        <w:t>广元市昭化区目标绩效事务中心</w:t>
      </w:r>
      <w:r>
        <w:rPr>
          <w:rFonts w:hint="eastAsia" w:ascii="方正小标宋简体" w:hAnsi="黑体" w:eastAsia="方正小标宋简体"/>
          <w:b w:val="0"/>
          <w:bCs w:val="0"/>
          <w:color w:val="000000"/>
          <w:kern w:val="2"/>
          <w:sz w:val="72"/>
          <w:szCs w:val="24"/>
          <w:lang w:val="zh-CN"/>
        </w:rPr>
        <w:t>部门决算</w:t>
      </w:r>
    </w:p>
    <w:p w14:paraId="391B65FF">
      <w:pPr>
        <w:spacing w:line="360" w:lineRule="auto"/>
        <w:jc w:val="center"/>
        <w:rPr>
          <w:rFonts w:hint="eastAsia" w:ascii="黑体" w:hAnsi="黑体" w:eastAsia="黑体"/>
          <w:b w:val="0"/>
          <w:bCs w:val="0"/>
          <w:color w:val="000000"/>
          <w:kern w:val="2"/>
          <w:sz w:val="72"/>
          <w:szCs w:val="24"/>
          <w:lang w:val="zh-CN"/>
        </w:rPr>
      </w:pPr>
    </w:p>
    <w:p w14:paraId="74F07BC9">
      <w:pPr>
        <w:pStyle w:val="5"/>
        <w:spacing w:before="72"/>
        <w:rPr>
          <w:rFonts w:hint="eastAsia"/>
          <w:b w:val="0"/>
          <w:bCs w:val="0"/>
          <w:sz w:val="30"/>
          <w:szCs w:val="24"/>
          <w:lang w:val="zh-CN"/>
        </w:rPr>
      </w:pPr>
    </w:p>
    <w:p w14:paraId="1C50FD12">
      <w:pPr>
        <w:pStyle w:val="5"/>
        <w:spacing w:before="72"/>
        <w:rPr>
          <w:rFonts w:hint="eastAsia"/>
          <w:b w:val="0"/>
          <w:bCs w:val="0"/>
          <w:sz w:val="30"/>
          <w:szCs w:val="24"/>
          <w:lang w:val="zh-CN"/>
        </w:rPr>
      </w:pPr>
    </w:p>
    <w:p w14:paraId="22714BDB">
      <w:pPr>
        <w:rPr>
          <w:rFonts w:hint="eastAsia" w:ascii="方正小标宋简体" w:hAnsi="方正小标宋简体" w:eastAsia="方正小标宋简体" w:cs="方正小标宋简体"/>
          <w:b w:val="0"/>
          <w:bCs w:val="0"/>
          <w:kern w:val="2"/>
          <w:sz w:val="44"/>
          <w:szCs w:val="44"/>
          <w:lang w:val="zh-CN"/>
        </w:rPr>
      </w:pPr>
      <w:r>
        <w:rPr>
          <w:rFonts w:hint="eastAsia" w:ascii="方正小标宋简体" w:hAnsi="方正小标宋简体" w:eastAsia="方正小标宋简体" w:cs="方正小标宋简体"/>
          <w:b w:val="0"/>
          <w:bCs w:val="0"/>
          <w:kern w:val="2"/>
          <w:sz w:val="44"/>
          <w:szCs w:val="44"/>
          <w:lang w:val="zh-CN"/>
        </w:rPr>
        <w:br w:type="page"/>
      </w:r>
    </w:p>
    <w:p w14:paraId="32A2EF59">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b w:val="0"/>
          <w:bCs w:val="0"/>
          <w:kern w:val="2"/>
          <w:sz w:val="44"/>
          <w:szCs w:val="44"/>
          <w:lang w:val="zh-CN"/>
        </w:rPr>
      </w:pPr>
      <w:r>
        <w:rPr>
          <w:rFonts w:hint="eastAsia" w:ascii="方正小标宋简体" w:hAnsi="方正小标宋简体" w:eastAsia="方正小标宋简体" w:cs="方正小标宋简体"/>
          <w:b w:val="0"/>
          <w:bCs w:val="0"/>
          <w:kern w:val="2"/>
          <w:sz w:val="44"/>
          <w:szCs w:val="44"/>
          <w:lang w:val="zh-CN"/>
        </w:rPr>
        <w:t>目   录</w:t>
      </w:r>
    </w:p>
    <w:p w14:paraId="63F9014C">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楷体_GB2312" w:eastAsia="楷体_GB2312"/>
          <w:b w:val="0"/>
          <w:bCs w:val="0"/>
          <w:sz w:val="32"/>
          <w:szCs w:val="32"/>
        </w:rPr>
      </w:pPr>
    </w:p>
    <w:p w14:paraId="153E72C3">
      <w:pPr>
        <w:pStyle w:val="2"/>
        <w:keepNext w:val="0"/>
        <w:keepLines w:val="0"/>
        <w:pageBreakBefore w:val="0"/>
        <w:widowControl w:val="0"/>
        <w:kinsoku/>
        <w:wordWrap/>
        <w:overflowPunct w:val="0"/>
        <w:topLinePunct w:val="0"/>
        <w:autoSpaceDE w:val="0"/>
        <w:autoSpaceDN w:val="0"/>
        <w:bidi w:val="0"/>
        <w:adjustRightInd w:val="0"/>
        <w:snapToGrid/>
        <w:spacing w:beforeLines="0" w:afterLines="0" w:line="576" w:lineRule="exact"/>
        <w:textAlignment w:val="auto"/>
        <w:rPr>
          <w:rFonts w:hint="eastAsia"/>
        </w:rPr>
      </w:pPr>
    </w:p>
    <w:p w14:paraId="5A9024EF">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第一部分 部门概况</w:t>
      </w:r>
      <w:r>
        <w:rPr>
          <w:rFonts w:hint="eastAsia" w:ascii="黑体" w:hAnsi="黑体" w:eastAsia="黑体" w:cs="黑体"/>
          <w:b w:val="0"/>
          <w:bCs w:val="0"/>
          <w:sz w:val="32"/>
          <w:szCs w:val="32"/>
        </w:rPr>
        <w:tab/>
      </w:r>
      <w:r>
        <w:rPr>
          <w:rFonts w:hint="eastAsia" w:ascii="黑体" w:hAnsi="黑体" w:eastAsia="黑体" w:cs="黑体"/>
          <w:b w:val="0"/>
          <w:bCs w:val="0"/>
          <w:sz w:val="32"/>
          <w:szCs w:val="32"/>
        </w:rPr>
        <w:t>4</w:t>
      </w:r>
    </w:p>
    <w:p w14:paraId="04939E0D">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一、部门职责</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w:t>
      </w:r>
    </w:p>
    <w:p w14:paraId="773936A8">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二、机构设置</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12</w:t>
      </w:r>
    </w:p>
    <w:p w14:paraId="6218D048">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第二部分 2023年度部门决算情况说明</w:t>
      </w:r>
      <w:r>
        <w:rPr>
          <w:rFonts w:hint="eastAsia" w:ascii="黑体" w:hAnsi="黑体" w:eastAsia="黑体" w:cs="黑体"/>
          <w:b w:val="0"/>
          <w:bCs w:val="0"/>
          <w:sz w:val="32"/>
          <w:szCs w:val="32"/>
        </w:rPr>
        <w:tab/>
      </w:r>
      <w:r>
        <w:rPr>
          <w:rFonts w:hint="eastAsia" w:ascii="黑体" w:hAnsi="黑体" w:eastAsia="黑体" w:cs="黑体"/>
          <w:b w:val="0"/>
          <w:bCs w:val="0"/>
          <w:sz w:val="32"/>
          <w:szCs w:val="32"/>
        </w:rPr>
        <w:t>13</w:t>
      </w:r>
    </w:p>
    <w:p w14:paraId="5C4C1CCA">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一、收入支出决算总体情况说明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13</w:t>
      </w:r>
    </w:p>
    <w:p w14:paraId="1AA095D4">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二、收入决算情况说明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13</w:t>
      </w:r>
    </w:p>
    <w:p w14:paraId="62D69AB2">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三、支出决算情况说明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14</w:t>
      </w:r>
    </w:p>
    <w:p w14:paraId="30EB7708">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四、财政拨款收入支出决算总体情况说明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w:t>
      </w:r>
      <w:r>
        <w:rPr>
          <w:rFonts w:hint="eastAsia" w:ascii="Times New Roman" w:eastAsia="仿宋_GB2312"/>
          <w:b w:val="0"/>
          <w:bCs w:val="0"/>
          <w:sz w:val="32"/>
          <w:szCs w:val="32"/>
          <w:lang w:val="en-US" w:eastAsia="zh-CN"/>
        </w:rPr>
        <w:t>5</w:t>
      </w:r>
    </w:p>
    <w:p w14:paraId="6E96FE60">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五、一般公共预算财政拨款支出决算情况说明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15</w:t>
      </w:r>
    </w:p>
    <w:p w14:paraId="1063887C">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六、一般公共预算财政拨款基本支出决算情况说明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17</w:t>
      </w:r>
    </w:p>
    <w:p w14:paraId="54B4B3D5">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七、财政拨款“三公”经费支出决算情况说明</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1</w:t>
      </w:r>
      <w:r>
        <w:rPr>
          <w:rFonts w:hint="eastAsia" w:ascii="Times New Roman" w:eastAsia="仿宋_GB2312"/>
          <w:b w:val="0"/>
          <w:bCs w:val="0"/>
          <w:sz w:val="32"/>
          <w:szCs w:val="32"/>
          <w:lang w:val="en-US" w:eastAsia="zh-CN"/>
        </w:rPr>
        <w:t>8</w:t>
      </w:r>
    </w:p>
    <w:p w14:paraId="5F2D999D">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rPr>
        <w:t>八、政府性基金预算支出决算情况说明</w:t>
      </w:r>
      <w:r>
        <w:rPr>
          <w:rFonts w:hint="eastAsia" w:ascii="仿宋_GB2312" w:eastAsia="仿宋_GB2312"/>
          <w:b w:val="0"/>
          <w:bCs w:val="0"/>
          <w:sz w:val="32"/>
          <w:szCs w:val="32"/>
        </w:rPr>
        <w:tab/>
      </w:r>
      <w:r>
        <w:rPr>
          <w:rFonts w:hint="eastAsia" w:ascii="Times New Roman" w:eastAsia="仿宋_GB2312"/>
          <w:b w:val="0"/>
          <w:bCs w:val="0"/>
          <w:sz w:val="32"/>
          <w:szCs w:val="32"/>
          <w:lang w:val="en-US" w:eastAsia="zh-CN"/>
        </w:rPr>
        <w:t>20</w:t>
      </w:r>
    </w:p>
    <w:p w14:paraId="772165A4">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rPr>
        <w:t>九、国有资本经营预算支出决算情况说明</w:t>
      </w:r>
      <w:r>
        <w:rPr>
          <w:rFonts w:hint="eastAsia" w:ascii="仿宋_GB2312" w:eastAsia="仿宋_GB2312"/>
          <w:b w:val="0"/>
          <w:bCs w:val="0"/>
          <w:sz w:val="32"/>
          <w:szCs w:val="32"/>
        </w:rPr>
        <w:tab/>
      </w:r>
      <w:r>
        <w:rPr>
          <w:rFonts w:hint="eastAsia" w:ascii="Times New Roman" w:eastAsia="仿宋_GB2312"/>
          <w:b w:val="0"/>
          <w:bCs w:val="0"/>
          <w:sz w:val="32"/>
          <w:szCs w:val="32"/>
          <w:lang w:val="en-US" w:eastAsia="zh-CN"/>
        </w:rPr>
        <w:t>20</w:t>
      </w:r>
    </w:p>
    <w:p w14:paraId="1BCBA57D">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rPr>
        <w:t>十、其他重要事项的情况说明</w:t>
      </w:r>
      <w:r>
        <w:rPr>
          <w:rFonts w:hint="eastAsia" w:ascii="仿宋_GB2312" w:eastAsia="仿宋_GB2312"/>
          <w:b w:val="0"/>
          <w:bCs w:val="0"/>
          <w:sz w:val="32"/>
          <w:szCs w:val="32"/>
        </w:rPr>
        <w:tab/>
      </w:r>
      <w:r>
        <w:rPr>
          <w:rFonts w:hint="eastAsia" w:ascii="Times New Roman" w:eastAsia="仿宋_GB2312"/>
          <w:b w:val="0"/>
          <w:bCs w:val="0"/>
          <w:sz w:val="32"/>
          <w:szCs w:val="32"/>
          <w:lang w:val="en-US" w:eastAsia="zh-CN"/>
        </w:rPr>
        <w:t>20</w:t>
      </w:r>
    </w:p>
    <w:p w14:paraId="6D751588">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第三部分 名词解释</w:t>
      </w:r>
      <w:r>
        <w:rPr>
          <w:rFonts w:hint="eastAsia" w:ascii="黑体" w:hAnsi="黑体" w:eastAsia="黑体" w:cs="黑体"/>
          <w:b w:val="0"/>
          <w:bCs w:val="0"/>
          <w:sz w:val="32"/>
          <w:szCs w:val="32"/>
        </w:rPr>
        <w:tab/>
      </w: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2</w:t>
      </w:r>
    </w:p>
    <w:p w14:paraId="02D73AA8">
      <w:pPr>
        <w:keepNext w:val="0"/>
        <w:keepLines w:val="0"/>
        <w:pageBreakBefore w:val="0"/>
        <w:widowControl w:val="0"/>
        <w:tabs>
          <w:tab w:val="right" w:leader="dot" w:pos="8505"/>
        </w:tabs>
        <w:kinsoku/>
        <w:wordWrap/>
        <w:overflowPunct w:val="0"/>
        <w:topLinePunct w:val="0"/>
        <w:autoSpaceDE w:val="0"/>
        <w:autoSpaceDN w:val="0"/>
        <w:bidi w:val="0"/>
        <w:adjustRightInd w:val="0"/>
        <w:snapToGrid/>
        <w:spacing w:line="576"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第四部分 附件</w:t>
      </w:r>
      <w:r>
        <w:rPr>
          <w:rFonts w:hint="eastAsia" w:ascii="黑体" w:hAnsi="黑体" w:eastAsia="黑体" w:cs="黑体"/>
          <w:b w:val="0"/>
          <w:bCs w:val="0"/>
          <w:sz w:val="32"/>
          <w:szCs w:val="32"/>
        </w:rPr>
        <w:tab/>
      </w: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4</w:t>
      </w:r>
    </w:p>
    <w:p w14:paraId="0DBE208C">
      <w:pPr>
        <w:tabs>
          <w:tab w:val="right" w:leader="dot" w:pos="8505"/>
        </w:tabs>
        <w:spacing w:line="576" w:lineRule="exact"/>
        <w:rPr>
          <w:rFonts w:hint="eastAsia" w:ascii="仿宋_GB2312" w:eastAsia="仿宋_GB2312"/>
          <w:b w:val="0"/>
          <w:bCs w:val="0"/>
          <w:sz w:val="32"/>
          <w:szCs w:val="32"/>
          <w:lang w:eastAsia="zh-CN"/>
        </w:rPr>
      </w:pPr>
      <w:r>
        <w:rPr>
          <w:rFonts w:hint="eastAsia" w:ascii="仿宋_GB2312" w:eastAsia="仿宋_GB2312"/>
          <w:b w:val="0"/>
          <w:bCs w:val="0"/>
          <w:sz w:val="32"/>
          <w:szCs w:val="32"/>
        </w:rPr>
        <w:t>附件</w:t>
      </w:r>
      <w:r>
        <w:rPr>
          <w:rFonts w:hint="eastAsia" w:ascii="Times New Roman" w:hAnsi="Times New Roman" w:eastAsia="仿宋_GB2312"/>
          <w:b w:val="0"/>
          <w:bCs w:val="0"/>
          <w:sz w:val="32"/>
          <w:szCs w:val="32"/>
        </w:rPr>
        <w:t>1</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2</w:t>
      </w:r>
      <w:r>
        <w:rPr>
          <w:rFonts w:hint="eastAsia" w:ascii="Times New Roman" w:eastAsia="仿宋_GB2312"/>
          <w:b w:val="0"/>
          <w:bCs w:val="0"/>
          <w:sz w:val="32"/>
          <w:szCs w:val="32"/>
          <w:lang w:val="en-US" w:eastAsia="zh-CN"/>
        </w:rPr>
        <w:t>4</w:t>
      </w:r>
    </w:p>
    <w:p w14:paraId="615C786A">
      <w:pPr>
        <w:tabs>
          <w:tab w:val="right" w:leader="dot" w:pos="8505"/>
        </w:tabs>
        <w:spacing w:line="576" w:lineRule="exact"/>
        <w:rPr>
          <w:rFonts w:hint="eastAsia" w:ascii="仿宋_GB2312" w:eastAsia="仿宋_GB2312"/>
          <w:b w:val="0"/>
          <w:bCs w:val="0"/>
          <w:sz w:val="32"/>
          <w:szCs w:val="32"/>
          <w:lang w:eastAsia="zh-CN"/>
        </w:rPr>
      </w:pPr>
      <w:r>
        <w:rPr>
          <w:rFonts w:hint="eastAsia" w:ascii="仿宋_GB2312" w:eastAsia="仿宋_GB2312"/>
          <w:b w:val="0"/>
          <w:bCs w:val="0"/>
          <w:sz w:val="32"/>
          <w:szCs w:val="32"/>
        </w:rPr>
        <w:t>附件</w:t>
      </w:r>
      <w:r>
        <w:rPr>
          <w:rFonts w:hint="eastAsia" w:ascii="Times New Roman" w:hAnsi="Times New Roman" w:eastAsia="仿宋_GB2312"/>
          <w:b w:val="0"/>
          <w:bCs w:val="0"/>
          <w:sz w:val="32"/>
          <w:szCs w:val="32"/>
        </w:rPr>
        <w:t>2</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w:t>
      </w:r>
      <w:r>
        <w:rPr>
          <w:rFonts w:hint="eastAsia" w:ascii="Times New Roman" w:eastAsia="仿宋_GB2312"/>
          <w:b w:val="0"/>
          <w:bCs w:val="0"/>
          <w:sz w:val="32"/>
          <w:szCs w:val="32"/>
          <w:lang w:val="en-US" w:eastAsia="zh-CN"/>
        </w:rPr>
        <w:t>1</w:t>
      </w:r>
    </w:p>
    <w:p w14:paraId="2001EDC7">
      <w:pPr>
        <w:tabs>
          <w:tab w:val="right" w:leader="dot" w:pos="8505"/>
        </w:tabs>
        <w:spacing w:line="576"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第五部分 附表</w:t>
      </w:r>
      <w:r>
        <w:rPr>
          <w:rFonts w:hint="eastAsia" w:ascii="黑体" w:hAnsi="黑体" w:eastAsia="黑体" w:cs="黑体"/>
          <w:b w:val="0"/>
          <w:bCs w:val="0"/>
          <w:sz w:val="32"/>
          <w:szCs w:val="32"/>
        </w:rPr>
        <w:tab/>
      </w:r>
      <w:r>
        <w:rPr>
          <w:rFonts w:hint="eastAsia" w:ascii="黑体" w:hAnsi="黑体" w:eastAsia="黑体" w:cs="黑体"/>
          <w:b w:val="0"/>
          <w:bCs w:val="0"/>
          <w:sz w:val="32"/>
          <w:szCs w:val="32"/>
          <w:lang w:val="en-US" w:eastAsia="zh-CN"/>
        </w:rPr>
        <w:t>44</w:t>
      </w:r>
    </w:p>
    <w:p w14:paraId="4EA2A57B">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一、收入支出决算总表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09B88E50">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二、收入决算表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37944928">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三、支出决算表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3D25C4F1">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四、财政拨款收入支出决算总表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1ED1BA52">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五、财政拨款支出决算明细表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5E7323D8">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六、一般公共预算财政拨款支出决算表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6ACF5801">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七、一般公共预算财政拨款支出决算明细表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0BE200C7">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八、一般公共预算财政拨款基本支出决算表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5EF14F6F">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九、一般公共预算财政拨款项目支出决算表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0F0594CC">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十、政府性基金预算财政拨款收入支出决算表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73849D69">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十一、国有资本经营预算财政拨款收入支出决算表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3A9E336A">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十二、国有资本经营预算财政拨款支出决算表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05E87756">
      <w:pPr>
        <w:tabs>
          <w:tab w:val="right" w:leader="dot" w:pos="8505"/>
        </w:tabs>
        <w:spacing w:line="576" w:lineRule="exact"/>
        <w:rPr>
          <w:rFonts w:hint="eastAsia" w:ascii="仿宋_GB2312" w:eastAsia="仿宋_GB2312"/>
          <w:b w:val="0"/>
          <w:bCs w:val="0"/>
          <w:sz w:val="32"/>
          <w:szCs w:val="32"/>
        </w:rPr>
      </w:pPr>
      <w:r>
        <w:rPr>
          <w:rFonts w:hint="eastAsia" w:ascii="仿宋_GB2312" w:eastAsia="仿宋_GB2312"/>
          <w:b w:val="0"/>
          <w:bCs w:val="0"/>
          <w:sz w:val="32"/>
          <w:szCs w:val="32"/>
        </w:rPr>
        <w:t>十三、财政拨款“三公”经费支出决算表</w:t>
      </w:r>
      <w:r>
        <w:rPr>
          <w:rFonts w:hint="eastAsia" w:ascii="仿宋_GB2312" w:eastAsia="仿宋_GB2312"/>
          <w:b w:val="0"/>
          <w:bCs w:val="0"/>
          <w:sz w:val="32"/>
          <w:szCs w:val="32"/>
        </w:rPr>
        <w:tab/>
      </w:r>
      <w:r>
        <w:rPr>
          <w:rFonts w:hint="eastAsia" w:ascii="Times New Roman" w:hAnsi="Times New Roman" w:eastAsia="仿宋_GB2312"/>
          <w:b w:val="0"/>
          <w:bCs w:val="0"/>
          <w:sz w:val="32"/>
          <w:szCs w:val="32"/>
        </w:rPr>
        <w:t>44</w:t>
      </w:r>
    </w:p>
    <w:p w14:paraId="4307576B">
      <w:pPr>
        <w:rPr>
          <w:rFonts w:hint="eastAsia" w:ascii="Times New Roman" w:eastAsia="Times New Roman"/>
          <w:b w:val="0"/>
          <w:bCs w:val="0"/>
          <w:sz w:val="24"/>
          <w:szCs w:val="24"/>
        </w:rPr>
      </w:pPr>
    </w:p>
    <w:p w14:paraId="46E0792F">
      <w:pPr>
        <w:pStyle w:val="5"/>
        <w:spacing w:before="72"/>
        <w:rPr>
          <w:rFonts w:hint="eastAsia"/>
          <w:b w:val="0"/>
          <w:bCs w:val="0"/>
          <w:sz w:val="30"/>
          <w:szCs w:val="24"/>
        </w:rPr>
        <w:sectPr>
          <w:footerReference r:id="rId3" w:type="default"/>
          <w:pgSz w:w="12240" w:h="15840"/>
          <w:pgMar w:top="2098" w:right="1474" w:bottom="1984" w:left="1587" w:header="850" w:footer="1587" w:gutter="0"/>
          <w:lnNumType w:countBy="0" w:distance="360"/>
          <w:pgNumType w:fmt="decimal"/>
          <w:cols w:space="720" w:num="1"/>
          <w:rtlGutter w:val="0"/>
          <w:docGrid w:linePitch="0" w:charSpace="0"/>
        </w:sectPr>
      </w:pPr>
    </w:p>
    <w:p w14:paraId="164C84CD">
      <w:pPr>
        <w:pStyle w:val="3"/>
        <w:keepNext w:val="0"/>
        <w:keepLines w:val="0"/>
        <w:pageBreakBefore w:val="0"/>
        <w:widowControl w:val="0"/>
        <w:kinsoku/>
        <w:wordWrap/>
        <w:overflowPunct w:val="0"/>
        <w:topLinePunct w:val="0"/>
        <w:bidi w:val="0"/>
        <w:snapToGrid/>
        <w:spacing w:line="576" w:lineRule="exact"/>
        <w:jc w:val="center"/>
        <w:textAlignment w:val="auto"/>
        <w:rPr>
          <w:rFonts w:hint="eastAsia" w:ascii="方正小标宋简体" w:hAnsi="方正小标宋简体" w:eastAsia="方正小标宋简体" w:cs="方正小标宋简体"/>
          <w:b w:val="0"/>
          <w:bCs w:val="0"/>
          <w:kern w:val="44"/>
          <w:sz w:val="44"/>
          <w:szCs w:val="24"/>
        </w:rPr>
      </w:pPr>
      <w:r>
        <w:rPr>
          <w:rFonts w:hint="eastAsia" w:ascii="方正小标宋简体" w:hAnsi="方正小标宋简体" w:eastAsia="方正小标宋简体" w:cs="方正小标宋简体"/>
          <w:b w:val="0"/>
          <w:bCs w:val="0"/>
          <w:kern w:val="44"/>
          <w:sz w:val="44"/>
          <w:szCs w:val="24"/>
        </w:rPr>
        <w:t>第一部分 部门概况</w:t>
      </w:r>
    </w:p>
    <w:p w14:paraId="01DFAD3C">
      <w:pPr>
        <w:pStyle w:val="4"/>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黑体" w:hAnsi="黑体" w:eastAsia="黑体"/>
          <w:b w:val="0"/>
          <w:bCs w:val="0"/>
          <w:color w:val="000000"/>
          <w:kern w:val="2"/>
          <w:sz w:val="32"/>
          <w:szCs w:val="24"/>
        </w:rPr>
      </w:pPr>
    </w:p>
    <w:p w14:paraId="24D5D8EE">
      <w:pPr>
        <w:pStyle w:val="4"/>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一、部门职责</w:t>
      </w:r>
    </w:p>
    <w:p w14:paraId="02C03BEC">
      <w:pPr>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楷体_GB2312" w:hAnsi="楷体_GB2312" w:eastAsia="楷体_GB2312" w:cs="楷体_GB2312"/>
          <w:b w:val="0"/>
          <w:bCs w:val="0"/>
          <w:kern w:val="2"/>
          <w:sz w:val="32"/>
          <w:szCs w:val="24"/>
        </w:rPr>
      </w:pPr>
      <w:r>
        <w:rPr>
          <w:rFonts w:hint="eastAsia" w:ascii="楷体_GB2312" w:hAnsi="楷体_GB2312" w:eastAsia="楷体_GB2312" w:cs="楷体_GB2312"/>
          <w:b w:val="0"/>
          <w:bCs w:val="0"/>
          <w:kern w:val="2"/>
          <w:sz w:val="32"/>
          <w:szCs w:val="24"/>
        </w:rPr>
        <w:t>（一）主要职能。</w:t>
      </w:r>
    </w:p>
    <w:p w14:paraId="0C6EB348">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.协助相关部门做好区委、区政府重大决策、重要工作部署落实情况督促检查，承担区委、区政府领导批交办事项专项督查或督查调研；根据授权，协助统筹规范区本级督查检查考核事项。</w:t>
      </w:r>
    </w:p>
    <w:p w14:paraId="6F465F90">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.配合做好乡镇（街道）、区级部门实施目标绩效运行监控，牵头组织考评。</w:t>
      </w:r>
    </w:p>
    <w:p w14:paraId="1CDD0D6B">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.负责协助做好市委、市政府下达的绩效目标任务的运行。</w:t>
      </w:r>
    </w:p>
    <w:p w14:paraId="0B800D4C">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w:t>
      </w:r>
      <w:r>
        <w:rPr>
          <w:rFonts w:hint="eastAsia" w:ascii="仿宋_GB2312" w:hAnsi="仿宋_GB2312" w:eastAsia="仿宋_GB2312" w:cs="仿宋_GB2312"/>
          <w:b w:val="0"/>
          <w:bCs w:val="0"/>
          <w:kern w:val="2"/>
          <w:sz w:val="32"/>
          <w:szCs w:val="32"/>
        </w:rPr>
        <w:t>.参与区委、区政府年度民生实事任务统筹，拟订全区民生实事实施方案，开展日常推进督促检查。</w:t>
      </w:r>
    </w:p>
    <w:p w14:paraId="3A29B0F6">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5</w:t>
      </w:r>
      <w:r>
        <w:rPr>
          <w:rFonts w:hint="eastAsia" w:ascii="仿宋_GB2312" w:hAnsi="仿宋_GB2312" w:eastAsia="仿宋_GB2312" w:cs="仿宋_GB2312"/>
          <w:b w:val="0"/>
          <w:bCs w:val="0"/>
          <w:kern w:val="2"/>
          <w:sz w:val="32"/>
          <w:szCs w:val="32"/>
        </w:rPr>
        <w:t>.配合做好区人大代表建议和区政协提案的交办督办工作，拟订区政府领导领办重点建议提案方案，组织开展办理工作视察活动。</w:t>
      </w:r>
    </w:p>
    <w:p w14:paraId="03D4BDAF">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6</w:t>
      </w:r>
      <w:r>
        <w:rPr>
          <w:rFonts w:hint="eastAsia" w:ascii="仿宋_GB2312" w:hAnsi="仿宋_GB2312" w:eastAsia="仿宋_GB2312" w:cs="仿宋_GB2312"/>
          <w:b w:val="0"/>
          <w:bCs w:val="0"/>
          <w:kern w:val="2"/>
          <w:sz w:val="32"/>
          <w:szCs w:val="32"/>
        </w:rPr>
        <w:t>.协助督办区委常委会决定事项、区委主要领导批示件办理工作以及区政府常务会交办事项、区政府主要领导批示件办理工作。</w:t>
      </w:r>
    </w:p>
    <w:p w14:paraId="480F59AF">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7</w:t>
      </w:r>
      <w:r>
        <w:rPr>
          <w:rFonts w:hint="eastAsia" w:ascii="仿宋_GB2312" w:hAnsi="仿宋_GB2312" w:eastAsia="仿宋_GB2312" w:cs="仿宋_GB2312"/>
          <w:b w:val="0"/>
          <w:bCs w:val="0"/>
          <w:kern w:val="2"/>
          <w:sz w:val="32"/>
          <w:szCs w:val="32"/>
        </w:rPr>
        <w:t>.承担区督促检查和目标绩效领导小组日常工作。</w:t>
      </w:r>
    </w:p>
    <w:p w14:paraId="1D6C888F">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8</w:t>
      </w:r>
      <w:r>
        <w:rPr>
          <w:rFonts w:hint="eastAsia" w:ascii="仿宋_GB2312" w:hAnsi="仿宋_GB2312" w:eastAsia="仿宋_GB2312" w:cs="仿宋_GB2312"/>
          <w:b w:val="0"/>
          <w:bCs w:val="0"/>
          <w:kern w:val="2"/>
          <w:sz w:val="32"/>
          <w:szCs w:val="32"/>
        </w:rPr>
        <w:t>.完成区委交办的其他任务。</w:t>
      </w:r>
    </w:p>
    <w:p w14:paraId="02F7A9BE">
      <w:pPr>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楷体_GB2312" w:hAnsi="楷体_GB2312" w:eastAsia="楷体_GB2312" w:cs="楷体_GB2312"/>
          <w:b w:val="0"/>
          <w:bCs w:val="0"/>
          <w:kern w:val="2"/>
          <w:sz w:val="32"/>
          <w:szCs w:val="24"/>
        </w:rPr>
      </w:pPr>
      <w:r>
        <w:rPr>
          <w:rFonts w:hint="eastAsia" w:ascii="楷体_GB2312" w:hAnsi="楷体_GB2312" w:eastAsia="楷体_GB2312" w:cs="楷体_GB2312"/>
          <w:b w:val="0"/>
          <w:bCs w:val="0"/>
          <w:kern w:val="2"/>
          <w:sz w:val="32"/>
          <w:szCs w:val="24"/>
        </w:rPr>
        <w:t>（二）</w:t>
      </w:r>
      <w:r>
        <w:rPr>
          <w:rFonts w:hint="eastAsia" w:ascii="Times New Roman" w:hAnsi="Times New Roman" w:eastAsia="楷体_GB2312" w:cs="楷体_GB2312"/>
          <w:b w:val="0"/>
          <w:bCs w:val="0"/>
          <w:kern w:val="2"/>
          <w:sz w:val="32"/>
          <w:szCs w:val="24"/>
        </w:rPr>
        <w:t>2023</w:t>
      </w:r>
      <w:r>
        <w:rPr>
          <w:rFonts w:hint="eastAsia" w:ascii="楷体_GB2312" w:hAnsi="楷体_GB2312" w:eastAsia="楷体_GB2312" w:cs="楷体_GB2312"/>
          <w:b w:val="0"/>
          <w:bCs w:val="0"/>
          <w:kern w:val="2"/>
          <w:sz w:val="32"/>
          <w:szCs w:val="24"/>
        </w:rPr>
        <w:t>年重点工作完成情况。</w:t>
      </w:r>
    </w:p>
    <w:p w14:paraId="0F500450">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.始终聚焦重大决策部署，不遗余力服务大局履职尽责</w:t>
      </w:r>
    </w:p>
    <w:p w14:paraId="03168CA8">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务实开展政治督查。一是紧盯习近平总书记重要指示批示精神贯彻落实。聚焦习近平总书记来川来广视察重要指示精神和其他重要指示批示精神，牵头制定《督查工作方案》《重点任务责任清单》，建立督办台账，实行清单式管理、动态式调整、跟踪式督办，常态化开展贯彻落实“回头看”，全年报送贯彻落实情况报告</w:t>
      </w: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期。聚焦市委八届七次全会和区委八届五次全会重要部署，细化分解</w:t>
      </w:r>
      <w:r>
        <w:rPr>
          <w:rFonts w:hint="eastAsia" w:ascii="Times New Roman" w:hAnsi="Times New Roman" w:eastAsia="仿宋_GB2312" w:cs="仿宋_GB2312"/>
          <w:b w:val="0"/>
          <w:bCs w:val="0"/>
          <w:kern w:val="2"/>
          <w:sz w:val="32"/>
          <w:szCs w:val="32"/>
        </w:rPr>
        <w:t>15</w:t>
      </w:r>
      <w:r>
        <w:rPr>
          <w:rFonts w:hint="eastAsia" w:ascii="仿宋_GB2312" w:hAnsi="仿宋_GB2312" w:eastAsia="仿宋_GB2312" w:cs="仿宋_GB2312"/>
          <w:b w:val="0"/>
          <w:bCs w:val="0"/>
          <w:kern w:val="2"/>
          <w:sz w:val="32"/>
          <w:szCs w:val="32"/>
        </w:rPr>
        <w:t>个方面</w:t>
      </w:r>
      <w:r>
        <w:rPr>
          <w:rFonts w:hint="eastAsia" w:ascii="Times New Roman" w:hAnsi="Times New Roman" w:eastAsia="仿宋_GB2312" w:cs="仿宋_GB2312"/>
          <w:b w:val="0"/>
          <w:bCs w:val="0"/>
          <w:kern w:val="2"/>
          <w:sz w:val="32"/>
          <w:szCs w:val="32"/>
        </w:rPr>
        <w:t>88</w:t>
      </w:r>
      <w:r>
        <w:rPr>
          <w:rFonts w:hint="eastAsia" w:ascii="仿宋_GB2312" w:hAnsi="仿宋_GB2312" w:eastAsia="仿宋_GB2312" w:cs="仿宋_GB2312"/>
          <w:b w:val="0"/>
          <w:bCs w:val="0"/>
          <w:kern w:val="2"/>
          <w:sz w:val="32"/>
          <w:szCs w:val="32"/>
        </w:rPr>
        <w:t>项具体任务，实行月督查、月调度、月通报。二是紧盯党委重大会议部署落实。聚焦“两个确立”“两个维护”，紧扣服务保障中心大局，细化梳理制定省委十二届二次、三次、全会，市委八届五次、六次全会，区委八届四次、五次全会，市委、区委经济工作会等重要部署责任分工方案（清单）</w:t>
      </w: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个，采取“暗访督查+抽查调度”方式，对各镇和区级重点部门落实有关任务情况督查调度</w:t>
      </w:r>
      <w:r>
        <w:rPr>
          <w:rFonts w:hint="eastAsia" w:ascii="Times New Roman" w:hAnsi="Times New Roman" w:eastAsia="仿宋_GB2312" w:cs="仿宋_GB2312"/>
          <w:b w:val="0"/>
          <w:bCs w:val="0"/>
          <w:kern w:val="2"/>
          <w:sz w:val="32"/>
          <w:szCs w:val="32"/>
        </w:rPr>
        <w:t>8</w:t>
      </w:r>
      <w:r>
        <w:rPr>
          <w:rFonts w:hint="eastAsia" w:ascii="仿宋_GB2312" w:hAnsi="仿宋_GB2312" w:eastAsia="仿宋_GB2312" w:cs="仿宋_GB2312"/>
          <w:b w:val="0"/>
          <w:bCs w:val="0"/>
          <w:kern w:val="2"/>
          <w:sz w:val="32"/>
          <w:szCs w:val="32"/>
        </w:rPr>
        <w:t>次。三是紧盯调研指示精神落实。坚持把贯彻落实各级领导调研指示精神作为重点工作，聚焦重点任务，认真制定了省委领导来广来昭调研、市委主要领导来昭调研重要指示精神等</w:t>
      </w:r>
      <w:r>
        <w:rPr>
          <w:rFonts w:hint="eastAsia" w:ascii="Times New Roman" w:hAnsi="Times New Roman" w:eastAsia="仿宋_GB2312" w:cs="仿宋_GB2312"/>
          <w:b w:val="0"/>
          <w:bCs w:val="0"/>
          <w:kern w:val="2"/>
          <w:sz w:val="32"/>
          <w:szCs w:val="32"/>
        </w:rPr>
        <w:t>10</w:t>
      </w:r>
      <w:r>
        <w:rPr>
          <w:rFonts w:hint="eastAsia" w:ascii="仿宋_GB2312" w:hAnsi="仿宋_GB2312" w:eastAsia="仿宋_GB2312" w:cs="仿宋_GB2312"/>
          <w:b w:val="0"/>
          <w:bCs w:val="0"/>
          <w:kern w:val="2"/>
          <w:sz w:val="32"/>
          <w:szCs w:val="32"/>
        </w:rPr>
        <w:t>个重点任务分工方案（清单），明确实施路线、落实牵头责任、划定职责分工，开展专项督查调度</w:t>
      </w:r>
      <w:r>
        <w:rPr>
          <w:rFonts w:hint="eastAsia" w:ascii="Times New Roman" w:hAnsi="Times New Roman" w:eastAsia="仿宋_GB2312" w:cs="仿宋_GB2312"/>
          <w:b w:val="0"/>
          <w:bCs w:val="0"/>
          <w:kern w:val="2"/>
          <w:sz w:val="32"/>
          <w:szCs w:val="32"/>
        </w:rPr>
        <w:t>8</w:t>
      </w:r>
      <w:r>
        <w:rPr>
          <w:rFonts w:hint="eastAsia" w:ascii="仿宋_GB2312" w:hAnsi="仿宋_GB2312" w:eastAsia="仿宋_GB2312" w:cs="仿宋_GB2312"/>
          <w:b w:val="0"/>
          <w:bCs w:val="0"/>
          <w:kern w:val="2"/>
          <w:sz w:val="32"/>
          <w:szCs w:val="32"/>
        </w:rPr>
        <w:t>次，报送贯彻落实情况</w:t>
      </w:r>
      <w:r>
        <w:rPr>
          <w:rFonts w:hint="eastAsia" w:ascii="Times New Roman" w:hAnsi="Times New Roman" w:eastAsia="仿宋_GB2312" w:cs="仿宋_GB2312"/>
          <w:b w:val="0"/>
          <w:bCs w:val="0"/>
          <w:kern w:val="2"/>
          <w:sz w:val="32"/>
          <w:szCs w:val="32"/>
        </w:rPr>
        <w:t>8</w:t>
      </w:r>
      <w:r>
        <w:rPr>
          <w:rFonts w:hint="eastAsia" w:ascii="仿宋_GB2312" w:hAnsi="仿宋_GB2312" w:eastAsia="仿宋_GB2312" w:cs="仿宋_GB2312"/>
          <w:b w:val="0"/>
          <w:bCs w:val="0"/>
          <w:kern w:val="2"/>
          <w:sz w:val="32"/>
          <w:szCs w:val="32"/>
        </w:rPr>
        <w:t>期。四是紧盯领导批交办事项落实。坚持“想领导所思、急领导所盼、解领导所忧”，围绕区委重要工作部署和主要领导批交办事项</w:t>
      </w:r>
      <w:r>
        <w:rPr>
          <w:rFonts w:hint="eastAsia" w:ascii="Times New Roman" w:hAnsi="Times New Roman" w:eastAsia="仿宋_GB2312" w:cs="仿宋_GB2312"/>
          <w:b w:val="0"/>
          <w:bCs w:val="0"/>
          <w:kern w:val="2"/>
          <w:sz w:val="32"/>
          <w:szCs w:val="32"/>
        </w:rPr>
        <w:t>95</w:t>
      </w:r>
      <w:r>
        <w:rPr>
          <w:rFonts w:hint="eastAsia" w:ascii="仿宋_GB2312" w:hAnsi="仿宋_GB2312" w:eastAsia="仿宋_GB2312" w:cs="仿宋_GB2312"/>
          <w:b w:val="0"/>
          <w:bCs w:val="0"/>
          <w:kern w:val="2"/>
          <w:sz w:val="32"/>
          <w:szCs w:val="32"/>
        </w:rPr>
        <w:t>项，实行台账销号管理，定期反馈落实情况，持续调度未办结事项，截至目前，办结</w:t>
      </w:r>
      <w:r>
        <w:rPr>
          <w:rFonts w:hint="eastAsia" w:ascii="Times New Roman" w:hAnsi="Times New Roman" w:eastAsia="仿宋_GB2312" w:cs="仿宋_GB2312"/>
          <w:b w:val="0"/>
          <w:bCs w:val="0"/>
          <w:kern w:val="2"/>
          <w:sz w:val="32"/>
          <w:szCs w:val="32"/>
        </w:rPr>
        <w:t>86</w:t>
      </w:r>
      <w:r>
        <w:rPr>
          <w:rFonts w:hint="eastAsia" w:ascii="仿宋_GB2312" w:hAnsi="仿宋_GB2312" w:eastAsia="仿宋_GB2312" w:cs="仿宋_GB2312"/>
          <w:b w:val="0"/>
          <w:bCs w:val="0"/>
          <w:kern w:val="2"/>
          <w:sz w:val="32"/>
          <w:szCs w:val="32"/>
        </w:rPr>
        <w:t>项，持续跟踪督办事项</w:t>
      </w:r>
      <w:r>
        <w:rPr>
          <w:rFonts w:hint="eastAsia" w:ascii="Times New Roman" w:hAnsi="Times New Roman" w:eastAsia="仿宋_GB2312" w:cs="仿宋_GB2312"/>
          <w:b w:val="0"/>
          <w:bCs w:val="0"/>
          <w:kern w:val="2"/>
          <w:sz w:val="32"/>
          <w:szCs w:val="32"/>
        </w:rPr>
        <w:t>9</w:t>
      </w:r>
      <w:r>
        <w:rPr>
          <w:rFonts w:hint="eastAsia" w:ascii="仿宋_GB2312" w:hAnsi="仿宋_GB2312" w:eastAsia="仿宋_GB2312" w:cs="仿宋_GB2312"/>
          <w:b w:val="0"/>
          <w:bCs w:val="0"/>
          <w:kern w:val="2"/>
          <w:sz w:val="32"/>
          <w:szCs w:val="32"/>
        </w:rPr>
        <w:t>项，确保重大决策部署事项见行见效。</w:t>
      </w:r>
    </w:p>
    <w:p w14:paraId="4C44B2E9">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）扎实开展政务督查。一是盯住要事抓督查。围绕区政府重点工作和区政府主要领导批示件办理、企业家座谈会交办事项，建立专人“点对点”跟进、“事对事”督促、“件对件”落实机制，</w:t>
      </w:r>
      <w:r>
        <w:rPr>
          <w:rFonts w:hint="eastAsia" w:ascii="Times New Roman" w:hAnsi="Times New Roman" w:eastAsia="仿宋_GB2312" w:cs="仿宋_GB2312"/>
          <w:b w:val="0"/>
          <w:bCs w:val="0"/>
          <w:kern w:val="2"/>
          <w:sz w:val="32"/>
          <w:szCs w:val="32"/>
        </w:rPr>
        <w:t>2023</w:t>
      </w:r>
      <w:r>
        <w:rPr>
          <w:rFonts w:hint="eastAsia" w:ascii="仿宋_GB2312" w:hAnsi="仿宋_GB2312" w:eastAsia="仿宋_GB2312" w:cs="仿宋_GB2312"/>
          <w:b w:val="0"/>
          <w:bCs w:val="0"/>
          <w:kern w:val="2"/>
          <w:sz w:val="32"/>
          <w:szCs w:val="32"/>
        </w:rPr>
        <w:t>年督促办结重要工作部署事项</w:t>
      </w:r>
      <w:r>
        <w:rPr>
          <w:rFonts w:hint="eastAsia" w:ascii="Times New Roman" w:hAnsi="Times New Roman" w:eastAsia="仿宋_GB2312" w:cs="仿宋_GB2312"/>
          <w:b w:val="0"/>
          <w:bCs w:val="0"/>
          <w:kern w:val="2"/>
          <w:sz w:val="32"/>
          <w:szCs w:val="32"/>
        </w:rPr>
        <w:t>4</w:t>
      </w:r>
      <w:r>
        <w:rPr>
          <w:rFonts w:hint="eastAsia" w:ascii="仿宋_GB2312" w:hAnsi="仿宋_GB2312" w:eastAsia="仿宋_GB2312" w:cs="仿宋_GB2312"/>
          <w:b w:val="0"/>
          <w:bCs w:val="0"/>
          <w:kern w:val="2"/>
          <w:sz w:val="32"/>
          <w:szCs w:val="32"/>
        </w:rPr>
        <w:t>项、批交办事项</w:t>
      </w:r>
      <w:r>
        <w:rPr>
          <w:rFonts w:hint="eastAsia" w:ascii="Times New Roman" w:hAnsi="Times New Roman" w:eastAsia="仿宋_GB2312" w:cs="仿宋_GB2312"/>
          <w:b w:val="0"/>
          <w:bCs w:val="0"/>
          <w:kern w:val="2"/>
          <w:sz w:val="32"/>
          <w:szCs w:val="32"/>
        </w:rPr>
        <w:t>23</w:t>
      </w:r>
      <w:r>
        <w:rPr>
          <w:rFonts w:hint="eastAsia" w:ascii="仿宋_GB2312" w:hAnsi="仿宋_GB2312" w:eastAsia="仿宋_GB2312" w:cs="仿宋_GB2312"/>
          <w:b w:val="0"/>
          <w:bCs w:val="0"/>
          <w:kern w:val="2"/>
          <w:sz w:val="32"/>
          <w:szCs w:val="32"/>
        </w:rPr>
        <w:t>项、企业家座谈会交办事项</w:t>
      </w:r>
      <w:r>
        <w:rPr>
          <w:rFonts w:hint="eastAsia" w:ascii="Times New Roman" w:hAnsi="Times New Roman" w:eastAsia="仿宋_GB2312" w:cs="仿宋_GB2312"/>
          <w:b w:val="0"/>
          <w:bCs w:val="0"/>
          <w:kern w:val="2"/>
          <w:sz w:val="32"/>
          <w:szCs w:val="32"/>
        </w:rPr>
        <w:t>18</w:t>
      </w:r>
      <w:r>
        <w:rPr>
          <w:rFonts w:hint="eastAsia" w:ascii="仿宋_GB2312" w:hAnsi="仿宋_GB2312" w:eastAsia="仿宋_GB2312" w:cs="仿宋_GB2312"/>
          <w:b w:val="0"/>
          <w:bCs w:val="0"/>
          <w:kern w:val="2"/>
          <w:sz w:val="32"/>
          <w:szCs w:val="32"/>
        </w:rPr>
        <w:t>项，办结率</w:t>
      </w:r>
      <w:r>
        <w:rPr>
          <w:rFonts w:hint="eastAsia" w:ascii="Times New Roman" w:hAnsi="Times New Roman" w:eastAsia="仿宋_GB2312" w:cs="仿宋_GB2312"/>
          <w:b w:val="0"/>
          <w:bCs w:val="0"/>
          <w:kern w:val="2"/>
          <w:sz w:val="32"/>
          <w:szCs w:val="32"/>
        </w:rPr>
        <w:t>100</w:t>
      </w:r>
      <w:r>
        <w:rPr>
          <w:rFonts w:hint="eastAsia" w:ascii="仿宋_GB2312" w:hAnsi="仿宋_GB2312" w:eastAsia="仿宋_GB2312" w:cs="仿宋_GB2312"/>
          <w:b w:val="0"/>
          <w:bCs w:val="0"/>
          <w:kern w:val="2"/>
          <w:sz w:val="32"/>
          <w:szCs w:val="32"/>
        </w:rPr>
        <w:t>%，提交专项报告</w:t>
      </w:r>
      <w:r>
        <w:rPr>
          <w:rFonts w:hint="eastAsia" w:ascii="Times New Roman" w:hAnsi="Times New Roman" w:eastAsia="仿宋_GB2312" w:cs="仿宋_GB2312"/>
          <w:b w:val="0"/>
          <w:bCs w:val="0"/>
          <w:kern w:val="2"/>
          <w:sz w:val="32"/>
          <w:szCs w:val="32"/>
        </w:rPr>
        <w:t>9</w:t>
      </w:r>
      <w:r>
        <w:rPr>
          <w:rFonts w:hint="eastAsia" w:ascii="仿宋_GB2312" w:hAnsi="仿宋_GB2312" w:eastAsia="仿宋_GB2312" w:cs="仿宋_GB2312"/>
          <w:b w:val="0"/>
          <w:bCs w:val="0"/>
          <w:kern w:val="2"/>
          <w:sz w:val="32"/>
          <w:szCs w:val="32"/>
        </w:rPr>
        <w:t>期。二是盯住大事抓督查。围绕项目投资、创建天府旅游名县、创建乡村振兴成效显著县等</w:t>
      </w:r>
      <w:r>
        <w:rPr>
          <w:rFonts w:hint="eastAsia" w:ascii="Times New Roman" w:hAnsi="Times New Roman" w:eastAsia="仿宋_GB2312" w:cs="仿宋_GB2312"/>
          <w:b w:val="0"/>
          <w:bCs w:val="0"/>
          <w:kern w:val="2"/>
          <w:sz w:val="32"/>
          <w:szCs w:val="32"/>
        </w:rPr>
        <w:t>21</w:t>
      </w:r>
      <w:r>
        <w:rPr>
          <w:rFonts w:hint="eastAsia" w:ascii="仿宋_GB2312" w:hAnsi="仿宋_GB2312" w:eastAsia="仿宋_GB2312" w:cs="仿宋_GB2312"/>
          <w:b w:val="0"/>
          <w:bCs w:val="0"/>
          <w:kern w:val="2"/>
          <w:sz w:val="32"/>
          <w:szCs w:val="32"/>
        </w:rPr>
        <w:t>项专项工作，深入镇村、深入现场，全程跟踪督导</w:t>
      </w:r>
      <w:r>
        <w:rPr>
          <w:rFonts w:hint="eastAsia" w:ascii="Times New Roman" w:hAnsi="Times New Roman" w:eastAsia="仿宋_GB2312" w:cs="仿宋_GB2312"/>
          <w:b w:val="0"/>
          <w:bCs w:val="0"/>
          <w:kern w:val="2"/>
          <w:sz w:val="32"/>
          <w:szCs w:val="32"/>
        </w:rPr>
        <w:t>180</w:t>
      </w:r>
      <w:r>
        <w:rPr>
          <w:rFonts w:hint="eastAsia" w:ascii="仿宋_GB2312" w:hAnsi="仿宋_GB2312" w:eastAsia="仿宋_GB2312" w:cs="仿宋_GB2312"/>
          <w:b w:val="0"/>
          <w:bCs w:val="0"/>
          <w:kern w:val="2"/>
          <w:sz w:val="32"/>
          <w:szCs w:val="32"/>
        </w:rPr>
        <w:t>余</w:t>
      </w:r>
      <w:r>
        <w:rPr>
          <w:rFonts w:hint="eastAsia" w:ascii="仿宋_GB2312" w:hAnsi="仿宋_GB2312" w:eastAsia="仿宋_GB2312" w:cs="仿宋_GB2312"/>
          <w:b w:val="0"/>
          <w:bCs w:val="0"/>
          <w:sz w:val="32"/>
          <w:szCs w:val="32"/>
        </w:rPr>
        <w:t>次，印发《督办通知》</w:t>
      </w:r>
      <w:r>
        <w:rPr>
          <w:rFonts w:hint="eastAsia" w:ascii="Times New Roman" w:hAnsi="Times New Roman" w:eastAsia="仿宋_GB2312" w:cs="仿宋_GB2312"/>
          <w:b w:val="0"/>
          <w:bCs w:val="0"/>
          <w:sz w:val="32"/>
          <w:szCs w:val="32"/>
        </w:rPr>
        <w:t>14</w:t>
      </w:r>
      <w:r>
        <w:rPr>
          <w:rFonts w:hint="eastAsia" w:ascii="仿宋_GB2312" w:hAnsi="仿宋_GB2312" w:eastAsia="仿宋_GB2312" w:cs="仿宋_GB2312"/>
          <w:b w:val="0"/>
          <w:bCs w:val="0"/>
          <w:sz w:val="32"/>
          <w:szCs w:val="32"/>
        </w:rPr>
        <w:t>期、《督查通知》</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期、《督查通报》</w:t>
      </w:r>
      <w:r>
        <w:rPr>
          <w:rFonts w:hint="eastAsia" w:ascii="Times New Roman" w:hAnsi="Times New Roman" w:eastAsia="仿宋_GB2312" w:cs="仿宋_GB2312"/>
          <w:b w:val="0"/>
          <w:bCs w:val="0"/>
          <w:sz w:val="32"/>
          <w:szCs w:val="32"/>
        </w:rPr>
        <w:t>20</w:t>
      </w:r>
      <w:r>
        <w:rPr>
          <w:rFonts w:hint="eastAsia" w:ascii="仿宋_GB2312" w:hAnsi="仿宋_GB2312" w:eastAsia="仿宋_GB2312" w:cs="仿宋_GB2312"/>
          <w:b w:val="0"/>
          <w:bCs w:val="0"/>
          <w:sz w:val="32"/>
          <w:szCs w:val="32"/>
        </w:rPr>
        <w:t>期、《督查报告》</w:t>
      </w:r>
      <w:r>
        <w:rPr>
          <w:rFonts w:hint="eastAsia" w:ascii="Times New Roman" w:hAnsi="Times New Roman" w:eastAsia="仿宋_GB2312" w:cs="仿宋_GB2312"/>
          <w:b w:val="0"/>
          <w:bCs w:val="0"/>
          <w:sz w:val="32"/>
          <w:szCs w:val="32"/>
        </w:rPr>
        <w:t>9</w:t>
      </w:r>
      <w:r>
        <w:rPr>
          <w:rFonts w:hint="eastAsia" w:ascii="仿宋_GB2312" w:hAnsi="仿宋_GB2312" w:eastAsia="仿宋_GB2312" w:cs="仿宋_GB2312"/>
          <w:b w:val="0"/>
          <w:bCs w:val="0"/>
          <w:sz w:val="32"/>
          <w:szCs w:val="32"/>
        </w:rPr>
        <w:t>期。三是盯住实事抓督查。围绕市上通报我区地方政府专项债券资金、重点项目、“互联网+督查”平台留言问题线索等方面存在的</w:t>
      </w:r>
      <w:r>
        <w:rPr>
          <w:rFonts w:hint="eastAsia" w:ascii="Times New Roman" w:hAnsi="Times New Roman" w:eastAsia="仿宋_GB2312" w:cs="仿宋_GB2312"/>
          <w:b w:val="0"/>
          <w:bCs w:val="0"/>
          <w:sz w:val="32"/>
          <w:szCs w:val="32"/>
        </w:rPr>
        <w:t>30</w:t>
      </w:r>
      <w:r>
        <w:rPr>
          <w:rFonts w:hint="eastAsia" w:ascii="仿宋_GB2312" w:hAnsi="仿宋_GB2312" w:eastAsia="仿宋_GB2312" w:cs="仿宋_GB2312"/>
          <w:b w:val="0"/>
          <w:bCs w:val="0"/>
          <w:sz w:val="32"/>
          <w:szCs w:val="32"/>
        </w:rPr>
        <w:t>余个问题，分层分类开展专项督导，全年向市上报送专题整改报告</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期、办理“互联网+督查”问题线索</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件。</w:t>
      </w:r>
    </w:p>
    <w:p w14:paraId="577BAE4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sz w:val="32"/>
          <w:szCs w:val="32"/>
        </w:rPr>
        <w:t>（</w:t>
      </w:r>
      <w:r>
        <w:rPr>
          <w:rFonts w:hint="eastAsia" w:ascii="Times New Roman" w:hAnsi="Times New Roman" w:eastAsia="楷体_GB2312" w:cs="楷体_GB2312"/>
          <w:b w:val="0"/>
          <w:bCs w:val="0"/>
          <w:sz w:val="32"/>
          <w:szCs w:val="32"/>
        </w:rPr>
        <w:t>3</w:t>
      </w:r>
      <w:r>
        <w:rPr>
          <w:rFonts w:hint="eastAsia" w:ascii="楷体_GB2312" w:hAnsi="楷体_GB2312" w:eastAsia="楷体_GB2312" w:cs="楷体_GB2312"/>
          <w:b w:val="0"/>
          <w:bCs w:val="0"/>
          <w:sz w:val="32"/>
          <w:szCs w:val="32"/>
        </w:rPr>
        <w:t>）抓实经济指标运行监测，全力以赴“拼经济、比发展、创一流”。</w:t>
      </w:r>
      <w:r>
        <w:rPr>
          <w:rFonts w:hint="eastAsia" w:ascii="仿宋_GB2312" w:hAnsi="仿宋_GB2312" w:eastAsia="仿宋_GB2312" w:cs="仿宋_GB2312"/>
          <w:b w:val="0"/>
          <w:bCs w:val="0"/>
          <w:sz w:val="32"/>
          <w:szCs w:val="32"/>
        </w:rPr>
        <w:t>一是明确责任抓落实。</w:t>
      </w:r>
      <w:r>
        <w:rPr>
          <w:rFonts w:hint="eastAsia" w:ascii="仿宋_GB2312" w:hAnsi="仿宋_GB2312" w:eastAsia="仿宋_GB2312" w:cs="仿宋_GB2312"/>
          <w:b w:val="0"/>
          <w:bCs w:val="0"/>
          <w:color w:val="000000"/>
          <w:sz w:val="32"/>
          <w:szCs w:val="32"/>
        </w:rPr>
        <w:t>印发了《广元市昭化区“拼经济、比发展、创一流”运行调度奖惩十条措施》及其运行机制，组建了工作专班，全面分解各单位职能职责，明晰每月、每季度工作完成时限，推行“责任制+清单制+时限制”一体化推进模式，确保了专人专管、常态长效。</w:t>
      </w:r>
      <w:r>
        <w:rPr>
          <w:rFonts w:hint="eastAsia" w:ascii="仿宋_GB2312" w:hAnsi="仿宋_GB2312" w:eastAsia="仿宋_GB2312" w:cs="仿宋_GB2312"/>
          <w:b w:val="0"/>
          <w:bCs w:val="0"/>
          <w:sz w:val="32"/>
          <w:szCs w:val="32"/>
        </w:rPr>
        <w:t>二是强化督查抓落实。</w:t>
      </w:r>
      <w:r>
        <w:rPr>
          <w:rFonts w:hint="eastAsia" w:ascii="仿宋_GB2312" w:hAnsi="仿宋_GB2312" w:eastAsia="仿宋_GB2312" w:cs="仿宋_GB2312"/>
          <w:b w:val="0"/>
          <w:bCs w:val="0"/>
          <w:color w:val="000000"/>
          <w:sz w:val="32"/>
          <w:szCs w:val="32"/>
        </w:rPr>
        <w:t>制定了《全区“拼经济、比发展、创一流”经济运行监测工作机制》，紧盯月度、季度报数</w:t>
      </w:r>
      <w:r>
        <w:rPr>
          <w:rFonts w:hint="eastAsia" w:ascii="Times New Roman" w:hAnsi="Times New Roman"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个责任单位，分行业、分领域动态跟踪监测，全年制定约谈方案</w:t>
      </w:r>
      <w:r>
        <w:rPr>
          <w:rFonts w:hint="eastAsia" w:ascii="Times New Roman" w:hAnsi="Times New Roman" w:eastAsia="仿宋_GB2312" w:cs="仿宋_GB2312"/>
          <w:b w:val="0"/>
          <w:bCs w:val="0"/>
          <w:color w:val="000000"/>
          <w:sz w:val="32"/>
          <w:szCs w:val="32"/>
        </w:rPr>
        <w:t>9</w:t>
      </w:r>
      <w:r>
        <w:rPr>
          <w:rFonts w:hint="eastAsia" w:ascii="仿宋_GB2312" w:hAnsi="仿宋_GB2312" w:eastAsia="仿宋_GB2312" w:cs="仿宋_GB2312"/>
          <w:b w:val="0"/>
          <w:bCs w:val="0"/>
          <w:color w:val="000000"/>
          <w:sz w:val="32"/>
          <w:szCs w:val="32"/>
        </w:rPr>
        <w:t>期，专题督查督办</w:t>
      </w:r>
      <w:r>
        <w:rPr>
          <w:rFonts w:hint="eastAsia" w:ascii="Times New Roman" w:hAnsi="Times New Roman"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rPr>
        <w:t>次，约谈相关单位</w:t>
      </w:r>
      <w:r>
        <w:rPr>
          <w:rFonts w:hint="eastAsia" w:ascii="Times New Roman" w:hAnsi="Times New Roman" w:eastAsia="仿宋_GB2312" w:cs="仿宋_GB2312"/>
          <w:b w:val="0"/>
          <w:bCs w:val="0"/>
          <w:color w:val="000000"/>
          <w:sz w:val="32"/>
          <w:szCs w:val="32"/>
        </w:rPr>
        <w:t>45</w:t>
      </w:r>
      <w:r>
        <w:rPr>
          <w:rFonts w:hint="eastAsia" w:ascii="仿宋_GB2312" w:hAnsi="仿宋_GB2312" w:eastAsia="仿宋_GB2312" w:cs="仿宋_GB2312"/>
          <w:b w:val="0"/>
          <w:bCs w:val="0"/>
          <w:color w:val="000000"/>
          <w:sz w:val="32"/>
          <w:szCs w:val="32"/>
        </w:rPr>
        <w:t>个次，印发运行调度情况通报</w:t>
      </w:r>
      <w:r>
        <w:rPr>
          <w:rFonts w:hint="eastAsia" w:ascii="Times New Roman" w:hAnsi="Times New Roman" w:eastAsia="仿宋_GB2312" w:cs="仿宋_GB2312"/>
          <w:b w:val="0"/>
          <w:bCs w:val="0"/>
          <w:color w:val="000000"/>
          <w:sz w:val="32"/>
          <w:szCs w:val="32"/>
        </w:rPr>
        <w:t>11</w:t>
      </w:r>
      <w:r>
        <w:rPr>
          <w:rFonts w:hint="eastAsia" w:ascii="仿宋_GB2312" w:hAnsi="仿宋_GB2312" w:eastAsia="仿宋_GB2312" w:cs="仿宋_GB2312"/>
          <w:b w:val="0"/>
          <w:bCs w:val="0"/>
          <w:color w:val="000000"/>
          <w:sz w:val="32"/>
          <w:szCs w:val="32"/>
        </w:rPr>
        <w:t>期、提醒敦促函</w:t>
      </w:r>
      <w:r>
        <w:rPr>
          <w:rFonts w:hint="eastAsia" w:ascii="Times New Roman" w:hAnsi="Times New Roman"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rPr>
        <w:t>份次。</w:t>
      </w:r>
    </w:p>
    <w:p w14:paraId="08203C40">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.始终坚持目标引领，多措并举推动全年任务落地落实</w:t>
      </w:r>
    </w:p>
    <w:p w14:paraId="11EE52AD">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）强化统筹协调，务实完成</w:t>
      </w:r>
      <w:r>
        <w:rPr>
          <w:rFonts w:hint="eastAsia" w:ascii="Times New Roman" w:hAnsi="Times New Roman" w:eastAsia="仿宋_GB2312" w:cs="仿宋_GB2312"/>
          <w:b w:val="0"/>
          <w:bCs w:val="0"/>
          <w:kern w:val="2"/>
          <w:sz w:val="32"/>
          <w:szCs w:val="32"/>
        </w:rPr>
        <w:t>2022</w:t>
      </w:r>
      <w:r>
        <w:rPr>
          <w:rFonts w:hint="eastAsia" w:ascii="仿宋_GB2312" w:hAnsi="仿宋_GB2312" w:eastAsia="仿宋_GB2312" w:cs="仿宋_GB2312"/>
          <w:b w:val="0"/>
          <w:bCs w:val="0"/>
          <w:kern w:val="2"/>
          <w:sz w:val="32"/>
          <w:szCs w:val="32"/>
        </w:rPr>
        <w:t>年度市、区考评工作。一是认真做好市对区目标考评工作。持续做好与市委目标绩效办沟通衔接，市对区考评期间，每周跟进掌握综合目标考核情况，梳理加分事项</w:t>
      </w:r>
      <w:r>
        <w:rPr>
          <w:rFonts w:hint="eastAsia" w:ascii="Times New Roman" w:hAnsi="Times New Roman" w:eastAsia="仿宋_GB2312" w:cs="仿宋_GB2312"/>
          <w:b w:val="0"/>
          <w:bCs w:val="0"/>
          <w:kern w:val="2"/>
          <w:sz w:val="32"/>
          <w:szCs w:val="32"/>
        </w:rPr>
        <w:t>6</w:t>
      </w:r>
      <w:r>
        <w:rPr>
          <w:rFonts w:hint="eastAsia" w:ascii="仿宋_GB2312" w:hAnsi="仿宋_GB2312" w:eastAsia="仿宋_GB2312" w:cs="仿宋_GB2312"/>
          <w:b w:val="0"/>
          <w:bCs w:val="0"/>
          <w:kern w:val="2"/>
          <w:sz w:val="32"/>
          <w:szCs w:val="32"/>
        </w:rPr>
        <w:t>项，督促全区各级各部门主动创先争优并反馈工作亮点特色。二是精细分析市对区考评结果。市对区考评结果通报后，全面掌握我区各单项指标得分、失扣分情况和全市排位情况，形成数据化专题分析报告，督促相关部门认真分析研究指标具体失扣分原因，采取有效措施，弥补工作短板。三是全面完成综合目标考评。严格运用并规范保存</w:t>
      </w:r>
      <w:r>
        <w:rPr>
          <w:rFonts w:hint="eastAsia" w:ascii="Times New Roman" w:hAnsi="Times New Roman" w:eastAsia="仿宋_GB2312" w:cs="仿宋_GB2312"/>
          <w:b w:val="0"/>
          <w:bCs w:val="0"/>
          <w:kern w:val="2"/>
          <w:sz w:val="32"/>
          <w:szCs w:val="32"/>
        </w:rPr>
        <w:t>64</w:t>
      </w:r>
      <w:r>
        <w:rPr>
          <w:rFonts w:hint="eastAsia" w:ascii="仿宋_GB2312" w:hAnsi="仿宋_GB2312" w:eastAsia="仿宋_GB2312" w:cs="仿宋_GB2312"/>
          <w:b w:val="0"/>
          <w:bCs w:val="0"/>
          <w:kern w:val="2"/>
          <w:sz w:val="32"/>
          <w:szCs w:val="32"/>
        </w:rPr>
        <w:t>个牵头考评单位指标考评打分和区领导评价、各镇各部门评价，对标管理办法严格审核各单位争先创优加分和通报扣分，建立打分台账，充分反映工作实绩。</w:t>
      </w:r>
    </w:p>
    <w:p w14:paraId="12BE1B49">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）围绕重大决策部署，科学下达</w:t>
      </w:r>
      <w:r>
        <w:rPr>
          <w:rFonts w:hint="eastAsia" w:ascii="Times New Roman" w:hAnsi="Times New Roman" w:eastAsia="仿宋_GB2312" w:cs="仿宋_GB2312"/>
          <w:b w:val="0"/>
          <w:bCs w:val="0"/>
          <w:kern w:val="2"/>
          <w:sz w:val="32"/>
          <w:szCs w:val="32"/>
        </w:rPr>
        <w:t>2023</w:t>
      </w:r>
      <w:r>
        <w:rPr>
          <w:rFonts w:hint="eastAsia" w:ascii="仿宋_GB2312" w:hAnsi="仿宋_GB2312" w:eastAsia="仿宋_GB2312" w:cs="仿宋_GB2312"/>
          <w:b w:val="0"/>
          <w:bCs w:val="0"/>
          <w:kern w:val="2"/>
          <w:sz w:val="32"/>
          <w:szCs w:val="32"/>
        </w:rPr>
        <w:t>年综合工作目标。一是优化指标体系。根据全区重大决策部署和年度重点工作，新增纳入重点产业专班等</w:t>
      </w:r>
      <w:r>
        <w:rPr>
          <w:rFonts w:hint="eastAsia" w:ascii="Times New Roman" w:hAnsi="Times New Roman" w:eastAsia="仿宋_GB2312" w:cs="仿宋_GB2312"/>
          <w:b w:val="0"/>
          <w:bCs w:val="0"/>
          <w:kern w:val="2"/>
          <w:sz w:val="32"/>
          <w:szCs w:val="32"/>
        </w:rPr>
        <w:t>7</w:t>
      </w:r>
      <w:r>
        <w:rPr>
          <w:rFonts w:hint="eastAsia" w:ascii="仿宋_GB2312" w:hAnsi="仿宋_GB2312" w:eastAsia="仿宋_GB2312" w:cs="仿宋_GB2312"/>
          <w:b w:val="0"/>
          <w:bCs w:val="0"/>
          <w:kern w:val="2"/>
          <w:sz w:val="32"/>
          <w:szCs w:val="32"/>
        </w:rPr>
        <w:t>项考评指标，删除新冠疫情防控等</w:t>
      </w:r>
      <w:r>
        <w:rPr>
          <w:rFonts w:hint="eastAsia" w:ascii="Times New Roman" w:hAnsi="Times New Roman" w:eastAsia="仿宋_GB2312" w:cs="仿宋_GB2312"/>
          <w:b w:val="0"/>
          <w:bCs w:val="0"/>
          <w:kern w:val="2"/>
          <w:sz w:val="32"/>
          <w:szCs w:val="32"/>
        </w:rPr>
        <w:t>9</w:t>
      </w:r>
      <w:r>
        <w:rPr>
          <w:rFonts w:hint="eastAsia" w:ascii="仿宋_GB2312" w:hAnsi="仿宋_GB2312" w:eastAsia="仿宋_GB2312" w:cs="仿宋_GB2312"/>
          <w:b w:val="0"/>
          <w:bCs w:val="0"/>
          <w:kern w:val="2"/>
          <w:sz w:val="32"/>
          <w:szCs w:val="32"/>
        </w:rPr>
        <w:t>项不需要继续纳入考评指标，对依法治区工作等</w:t>
      </w: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项指标名称进行完善；对林长制工作等</w:t>
      </w:r>
      <w:r>
        <w:rPr>
          <w:rFonts w:hint="eastAsia" w:ascii="Times New Roman" w:hAnsi="Times New Roman" w:eastAsia="仿宋_GB2312" w:cs="仿宋_GB2312"/>
          <w:b w:val="0"/>
          <w:bCs w:val="0"/>
          <w:kern w:val="2"/>
          <w:sz w:val="32"/>
          <w:szCs w:val="32"/>
        </w:rPr>
        <w:t>5</w:t>
      </w:r>
      <w:r>
        <w:rPr>
          <w:rFonts w:hint="eastAsia" w:ascii="仿宋_GB2312" w:hAnsi="仿宋_GB2312" w:eastAsia="仿宋_GB2312" w:cs="仿宋_GB2312"/>
          <w:b w:val="0"/>
          <w:bCs w:val="0"/>
          <w:kern w:val="2"/>
          <w:sz w:val="32"/>
          <w:szCs w:val="32"/>
        </w:rPr>
        <w:t>项保障性指标调整至专项指标考评，进一步优化</w:t>
      </w:r>
      <w:r>
        <w:rPr>
          <w:rFonts w:hint="eastAsia" w:ascii="Times New Roman" w:hAnsi="Times New Roman" w:eastAsia="仿宋_GB2312" w:cs="仿宋_GB2312"/>
          <w:b w:val="0"/>
          <w:bCs w:val="0"/>
          <w:kern w:val="2"/>
          <w:sz w:val="32"/>
          <w:szCs w:val="32"/>
        </w:rPr>
        <w:t>75</w:t>
      </w:r>
      <w:r>
        <w:rPr>
          <w:rFonts w:hint="eastAsia" w:ascii="仿宋_GB2312" w:hAnsi="仿宋_GB2312" w:eastAsia="仿宋_GB2312" w:cs="仿宋_GB2312"/>
          <w:b w:val="0"/>
          <w:bCs w:val="0"/>
          <w:kern w:val="2"/>
          <w:sz w:val="32"/>
          <w:szCs w:val="32"/>
        </w:rPr>
        <w:t>个单位指标考评体系。二是突出工作导向。提升经济发展指标分值权重和超额完成加分上限，各镇镇域经济由</w:t>
      </w:r>
      <w:r>
        <w:rPr>
          <w:rFonts w:hint="eastAsia" w:ascii="Times New Roman" w:hAnsi="Times New Roman" w:eastAsia="仿宋_GB2312" w:cs="仿宋_GB2312"/>
          <w:b w:val="0"/>
          <w:bCs w:val="0"/>
          <w:kern w:val="2"/>
          <w:sz w:val="32"/>
          <w:szCs w:val="32"/>
        </w:rPr>
        <w:t>50</w:t>
      </w:r>
      <w:r>
        <w:rPr>
          <w:rFonts w:hint="eastAsia" w:ascii="仿宋_GB2312" w:hAnsi="仿宋_GB2312" w:eastAsia="仿宋_GB2312" w:cs="仿宋_GB2312"/>
          <w:b w:val="0"/>
          <w:bCs w:val="0"/>
          <w:kern w:val="2"/>
          <w:sz w:val="32"/>
          <w:szCs w:val="32"/>
        </w:rPr>
        <w:t>分提高到</w:t>
      </w:r>
      <w:r>
        <w:rPr>
          <w:rFonts w:hint="eastAsia" w:ascii="Times New Roman" w:hAnsi="Times New Roman" w:eastAsia="仿宋_GB2312" w:cs="仿宋_GB2312"/>
          <w:b w:val="0"/>
          <w:bCs w:val="0"/>
          <w:kern w:val="2"/>
          <w:sz w:val="32"/>
          <w:szCs w:val="32"/>
        </w:rPr>
        <w:t>60</w:t>
      </w:r>
      <w:r>
        <w:rPr>
          <w:rFonts w:hint="eastAsia" w:ascii="仿宋_GB2312" w:hAnsi="仿宋_GB2312" w:eastAsia="仿宋_GB2312" w:cs="仿宋_GB2312"/>
          <w:b w:val="0"/>
          <w:bCs w:val="0"/>
          <w:kern w:val="2"/>
          <w:sz w:val="32"/>
          <w:szCs w:val="32"/>
        </w:rPr>
        <w:t>分，并根据各镇发展定位，重点工作富余分值分别向农业、商贸或工业等相关方面指标倾斜；区级部门项目推进、招商引资等经济发展类指标分值提升</w:t>
      </w:r>
      <w:r>
        <w:rPr>
          <w:rFonts w:hint="eastAsia" w:ascii="Times New Roman" w:hAnsi="Times New Roman" w:eastAsia="仿宋_GB2312" w:cs="仿宋_GB2312"/>
          <w:b w:val="0"/>
          <w:bCs w:val="0"/>
          <w:kern w:val="2"/>
          <w:sz w:val="32"/>
          <w:szCs w:val="32"/>
        </w:rPr>
        <w:t>40</w:t>
      </w: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10</w:t>
      </w:r>
      <w:r>
        <w:rPr>
          <w:rFonts w:hint="eastAsia" w:ascii="仿宋_GB2312" w:hAnsi="仿宋_GB2312" w:eastAsia="仿宋_GB2312" w:cs="仿宋_GB2312"/>
          <w:b w:val="0"/>
          <w:bCs w:val="0"/>
          <w:kern w:val="2"/>
          <w:sz w:val="32"/>
          <w:szCs w:val="32"/>
        </w:rPr>
        <w:t>分左右），进一步优化赋分方式。三是规范考核方式。严格落实目标绩效考核“七个不得纳入”，督促牵头考评部门注重平时信息收集和日常监测，在考评方式上，各行业牵头考评部门不得自行到镇和区级部门开展现场考评或组织实施各类社会评价，切实从源头上、过程中减轻工作负担。</w:t>
      </w:r>
    </w:p>
    <w:p w14:paraId="1923E41B">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）抓实工作推进，奋力推动目标任务完成。一是加大调度力度。及时分解市下目标任务，明确</w:t>
      </w:r>
      <w:r>
        <w:rPr>
          <w:rFonts w:hint="eastAsia" w:ascii="Times New Roman" w:hAnsi="Times New Roman" w:eastAsia="仿宋_GB2312" w:cs="仿宋_GB2312"/>
          <w:b w:val="0"/>
          <w:bCs w:val="0"/>
          <w:kern w:val="2"/>
          <w:sz w:val="32"/>
          <w:szCs w:val="32"/>
        </w:rPr>
        <w:t>110</w:t>
      </w:r>
      <w:r>
        <w:rPr>
          <w:rFonts w:hint="eastAsia" w:ascii="仿宋_GB2312" w:hAnsi="仿宋_GB2312" w:eastAsia="仿宋_GB2312" w:cs="仿宋_GB2312"/>
          <w:b w:val="0"/>
          <w:bCs w:val="0"/>
          <w:kern w:val="2"/>
          <w:sz w:val="32"/>
          <w:szCs w:val="32"/>
        </w:rPr>
        <w:t>项指标分管责任区领导和牵头责任单位，建立“责任领导、牵头部门、部门负责人”三位一体责任体系，实行常态“月调度、月通报”、第十二月份“周调度、周通报”和红、黄、蓝分级预警提示，主要经济指标报数期间，每天跟踪、每天调度。二是突出重点工作。紧盯项目投资、招商引资、向上争取等重点经济工作，每月开展实地督查，针对推进滞后指标，点对点向责任区领导印送《提示提醒单》</w:t>
      </w:r>
      <w:r>
        <w:rPr>
          <w:rFonts w:hint="eastAsia" w:ascii="Times New Roman" w:hAnsi="Times New Roman" w:eastAsia="仿宋_GB2312" w:cs="仿宋_GB2312"/>
          <w:b w:val="0"/>
          <w:bCs w:val="0"/>
          <w:kern w:val="2"/>
          <w:sz w:val="32"/>
          <w:szCs w:val="32"/>
        </w:rPr>
        <w:t>10</w:t>
      </w:r>
      <w:r>
        <w:rPr>
          <w:rFonts w:hint="eastAsia" w:ascii="仿宋_GB2312" w:hAnsi="仿宋_GB2312" w:eastAsia="仿宋_GB2312" w:cs="仿宋_GB2312"/>
          <w:b w:val="0"/>
          <w:bCs w:val="0"/>
          <w:kern w:val="2"/>
          <w:sz w:val="32"/>
          <w:szCs w:val="32"/>
        </w:rPr>
        <w:t>份次、向责任部门印发《提醒敦促函》预警</w:t>
      </w:r>
      <w:r>
        <w:rPr>
          <w:rFonts w:hint="eastAsia" w:ascii="Times New Roman" w:hAnsi="Times New Roman" w:eastAsia="仿宋_GB2312" w:cs="仿宋_GB2312"/>
          <w:b w:val="0"/>
          <w:bCs w:val="0"/>
          <w:kern w:val="2"/>
          <w:sz w:val="32"/>
          <w:szCs w:val="32"/>
        </w:rPr>
        <w:t>21</w:t>
      </w:r>
      <w:r>
        <w:rPr>
          <w:rFonts w:hint="eastAsia" w:ascii="仿宋_GB2312" w:hAnsi="仿宋_GB2312" w:eastAsia="仿宋_GB2312" w:cs="仿宋_GB2312"/>
          <w:b w:val="0"/>
          <w:bCs w:val="0"/>
          <w:kern w:val="2"/>
          <w:sz w:val="32"/>
          <w:szCs w:val="32"/>
        </w:rPr>
        <w:t>份次，解决实际问题</w:t>
      </w:r>
      <w:r>
        <w:rPr>
          <w:rFonts w:hint="eastAsia" w:ascii="Times New Roman" w:hAnsi="Times New Roman" w:eastAsia="仿宋_GB2312" w:cs="仿宋_GB2312"/>
          <w:b w:val="0"/>
          <w:bCs w:val="0"/>
          <w:kern w:val="2"/>
          <w:sz w:val="32"/>
          <w:szCs w:val="32"/>
        </w:rPr>
        <w:t>20</w:t>
      </w:r>
      <w:r>
        <w:rPr>
          <w:rFonts w:hint="eastAsia" w:ascii="仿宋_GB2312" w:hAnsi="仿宋_GB2312" w:eastAsia="仿宋_GB2312" w:cs="仿宋_GB2312"/>
          <w:b w:val="0"/>
          <w:bCs w:val="0"/>
          <w:kern w:val="2"/>
          <w:sz w:val="32"/>
          <w:szCs w:val="32"/>
        </w:rPr>
        <w:t>余个。三是联动结果运用。根据市下指标考评加（扣）分情况，对相关责任部门予以双倍加（扣）分；对加分贡献大的责任部门予以额外加分，对扣分较重影响我区在全市排位的相关责任部门，取消当年评先资格，切实激励引导全区上下强化责任担当。</w:t>
      </w:r>
    </w:p>
    <w:p w14:paraId="76DA9C2A">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.始终围绕牵头重点工作，不折不扣抓好落实办好办成</w:t>
      </w:r>
    </w:p>
    <w:p w14:paraId="7DCE36ED">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）加快推进民生实事，不断凝聚经济发展强大</w:t>
      </w:r>
      <w:r>
        <w:rPr>
          <w:rFonts w:hint="eastAsia" w:ascii="楷体_GB2312" w:hAnsi="楷体_GB2312" w:eastAsia="楷体_GB2312" w:cs="楷体_GB2312"/>
          <w:b w:val="0"/>
          <w:bCs w:val="0"/>
          <w:sz w:val="32"/>
          <w:szCs w:val="32"/>
        </w:rPr>
        <w:t>合力。</w:t>
      </w:r>
      <w:r>
        <w:rPr>
          <w:rFonts w:hint="eastAsia" w:ascii="仿宋_GB2312" w:hAnsi="仿宋_GB2312" w:eastAsia="仿宋_GB2312" w:cs="仿宋_GB2312"/>
          <w:b w:val="0"/>
          <w:bCs w:val="0"/>
          <w:sz w:val="32"/>
          <w:szCs w:val="32"/>
        </w:rPr>
        <w:t>一是精心编制实施方案。按照轻重缓急和优先保障原则，围绕</w:t>
      </w:r>
      <w:r>
        <w:rPr>
          <w:rFonts w:hint="eastAsia" w:ascii="Times New Roman" w:hAnsi="Times New Roman" w:eastAsia="仿宋_GB2312" w:cs="仿宋_GB2312"/>
          <w:b w:val="0"/>
          <w:bCs w:val="0"/>
          <w:sz w:val="32"/>
          <w:szCs w:val="32"/>
        </w:rPr>
        <w:t>25</w:t>
      </w:r>
      <w:r>
        <w:rPr>
          <w:rFonts w:hint="eastAsia" w:ascii="仿宋_GB2312" w:hAnsi="仿宋_GB2312" w:eastAsia="仿宋_GB2312" w:cs="仿宋_GB2312"/>
          <w:b w:val="0"/>
          <w:bCs w:val="0"/>
          <w:sz w:val="32"/>
          <w:szCs w:val="32"/>
        </w:rPr>
        <w:t>件省定民生实事、</w:t>
      </w:r>
      <w:r>
        <w:rPr>
          <w:rFonts w:hint="eastAsia" w:ascii="Times New Roman" w:hAnsi="Times New Roman" w:eastAsia="仿宋_GB2312" w:cs="仿宋_GB2312"/>
          <w:b w:val="0"/>
          <w:bCs w:val="0"/>
          <w:sz w:val="32"/>
          <w:szCs w:val="32"/>
        </w:rPr>
        <w:t>13</w:t>
      </w:r>
      <w:r>
        <w:rPr>
          <w:rFonts w:hint="eastAsia" w:ascii="仿宋_GB2312" w:hAnsi="仿宋_GB2312" w:eastAsia="仿宋_GB2312" w:cs="仿宋_GB2312"/>
          <w:b w:val="0"/>
          <w:bCs w:val="0"/>
          <w:sz w:val="32"/>
          <w:szCs w:val="32"/>
        </w:rPr>
        <w:t>件市定民生实事、</w:t>
      </w:r>
      <w:r>
        <w:rPr>
          <w:rFonts w:hint="eastAsia" w:ascii="仿宋_GB2312" w:hAnsi="仿宋_GB2312" w:eastAsia="仿宋_GB2312" w:cs="仿宋_GB2312"/>
          <w:b w:val="0"/>
          <w:bCs w:val="0"/>
          <w:sz w:val="32"/>
          <w:szCs w:val="32"/>
          <w:lang w:bidi="ar"/>
        </w:rPr>
        <w:t>人大票决</w:t>
      </w:r>
      <w:r>
        <w:rPr>
          <w:rFonts w:hint="eastAsia" w:ascii="Times New Roman" w:hAnsi="Times New Roman" w:eastAsia="仿宋_GB2312" w:cs="仿宋_GB2312"/>
          <w:b w:val="0"/>
          <w:bCs w:val="0"/>
          <w:sz w:val="32"/>
          <w:szCs w:val="32"/>
          <w:lang w:bidi="ar"/>
        </w:rPr>
        <w:t>10</w:t>
      </w:r>
      <w:r>
        <w:rPr>
          <w:rFonts w:hint="eastAsia" w:ascii="仿宋_GB2312" w:hAnsi="仿宋_GB2312" w:eastAsia="仿宋_GB2312" w:cs="仿宋_GB2312"/>
          <w:b w:val="0"/>
          <w:bCs w:val="0"/>
          <w:sz w:val="32"/>
          <w:szCs w:val="32"/>
          <w:lang w:bidi="ar"/>
        </w:rPr>
        <w:t>件区级</w:t>
      </w:r>
      <w:r>
        <w:rPr>
          <w:rFonts w:hint="eastAsia" w:ascii="仿宋_GB2312" w:hAnsi="仿宋_GB2312" w:eastAsia="仿宋_GB2312" w:cs="仿宋_GB2312"/>
          <w:b w:val="0"/>
          <w:bCs w:val="0"/>
          <w:sz w:val="32"/>
          <w:szCs w:val="32"/>
        </w:rPr>
        <w:t>民生实事，统筹制定《</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年广元市昭化区</w:t>
      </w:r>
      <w:r>
        <w:rPr>
          <w:rFonts w:hint="eastAsia" w:ascii="Times New Roman" w:hAnsi="Times New Roman" w:eastAsia="仿宋_GB2312" w:cs="仿宋_GB2312"/>
          <w:b w:val="0"/>
          <w:bCs w:val="0"/>
          <w:sz w:val="32"/>
          <w:szCs w:val="32"/>
        </w:rPr>
        <w:t>48</w:t>
      </w:r>
      <w:r>
        <w:rPr>
          <w:rFonts w:hint="eastAsia" w:ascii="仿宋_GB2312" w:hAnsi="仿宋_GB2312" w:eastAsia="仿宋_GB2312" w:cs="仿宋_GB2312"/>
          <w:b w:val="0"/>
          <w:bCs w:val="0"/>
          <w:sz w:val="32"/>
          <w:szCs w:val="32"/>
        </w:rPr>
        <w:t>件民生实事实施方案》，全面覆盖与群众生活息息相关的基础设施建设、农村环境整治、便民服务建设等领域，逐项落实责任，实行“月调度、月报告、月通报”常态化督促工作机制。二是狠抓民生实事推进。筹备召开民生实事专题推进会</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次，查摆工作短板，安排部署工作任务，同时联合区人大办监督检查力量，采取实地查看、查阅资料、座谈了解等方式，开展民生实事实地督查</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次，书面调度</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次，累计发现问题</w:t>
      </w:r>
      <w:r>
        <w:rPr>
          <w:rFonts w:hint="eastAsia" w:ascii="Times New Roman" w:hAnsi="Times New Roman" w:eastAsia="仿宋_GB2312" w:cs="仿宋_GB2312"/>
          <w:b w:val="0"/>
          <w:bCs w:val="0"/>
          <w:sz w:val="32"/>
          <w:szCs w:val="32"/>
        </w:rPr>
        <w:t>20</w:t>
      </w:r>
      <w:r>
        <w:rPr>
          <w:rFonts w:hint="eastAsia" w:ascii="仿宋_GB2312" w:hAnsi="仿宋_GB2312" w:eastAsia="仿宋_GB2312" w:cs="仿宋_GB2312"/>
          <w:b w:val="0"/>
          <w:bCs w:val="0"/>
          <w:sz w:val="32"/>
          <w:szCs w:val="32"/>
        </w:rPr>
        <w:t>余个，印发《督查通报》</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期、《敦促提醒函》</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期、《督查报告》</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期。三是加大民生实事宣传。充分利用广元日报、“微昭化”、政府门户网等平台，开展民生实事成效宣传，让民生实事更加深入人心、民生福祉更加殷实；积极向市级主流媒体推送我区民生实事工作成效，今年，我区山坪塘除险加固整治行动纳入全省民生实事项目“优秀案例”备选案例。</w:t>
      </w:r>
    </w:p>
    <w:p w14:paraId="35458815">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sz w:val="32"/>
          <w:szCs w:val="32"/>
        </w:rPr>
        <w:t>（</w:t>
      </w:r>
      <w:r>
        <w:rPr>
          <w:rFonts w:hint="eastAsia" w:ascii="Times New Roman" w:hAnsi="Times New Roman" w:eastAsia="楷体_GB2312" w:cs="楷体_GB2312"/>
          <w:b w:val="0"/>
          <w:bCs w:val="0"/>
          <w:sz w:val="32"/>
          <w:szCs w:val="32"/>
        </w:rPr>
        <w:t>2</w:t>
      </w:r>
      <w:r>
        <w:rPr>
          <w:rFonts w:hint="eastAsia" w:ascii="楷体_GB2312" w:hAnsi="楷体_GB2312" w:eastAsia="楷体_GB2312" w:cs="楷体_GB2312"/>
          <w:b w:val="0"/>
          <w:bCs w:val="0"/>
          <w:sz w:val="32"/>
          <w:szCs w:val="32"/>
        </w:rPr>
        <w:t>）全力抓好专项整治，切实提升减负工作实效质效。</w:t>
      </w:r>
      <w:r>
        <w:rPr>
          <w:rFonts w:hint="eastAsia" w:ascii="仿宋_GB2312" w:hAnsi="仿宋_GB2312" w:eastAsia="仿宋_GB2312" w:cs="仿宋_GB2312"/>
          <w:b w:val="0"/>
          <w:bCs w:val="0"/>
          <w:sz w:val="32"/>
          <w:szCs w:val="32"/>
        </w:rPr>
        <w:t>一是夯实廉洁自律根基。</w:t>
      </w:r>
      <w:r>
        <w:rPr>
          <w:rFonts w:hint="eastAsia" w:ascii="仿宋_GB2312" w:hAnsi="仿宋_GB2312" w:eastAsia="仿宋_GB2312" w:cs="仿宋_GB2312"/>
          <w:b w:val="0"/>
          <w:bCs w:val="0"/>
          <w:color w:val="000000"/>
          <w:sz w:val="32"/>
          <w:szCs w:val="32"/>
          <w:lang w:bidi="ar"/>
        </w:rPr>
        <w:t>以群众反映强烈的问题为切入点，重点整治查处“不担当、</w:t>
      </w:r>
      <w:r>
        <w:rPr>
          <w:rFonts w:hint="eastAsia" w:ascii="仿宋_GB2312" w:hAnsi="仿宋_GB2312" w:eastAsia="仿宋_GB2312" w:cs="仿宋_GB2312"/>
          <w:b w:val="0"/>
          <w:bCs w:val="0"/>
          <w:kern w:val="2"/>
          <w:sz w:val="32"/>
          <w:szCs w:val="32"/>
        </w:rPr>
        <w:t>不作为、不负责，贯彻执行上级决策部署打折扣、做选择、搞变通”等形式主义、官僚主义突出问题</w:t>
      </w:r>
      <w:r>
        <w:rPr>
          <w:rFonts w:hint="eastAsia" w:ascii="Times New Roman" w:hAnsi="Times New Roman" w:eastAsia="仿宋_GB2312" w:cs="仿宋_GB2312"/>
          <w:b w:val="0"/>
          <w:bCs w:val="0"/>
          <w:kern w:val="2"/>
          <w:sz w:val="32"/>
          <w:szCs w:val="32"/>
        </w:rPr>
        <w:t>33</w:t>
      </w:r>
      <w:r>
        <w:rPr>
          <w:rFonts w:hint="eastAsia" w:ascii="仿宋_GB2312" w:hAnsi="仿宋_GB2312" w:eastAsia="仿宋_GB2312" w:cs="仿宋_GB2312"/>
          <w:b w:val="0"/>
          <w:bCs w:val="0"/>
          <w:kern w:val="2"/>
          <w:sz w:val="32"/>
          <w:szCs w:val="32"/>
        </w:rPr>
        <w:t>个，进一步增强党员干部遵规守纪、廉洁自律的思想意识和行动自觉，做到时刻警醒、防微杜渐、警钟长鸣。二是统筹规范督查检查考核。印发《严格落实统筹规范督查检查考核七条措施》《</w:t>
      </w:r>
      <w:r>
        <w:rPr>
          <w:rFonts w:hint="eastAsia" w:ascii="Times New Roman" w:hAnsi="Times New Roman" w:eastAsia="仿宋_GB2312" w:cs="仿宋_GB2312"/>
          <w:b w:val="0"/>
          <w:bCs w:val="0"/>
          <w:kern w:val="2"/>
          <w:sz w:val="32"/>
          <w:szCs w:val="32"/>
        </w:rPr>
        <w:t>2023</w:t>
      </w:r>
      <w:r>
        <w:rPr>
          <w:rFonts w:hint="eastAsia" w:ascii="仿宋_GB2312" w:hAnsi="仿宋_GB2312" w:eastAsia="仿宋_GB2312" w:cs="仿宋_GB2312"/>
          <w:b w:val="0"/>
          <w:bCs w:val="0"/>
          <w:kern w:val="2"/>
          <w:sz w:val="32"/>
          <w:szCs w:val="32"/>
        </w:rPr>
        <w:t>年区级督查检查考核计划》，统筹规范年度区级督查检查考核事项</w:t>
      </w:r>
      <w:r>
        <w:rPr>
          <w:rFonts w:hint="eastAsia" w:ascii="Times New Roman" w:hAnsi="Times New Roman" w:eastAsia="仿宋_GB2312" w:cs="仿宋_GB2312"/>
          <w:b w:val="0"/>
          <w:bCs w:val="0"/>
          <w:kern w:val="2"/>
          <w:sz w:val="32"/>
          <w:szCs w:val="32"/>
        </w:rPr>
        <w:t>24</w:t>
      </w:r>
      <w:r>
        <w:rPr>
          <w:rFonts w:hint="eastAsia" w:ascii="仿宋_GB2312" w:hAnsi="仿宋_GB2312" w:eastAsia="仿宋_GB2312" w:cs="仿宋_GB2312"/>
          <w:b w:val="0"/>
          <w:bCs w:val="0"/>
          <w:kern w:val="2"/>
          <w:sz w:val="32"/>
          <w:szCs w:val="32"/>
        </w:rPr>
        <w:t>项，进一步强化对“督检考”计划的审核把关和规范实施，坚持“一月一对账、一季一调账、年底算总账”，定期调度督查检查考核情况，避免“督检考”集中扎堆、重复多头开展。</w:t>
      </w:r>
    </w:p>
    <w:p w14:paraId="34F3B7D2">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持续落实巡视整改，不断巩固巡视整改工作成果。一是持续深化思想认识。在区委常委会会议上传达学习了《省委巡视反馈问题整改销号办法（试行）》并提出我区贯彻意见，通报十一届省委第五轮巡视巡视昭化区反馈意见整改情况，进一步提高深化巡视整改工作认识，不断增强抓好巡视“后半篇文章”的思想自觉、政治自觉、行动自觉。二是加强日常督导督查。对“大光明公司非法集资案问题化解不到位”推进情况定期一收集、一梳理，督促责任领导和责任单位先后</w:t>
      </w:r>
      <w:r>
        <w:rPr>
          <w:rFonts w:hint="eastAsia" w:ascii="Times New Roman" w:hAnsi="Times New Roman" w:eastAsia="仿宋_GB2312" w:cs="仿宋_GB2312"/>
          <w:b w:val="0"/>
          <w:bCs w:val="0"/>
          <w:kern w:val="2"/>
          <w:sz w:val="32"/>
          <w:szCs w:val="32"/>
        </w:rPr>
        <w:t>2</w:t>
      </w:r>
      <w:r>
        <w:rPr>
          <w:rFonts w:hint="eastAsia" w:ascii="仿宋_GB2312" w:hAnsi="仿宋_GB2312" w:eastAsia="仿宋_GB2312" w:cs="仿宋_GB2312"/>
          <w:b w:val="0"/>
          <w:bCs w:val="0"/>
          <w:kern w:val="2"/>
          <w:sz w:val="32"/>
          <w:szCs w:val="32"/>
        </w:rPr>
        <w:t>次召开会商会议研究部署走访、化解、稳控等工作。并将化解工作纳入重点督办事项，每季度督查调度化解工作推进情况，督促属地党委政府做好集资参与人思想工作并协助办理相关抵偿手续。三是全力推动标本兼治。督促指导整改责任单位检视各项整改措施的落实和成效以及举一反三等后续整改情况，并始终坚持把制度建设贯穿巡视整改工作全过程。</w:t>
      </w:r>
    </w:p>
    <w:p w14:paraId="47A2FA8B">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w:t>
      </w:r>
      <w:r>
        <w:rPr>
          <w:rFonts w:hint="eastAsia" w:ascii="仿宋_GB2312" w:hAnsi="仿宋_GB2312" w:eastAsia="仿宋_GB2312" w:cs="仿宋_GB2312"/>
          <w:b w:val="0"/>
          <w:bCs w:val="0"/>
          <w:kern w:val="2"/>
          <w:sz w:val="32"/>
          <w:szCs w:val="32"/>
        </w:rPr>
        <w:t>.始终抓实队伍自身建设，主动适应新形势迎接新挑战</w:t>
      </w:r>
    </w:p>
    <w:p w14:paraId="17E91421">
      <w:pPr>
        <w:pStyle w:val="15"/>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1</w:t>
      </w:r>
      <w:r>
        <w:rPr>
          <w:rFonts w:hint="eastAsia" w:ascii="仿宋_GB2312" w:hAnsi="仿宋_GB2312" w:eastAsia="仿宋_GB2312" w:cs="仿宋_GB2312"/>
          <w:b w:val="0"/>
          <w:bCs w:val="0"/>
          <w:kern w:val="2"/>
          <w:sz w:val="32"/>
          <w:szCs w:val="32"/>
        </w:rPr>
        <w:t>）扎实开展主题教育活动。旗帜鲜明坚持党对一切</w:t>
      </w:r>
      <w:r>
        <w:rPr>
          <w:rFonts w:hint="eastAsia" w:ascii="仿宋_GB2312" w:hAnsi="仿宋_GB2312" w:eastAsia="仿宋_GB2312" w:cs="仿宋_GB2312"/>
          <w:b w:val="0"/>
          <w:bCs w:val="0"/>
          <w:color w:val="000000"/>
          <w:sz w:val="32"/>
          <w:szCs w:val="32"/>
          <w:lang w:bidi="ar"/>
        </w:rPr>
        <w:t>工作的全面领导，坚持领导班子示范引领、支部党员全面参与，通过“集中学+自学”方式开展理论学习，开展专题研讨</w:t>
      </w:r>
      <w:r>
        <w:rPr>
          <w:rFonts w:hint="eastAsia" w:ascii="Times New Roman" w:hAnsi="Times New Roman" w:eastAsia="仿宋_GB2312" w:cs="仿宋_GB2312"/>
          <w:b w:val="0"/>
          <w:bCs w:val="0"/>
          <w:color w:val="000000"/>
          <w:sz w:val="32"/>
          <w:szCs w:val="32"/>
          <w:lang w:bidi="ar"/>
        </w:rPr>
        <w:t>4</w:t>
      </w:r>
      <w:r>
        <w:rPr>
          <w:rFonts w:hint="eastAsia" w:ascii="仿宋_GB2312" w:hAnsi="仿宋_GB2312" w:eastAsia="仿宋_GB2312" w:cs="仿宋_GB2312"/>
          <w:b w:val="0"/>
          <w:bCs w:val="0"/>
          <w:color w:val="000000"/>
          <w:sz w:val="32"/>
          <w:szCs w:val="32"/>
          <w:lang w:bidi="ar"/>
        </w:rPr>
        <w:t xml:space="preserve">场次；班子成员落实好“四下基层”制度，结合专题督导分赴基层实地走访调研，组织到眉山永丰村、旺苍红军山、昭化天雄村、云雾村等地学习考察，召开成果交流会等，研究解决困难问题 </w:t>
      </w:r>
      <w:r>
        <w:rPr>
          <w:rFonts w:hint="eastAsia" w:ascii="Times New Roman" w:hAnsi="Times New Roman" w:eastAsia="仿宋_GB2312" w:cs="仿宋_GB2312"/>
          <w:b w:val="0"/>
          <w:bCs w:val="0"/>
          <w:color w:val="000000"/>
          <w:sz w:val="32"/>
          <w:szCs w:val="32"/>
          <w:lang w:bidi="ar"/>
        </w:rPr>
        <w:t>3</w:t>
      </w:r>
      <w:r>
        <w:rPr>
          <w:rFonts w:hint="eastAsia" w:ascii="仿宋_GB2312" w:hAnsi="仿宋_GB2312" w:eastAsia="仿宋_GB2312" w:cs="仿宋_GB2312"/>
          <w:b w:val="0"/>
          <w:bCs w:val="0"/>
          <w:color w:val="000000"/>
          <w:sz w:val="32"/>
          <w:szCs w:val="32"/>
          <w:lang w:bidi="ar"/>
        </w:rPr>
        <w:t xml:space="preserve">个，全力推动督查目标工作高质量发展。 </w:t>
      </w:r>
    </w:p>
    <w:p w14:paraId="1672FB8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楷体_GB2312" w:hAnsi="楷体_GB2312" w:eastAsia="楷体_GB2312" w:cs="楷体_GB2312"/>
          <w:b w:val="0"/>
          <w:bCs w:val="0"/>
          <w:sz w:val="32"/>
          <w:szCs w:val="32"/>
        </w:rPr>
        <w:t>（</w:t>
      </w:r>
      <w:r>
        <w:rPr>
          <w:rFonts w:hint="eastAsia" w:ascii="Times New Roman" w:hAnsi="Times New Roman" w:eastAsia="楷体_GB2312" w:cs="楷体_GB2312"/>
          <w:b w:val="0"/>
          <w:bCs w:val="0"/>
          <w:sz w:val="32"/>
          <w:szCs w:val="32"/>
        </w:rPr>
        <w:t>2</w:t>
      </w:r>
      <w:r>
        <w:rPr>
          <w:rFonts w:hint="eastAsia" w:ascii="楷体_GB2312" w:hAnsi="楷体_GB2312" w:eastAsia="楷体_GB2312" w:cs="楷体_GB2312"/>
          <w:b w:val="0"/>
          <w:bCs w:val="0"/>
          <w:sz w:val="32"/>
          <w:szCs w:val="32"/>
        </w:rPr>
        <w:t>）扎实开展党建提升活动。</w:t>
      </w:r>
      <w:r>
        <w:rPr>
          <w:rFonts w:hint="eastAsia" w:ascii="仿宋_GB2312" w:hAnsi="仿宋_GB2312" w:eastAsia="仿宋_GB2312" w:cs="仿宋_GB2312"/>
          <w:b w:val="0"/>
          <w:bCs w:val="0"/>
          <w:color w:val="000000"/>
          <w:sz w:val="32"/>
          <w:szCs w:val="32"/>
          <w:lang w:bidi="ar"/>
        </w:rPr>
        <w:t>坚持规范党内政治生活，认真筹备开展年度班子民主生活会、每周总结反思会、重点工作复盘会等，持续推动党员干部不断自我完善、自我提高。坚持抓好党风廉政建设，动态更新从严治党主体责任清单和权力风险防控清单，严格落实意识形态工作责任制，组织观看阳光问政节目和党风廉政警示教育片，经常性开展谈心谈话，坚决防止“高级红”“低级黑”发生。扎实推进元坝镇云雾村帮扶工作，协调解决政务公开栏、环卫设施等物资。</w:t>
      </w:r>
    </w:p>
    <w:p w14:paraId="63D0995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bidi="ar"/>
        </w:rPr>
      </w:pPr>
      <w:r>
        <w:rPr>
          <w:rFonts w:hint="eastAsia" w:ascii="楷体_GB2312" w:hAnsi="楷体_GB2312" w:eastAsia="楷体_GB2312" w:cs="楷体_GB2312"/>
          <w:b w:val="0"/>
          <w:bCs w:val="0"/>
          <w:sz w:val="32"/>
          <w:szCs w:val="32"/>
        </w:rPr>
        <w:t>（</w:t>
      </w:r>
      <w:r>
        <w:rPr>
          <w:rFonts w:hint="eastAsia" w:ascii="Times New Roman" w:hAnsi="Times New Roman" w:eastAsia="楷体_GB2312" w:cs="楷体_GB2312"/>
          <w:b w:val="0"/>
          <w:bCs w:val="0"/>
          <w:sz w:val="32"/>
          <w:szCs w:val="32"/>
        </w:rPr>
        <w:t>3</w:t>
      </w:r>
      <w:r>
        <w:rPr>
          <w:rFonts w:hint="eastAsia" w:ascii="楷体_GB2312" w:hAnsi="楷体_GB2312" w:eastAsia="楷体_GB2312" w:cs="楷体_GB2312"/>
          <w:b w:val="0"/>
          <w:bCs w:val="0"/>
          <w:sz w:val="32"/>
          <w:szCs w:val="32"/>
        </w:rPr>
        <w:t>）扎实开展充电赋能活动。</w:t>
      </w:r>
      <w:r>
        <w:rPr>
          <w:rFonts w:hint="eastAsia" w:ascii="仿宋_GB2312" w:hAnsi="仿宋_GB2312" w:eastAsia="仿宋_GB2312" w:cs="仿宋_GB2312"/>
          <w:b w:val="0"/>
          <w:bCs w:val="0"/>
          <w:color w:val="000000"/>
          <w:sz w:val="32"/>
          <w:szCs w:val="32"/>
          <w:lang w:bidi="ar"/>
        </w:rPr>
        <w:t>常态化开设学习课堂，采用领导干部带头讲、业务骨干跟进讲、全体干部参与讲的模式，半月轮流组织开展一期集中学习，通过理论授课、案例教学、经验分享以及互动交流等方式，着力提升督查干部综合能力。同时，结合全国文明城市创建工作，积极开展文明礼仪“大宣讲”、文明交通“大劝导”、环境卫生“大整治”等活动，定期组织干部到包联小区开展志愿服务活动，以实际行动践行文明新风尚。</w:t>
      </w:r>
    </w:p>
    <w:p w14:paraId="08CF8162">
      <w:pPr>
        <w:pStyle w:val="4"/>
        <w:keepNext w:val="0"/>
        <w:keepLines w:val="0"/>
        <w:pageBreakBefore w:val="0"/>
        <w:widowControl w:val="0"/>
        <w:kinsoku/>
        <w:wordWrap/>
        <w:overflowPunct w:val="0"/>
        <w:topLinePunct w:val="0"/>
        <w:bidi w:val="0"/>
        <w:snapToGrid/>
        <w:spacing w:line="576" w:lineRule="exact"/>
        <w:ind w:firstLine="640"/>
        <w:jc w:val="both"/>
        <w:textAlignment w:val="auto"/>
        <w:rPr>
          <w:rFonts w:hint="default" w:ascii="Cambria" w:cs="Cambria"/>
          <w:b w:val="0"/>
          <w:bCs w:val="0"/>
          <w:kern w:val="2"/>
          <w:sz w:val="32"/>
          <w:szCs w:val="24"/>
        </w:rPr>
      </w:pPr>
      <w:r>
        <w:rPr>
          <w:rFonts w:hint="eastAsia" w:ascii="黑体" w:hAnsi="黑体" w:eastAsia="黑体"/>
          <w:b w:val="0"/>
          <w:bCs w:val="0"/>
          <w:color w:val="000000"/>
          <w:kern w:val="2"/>
          <w:sz w:val="32"/>
          <w:szCs w:val="24"/>
        </w:rPr>
        <w:t>二、机</w:t>
      </w:r>
      <w:r>
        <w:rPr>
          <w:rFonts w:hint="eastAsia" w:ascii="黑体" w:hAnsi="黑体" w:eastAsia="黑体"/>
          <w:b w:val="0"/>
          <w:bCs w:val="0"/>
          <w:kern w:val="2"/>
          <w:sz w:val="32"/>
          <w:szCs w:val="24"/>
        </w:rPr>
        <w:t>构设置</w:t>
      </w:r>
    </w:p>
    <w:p w14:paraId="78C36B0D">
      <w:pPr>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广元市昭化区目标绩效事务中心部门属于一级预算单位，下属预算单位</w:t>
      </w:r>
      <w:r>
        <w:rPr>
          <w:rFonts w:hint="eastAsia" w:ascii="Times New Roman" w:hAnsi="Times New Roman" w:eastAsia="仿宋_GB2312"/>
          <w:b w:val="0"/>
          <w:bCs w:val="0"/>
          <w:kern w:val="2"/>
          <w:sz w:val="32"/>
          <w:szCs w:val="24"/>
        </w:rPr>
        <w:t>0</w:t>
      </w:r>
      <w:r>
        <w:rPr>
          <w:rFonts w:hint="eastAsia" w:ascii="仿宋_GB2312" w:hAnsi="仿宋_GB2312" w:eastAsia="仿宋_GB2312"/>
          <w:b w:val="0"/>
          <w:bCs w:val="0"/>
          <w:kern w:val="2"/>
          <w:sz w:val="32"/>
          <w:szCs w:val="24"/>
        </w:rPr>
        <w:t>个，其中行政单位</w:t>
      </w:r>
      <w:r>
        <w:rPr>
          <w:rFonts w:hint="eastAsia" w:ascii="Times New Roman" w:hAnsi="Times New Roman" w:eastAsia="仿宋_GB2312"/>
          <w:b w:val="0"/>
          <w:bCs w:val="0"/>
          <w:kern w:val="2"/>
          <w:sz w:val="32"/>
          <w:szCs w:val="24"/>
        </w:rPr>
        <w:t>0</w:t>
      </w:r>
      <w:r>
        <w:rPr>
          <w:rFonts w:hint="eastAsia" w:ascii="仿宋_GB2312" w:hAnsi="仿宋_GB2312" w:eastAsia="仿宋_GB2312"/>
          <w:b w:val="0"/>
          <w:bCs w:val="0"/>
          <w:kern w:val="2"/>
          <w:sz w:val="32"/>
          <w:szCs w:val="24"/>
        </w:rPr>
        <w:t>个，参照公务员法管理的事业单位</w:t>
      </w:r>
      <w:r>
        <w:rPr>
          <w:rFonts w:hint="eastAsia" w:ascii="Times New Roman" w:hAnsi="Times New Roman" w:eastAsia="仿宋_GB2312"/>
          <w:b w:val="0"/>
          <w:bCs w:val="0"/>
          <w:kern w:val="2"/>
          <w:sz w:val="32"/>
          <w:szCs w:val="24"/>
        </w:rPr>
        <w:t>0</w:t>
      </w:r>
      <w:r>
        <w:rPr>
          <w:rFonts w:hint="eastAsia" w:ascii="仿宋_GB2312" w:hAnsi="仿宋_GB2312" w:eastAsia="仿宋_GB2312"/>
          <w:b w:val="0"/>
          <w:bCs w:val="0"/>
          <w:kern w:val="2"/>
          <w:sz w:val="32"/>
          <w:szCs w:val="24"/>
        </w:rPr>
        <w:t>个，其他事业单位</w:t>
      </w:r>
      <w:r>
        <w:rPr>
          <w:rFonts w:hint="eastAsia" w:ascii="Times New Roman" w:hAnsi="Times New Roman" w:eastAsia="仿宋_GB2312"/>
          <w:b w:val="0"/>
          <w:bCs w:val="0"/>
          <w:kern w:val="2"/>
          <w:sz w:val="32"/>
          <w:szCs w:val="24"/>
        </w:rPr>
        <w:t>0</w:t>
      </w:r>
      <w:r>
        <w:rPr>
          <w:rFonts w:hint="eastAsia" w:ascii="仿宋_GB2312" w:hAnsi="仿宋_GB2312" w:eastAsia="仿宋_GB2312"/>
          <w:b w:val="0"/>
          <w:bCs w:val="0"/>
          <w:kern w:val="2"/>
          <w:sz w:val="32"/>
          <w:szCs w:val="24"/>
        </w:rPr>
        <w:t>个。</w:t>
      </w:r>
    </w:p>
    <w:p w14:paraId="0E3390D9">
      <w:pPr>
        <w:keepNext w:val="0"/>
        <w:keepLines w:val="0"/>
        <w:pageBreakBefore w:val="0"/>
        <w:widowControl w:val="0"/>
        <w:kinsoku/>
        <w:wordWrap/>
        <w:overflowPunct w:val="0"/>
        <w:topLinePunct w:val="0"/>
        <w:bidi w:val="0"/>
        <w:snapToGrid/>
        <w:spacing w:line="576" w:lineRule="exact"/>
        <w:ind w:firstLine="640"/>
        <w:jc w:val="both"/>
        <w:textAlignment w:val="auto"/>
        <w:rPr>
          <w:rFonts w:hint="eastAsia" w:ascii="仿宋_GB2312" w:hAnsi="仿宋_GB2312" w:eastAsia="仿宋_GB2312"/>
          <w:b w:val="0"/>
          <w:bCs w:val="0"/>
          <w:color w:val="000000"/>
          <w:sz w:val="32"/>
          <w:szCs w:val="24"/>
          <w:lang w:eastAsia="zh-CN"/>
        </w:rPr>
      </w:pPr>
      <w:r>
        <w:rPr>
          <w:rFonts w:hint="eastAsia" w:ascii="仿宋_GB2312" w:hAnsi="仿宋_GB2312" w:eastAsia="仿宋_GB2312"/>
          <w:b w:val="0"/>
          <w:bCs w:val="0"/>
          <w:color w:val="000000"/>
          <w:sz w:val="32"/>
          <w:szCs w:val="24"/>
        </w:rPr>
        <w:t>纳入</w:t>
      </w:r>
      <w:r>
        <w:rPr>
          <w:rFonts w:hint="eastAsia" w:ascii="Times New Roman" w:hAnsi="Times New Roman" w:eastAsia="仿宋_GB2312"/>
          <w:b w:val="0"/>
          <w:bCs w:val="0"/>
          <w:color w:val="000000"/>
          <w:sz w:val="32"/>
          <w:szCs w:val="24"/>
        </w:rPr>
        <w:t>2023</w:t>
      </w:r>
      <w:r>
        <w:rPr>
          <w:rFonts w:hint="eastAsia" w:ascii="仿宋_GB2312" w:hAnsi="仿宋_GB2312" w:eastAsia="仿宋_GB2312"/>
          <w:b w:val="0"/>
          <w:bCs w:val="0"/>
          <w:color w:val="000000"/>
          <w:sz w:val="32"/>
          <w:szCs w:val="24"/>
        </w:rPr>
        <w:t>年度部门决算编制范围的</w:t>
      </w:r>
      <w:r>
        <w:rPr>
          <w:rFonts w:hint="eastAsia" w:ascii="仿宋_GB2312" w:hAnsi="仿宋_GB2312" w:eastAsia="仿宋_GB2312"/>
          <w:b w:val="0"/>
          <w:bCs w:val="0"/>
          <w:color w:val="000000"/>
          <w:sz w:val="32"/>
          <w:szCs w:val="24"/>
          <w:lang w:eastAsia="zh-CN"/>
        </w:rPr>
        <w:t>二级</w:t>
      </w:r>
      <w:r>
        <w:rPr>
          <w:rFonts w:hint="eastAsia" w:ascii="仿宋_GB2312" w:hAnsi="仿宋_GB2312" w:eastAsia="仿宋_GB2312"/>
          <w:b w:val="0"/>
          <w:bCs w:val="0"/>
          <w:color w:val="000000"/>
          <w:sz w:val="32"/>
          <w:szCs w:val="24"/>
        </w:rPr>
        <w:t>预算单位包括：</w:t>
      </w:r>
      <w:r>
        <w:rPr>
          <w:rFonts w:hint="eastAsia" w:ascii="仿宋_GB2312" w:hAnsi="仿宋_GB2312" w:eastAsia="仿宋_GB2312"/>
          <w:b w:val="0"/>
          <w:bCs w:val="0"/>
          <w:color w:val="000000"/>
          <w:sz w:val="32"/>
          <w:szCs w:val="24"/>
          <w:lang w:eastAsia="zh-CN"/>
        </w:rPr>
        <w:t>无</w:t>
      </w:r>
    </w:p>
    <w:p w14:paraId="0BE9A137">
      <w:pPr>
        <w:pStyle w:val="5"/>
        <w:keepNext w:val="0"/>
        <w:keepLines w:val="0"/>
        <w:pageBreakBefore w:val="0"/>
        <w:widowControl w:val="0"/>
        <w:kinsoku/>
        <w:wordWrap/>
        <w:overflowPunct w:val="0"/>
        <w:topLinePunct w:val="0"/>
        <w:bidi w:val="0"/>
        <w:snapToGrid/>
        <w:spacing w:beforeLines="0" w:line="576" w:lineRule="exact"/>
        <w:textAlignment w:val="auto"/>
        <w:rPr>
          <w:rFonts w:hint="eastAsia"/>
          <w:b w:val="0"/>
          <w:bCs w:val="0"/>
          <w:sz w:val="30"/>
          <w:szCs w:val="24"/>
        </w:rPr>
      </w:pPr>
    </w:p>
    <w:p w14:paraId="592A79BF">
      <w:pPr>
        <w:pStyle w:val="5"/>
        <w:keepNext w:val="0"/>
        <w:keepLines w:val="0"/>
        <w:pageBreakBefore w:val="0"/>
        <w:widowControl w:val="0"/>
        <w:kinsoku/>
        <w:wordWrap/>
        <w:overflowPunct w:val="0"/>
        <w:topLinePunct w:val="0"/>
        <w:bidi w:val="0"/>
        <w:snapToGrid/>
        <w:spacing w:beforeLines="0" w:line="576" w:lineRule="exact"/>
        <w:textAlignment w:val="auto"/>
        <w:rPr>
          <w:rFonts w:hint="eastAsia"/>
          <w:b w:val="0"/>
          <w:bCs w:val="0"/>
          <w:sz w:val="30"/>
          <w:szCs w:val="24"/>
        </w:rPr>
        <w:sectPr>
          <w:footerReference r:id="rId4" w:type="default"/>
          <w:pgSz w:w="12240" w:h="15840"/>
          <w:pgMar w:top="2098" w:right="1474" w:bottom="1984" w:left="1587" w:header="850" w:footer="1587" w:gutter="0"/>
          <w:lnNumType w:countBy="0" w:distance="360"/>
          <w:pgNumType w:fmt="decimal"/>
          <w:cols w:space="720" w:num="1"/>
          <w:rtlGutter w:val="0"/>
          <w:docGrid w:linePitch="0" w:charSpace="0"/>
        </w:sectPr>
      </w:pPr>
    </w:p>
    <w:p w14:paraId="291F13C1">
      <w:pPr>
        <w:keepNext/>
        <w:keepLines/>
        <w:pageBreakBefore/>
        <w:widowControl w:val="0"/>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 xml:space="preserve">第二部分  </w:t>
      </w:r>
      <w:r>
        <w:rPr>
          <w:rFonts w:hint="eastAsia" w:ascii="Times New Roman" w:hAnsi="Times New Roman" w:eastAsia="方正小标宋简体" w:cs="方正小标宋简体"/>
          <w:b w:val="0"/>
          <w:bCs w:val="0"/>
          <w:kern w:val="44"/>
          <w:sz w:val="44"/>
          <w:szCs w:val="44"/>
        </w:rPr>
        <w:t>2023</w:t>
      </w:r>
      <w:r>
        <w:rPr>
          <w:rFonts w:hint="eastAsia" w:ascii="方正小标宋简体" w:hAnsi="方正小标宋简体" w:eastAsia="方正小标宋简体" w:cs="方正小标宋简体"/>
          <w:b w:val="0"/>
          <w:bCs w:val="0"/>
          <w:kern w:val="44"/>
          <w:sz w:val="44"/>
          <w:szCs w:val="44"/>
        </w:rPr>
        <w:t>年度部门决算情况说明</w:t>
      </w:r>
    </w:p>
    <w:p w14:paraId="05F19A2C">
      <w:pPr>
        <w:pStyle w:val="2"/>
        <w:keepNext w:val="0"/>
        <w:keepLines w:val="0"/>
        <w:pageBreakBefore w:val="0"/>
        <w:widowControl w:val="0"/>
        <w:kinsoku/>
        <w:wordWrap/>
        <w:autoSpaceDE w:val="0"/>
        <w:autoSpaceDN w:val="0"/>
        <w:bidi w:val="0"/>
        <w:adjustRightInd w:val="0"/>
        <w:snapToGrid/>
        <w:spacing w:beforeLines="0" w:afterLines="0" w:line="600" w:lineRule="exact"/>
        <w:textAlignment w:val="auto"/>
        <w:rPr>
          <w:rFonts w:hint="eastAsia"/>
          <w:b w:val="0"/>
          <w:bCs w:val="0"/>
        </w:rPr>
      </w:pPr>
    </w:p>
    <w:p w14:paraId="4F30543D">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一、收</w:t>
      </w:r>
      <w:r>
        <w:rPr>
          <w:rFonts w:hint="eastAsia" w:ascii="黑体" w:hAnsi="黑体" w:eastAsia="黑体"/>
          <w:b w:val="0"/>
          <w:bCs w:val="0"/>
          <w:kern w:val="2"/>
          <w:sz w:val="32"/>
          <w:szCs w:val="24"/>
        </w:rPr>
        <w:t>入支出决算总体情况说明</w:t>
      </w:r>
    </w:p>
    <w:p w14:paraId="15E1AD6C">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年度收、支总计均为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万元。与</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年度相比，收、支总计各增加</w:t>
      </w:r>
      <w:r>
        <w:rPr>
          <w:rFonts w:hint="eastAsia" w:ascii="Times New Roman" w:hAnsi="Times New Roman" w:eastAsia="仿宋_GB2312"/>
          <w:b w:val="0"/>
          <w:bCs w:val="0"/>
          <w:color w:val="000000"/>
          <w:kern w:val="2"/>
          <w:sz w:val="32"/>
          <w:szCs w:val="24"/>
        </w:rPr>
        <w:t>64</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96</w:t>
      </w:r>
      <w:r>
        <w:rPr>
          <w:rFonts w:hint="eastAsia" w:ascii="仿宋_GB2312" w:hAnsi="仿宋_GB2312" w:eastAsia="仿宋_GB2312"/>
          <w:b w:val="0"/>
          <w:bCs w:val="0"/>
          <w:color w:val="000000"/>
          <w:kern w:val="2"/>
          <w:sz w:val="32"/>
          <w:szCs w:val="24"/>
        </w:rPr>
        <w:t>万元，增长</w:t>
      </w:r>
      <w:r>
        <w:rPr>
          <w:rFonts w:hint="eastAsia" w:ascii="Times New Roman" w:hAnsi="Times New Roman" w:eastAsia="仿宋_GB2312"/>
          <w:b w:val="0"/>
          <w:bCs w:val="0"/>
          <w:color w:val="000000"/>
          <w:kern w:val="2"/>
          <w:sz w:val="32"/>
          <w:szCs w:val="24"/>
        </w:rPr>
        <w:t>30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93</w:t>
      </w:r>
      <w:r>
        <w:rPr>
          <w:rFonts w:hint="eastAsia" w:ascii="仿宋_GB2312" w:hAnsi="仿宋_GB2312" w:eastAsia="仿宋_GB2312"/>
          <w:b w:val="0"/>
          <w:bCs w:val="0"/>
          <w:color w:val="000000"/>
          <w:kern w:val="2"/>
          <w:sz w:val="32"/>
          <w:szCs w:val="24"/>
        </w:rPr>
        <w:t>%。主要变动原因是人员和项目增加。</w:t>
      </w:r>
    </w:p>
    <w:p w14:paraId="7FE083C4">
      <w:pPr>
        <w:pStyle w:val="2"/>
        <w:rPr>
          <w:rFonts w:hint="eastAsia"/>
        </w:rPr>
      </w:pPr>
    </w:p>
    <w:p w14:paraId="516C0E4A">
      <w:pPr>
        <w:pStyle w:val="2"/>
        <w:spacing w:beforeLines="0" w:afterLines="0"/>
        <w:jc w:val="center"/>
        <w:rPr>
          <w:rFonts w:hint="eastAsia"/>
          <w:b w:val="0"/>
          <w:bCs w:val="0"/>
          <w:sz w:val="24"/>
          <w:szCs w:val="24"/>
        </w:rPr>
      </w:pPr>
      <w:r>
        <w:rPr>
          <w:rFonts w:hint="default"/>
          <w:b w:val="0"/>
          <w:bCs w:val="0"/>
          <w:sz w:val="24"/>
          <w:szCs w:val="24"/>
        </w:rPr>
        <w:object>
          <v:shape id="_x0000_i1025" o:spt="75" type="#_x0000_t75" style="height:286.35pt;width:357.9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31726D97">
      <w:pPr>
        <w:keepNext w:val="0"/>
        <w:keepLines w:val="0"/>
        <w:pageBreakBefore w:val="0"/>
        <w:widowControl w:val="0"/>
        <w:kinsoku/>
        <w:wordWrap/>
        <w:overflowPunct w:val="0"/>
        <w:topLinePunct/>
        <w:autoSpaceDE w:val="0"/>
        <w:autoSpaceDN w:val="0"/>
        <w:bidi w:val="0"/>
        <w:adjustRightInd w:val="0"/>
        <w:snapToGrid/>
        <w:spacing w:line="240" w:lineRule="exact"/>
        <w:ind w:firstLine="640" w:firstLineChars="200"/>
        <w:jc w:val="both"/>
        <w:textAlignment w:val="auto"/>
        <w:rPr>
          <w:rFonts w:hint="eastAsia" w:ascii="黑体" w:hAnsi="黑体" w:eastAsia="黑体"/>
          <w:b w:val="0"/>
          <w:bCs w:val="0"/>
          <w:color w:val="000000"/>
          <w:kern w:val="2"/>
          <w:sz w:val="32"/>
          <w:szCs w:val="24"/>
        </w:rPr>
      </w:pPr>
    </w:p>
    <w:p w14:paraId="122CAB4F">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二、收</w:t>
      </w:r>
      <w:r>
        <w:rPr>
          <w:rFonts w:hint="eastAsia" w:ascii="黑体" w:hAnsi="黑体" w:eastAsia="黑体"/>
          <w:b w:val="0"/>
          <w:bCs w:val="0"/>
          <w:kern w:val="2"/>
          <w:sz w:val="32"/>
          <w:szCs w:val="24"/>
        </w:rPr>
        <w:t>入决算情况说明</w:t>
      </w:r>
    </w:p>
    <w:p w14:paraId="2A1803E2">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年本年收入合计</w:t>
      </w:r>
      <w:r>
        <w:rPr>
          <w:rFonts w:hint="eastAsia" w:ascii="Times New Roman" w:hAnsi="Times New Roman" w:eastAsia="仿宋_GB2312"/>
          <w:b w:val="0"/>
          <w:bCs w:val="0"/>
          <w:color w:val="000000"/>
          <w:kern w:val="2"/>
          <w:sz w:val="32"/>
          <w:szCs w:val="24"/>
        </w:rPr>
        <w:t>209</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95</w:t>
      </w:r>
      <w:r>
        <w:rPr>
          <w:rFonts w:hint="eastAsia" w:ascii="仿宋_GB2312" w:hAnsi="仿宋_GB2312" w:eastAsia="仿宋_GB2312"/>
          <w:b w:val="0"/>
          <w:bCs w:val="0"/>
          <w:color w:val="000000"/>
          <w:kern w:val="2"/>
          <w:sz w:val="32"/>
          <w:szCs w:val="24"/>
        </w:rPr>
        <w:t>万元，其中：一般公共预算财政拨款收入</w:t>
      </w:r>
      <w:r>
        <w:rPr>
          <w:rFonts w:hint="eastAsia" w:ascii="Times New Roman" w:hAnsi="Times New Roman" w:eastAsia="仿宋_GB2312"/>
          <w:b w:val="0"/>
          <w:bCs w:val="0"/>
          <w:color w:val="000000"/>
          <w:kern w:val="2"/>
          <w:sz w:val="32"/>
          <w:szCs w:val="24"/>
        </w:rPr>
        <w:t>209</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95</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w:t>
      </w:r>
    </w:p>
    <w:p w14:paraId="579D8B20">
      <w:pPr>
        <w:pStyle w:val="2"/>
        <w:spacing w:beforeLines="0" w:afterLines="0"/>
        <w:jc w:val="center"/>
        <w:rPr>
          <w:rFonts w:hint="eastAsia" w:eastAsia="仿宋_GB2312"/>
          <w:b w:val="0"/>
          <w:bCs w:val="0"/>
          <w:sz w:val="24"/>
          <w:szCs w:val="24"/>
        </w:rPr>
      </w:pPr>
      <w:r>
        <w:rPr>
          <w:rFonts w:hint="default" w:eastAsia="仿宋_GB2312"/>
          <w:b w:val="0"/>
          <w:bCs w:val="0"/>
          <w:sz w:val="24"/>
          <w:szCs w:val="24"/>
        </w:rPr>
        <w:object>
          <v:shape id="_x0000_i1026" o:spt="75" type="#_x0000_t75" style="height:266.2pt;width:244.8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14:paraId="67E00376">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三、支</w:t>
      </w:r>
      <w:r>
        <w:rPr>
          <w:rFonts w:hint="eastAsia" w:ascii="黑体" w:hAnsi="黑体" w:eastAsia="黑体"/>
          <w:b w:val="0"/>
          <w:bCs w:val="0"/>
          <w:kern w:val="2"/>
          <w:sz w:val="32"/>
          <w:szCs w:val="24"/>
        </w:rPr>
        <w:t>出决算情况说明</w:t>
      </w:r>
    </w:p>
    <w:p w14:paraId="456CD9D8">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年本年支出合计</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万元，其中：基本支出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w:t>
      </w:r>
    </w:p>
    <w:p w14:paraId="3E14B406">
      <w:pPr>
        <w:pStyle w:val="2"/>
        <w:spacing w:beforeLines="0" w:afterLines="0"/>
        <w:jc w:val="center"/>
        <w:rPr>
          <w:rFonts w:hint="eastAsia" w:eastAsia="仿宋_GB2312"/>
          <w:b w:val="0"/>
          <w:bCs w:val="0"/>
          <w:sz w:val="24"/>
          <w:szCs w:val="24"/>
        </w:rPr>
      </w:pPr>
      <w:r>
        <w:rPr>
          <w:rFonts w:hint="default" w:eastAsia="仿宋_GB2312"/>
          <w:b w:val="0"/>
          <w:bCs w:val="0"/>
          <w:sz w:val="24"/>
          <w:szCs w:val="24"/>
        </w:rPr>
        <w:object>
          <v:shape id="_x0000_i1027" o:spt="75" type="#_x0000_t75" style="height:230.1pt;width:399.7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14:paraId="42A111F9">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四、财</w:t>
      </w:r>
      <w:r>
        <w:rPr>
          <w:rFonts w:hint="eastAsia" w:ascii="黑体" w:hAnsi="黑体" w:eastAsia="黑体"/>
          <w:b w:val="0"/>
          <w:bCs w:val="0"/>
          <w:kern w:val="2"/>
          <w:sz w:val="32"/>
          <w:szCs w:val="24"/>
        </w:rPr>
        <w:t>政拨款收入支出决算总体情况说明</w:t>
      </w:r>
    </w:p>
    <w:p w14:paraId="21FDD1BC">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年度财政拨款收、支总计均为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万元。与</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年度相比，财政拨款收、支总计各增加</w:t>
      </w:r>
      <w:r>
        <w:rPr>
          <w:rFonts w:hint="eastAsia" w:ascii="Times New Roman" w:hAnsi="Times New Roman" w:eastAsia="仿宋_GB2312"/>
          <w:b w:val="0"/>
          <w:bCs w:val="0"/>
          <w:color w:val="000000"/>
          <w:kern w:val="2"/>
          <w:sz w:val="32"/>
          <w:szCs w:val="24"/>
        </w:rPr>
        <w:t>64</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96</w:t>
      </w:r>
      <w:r>
        <w:rPr>
          <w:rFonts w:hint="eastAsia" w:ascii="仿宋_GB2312" w:hAnsi="仿宋_GB2312" w:eastAsia="仿宋_GB2312"/>
          <w:b w:val="0"/>
          <w:bCs w:val="0"/>
          <w:color w:val="000000"/>
          <w:kern w:val="2"/>
          <w:sz w:val="32"/>
          <w:szCs w:val="24"/>
        </w:rPr>
        <w:t>万元，增长</w:t>
      </w:r>
      <w:r>
        <w:rPr>
          <w:rFonts w:hint="eastAsia" w:ascii="Times New Roman" w:hAnsi="Times New Roman" w:eastAsia="仿宋_GB2312"/>
          <w:b w:val="0"/>
          <w:bCs w:val="0"/>
          <w:color w:val="000000"/>
          <w:kern w:val="2"/>
          <w:sz w:val="32"/>
          <w:szCs w:val="24"/>
        </w:rPr>
        <w:t>30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93</w:t>
      </w:r>
      <w:r>
        <w:rPr>
          <w:rFonts w:hint="eastAsia" w:ascii="仿宋_GB2312" w:hAnsi="仿宋_GB2312" w:eastAsia="仿宋_GB2312"/>
          <w:b w:val="0"/>
          <w:bCs w:val="0"/>
          <w:color w:val="000000"/>
          <w:kern w:val="2"/>
          <w:sz w:val="32"/>
          <w:szCs w:val="24"/>
        </w:rPr>
        <w:t>%。主要变动原因是人员和项目增加。</w:t>
      </w:r>
    </w:p>
    <w:p w14:paraId="1F20DAB9">
      <w:pPr>
        <w:pStyle w:val="2"/>
        <w:spacing w:beforeLines="0" w:afterLines="0"/>
        <w:jc w:val="center"/>
        <w:rPr>
          <w:rFonts w:hint="eastAsia" w:ascii="仿宋_GB2312" w:hAnsi="仿宋_GB2312" w:eastAsia="仿宋_GB2312"/>
          <w:b w:val="0"/>
          <w:bCs w:val="0"/>
          <w:kern w:val="2"/>
          <w:sz w:val="32"/>
          <w:szCs w:val="24"/>
          <w:highlight w:val="yellow"/>
        </w:rPr>
      </w:pPr>
    </w:p>
    <w:p w14:paraId="7A214CF8">
      <w:pPr>
        <w:pStyle w:val="2"/>
        <w:spacing w:beforeLines="0" w:afterLines="0"/>
        <w:jc w:val="center"/>
        <w:rPr>
          <w:rFonts w:hint="eastAsia" w:ascii="仿宋_GB2312" w:hAnsi="仿宋_GB2312" w:eastAsia="仿宋_GB2312"/>
          <w:b w:val="0"/>
          <w:bCs w:val="0"/>
          <w:kern w:val="2"/>
          <w:sz w:val="32"/>
          <w:szCs w:val="24"/>
          <w:highlight w:val="yellow"/>
        </w:rPr>
      </w:pPr>
      <w:r>
        <w:rPr>
          <w:rFonts w:hint="default" w:ascii="仿宋_GB2312" w:hAnsi="仿宋_GB2312" w:eastAsia="仿宋_GB2312"/>
          <w:b w:val="0"/>
          <w:bCs w:val="0"/>
          <w:kern w:val="2"/>
          <w:sz w:val="32"/>
          <w:szCs w:val="24"/>
          <w:highlight w:val="yellow"/>
        </w:rPr>
        <w:object>
          <v:shape id="_x0000_i1028" o:spt="75" type="#_x0000_t75" style="height:300.3pt;width:401.6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14:paraId="2E7162FB">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五、一</w:t>
      </w:r>
      <w:r>
        <w:rPr>
          <w:rFonts w:hint="eastAsia" w:ascii="黑体" w:hAnsi="黑体" w:eastAsia="黑体"/>
          <w:b w:val="0"/>
          <w:bCs w:val="0"/>
          <w:kern w:val="2"/>
          <w:sz w:val="32"/>
          <w:szCs w:val="24"/>
        </w:rPr>
        <w:t>般公共预算财政拨款支出决算情况说明</w:t>
      </w:r>
    </w:p>
    <w:p w14:paraId="71635286">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（一）一般公共预算财政拨款支出决算总体情况</w:t>
      </w:r>
    </w:p>
    <w:p w14:paraId="5E38B441">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年度一般公共预算财政拨款支出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万元，占本年支出合计的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%。与</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年度相比，一般公共预算财政拨款支出增加</w:t>
      </w:r>
      <w:r>
        <w:rPr>
          <w:rFonts w:hint="eastAsia" w:ascii="Times New Roman" w:hAnsi="Times New Roman" w:eastAsia="仿宋_GB2312"/>
          <w:b w:val="0"/>
          <w:bCs w:val="0"/>
          <w:color w:val="000000"/>
          <w:kern w:val="2"/>
          <w:sz w:val="32"/>
          <w:szCs w:val="24"/>
        </w:rPr>
        <w:t>64</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96</w:t>
      </w:r>
      <w:r>
        <w:rPr>
          <w:rFonts w:hint="eastAsia" w:ascii="仿宋_GB2312" w:hAnsi="仿宋_GB2312" w:eastAsia="仿宋_GB2312"/>
          <w:b w:val="0"/>
          <w:bCs w:val="0"/>
          <w:color w:val="000000"/>
          <w:kern w:val="2"/>
          <w:sz w:val="32"/>
          <w:szCs w:val="24"/>
        </w:rPr>
        <w:t>万元，增长</w:t>
      </w:r>
      <w:r>
        <w:rPr>
          <w:rFonts w:hint="eastAsia" w:ascii="Times New Roman" w:hAnsi="Times New Roman" w:eastAsia="仿宋_GB2312"/>
          <w:b w:val="0"/>
          <w:bCs w:val="0"/>
          <w:color w:val="000000"/>
          <w:kern w:val="2"/>
          <w:sz w:val="32"/>
          <w:szCs w:val="24"/>
        </w:rPr>
        <w:t>30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93</w:t>
      </w:r>
      <w:r>
        <w:rPr>
          <w:rFonts w:hint="eastAsia" w:ascii="仿宋_GB2312" w:hAnsi="仿宋_GB2312" w:eastAsia="仿宋_GB2312"/>
          <w:b w:val="0"/>
          <w:bCs w:val="0"/>
          <w:color w:val="000000"/>
          <w:kern w:val="2"/>
          <w:sz w:val="32"/>
          <w:szCs w:val="24"/>
        </w:rPr>
        <w:t>%。主要变动原因是人员和项目增加。</w:t>
      </w:r>
    </w:p>
    <w:p w14:paraId="1662BF73">
      <w:pPr>
        <w:pStyle w:val="2"/>
        <w:spacing w:beforeLines="0" w:afterLines="0"/>
        <w:jc w:val="center"/>
        <w:rPr>
          <w:rFonts w:hint="eastAsia" w:eastAsia="仿宋_GB2312"/>
          <w:b w:val="0"/>
          <w:bCs w:val="0"/>
          <w:sz w:val="24"/>
          <w:szCs w:val="24"/>
        </w:rPr>
      </w:pPr>
      <w:r>
        <w:rPr>
          <w:rFonts w:hint="default" w:eastAsia="仿宋_GB2312"/>
          <w:b w:val="0"/>
          <w:bCs w:val="0"/>
          <w:sz w:val="24"/>
          <w:szCs w:val="24"/>
        </w:rPr>
        <w:object>
          <v:shape id="_x0000_i1029" o:spt="75" type="#_x0000_t75" style="height:218.1pt;width:378.9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14:paraId="11FD53B8">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（二）一般公共预算财政拨款支出决算结构情况</w:t>
      </w:r>
    </w:p>
    <w:p w14:paraId="082CB2BA">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年度一般公共预算财政拨款支出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万元，主要用于以下方面</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一般公共服务支出</w:t>
      </w:r>
      <w:r>
        <w:rPr>
          <w:rFonts w:hint="eastAsia" w:ascii="Times New Roman" w:hAnsi="Times New Roman" w:eastAsia="仿宋_GB2312"/>
          <w:b w:val="0"/>
          <w:bCs w:val="0"/>
          <w:color w:val="000000"/>
          <w:kern w:val="2"/>
          <w:sz w:val="32"/>
          <w:szCs w:val="24"/>
        </w:rPr>
        <w:t>183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94</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87</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5</w:t>
      </w:r>
      <w:r>
        <w:rPr>
          <w:rFonts w:hint="eastAsia" w:ascii="仿宋_GB2312" w:hAnsi="仿宋_GB2312" w:eastAsia="仿宋_GB2312"/>
          <w:b w:val="0"/>
          <w:bCs w:val="0"/>
          <w:color w:val="000000"/>
          <w:kern w:val="2"/>
          <w:sz w:val="32"/>
          <w:szCs w:val="24"/>
        </w:rPr>
        <w:t>%；社会保障和就业支出</w:t>
      </w:r>
      <w:r>
        <w:rPr>
          <w:rFonts w:hint="eastAsia" w:ascii="Times New Roman" w:hAnsi="Times New Roman" w:eastAsia="仿宋_GB2312"/>
          <w:b w:val="0"/>
          <w:bCs w:val="0"/>
          <w:color w:val="000000"/>
          <w:kern w:val="2"/>
          <w:sz w:val="32"/>
          <w:szCs w:val="24"/>
        </w:rPr>
        <w:t>16</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31</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7</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8</w:t>
      </w:r>
      <w:r>
        <w:rPr>
          <w:rFonts w:hint="eastAsia" w:ascii="仿宋_GB2312" w:hAnsi="仿宋_GB2312" w:eastAsia="仿宋_GB2312"/>
          <w:b w:val="0"/>
          <w:bCs w:val="0"/>
          <w:color w:val="000000"/>
          <w:kern w:val="2"/>
          <w:sz w:val="32"/>
          <w:szCs w:val="24"/>
        </w:rPr>
        <w:t>%；卫生健康支出</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52</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7</w:t>
      </w:r>
      <w:r>
        <w:rPr>
          <w:rFonts w:hint="eastAsia" w:ascii="仿宋_GB2312" w:hAnsi="仿宋_GB2312" w:eastAsia="仿宋_GB2312"/>
          <w:b w:val="0"/>
          <w:bCs w:val="0"/>
          <w:color w:val="000000"/>
          <w:kern w:val="2"/>
          <w:sz w:val="32"/>
          <w:szCs w:val="24"/>
        </w:rPr>
        <w:t>%；住房保障支出</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26</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p>
    <w:p w14:paraId="2C396139">
      <w:pPr>
        <w:pStyle w:val="2"/>
        <w:spacing w:beforeLines="0" w:afterLines="0"/>
        <w:jc w:val="center"/>
        <w:rPr>
          <w:rFonts w:hint="eastAsia"/>
          <w:b w:val="0"/>
          <w:bCs w:val="0"/>
          <w:sz w:val="24"/>
          <w:szCs w:val="24"/>
        </w:rPr>
      </w:pPr>
      <w:r>
        <w:rPr>
          <w:rFonts w:hint="default"/>
          <w:b w:val="0"/>
          <w:bCs w:val="0"/>
          <w:sz w:val="24"/>
          <w:szCs w:val="24"/>
        </w:rPr>
        <w:object>
          <v:shape id="_x0000_i1030" o:spt="75" type="#_x0000_t75" style="height:222.75pt;width:387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14:paraId="217FA0BE">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（三）一般公共预算财政拨款支出决算具体情况</w:t>
      </w:r>
    </w:p>
    <w:p w14:paraId="6556D095">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年度一般公共预算支出全年预算数为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万元，支出决算数为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万元，完成全年预算数的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%。其中：</w:t>
      </w:r>
    </w:p>
    <w:p w14:paraId="1F672C51">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.一般公共服务支出（类）党委办公厅（室）及相关机构事务（款）事业运行（项）</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全年预算为</w:t>
      </w:r>
      <w:r>
        <w:rPr>
          <w:rFonts w:hint="eastAsia" w:ascii="Times New Roman" w:hAnsi="Times New Roman" w:eastAsia="仿宋_GB2312"/>
          <w:b w:val="0"/>
          <w:bCs w:val="0"/>
          <w:color w:val="000000"/>
          <w:kern w:val="2"/>
          <w:sz w:val="32"/>
          <w:szCs w:val="24"/>
        </w:rPr>
        <w:t>183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94</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183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94</w:t>
      </w:r>
      <w:r>
        <w:rPr>
          <w:rFonts w:hint="eastAsia" w:ascii="仿宋_GB2312" w:hAnsi="仿宋_GB2312" w:eastAsia="仿宋_GB2312"/>
          <w:b w:val="0"/>
          <w:bCs w:val="0"/>
          <w:color w:val="000000"/>
          <w:kern w:val="2"/>
          <w:sz w:val="32"/>
          <w:szCs w:val="24"/>
        </w:rPr>
        <w:t>万元，完成全年预算的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%。决算数等于全年预算数。</w:t>
      </w:r>
    </w:p>
    <w:p w14:paraId="728615CE">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w:t>
      </w:r>
      <w:r>
        <w:rPr>
          <w:rFonts w:hint="eastAsia" w:ascii="仿宋_GB2312" w:hAnsi="仿宋_GB2312" w:eastAsia="仿宋_GB2312"/>
          <w:b w:val="0"/>
          <w:bCs w:val="0"/>
          <w:color w:val="000000"/>
          <w:kern w:val="2"/>
          <w:sz w:val="32"/>
          <w:szCs w:val="24"/>
        </w:rPr>
        <w:t>.社会保障和就业支出（类）行政事业单位养老支出（款）机关事业单位基本养老保险缴费支出（项）</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全年预算为</w:t>
      </w:r>
      <w:r>
        <w:rPr>
          <w:rFonts w:hint="eastAsia" w:ascii="Times New Roman" w:hAnsi="Times New Roman" w:eastAsia="仿宋_GB2312"/>
          <w:b w:val="0"/>
          <w:bCs w:val="0"/>
          <w:color w:val="000000"/>
          <w:kern w:val="2"/>
          <w:sz w:val="32"/>
          <w:szCs w:val="24"/>
        </w:rPr>
        <w:t>12</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4</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12</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4</w:t>
      </w:r>
      <w:r>
        <w:rPr>
          <w:rFonts w:hint="eastAsia" w:ascii="仿宋_GB2312" w:hAnsi="仿宋_GB2312" w:eastAsia="仿宋_GB2312"/>
          <w:b w:val="0"/>
          <w:bCs w:val="0"/>
          <w:color w:val="000000"/>
          <w:kern w:val="2"/>
          <w:sz w:val="32"/>
          <w:szCs w:val="24"/>
        </w:rPr>
        <w:t>万元，完成全年预算的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%。决算数等于全年预算数。</w:t>
      </w:r>
    </w:p>
    <w:p w14:paraId="090DDA76">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.社会保障和就业支出（类）其他社会保障和就业支出（款）其他社会保障和就业支出（项）</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全年预算为</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91</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91</w:t>
      </w:r>
      <w:r>
        <w:rPr>
          <w:rFonts w:hint="eastAsia" w:ascii="仿宋_GB2312" w:hAnsi="仿宋_GB2312" w:eastAsia="仿宋_GB2312"/>
          <w:b w:val="0"/>
          <w:bCs w:val="0"/>
          <w:color w:val="000000"/>
          <w:kern w:val="2"/>
          <w:sz w:val="32"/>
          <w:szCs w:val="24"/>
        </w:rPr>
        <w:t>万元，完成全年预算的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%。决算数等于全年预算数。</w:t>
      </w:r>
    </w:p>
    <w:p w14:paraId="2187B608">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4</w:t>
      </w:r>
      <w:r>
        <w:rPr>
          <w:rFonts w:hint="eastAsia" w:ascii="仿宋_GB2312" w:hAnsi="仿宋_GB2312" w:eastAsia="仿宋_GB2312"/>
          <w:b w:val="0"/>
          <w:bCs w:val="0"/>
          <w:color w:val="000000"/>
          <w:kern w:val="2"/>
          <w:sz w:val="32"/>
          <w:szCs w:val="24"/>
        </w:rPr>
        <w:t>.卫生健康支出（类）行政事业单位医疗（款）事业单位医疗（项）</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全年预算为</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52</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52</w:t>
      </w:r>
      <w:r>
        <w:rPr>
          <w:rFonts w:hint="eastAsia" w:ascii="仿宋_GB2312" w:hAnsi="仿宋_GB2312" w:eastAsia="仿宋_GB2312"/>
          <w:b w:val="0"/>
          <w:bCs w:val="0"/>
          <w:color w:val="000000"/>
          <w:kern w:val="2"/>
          <w:sz w:val="32"/>
          <w:szCs w:val="24"/>
        </w:rPr>
        <w:t>万元，完成全年预算的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%。决算数等于全年预算数。</w:t>
      </w:r>
    </w:p>
    <w:p w14:paraId="1C189477">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5</w:t>
      </w:r>
      <w:r>
        <w:rPr>
          <w:rFonts w:hint="eastAsia" w:ascii="仿宋_GB2312" w:hAnsi="仿宋_GB2312" w:eastAsia="仿宋_GB2312"/>
          <w:b w:val="0"/>
          <w:bCs w:val="0"/>
          <w:color w:val="000000"/>
          <w:kern w:val="2"/>
          <w:sz w:val="32"/>
          <w:szCs w:val="24"/>
        </w:rPr>
        <w:t>.住房保障支出（类）住房改革支出（款）住房公积金（项）</w:t>
      </w:r>
      <w:r>
        <w:rPr>
          <w:rFonts w:hint="eastAsia" w:ascii="仿宋_GB2312" w:hAnsi="仿宋_GB2312" w:eastAsia="仿宋_GB2312"/>
          <w:b w:val="0"/>
          <w:bCs w:val="0"/>
          <w:color w:val="000000"/>
          <w:kern w:val="2"/>
          <w:sz w:val="32"/>
          <w:szCs w:val="24"/>
          <w:lang w:eastAsia="zh-CN"/>
        </w:rPr>
        <w:t>：</w:t>
      </w:r>
      <w:r>
        <w:rPr>
          <w:rFonts w:hint="eastAsia" w:ascii="仿宋_GB2312" w:hAnsi="仿宋_GB2312" w:eastAsia="仿宋_GB2312"/>
          <w:b w:val="0"/>
          <w:bCs w:val="0"/>
          <w:color w:val="000000"/>
          <w:kern w:val="2"/>
          <w:sz w:val="32"/>
          <w:szCs w:val="24"/>
        </w:rPr>
        <w:t>全年预算为</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26</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26</w:t>
      </w:r>
      <w:r>
        <w:rPr>
          <w:rFonts w:hint="eastAsia" w:ascii="仿宋_GB2312" w:hAnsi="仿宋_GB2312" w:eastAsia="仿宋_GB2312"/>
          <w:b w:val="0"/>
          <w:bCs w:val="0"/>
          <w:color w:val="000000"/>
          <w:kern w:val="2"/>
          <w:sz w:val="32"/>
          <w:szCs w:val="24"/>
        </w:rPr>
        <w:t>万元，完成全年预算的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%。决算数等于全年预算数。</w:t>
      </w:r>
    </w:p>
    <w:p w14:paraId="285E2918">
      <w:pPr>
        <w:tabs>
          <w:tab w:val="right" w:pos="8306"/>
        </w:tabs>
        <w:overflowPunct w:val="0"/>
        <w:topLinePunct/>
        <w:spacing w:line="576" w:lineRule="exact"/>
        <w:ind w:firstLine="640" w:firstLineChars="200"/>
        <w:jc w:val="both"/>
        <w:rPr>
          <w:rFonts w:hint="default" w:ascii="Cambria" w:cs="Cambria"/>
          <w:b w:val="0"/>
          <w:bCs w:val="0"/>
          <w:kern w:val="2"/>
          <w:sz w:val="32"/>
          <w:szCs w:val="24"/>
        </w:rPr>
      </w:pPr>
      <w:r>
        <w:rPr>
          <w:rFonts w:hint="eastAsia" w:ascii="黑体" w:hAnsi="黑体" w:eastAsia="黑体"/>
          <w:b w:val="0"/>
          <w:bCs w:val="0"/>
          <w:color w:val="000000"/>
          <w:kern w:val="2"/>
          <w:sz w:val="32"/>
          <w:szCs w:val="24"/>
        </w:rPr>
        <w:t>六、一</w:t>
      </w:r>
      <w:r>
        <w:rPr>
          <w:rFonts w:hint="eastAsia" w:ascii="黑体" w:hAnsi="黑体" w:eastAsia="黑体"/>
          <w:b w:val="0"/>
          <w:bCs w:val="0"/>
          <w:kern w:val="2"/>
          <w:sz w:val="32"/>
          <w:szCs w:val="24"/>
        </w:rPr>
        <w:t>般公共预算财政拨款基本支出决算情况说明</w:t>
      </w:r>
      <w:r>
        <w:rPr>
          <w:rFonts w:hint="eastAsia" w:ascii="黑体" w:hAnsi="黑体" w:eastAsia="黑体"/>
          <w:b w:val="0"/>
          <w:bCs w:val="0"/>
          <w:kern w:val="2"/>
          <w:sz w:val="32"/>
          <w:szCs w:val="24"/>
        </w:rPr>
        <w:tab/>
      </w:r>
    </w:p>
    <w:p w14:paraId="21579E00">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年度一般公共预算财政拨款基本支出</w:t>
      </w:r>
      <w:r>
        <w:rPr>
          <w:rFonts w:hint="eastAsia" w:ascii="Times New Roman" w:hAnsi="Times New Roman" w:eastAsia="仿宋_GB2312"/>
          <w:b w:val="0"/>
          <w:bCs w:val="0"/>
          <w:color w:val="000000"/>
          <w:kern w:val="2"/>
          <w:sz w:val="32"/>
          <w:szCs w:val="24"/>
        </w:rPr>
        <w:t>210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03</w:t>
      </w:r>
      <w:r>
        <w:rPr>
          <w:rFonts w:hint="eastAsia" w:ascii="仿宋_GB2312" w:hAnsi="仿宋_GB2312" w:eastAsia="仿宋_GB2312"/>
          <w:b w:val="0"/>
          <w:bCs w:val="0"/>
          <w:color w:val="000000"/>
          <w:kern w:val="2"/>
          <w:sz w:val="32"/>
          <w:szCs w:val="24"/>
        </w:rPr>
        <w:t>万元，其中：</w:t>
      </w:r>
    </w:p>
    <w:p w14:paraId="2F2AFF20">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人员经费</w:t>
      </w:r>
      <w:r>
        <w:rPr>
          <w:rFonts w:hint="eastAsia" w:ascii="Times New Roman" w:hAnsi="Times New Roman" w:eastAsia="仿宋_GB2312"/>
          <w:b w:val="0"/>
          <w:bCs w:val="0"/>
          <w:color w:val="000000"/>
          <w:kern w:val="2"/>
          <w:sz w:val="32"/>
          <w:szCs w:val="24"/>
        </w:rPr>
        <w:t>97</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96</w:t>
      </w:r>
      <w:r>
        <w:rPr>
          <w:rFonts w:hint="eastAsia" w:ascii="仿宋_GB2312" w:hAnsi="仿宋_GB2312" w:eastAsia="仿宋_GB2312"/>
          <w:b w:val="0"/>
          <w:bCs w:val="0"/>
          <w:color w:val="000000"/>
          <w:kern w:val="2"/>
          <w:sz w:val="32"/>
          <w:szCs w:val="24"/>
        </w:rPr>
        <w:t>万元，主要包括：基本工资</w:t>
      </w:r>
      <w:r>
        <w:rPr>
          <w:rFonts w:hint="eastAsia" w:ascii="Times New Roman" w:hAnsi="Times New Roman" w:eastAsia="仿宋_GB2312"/>
          <w:b w:val="0"/>
          <w:bCs w:val="0"/>
          <w:color w:val="000000"/>
          <w:kern w:val="2"/>
          <w:sz w:val="32"/>
          <w:szCs w:val="24"/>
        </w:rPr>
        <w:t>35</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02</w:t>
      </w:r>
      <w:r>
        <w:rPr>
          <w:rFonts w:hint="eastAsia" w:ascii="仿宋_GB2312" w:hAnsi="仿宋_GB2312" w:eastAsia="仿宋_GB2312"/>
          <w:b w:val="0"/>
          <w:bCs w:val="0"/>
          <w:color w:val="000000"/>
          <w:kern w:val="2"/>
          <w:sz w:val="32"/>
          <w:szCs w:val="24"/>
        </w:rPr>
        <w:t>万元、津贴补贴</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68</w:t>
      </w:r>
      <w:r>
        <w:rPr>
          <w:rFonts w:hint="eastAsia" w:ascii="仿宋_GB2312" w:hAnsi="仿宋_GB2312" w:eastAsia="仿宋_GB2312"/>
          <w:b w:val="0"/>
          <w:bCs w:val="0"/>
          <w:color w:val="000000"/>
          <w:kern w:val="2"/>
          <w:sz w:val="32"/>
          <w:szCs w:val="24"/>
        </w:rPr>
        <w:t>万元、奖金</w:t>
      </w:r>
      <w:r>
        <w:rPr>
          <w:rFonts w:hint="eastAsia" w:ascii="Times New Roman" w:hAnsi="Times New Roman" w:eastAsia="仿宋_GB2312"/>
          <w:b w:val="0"/>
          <w:bCs w:val="0"/>
          <w:color w:val="000000"/>
          <w:kern w:val="2"/>
          <w:sz w:val="32"/>
          <w:szCs w:val="24"/>
        </w:rPr>
        <w:t>20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39</w:t>
      </w:r>
      <w:r>
        <w:rPr>
          <w:rFonts w:hint="eastAsia" w:ascii="仿宋_GB2312" w:hAnsi="仿宋_GB2312" w:eastAsia="仿宋_GB2312"/>
          <w:b w:val="0"/>
          <w:bCs w:val="0"/>
          <w:color w:val="000000"/>
          <w:kern w:val="2"/>
          <w:sz w:val="32"/>
          <w:szCs w:val="24"/>
        </w:rPr>
        <w:t>万元、绩效工资</w:t>
      </w:r>
      <w:r>
        <w:rPr>
          <w:rFonts w:hint="eastAsia" w:ascii="Times New Roman" w:hAnsi="Times New Roman" w:eastAsia="仿宋_GB2312"/>
          <w:b w:val="0"/>
          <w:bCs w:val="0"/>
          <w:color w:val="000000"/>
          <w:kern w:val="2"/>
          <w:sz w:val="32"/>
          <w:szCs w:val="24"/>
        </w:rPr>
        <w:t>15</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76</w:t>
      </w:r>
      <w:r>
        <w:rPr>
          <w:rFonts w:hint="eastAsia" w:ascii="仿宋_GB2312" w:hAnsi="仿宋_GB2312" w:eastAsia="仿宋_GB2312"/>
          <w:b w:val="0"/>
          <w:bCs w:val="0"/>
          <w:color w:val="000000"/>
          <w:kern w:val="2"/>
          <w:sz w:val="32"/>
          <w:szCs w:val="24"/>
        </w:rPr>
        <w:t>万元、机关事业单位基本养老保险缴费</w:t>
      </w:r>
      <w:r>
        <w:rPr>
          <w:rFonts w:hint="eastAsia" w:ascii="Times New Roman" w:hAnsi="Times New Roman" w:eastAsia="仿宋_GB2312"/>
          <w:b w:val="0"/>
          <w:bCs w:val="0"/>
          <w:color w:val="000000"/>
          <w:kern w:val="2"/>
          <w:sz w:val="32"/>
          <w:szCs w:val="24"/>
        </w:rPr>
        <w:t>12</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4</w:t>
      </w:r>
      <w:r>
        <w:rPr>
          <w:rFonts w:hint="eastAsia" w:ascii="仿宋_GB2312" w:hAnsi="仿宋_GB2312" w:eastAsia="仿宋_GB2312"/>
          <w:b w:val="0"/>
          <w:bCs w:val="0"/>
          <w:color w:val="000000"/>
          <w:kern w:val="2"/>
          <w:sz w:val="32"/>
          <w:szCs w:val="24"/>
        </w:rPr>
        <w:t>万元、职工基本医疗保险缴费</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52</w:t>
      </w:r>
      <w:r>
        <w:rPr>
          <w:rFonts w:hint="eastAsia" w:ascii="仿宋_GB2312" w:hAnsi="仿宋_GB2312" w:eastAsia="仿宋_GB2312"/>
          <w:b w:val="0"/>
          <w:bCs w:val="0"/>
          <w:color w:val="000000"/>
          <w:kern w:val="2"/>
          <w:sz w:val="32"/>
          <w:szCs w:val="24"/>
        </w:rPr>
        <w:t>万元、其他社会保障缴费</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91</w:t>
      </w:r>
      <w:r>
        <w:rPr>
          <w:rFonts w:hint="eastAsia" w:ascii="仿宋_GB2312" w:hAnsi="仿宋_GB2312" w:eastAsia="仿宋_GB2312"/>
          <w:b w:val="0"/>
          <w:bCs w:val="0"/>
          <w:color w:val="000000"/>
          <w:kern w:val="2"/>
          <w:sz w:val="32"/>
          <w:szCs w:val="24"/>
        </w:rPr>
        <w:t>万元、住房公积金</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26</w:t>
      </w:r>
      <w:r>
        <w:rPr>
          <w:rFonts w:hint="eastAsia" w:ascii="仿宋_GB2312" w:hAnsi="仿宋_GB2312" w:eastAsia="仿宋_GB2312"/>
          <w:b w:val="0"/>
          <w:bCs w:val="0"/>
          <w:color w:val="000000"/>
          <w:kern w:val="2"/>
          <w:sz w:val="32"/>
          <w:szCs w:val="24"/>
        </w:rPr>
        <w:t>万元、其他对个人和家庭的补助支出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02</w:t>
      </w:r>
      <w:r>
        <w:rPr>
          <w:rFonts w:hint="eastAsia" w:ascii="仿宋_GB2312" w:hAnsi="仿宋_GB2312" w:eastAsia="仿宋_GB2312"/>
          <w:b w:val="0"/>
          <w:bCs w:val="0"/>
          <w:color w:val="000000"/>
          <w:kern w:val="2"/>
          <w:sz w:val="32"/>
          <w:szCs w:val="24"/>
        </w:rPr>
        <w:t>万元。</w:t>
      </w:r>
    </w:p>
    <w:p w14:paraId="280A823C">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公用经费</w:t>
      </w:r>
      <w:r>
        <w:rPr>
          <w:rFonts w:hint="eastAsia" w:ascii="Times New Roman" w:hAnsi="Times New Roman" w:eastAsia="仿宋_GB2312"/>
          <w:b w:val="0"/>
          <w:bCs w:val="0"/>
          <w:color w:val="000000"/>
          <w:kern w:val="2"/>
          <w:sz w:val="32"/>
          <w:szCs w:val="24"/>
        </w:rPr>
        <w:t>112</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07</w:t>
      </w:r>
      <w:r>
        <w:rPr>
          <w:rFonts w:hint="eastAsia" w:ascii="仿宋_GB2312" w:hAnsi="仿宋_GB2312" w:eastAsia="仿宋_GB2312"/>
          <w:b w:val="0"/>
          <w:bCs w:val="0"/>
          <w:color w:val="000000"/>
          <w:kern w:val="2"/>
          <w:sz w:val="32"/>
          <w:szCs w:val="24"/>
        </w:rPr>
        <w:t>万元，主要包括：办公费</w:t>
      </w:r>
      <w:r>
        <w:rPr>
          <w:rFonts w:hint="eastAsia" w:ascii="Times New Roman" w:hAnsi="Times New Roman" w:eastAsia="仿宋_GB2312"/>
          <w:b w:val="0"/>
          <w:bCs w:val="0"/>
          <w:color w:val="000000"/>
          <w:kern w:val="2"/>
          <w:sz w:val="32"/>
          <w:szCs w:val="24"/>
        </w:rPr>
        <w:t>59</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08</w:t>
      </w:r>
      <w:r>
        <w:rPr>
          <w:rFonts w:hint="eastAsia" w:ascii="仿宋_GB2312" w:hAnsi="仿宋_GB2312" w:eastAsia="仿宋_GB2312"/>
          <w:b w:val="0"/>
          <w:bCs w:val="0"/>
          <w:color w:val="000000"/>
          <w:kern w:val="2"/>
          <w:sz w:val="32"/>
          <w:szCs w:val="24"/>
        </w:rPr>
        <w:t>万元、邮电费</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万元、差旅费</w:t>
      </w:r>
      <w:r>
        <w:rPr>
          <w:rFonts w:hint="eastAsia" w:ascii="Times New Roman" w:hAnsi="Times New Roman" w:eastAsia="仿宋_GB2312"/>
          <w:b w:val="0"/>
          <w:bCs w:val="0"/>
          <w:color w:val="000000"/>
          <w:kern w:val="2"/>
          <w:sz w:val="32"/>
          <w:szCs w:val="24"/>
        </w:rPr>
        <w:t>42</w:t>
      </w:r>
      <w:r>
        <w:rPr>
          <w:rFonts w:hint="eastAsia" w:ascii="仿宋_GB2312" w:hAnsi="仿宋_GB2312" w:eastAsia="仿宋_GB2312"/>
          <w:b w:val="0"/>
          <w:bCs w:val="0"/>
          <w:color w:val="000000"/>
          <w:kern w:val="2"/>
          <w:sz w:val="32"/>
          <w:szCs w:val="24"/>
        </w:rPr>
        <w:t>万元、会议费</w:t>
      </w:r>
      <w:r>
        <w:rPr>
          <w:rFonts w:hint="eastAsia" w:ascii="Times New Roman" w:hAnsi="Times New Roman" w:eastAsia="仿宋_GB2312"/>
          <w:b w:val="0"/>
          <w:bCs w:val="0"/>
          <w:color w:val="000000"/>
          <w:kern w:val="2"/>
          <w:sz w:val="32"/>
          <w:szCs w:val="24"/>
        </w:rPr>
        <w:t>8</w:t>
      </w:r>
      <w:r>
        <w:rPr>
          <w:rFonts w:hint="eastAsia" w:ascii="仿宋_GB2312" w:hAnsi="仿宋_GB2312" w:eastAsia="仿宋_GB2312"/>
          <w:b w:val="0"/>
          <w:bCs w:val="0"/>
          <w:color w:val="000000"/>
          <w:kern w:val="2"/>
          <w:sz w:val="32"/>
          <w:szCs w:val="24"/>
        </w:rPr>
        <w:t>万元、公务接待费</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万元、专用材料费</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09</w:t>
      </w:r>
      <w:r>
        <w:rPr>
          <w:rFonts w:hint="eastAsia" w:ascii="仿宋_GB2312" w:hAnsi="仿宋_GB2312" w:eastAsia="仿宋_GB2312"/>
          <w:b w:val="0"/>
          <w:bCs w:val="0"/>
          <w:color w:val="000000"/>
          <w:kern w:val="2"/>
          <w:sz w:val="32"/>
          <w:szCs w:val="24"/>
        </w:rPr>
        <w:t>万元、工会经费</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万元。</w:t>
      </w:r>
    </w:p>
    <w:p w14:paraId="3506A54E">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七、财政拨款</w:t>
      </w:r>
      <w:r>
        <w:rPr>
          <w:rFonts w:hint="eastAsia" w:ascii="黑体" w:hAnsi="黑体" w:eastAsia="黑体"/>
          <w:b w:val="0"/>
          <w:bCs w:val="0"/>
          <w:kern w:val="2"/>
          <w:sz w:val="32"/>
          <w:szCs w:val="24"/>
        </w:rPr>
        <w:t>“三公”经费支出决算情况说明</w:t>
      </w:r>
    </w:p>
    <w:p w14:paraId="1169B9EB">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（一）“三公”经费财政拨款支出决算总体情况说明</w:t>
      </w:r>
    </w:p>
    <w:p w14:paraId="1DCF96F6">
      <w:pPr>
        <w:overflowPunct w:val="0"/>
        <w:topLinePunct/>
        <w:spacing w:line="576" w:lineRule="exact"/>
        <w:ind w:firstLine="640" w:firstLineChars="200"/>
        <w:jc w:val="both"/>
        <w:rPr>
          <w:rFonts w:hint="eastAsia" w:ascii="仿宋_GB2312" w:hAnsi="仿宋_GB2312" w:eastAsia="仿宋_GB2312"/>
          <w:b w:val="0"/>
          <w:bCs w:val="0"/>
          <w:color w:val="FF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年度“三公”经费财政拨款支出预算为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万元，完成预算的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w:t>
      </w:r>
      <w:r>
        <w:rPr>
          <w:rFonts w:hint="eastAsia" w:ascii="仿宋_GB2312" w:hAnsi="仿宋_GB2312" w:eastAsia="仿宋_GB2312"/>
          <w:b w:val="0"/>
          <w:bCs w:val="0"/>
          <w:color w:val="000000"/>
          <w:kern w:val="2"/>
          <w:sz w:val="32"/>
          <w:szCs w:val="24"/>
          <w:highlight w:val="none"/>
        </w:rPr>
        <w:t>决算数较上年增加</w:t>
      </w:r>
      <w:r>
        <w:rPr>
          <w:rFonts w:hint="eastAsia" w:ascii="Times New Roman" w:hAnsi="Times New Roman" w:eastAsia="仿宋_GB2312"/>
          <w:b w:val="0"/>
          <w:bCs w:val="0"/>
          <w:color w:val="000000"/>
          <w:kern w:val="2"/>
          <w:sz w:val="32"/>
          <w:szCs w:val="24"/>
          <w:highlight w:val="none"/>
        </w:rPr>
        <w:t>0</w:t>
      </w:r>
      <w:r>
        <w:rPr>
          <w:rFonts w:hint="eastAsia" w:ascii="仿宋_GB2312" w:hAnsi="仿宋_GB2312" w:eastAsia="仿宋_GB2312"/>
          <w:b w:val="0"/>
          <w:bCs w:val="0"/>
          <w:color w:val="000000"/>
          <w:kern w:val="2"/>
          <w:sz w:val="32"/>
          <w:szCs w:val="24"/>
          <w:highlight w:val="none"/>
        </w:rPr>
        <w:t>.</w:t>
      </w:r>
      <w:r>
        <w:rPr>
          <w:rFonts w:hint="eastAsia" w:ascii="Times New Roman" w:hAnsi="Times New Roman" w:eastAsia="仿宋_GB2312"/>
          <w:b w:val="0"/>
          <w:bCs w:val="0"/>
          <w:color w:val="000000"/>
          <w:kern w:val="2"/>
          <w:sz w:val="32"/>
          <w:szCs w:val="24"/>
          <w:highlight w:val="none"/>
        </w:rPr>
        <w:t>16</w:t>
      </w:r>
      <w:r>
        <w:rPr>
          <w:rFonts w:hint="eastAsia" w:ascii="仿宋_GB2312" w:hAnsi="仿宋_GB2312" w:eastAsia="仿宋_GB2312"/>
          <w:b w:val="0"/>
          <w:bCs w:val="0"/>
          <w:color w:val="000000"/>
          <w:kern w:val="2"/>
          <w:sz w:val="32"/>
          <w:szCs w:val="24"/>
          <w:highlight w:val="none"/>
        </w:rPr>
        <w:t>万元</w:t>
      </w:r>
      <w:r>
        <w:rPr>
          <w:rFonts w:hint="eastAsia" w:ascii="仿宋_GB2312" w:hAnsi="仿宋_GB2312" w:eastAsia="仿宋_GB2312"/>
          <w:b w:val="0"/>
          <w:bCs w:val="0"/>
          <w:color w:val="000000"/>
          <w:kern w:val="2"/>
          <w:sz w:val="32"/>
          <w:szCs w:val="24"/>
          <w:highlight w:val="none"/>
          <w:lang w:eastAsia="zh-CN"/>
        </w:rPr>
        <w:t>，增长</w:t>
      </w:r>
      <w:r>
        <w:rPr>
          <w:rFonts w:hint="eastAsia" w:ascii="仿宋_GB2312" w:hAnsi="仿宋_GB2312" w:eastAsia="仿宋_GB2312"/>
          <w:b w:val="0"/>
          <w:bCs w:val="0"/>
          <w:color w:val="000000"/>
          <w:kern w:val="2"/>
          <w:sz w:val="32"/>
          <w:szCs w:val="24"/>
          <w:highlight w:val="none"/>
          <w:lang w:val="en-US" w:eastAsia="zh-CN"/>
        </w:rPr>
        <w:t>10%，</w:t>
      </w:r>
      <w:r>
        <w:rPr>
          <w:rFonts w:hint="eastAsia" w:ascii="仿宋_GB2312" w:hAnsi="仿宋_GB2312" w:eastAsia="仿宋_GB2312"/>
          <w:b w:val="0"/>
          <w:bCs w:val="0"/>
          <w:color w:val="000000"/>
          <w:kern w:val="2"/>
          <w:sz w:val="32"/>
          <w:szCs w:val="24"/>
        </w:rPr>
        <w:t>主要原因是增加省委巡视整改工作经费。</w:t>
      </w:r>
    </w:p>
    <w:p w14:paraId="36637613">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（二）“三公”经费财政拨款支出决算具体情况说明</w:t>
      </w:r>
    </w:p>
    <w:p w14:paraId="02A8DB13">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年度“三公”经费财政拨款支出决算中，因公出国（境）费支出决算</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%；公务用车购置及运行维护费支出决算</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%；公务接待费支出决算</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万元，占</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%。具体情况如下：</w:t>
      </w:r>
    </w:p>
    <w:p w14:paraId="2262B8CF">
      <w:pPr>
        <w:pStyle w:val="2"/>
        <w:spacing w:beforeLines="0" w:afterLines="0"/>
        <w:jc w:val="center"/>
        <w:rPr>
          <w:rFonts w:hint="eastAsia" w:ascii="仿宋_GB2312" w:hAnsi="仿宋_GB2312" w:eastAsia="仿宋_GB2312"/>
          <w:b w:val="0"/>
          <w:bCs w:val="0"/>
          <w:kern w:val="2"/>
          <w:sz w:val="32"/>
          <w:szCs w:val="24"/>
        </w:rPr>
      </w:pPr>
      <w:r>
        <w:rPr>
          <w:rFonts w:hint="default" w:ascii="仿宋_GB2312" w:hAnsi="仿宋_GB2312" w:eastAsia="仿宋_GB2312"/>
          <w:b w:val="0"/>
          <w:bCs w:val="0"/>
          <w:kern w:val="2"/>
          <w:sz w:val="32"/>
          <w:szCs w:val="24"/>
        </w:rPr>
        <w:object>
          <v:shape id="_x0000_i1031" o:spt="75" type="#_x0000_t75" style="height:237.5pt;width:412.6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14:paraId="1CBDAC36">
      <w:pPr>
        <w:pStyle w:val="2"/>
        <w:spacing w:beforeLines="0" w:afterLines="0"/>
        <w:rPr>
          <w:rFonts w:hint="eastAsia" w:ascii="仿宋_GB2312" w:hAnsi="仿宋_GB2312" w:eastAsia="仿宋_GB2312"/>
          <w:b w:val="0"/>
          <w:bCs w:val="0"/>
          <w:kern w:val="2"/>
          <w:sz w:val="32"/>
          <w:szCs w:val="24"/>
          <w:highlight w:val="yellow"/>
        </w:rPr>
      </w:pPr>
    </w:p>
    <w:p w14:paraId="154BBF1E">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.因公出国（境）经费预算为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万元，年初未安排预算，因公出国（境）支出决算较</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年度无变化。</w:t>
      </w:r>
    </w:p>
    <w:p w14:paraId="3031A65B">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w:t>
      </w:r>
      <w:r>
        <w:rPr>
          <w:rFonts w:hint="eastAsia" w:ascii="仿宋_GB2312" w:hAnsi="仿宋_GB2312" w:eastAsia="仿宋_GB2312"/>
          <w:b w:val="0"/>
          <w:bCs w:val="0"/>
          <w:color w:val="000000"/>
          <w:kern w:val="2"/>
          <w:sz w:val="32"/>
          <w:szCs w:val="24"/>
        </w:rPr>
        <w:t>.公务用车购置及运行维护费预算为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万元。公务用车购置及运行维护费</w:t>
      </w:r>
      <w:bookmarkStart w:id="0" w:name="_GoBack"/>
      <w:r>
        <w:rPr>
          <w:rFonts w:hint="eastAsia" w:ascii="仿宋_GB2312" w:hAnsi="仿宋_GB2312" w:eastAsia="仿宋_GB2312"/>
          <w:b w:val="0"/>
          <w:bCs w:val="0"/>
          <w:color w:val="000000"/>
          <w:kern w:val="2"/>
          <w:sz w:val="32"/>
          <w:szCs w:val="24"/>
        </w:rPr>
        <w:t>支出决算与</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年度持平</w:t>
      </w:r>
      <w:bookmarkEnd w:id="0"/>
      <w:r>
        <w:rPr>
          <w:rFonts w:hint="eastAsia" w:ascii="仿宋_GB2312" w:hAnsi="仿宋_GB2312" w:eastAsia="仿宋_GB2312"/>
          <w:b w:val="0"/>
          <w:bCs w:val="0"/>
          <w:color w:val="000000"/>
          <w:kern w:val="2"/>
          <w:sz w:val="32"/>
          <w:szCs w:val="24"/>
        </w:rPr>
        <w:t>。</w:t>
      </w:r>
    </w:p>
    <w:p w14:paraId="7A3968B1">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其中：公务用车购置费支出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万元。全年按规定更新购置公务用车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辆，其中：轿车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辆、金额</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万元，越野车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辆、金额</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万元，小型客车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辆、金额</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万元，中型客车和大型客车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辆、金额</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万元，其他车型</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辆、金额</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万元。截至</w:t>
      </w: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w:t>
      </w:r>
      <w:r>
        <w:rPr>
          <w:rFonts w:hint="eastAsia" w:ascii="Times New Roman" w:hAnsi="Times New Roman" w:eastAsia="仿宋_GB2312"/>
          <w:b w:val="0"/>
          <w:bCs w:val="0"/>
          <w:color w:val="000000"/>
          <w:kern w:val="2"/>
          <w:sz w:val="32"/>
          <w:szCs w:val="24"/>
        </w:rPr>
        <w:t>12</w:t>
      </w:r>
      <w:r>
        <w:rPr>
          <w:rFonts w:hint="eastAsia" w:ascii="仿宋_GB2312" w:hAnsi="仿宋_GB2312" w:eastAsia="仿宋_GB2312"/>
          <w:b w:val="0"/>
          <w:bCs w:val="0"/>
          <w:color w:val="000000"/>
          <w:kern w:val="2"/>
          <w:sz w:val="32"/>
          <w:szCs w:val="24"/>
        </w:rPr>
        <w:t>月</w:t>
      </w:r>
      <w:r>
        <w:rPr>
          <w:rFonts w:hint="eastAsia" w:ascii="Times New Roman" w:hAnsi="Times New Roman" w:eastAsia="仿宋_GB2312"/>
          <w:b w:val="0"/>
          <w:bCs w:val="0"/>
          <w:color w:val="000000"/>
          <w:kern w:val="2"/>
          <w:sz w:val="32"/>
          <w:szCs w:val="24"/>
        </w:rPr>
        <w:t>31</w:t>
      </w:r>
      <w:r>
        <w:rPr>
          <w:rFonts w:hint="eastAsia" w:ascii="仿宋_GB2312" w:hAnsi="仿宋_GB2312" w:eastAsia="仿宋_GB2312"/>
          <w:b w:val="0"/>
          <w:bCs w:val="0"/>
          <w:color w:val="000000"/>
          <w:kern w:val="2"/>
          <w:sz w:val="32"/>
          <w:szCs w:val="24"/>
        </w:rPr>
        <w:t>日，本部门共有公务用车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辆，其中：轿车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辆、越野车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辆、小型客车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辆、中型客车和大型客车</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辆、其他车型</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辆。</w:t>
      </w:r>
    </w:p>
    <w:p w14:paraId="3995ACE4">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公务用车运行维护费支出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w:t>
      </w:r>
    </w:p>
    <w:p w14:paraId="6115EC8E">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3</w:t>
      </w:r>
      <w:r>
        <w:rPr>
          <w:rFonts w:hint="eastAsia" w:ascii="仿宋_GB2312" w:hAnsi="仿宋_GB2312" w:eastAsia="仿宋_GB2312"/>
          <w:b w:val="0"/>
          <w:bCs w:val="0"/>
          <w:color w:val="000000"/>
          <w:kern w:val="2"/>
          <w:sz w:val="32"/>
          <w:szCs w:val="24"/>
        </w:rPr>
        <w:t>.公务接待费预算为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万元，支出决算为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万元，完成预算的</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%。公务接待费支出决算比</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年度增加</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16</w:t>
      </w:r>
      <w:r>
        <w:rPr>
          <w:rFonts w:hint="eastAsia" w:ascii="仿宋_GB2312" w:hAnsi="仿宋_GB2312" w:eastAsia="仿宋_GB2312"/>
          <w:b w:val="0"/>
          <w:bCs w:val="0"/>
          <w:color w:val="000000"/>
          <w:kern w:val="2"/>
          <w:sz w:val="32"/>
          <w:szCs w:val="24"/>
        </w:rPr>
        <w:t>万元，增长</w:t>
      </w:r>
      <w:r>
        <w:rPr>
          <w:rFonts w:hint="eastAsia" w:ascii="Times New Roman" w:hAnsi="Times New Roman" w:eastAsia="仿宋_GB2312"/>
          <w:b w:val="0"/>
          <w:bCs w:val="0"/>
          <w:color w:val="000000"/>
          <w:kern w:val="2"/>
          <w:sz w:val="32"/>
          <w:szCs w:val="24"/>
        </w:rPr>
        <w:t>10</w:t>
      </w:r>
      <w:r>
        <w:rPr>
          <w:rFonts w:hint="eastAsia" w:ascii="仿宋_GB2312" w:hAnsi="仿宋_GB2312" w:eastAsia="仿宋_GB2312"/>
          <w:b w:val="0"/>
          <w:bCs w:val="0"/>
          <w:color w:val="000000"/>
          <w:kern w:val="2"/>
          <w:sz w:val="32"/>
          <w:szCs w:val="24"/>
        </w:rPr>
        <w:t>%。主要原因是增加了人员编制及省委巡视整改工作经费。其中：</w:t>
      </w:r>
    </w:p>
    <w:p w14:paraId="4208F763">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国内公务接待支出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万元。主要用于执行公务、开展业务活动开支的交通费、住宿费、用餐费等。国内公务接待</w:t>
      </w:r>
      <w:r>
        <w:rPr>
          <w:rFonts w:hint="eastAsia" w:ascii="Times New Roman" w:hAnsi="Times New Roman" w:eastAsia="仿宋_GB2312"/>
          <w:b w:val="0"/>
          <w:bCs w:val="0"/>
          <w:color w:val="000000"/>
          <w:kern w:val="2"/>
          <w:sz w:val="32"/>
          <w:szCs w:val="24"/>
        </w:rPr>
        <w:t>18</w:t>
      </w:r>
      <w:r>
        <w:rPr>
          <w:rFonts w:hint="eastAsia" w:ascii="仿宋_GB2312" w:hAnsi="仿宋_GB2312" w:eastAsia="仿宋_GB2312"/>
          <w:b w:val="0"/>
          <w:bCs w:val="0"/>
          <w:color w:val="000000"/>
          <w:kern w:val="2"/>
          <w:sz w:val="32"/>
          <w:szCs w:val="24"/>
        </w:rPr>
        <w:t>批次</w:t>
      </w:r>
      <w:r>
        <w:rPr>
          <w:rFonts w:hint="eastAsia" w:ascii="Times New Roman" w:hAnsi="Times New Roman" w:eastAsia="仿宋_GB2312"/>
          <w:b w:val="0"/>
          <w:bCs w:val="0"/>
          <w:color w:val="000000"/>
          <w:kern w:val="2"/>
          <w:sz w:val="32"/>
          <w:szCs w:val="24"/>
        </w:rPr>
        <w:t>260</w:t>
      </w:r>
      <w:r>
        <w:rPr>
          <w:rFonts w:hint="eastAsia" w:ascii="仿宋_GB2312" w:hAnsi="仿宋_GB2312" w:eastAsia="仿宋_GB2312"/>
          <w:b w:val="0"/>
          <w:bCs w:val="0"/>
          <w:color w:val="000000"/>
          <w:kern w:val="2"/>
          <w:sz w:val="32"/>
          <w:szCs w:val="24"/>
        </w:rPr>
        <w:t>人次，共计支出</w:t>
      </w:r>
      <w:r>
        <w:rPr>
          <w:rFonts w:hint="eastAsia" w:ascii="Times New Roman" w:hAnsi="Times New Roman" w:eastAsia="仿宋_GB2312"/>
          <w:b w:val="0"/>
          <w:bCs w:val="0"/>
          <w:color w:val="000000"/>
          <w:kern w:val="2"/>
          <w:sz w:val="32"/>
          <w:szCs w:val="24"/>
        </w:rPr>
        <w:t>1</w:t>
      </w:r>
      <w:r>
        <w:rPr>
          <w:rFonts w:hint="eastAsia" w:ascii="仿宋_GB2312" w:hAnsi="仿宋_GB2312" w:eastAsia="仿宋_GB2312"/>
          <w:b w:val="0"/>
          <w:bCs w:val="0"/>
          <w:color w:val="000000"/>
          <w:kern w:val="2"/>
          <w:sz w:val="32"/>
          <w:szCs w:val="24"/>
        </w:rPr>
        <w:t>.</w:t>
      </w:r>
      <w:r>
        <w:rPr>
          <w:rFonts w:hint="eastAsia" w:ascii="Times New Roman" w:hAnsi="Times New Roman" w:eastAsia="仿宋_GB2312"/>
          <w:b w:val="0"/>
          <w:bCs w:val="0"/>
          <w:color w:val="000000"/>
          <w:kern w:val="2"/>
          <w:sz w:val="32"/>
          <w:szCs w:val="24"/>
        </w:rPr>
        <w:t>6</w:t>
      </w:r>
      <w:r>
        <w:rPr>
          <w:rFonts w:hint="eastAsia" w:ascii="仿宋_GB2312" w:hAnsi="仿宋_GB2312" w:eastAsia="仿宋_GB2312"/>
          <w:b w:val="0"/>
          <w:bCs w:val="0"/>
          <w:color w:val="000000"/>
          <w:kern w:val="2"/>
          <w:sz w:val="32"/>
          <w:szCs w:val="24"/>
        </w:rPr>
        <w:t>万元，具体内容包括：市委目督办、市级各部门来我区督查督办、考察调研以及兄弟县区目标绩效事务中心学习交流工作等服务保障。</w:t>
      </w:r>
    </w:p>
    <w:p w14:paraId="10ACFF12">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外事接待支出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万元，外事接待</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批次，</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人，共计支出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w:t>
      </w:r>
    </w:p>
    <w:p w14:paraId="651B3A69">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八、</w:t>
      </w:r>
      <w:r>
        <w:rPr>
          <w:rFonts w:hint="eastAsia" w:ascii="黑体" w:hAnsi="黑体" w:eastAsia="黑体"/>
          <w:b w:val="0"/>
          <w:bCs w:val="0"/>
          <w:kern w:val="2"/>
          <w:sz w:val="32"/>
          <w:szCs w:val="24"/>
        </w:rPr>
        <w:t>政府性基金预算支出决算情况说明</w:t>
      </w:r>
    </w:p>
    <w:p w14:paraId="25DAA5ED">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年度政府性基金预算拨款支出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w:t>
      </w:r>
    </w:p>
    <w:p w14:paraId="6A2990E9">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kern w:val="2"/>
          <w:sz w:val="32"/>
          <w:szCs w:val="24"/>
        </w:rPr>
        <w:t>九、国有资本经营预算支出决算情况说明</w:t>
      </w:r>
    </w:p>
    <w:p w14:paraId="31BFD4F7">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年度国有资本经营预算拨款支出</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万元。</w:t>
      </w:r>
    </w:p>
    <w:p w14:paraId="3E2090AC">
      <w:pPr>
        <w:overflowPunct w:val="0"/>
        <w:topLinePunct/>
        <w:spacing w:line="576" w:lineRule="exact"/>
        <w:ind w:firstLine="640" w:firstLineChars="200"/>
        <w:jc w:val="both"/>
        <w:rPr>
          <w:rFonts w:hint="eastAsia" w:ascii="黑体" w:hAnsi="黑体" w:eastAsia="黑体"/>
          <w:b w:val="0"/>
          <w:bCs w:val="0"/>
          <w:kern w:val="2"/>
          <w:sz w:val="32"/>
          <w:szCs w:val="24"/>
        </w:rPr>
      </w:pPr>
      <w:r>
        <w:rPr>
          <w:rFonts w:hint="eastAsia" w:ascii="黑体" w:hAnsi="黑体" w:eastAsia="黑体"/>
          <w:b w:val="0"/>
          <w:bCs w:val="0"/>
          <w:color w:val="000000"/>
          <w:kern w:val="2"/>
          <w:sz w:val="32"/>
          <w:szCs w:val="24"/>
        </w:rPr>
        <w:t>十</w:t>
      </w:r>
      <w:r>
        <w:rPr>
          <w:rFonts w:hint="eastAsia" w:ascii="黑体" w:hAnsi="黑体" w:eastAsia="黑体"/>
          <w:b w:val="0"/>
          <w:bCs w:val="0"/>
          <w:kern w:val="2"/>
          <w:sz w:val="32"/>
          <w:szCs w:val="24"/>
        </w:rPr>
        <w:t>、其他重要事项的情况说明</w:t>
      </w:r>
    </w:p>
    <w:p w14:paraId="4E1B842F">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（一）机关运行经费支出情况</w:t>
      </w:r>
    </w:p>
    <w:p w14:paraId="3EBAA14F">
      <w:pPr>
        <w:overflowPunct w:val="0"/>
        <w:topLinePunct/>
        <w:spacing w:line="576" w:lineRule="exact"/>
        <w:ind w:firstLine="640" w:firstLineChars="200"/>
        <w:jc w:val="both"/>
        <w:rPr>
          <w:rFonts w:hint="eastAsia" w:ascii="仿宋_GB2312" w:hAnsi="仿宋_GB2312" w:eastAsia="仿宋_GB2312"/>
          <w:b w:val="0"/>
          <w:bCs w:val="0"/>
          <w:i/>
          <w:color w:val="000000"/>
          <w:kern w:val="2"/>
          <w:sz w:val="32"/>
          <w:szCs w:val="24"/>
        </w:rPr>
      </w:pPr>
      <w:r>
        <w:rPr>
          <w:rFonts w:hint="eastAsia" w:ascii="仿宋_GB2312" w:hAnsi="仿宋_GB2312" w:eastAsia="仿宋_GB2312"/>
          <w:b w:val="0"/>
          <w:bCs w:val="0"/>
          <w:color w:val="000000"/>
          <w:kern w:val="2"/>
          <w:sz w:val="32"/>
          <w:szCs w:val="24"/>
        </w:rPr>
        <w:t>区目标绩效事务中心属于财政补助的事业单位，</w:t>
      </w: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年未发生机关运行经费，与</w:t>
      </w:r>
      <w:r>
        <w:rPr>
          <w:rFonts w:hint="eastAsia" w:ascii="Times New Roman" w:hAnsi="Times New Roman" w:eastAsia="仿宋_GB2312"/>
          <w:b w:val="0"/>
          <w:bCs w:val="0"/>
          <w:color w:val="000000"/>
          <w:kern w:val="2"/>
          <w:sz w:val="32"/>
          <w:szCs w:val="24"/>
        </w:rPr>
        <w:t>2022</w:t>
      </w:r>
      <w:r>
        <w:rPr>
          <w:rFonts w:hint="eastAsia" w:ascii="仿宋_GB2312" w:hAnsi="仿宋_GB2312" w:eastAsia="仿宋_GB2312"/>
          <w:b w:val="0"/>
          <w:bCs w:val="0"/>
          <w:color w:val="000000"/>
          <w:kern w:val="2"/>
          <w:sz w:val="32"/>
          <w:szCs w:val="24"/>
        </w:rPr>
        <w:t>年决算数持平。</w:t>
      </w:r>
    </w:p>
    <w:p w14:paraId="3DF8D0D5">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（二）政府采购支出情况</w:t>
      </w:r>
    </w:p>
    <w:p w14:paraId="28729CA8">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年，区目标绩效事务中心未发生政府采购支出。</w:t>
      </w:r>
    </w:p>
    <w:p w14:paraId="21310F77">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（三）国有资产占有使用情况</w:t>
      </w:r>
    </w:p>
    <w:p w14:paraId="3E8F46CB">
      <w:pPr>
        <w:overflowPunct w:val="0"/>
        <w:topLinePunct/>
        <w:spacing w:line="576" w:lineRule="exact"/>
        <w:ind w:firstLine="640" w:firstLineChars="200"/>
        <w:jc w:val="both"/>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截至</w:t>
      </w:r>
      <w:r>
        <w:rPr>
          <w:rFonts w:hint="eastAsia" w:ascii="Times New Roman" w:hAnsi="Times New Roman" w:eastAsia="仿宋_GB2312"/>
          <w:b w:val="0"/>
          <w:bCs w:val="0"/>
          <w:color w:val="000000"/>
          <w:kern w:val="2"/>
          <w:sz w:val="32"/>
          <w:szCs w:val="24"/>
        </w:rPr>
        <w:t>2023</w:t>
      </w:r>
      <w:r>
        <w:rPr>
          <w:rFonts w:hint="eastAsia" w:ascii="仿宋_GB2312" w:hAnsi="仿宋_GB2312" w:eastAsia="仿宋_GB2312"/>
          <w:b w:val="0"/>
          <w:bCs w:val="0"/>
          <w:color w:val="000000"/>
          <w:kern w:val="2"/>
          <w:sz w:val="32"/>
          <w:szCs w:val="24"/>
        </w:rPr>
        <w:t>年</w:t>
      </w:r>
      <w:r>
        <w:rPr>
          <w:rFonts w:hint="eastAsia" w:ascii="Times New Roman" w:hAnsi="Times New Roman" w:eastAsia="仿宋_GB2312"/>
          <w:b w:val="0"/>
          <w:bCs w:val="0"/>
          <w:color w:val="000000"/>
          <w:kern w:val="2"/>
          <w:sz w:val="32"/>
          <w:szCs w:val="24"/>
        </w:rPr>
        <w:t>12</w:t>
      </w:r>
      <w:r>
        <w:rPr>
          <w:rFonts w:hint="eastAsia" w:ascii="仿宋_GB2312" w:hAnsi="仿宋_GB2312" w:eastAsia="仿宋_GB2312"/>
          <w:b w:val="0"/>
          <w:bCs w:val="0"/>
          <w:color w:val="000000"/>
          <w:kern w:val="2"/>
          <w:sz w:val="32"/>
          <w:szCs w:val="24"/>
        </w:rPr>
        <w:t>月</w:t>
      </w:r>
      <w:r>
        <w:rPr>
          <w:rFonts w:hint="eastAsia" w:ascii="Times New Roman" w:hAnsi="Times New Roman" w:eastAsia="仿宋_GB2312"/>
          <w:b w:val="0"/>
          <w:bCs w:val="0"/>
          <w:color w:val="000000"/>
          <w:kern w:val="2"/>
          <w:sz w:val="32"/>
          <w:szCs w:val="24"/>
        </w:rPr>
        <w:t>31</w:t>
      </w:r>
      <w:r>
        <w:rPr>
          <w:rFonts w:hint="eastAsia" w:ascii="仿宋_GB2312" w:hAnsi="仿宋_GB2312" w:eastAsia="仿宋_GB2312"/>
          <w:b w:val="0"/>
          <w:bCs w:val="0"/>
          <w:color w:val="000000"/>
          <w:kern w:val="2"/>
          <w:sz w:val="32"/>
          <w:szCs w:val="24"/>
        </w:rPr>
        <w:t>日，本单位无公务用车辆。</w:t>
      </w:r>
    </w:p>
    <w:p w14:paraId="6FD8E6C2">
      <w:pPr>
        <w:overflowPunct w:val="0"/>
        <w:topLinePunct/>
        <w:spacing w:line="576" w:lineRule="exact"/>
        <w:ind w:firstLine="640" w:firstLineChars="200"/>
        <w:jc w:val="both"/>
        <w:rPr>
          <w:rFonts w:hint="eastAsia" w:ascii="仿宋_GB2312" w:hAnsi="仿宋_GB2312" w:eastAsia="仿宋_GB2312"/>
          <w:b w:val="0"/>
          <w:bCs w:val="0"/>
          <w:color w:val="FF0000"/>
          <w:kern w:val="2"/>
          <w:sz w:val="32"/>
          <w:szCs w:val="24"/>
        </w:rPr>
      </w:pPr>
      <w:r>
        <w:rPr>
          <w:rFonts w:hint="eastAsia" w:ascii="仿宋_GB2312" w:hAnsi="仿宋_GB2312" w:eastAsia="仿宋_GB2312"/>
          <w:b w:val="0"/>
          <w:bCs w:val="0"/>
          <w:color w:val="000000"/>
          <w:kern w:val="2"/>
          <w:sz w:val="32"/>
          <w:szCs w:val="24"/>
        </w:rPr>
        <w:t>单价</w:t>
      </w:r>
      <w:r>
        <w:rPr>
          <w:rFonts w:hint="eastAsia" w:ascii="Times New Roman" w:hAnsi="Times New Roman" w:eastAsia="仿宋_GB2312"/>
          <w:b w:val="0"/>
          <w:bCs w:val="0"/>
          <w:color w:val="000000"/>
          <w:kern w:val="2"/>
          <w:sz w:val="32"/>
          <w:szCs w:val="24"/>
        </w:rPr>
        <w:t>100</w:t>
      </w:r>
      <w:r>
        <w:rPr>
          <w:rFonts w:hint="eastAsia" w:ascii="仿宋_GB2312" w:hAnsi="仿宋_GB2312" w:eastAsia="仿宋_GB2312"/>
          <w:b w:val="0"/>
          <w:bCs w:val="0"/>
          <w:color w:val="000000"/>
          <w:kern w:val="2"/>
          <w:sz w:val="32"/>
          <w:szCs w:val="24"/>
        </w:rPr>
        <w:t>万元（含）以上设备</w:t>
      </w:r>
      <w:r>
        <w:rPr>
          <w:rFonts w:hint="eastAsia" w:ascii="Times New Roman" w:hAnsi="Times New Roman" w:eastAsia="仿宋_GB2312"/>
          <w:b w:val="0"/>
          <w:bCs w:val="0"/>
          <w:color w:val="000000"/>
          <w:kern w:val="2"/>
          <w:sz w:val="32"/>
          <w:szCs w:val="24"/>
        </w:rPr>
        <w:t>0</w:t>
      </w:r>
      <w:r>
        <w:rPr>
          <w:rFonts w:hint="eastAsia" w:ascii="仿宋_GB2312" w:hAnsi="仿宋_GB2312" w:eastAsia="仿宋_GB2312"/>
          <w:b w:val="0"/>
          <w:bCs w:val="0"/>
          <w:color w:val="000000"/>
          <w:kern w:val="2"/>
          <w:sz w:val="32"/>
          <w:szCs w:val="24"/>
        </w:rPr>
        <w:t>台（套）。</w:t>
      </w:r>
    </w:p>
    <w:p w14:paraId="40B87FB1">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（四）预算绩效管理情况。</w:t>
      </w:r>
    </w:p>
    <w:p w14:paraId="6E6B43D1">
      <w:pPr>
        <w:overflowPunct w:val="0"/>
        <w:topLinePunct/>
        <w:spacing w:line="576" w:lineRule="exact"/>
        <w:ind w:firstLine="640" w:firstLineChars="200"/>
        <w:jc w:val="both"/>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根据预算绩效管理要求，本部门在</w:t>
      </w:r>
      <w:r>
        <w:rPr>
          <w:rFonts w:hint="eastAsia" w:ascii="Times New Roman" w:hAnsi="Times New Roman" w:eastAsia="仿宋_GB2312"/>
          <w:b w:val="0"/>
          <w:bCs w:val="0"/>
          <w:kern w:val="2"/>
          <w:sz w:val="32"/>
          <w:szCs w:val="24"/>
        </w:rPr>
        <w:t>2023</w:t>
      </w:r>
      <w:r>
        <w:rPr>
          <w:rFonts w:hint="eastAsia" w:ascii="仿宋_GB2312" w:hAnsi="仿宋_GB2312" w:eastAsia="仿宋_GB2312"/>
          <w:b w:val="0"/>
          <w:bCs w:val="0"/>
          <w:kern w:val="2"/>
          <w:sz w:val="32"/>
          <w:szCs w:val="24"/>
        </w:rPr>
        <w:t>年度预算编制阶段，组织对督查经费项目开展了预算事前绩效评估，对</w:t>
      </w:r>
      <w:r>
        <w:rPr>
          <w:rFonts w:hint="eastAsia" w:ascii="Times New Roman" w:hAnsi="Times New Roman" w:eastAsia="仿宋_GB2312"/>
          <w:b w:val="0"/>
          <w:bCs w:val="0"/>
          <w:kern w:val="2"/>
          <w:sz w:val="32"/>
          <w:szCs w:val="24"/>
        </w:rPr>
        <w:t>4</w:t>
      </w:r>
      <w:r>
        <w:rPr>
          <w:rFonts w:hint="eastAsia" w:ascii="仿宋_GB2312" w:hAnsi="仿宋_GB2312" w:eastAsia="仿宋_GB2312"/>
          <w:b w:val="0"/>
          <w:bCs w:val="0"/>
          <w:kern w:val="2"/>
          <w:sz w:val="32"/>
          <w:szCs w:val="24"/>
        </w:rPr>
        <w:t>个项目编制了绩效目标，预算执行过程中，选取</w:t>
      </w:r>
      <w:r>
        <w:rPr>
          <w:rFonts w:hint="eastAsia" w:ascii="Times New Roman" w:hAnsi="Times New Roman" w:eastAsia="仿宋_GB2312"/>
          <w:b w:val="0"/>
          <w:bCs w:val="0"/>
          <w:kern w:val="2"/>
          <w:sz w:val="32"/>
          <w:szCs w:val="24"/>
        </w:rPr>
        <w:t>4</w:t>
      </w:r>
      <w:r>
        <w:rPr>
          <w:rFonts w:hint="eastAsia" w:ascii="仿宋_GB2312" w:hAnsi="仿宋_GB2312" w:eastAsia="仿宋_GB2312"/>
          <w:b w:val="0"/>
          <w:bCs w:val="0"/>
          <w:kern w:val="2"/>
          <w:sz w:val="32"/>
          <w:szCs w:val="24"/>
        </w:rPr>
        <w:t>个项目开展绩效监控。</w:t>
      </w:r>
    </w:p>
    <w:p w14:paraId="0E4837B1">
      <w:pPr>
        <w:overflowPunct w:val="0"/>
        <w:topLinePunct/>
        <w:spacing w:line="576" w:lineRule="exact"/>
        <w:ind w:firstLine="640" w:firstLineChars="200"/>
        <w:jc w:val="both"/>
        <w:rPr>
          <w:rFonts w:hint="eastAsia" w:ascii="仿宋_GB2312" w:hAnsi="仿宋_GB2312" w:eastAsia="仿宋_GB2312"/>
          <w:b w:val="0"/>
          <w:bCs w:val="0"/>
          <w:kern w:val="2"/>
          <w:sz w:val="32"/>
          <w:szCs w:val="24"/>
          <w:highlight w:val="yellow"/>
        </w:rPr>
      </w:pPr>
      <w:r>
        <w:rPr>
          <w:rFonts w:hint="eastAsia" w:ascii="Times New Roman" w:hAnsi="Times New Roman" w:eastAsia="仿宋_GB2312"/>
          <w:b w:val="0"/>
          <w:bCs w:val="0"/>
          <w:kern w:val="2"/>
          <w:sz w:val="32"/>
          <w:szCs w:val="24"/>
        </w:rPr>
        <w:t>2023</w:t>
      </w:r>
      <w:r>
        <w:rPr>
          <w:rFonts w:hint="eastAsia" w:ascii="仿宋_GB2312" w:hAnsi="仿宋_GB2312" w:eastAsia="仿宋_GB2312"/>
          <w:b w:val="0"/>
          <w:bCs w:val="0"/>
          <w:kern w:val="2"/>
          <w:sz w:val="32"/>
          <w:szCs w:val="24"/>
        </w:rPr>
        <w:t>年度组织</w:t>
      </w:r>
      <w:r>
        <w:rPr>
          <w:rFonts w:hint="eastAsia" w:ascii="仿宋_GB2312" w:hAnsi="仿宋_GB2312" w:eastAsia="仿宋_GB2312"/>
          <w:b w:val="0"/>
          <w:bCs w:val="0"/>
          <w:color w:val="auto"/>
          <w:kern w:val="2"/>
          <w:sz w:val="32"/>
          <w:szCs w:val="24"/>
        </w:rPr>
        <w:t>一般公共预算全面开展绩效自评，</w:t>
      </w:r>
      <w:r>
        <w:rPr>
          <w:rFonts w:hint="eastAsia" w:ascii="仿宋_GB2312" w:hAnsi="仿宋_GB2312" w:eastAsia="仿宋_GB2312"/>
          <w:b w:val="0"/>
          <w:bCs w:val="0"/>
          <w:kern w:val="2"/>
          <w:sz w:val="32"/>
          <w:szCs w:val="24"/>
        </w:rPr>
        <w:t>形成</w:t>
      </w:r>
      <w:r>
        <w:rPr>
          <w:rFonts w:hint="eastAsia" w:ascii="Times New Roman" w:hAnsi="Times New Roman" w:eastAsia="仿宋_GB2312"/>
          <w:b w:val="0"/>
          <w:bCs w:val="0"/>
          <w:kern w:val="2"/>
          <w:sz w:val="32"/>
          <w:szCs w:val="24"/>
        </w:rPr>
        <w:t>2023</w:t>
      </w:r>
      <w:r>
        <w:rPr>
          <w:rFonts w:hint="eastAsia" w:ascii="仿宋_GB2312" w:hAnsi="仿宋_GB2312" w:eastAsia="仿宋_GB2312"/>
          <w:b w:val="0"/>
          <w:bCs w:val="0"/>
          <w:kern w:val="2"/>
          <w:sz w:val="32"/>
          <w:szCs w:val="24"/>
        </w:rPr>
        <w:t>年区目标绩效事务中心（部门）整体（含部门预算项目）绩效自评报告、督查经费专项预算项目绩效自评报告，</w:t>
      </w:r>
      <w:r>
        <w:rPr>
          <w:rFonts w:hint="eastAsia" w:ascii="仿宋_GB2312" w:hAnsi="仿宋_GB2312" w:eastAsia="仿宋_GB2312" w:cs="仿宋_GB2312"/>
          <w:b w:val="0"/>
          <w:bCs w:val="0"/>
          <w:color w:val="auto"/>
          <w:sz w:val="32"/>
          <w:szCs w:val="32"/>
        </w:rPr>
        <w:t>其中，区目标绩效事务中心部门整体（含部门预算项目）绩效自评得分为</w:t>
      </w:r>
      <w:r>
        <w:rPr>
          <w:rFonts w:hint="eastAsia" w:ascii="Times New Roman" w:hAnsi="Times New Roman" w:eastAsia="仿宋_GB2312" w:cs="仿宋_GB2312"/>
          <w:b w:val="0"/>
          <w:bCs w:val="0"/>
          <w:color w:val="auto"/>
          <w:sz w:val="32"/>
          <w:szCs w:val="32"/>
        </w:rPr>
        <w:t>99</w:t>
      </w:r>
      <w:r>
        <w:rPr>
          <w:rFonts w:hint="eastAsia" w:ascii="仿宋_GB2312" w:hAnsi="仿宋_GB2312" w:eastAsia="仿宋_GB2312" w:cs="仿宋_GB2312"/>
          <w:b w:val="0"/>
          <w:bCs w:val="0"/>
          <w:color w:val="auto"/>
          <w:sz w:val="32"/>
          <w:szCs w:val="32"/>
        </w:rPr>
        <w:t>分；</w:t>
      </w:r>
      <w:r>
        <w:rPr>
          <w:rFonts w:hint="eastAsia" w:ascii="仿宋_GB2312" w:hAnsi="仿宋_GB2312" w:eastAsia="仿宋_GB2312"/>
          <w:b w:val="0"/>
          <w:bCs w:val="0"/>
          <w:kern w:val="2"/>
          <w:sz w:val="32"/>
          <w:szCs w:val="24"/>
        </w:rPr>
        <w:t>督查经费专项预算项目绩效自评得分为</w:t>
      </w:r>
      <w:r>
        <w:rPr>
          <w:rFonts w:hint="eastAsia" w:ascii="Times New Roman" w:hAnsi="Times New Roman" w:eastAsia="仿宋_GB2312"/>
          <w:b w:val="0"/>
          <w:bCs w:val="0"/>
          <w:kern w:val="2"/>
          <w:sz w:val="32"/>
          <w:szCs w:val="24"/>
        </w:rPr>
        <w:t>100</w:t>
      </w:r>
      <w:r>
        <w:rPr>
          <w:rFonts w:hint="eastAsia" w:ascii="仿宋_GB2312" w:hAnsi="仿宋_GB2312" w:eastAsia="仿宋_GB2312"/>
          <w:b w:val="0"/>
          <w:bCs w:val="0"/>
          <w:kern w:val="2"/>
          <w:sz w:val="32"/>
          <w:szCs w:val="24"/>
        </w:rPr>
        <w:t>分。绩效自评报告详见附件（第四部分）。</w:t>
      </w:r>
    </w:p>
    <w:p w14:paraId="5E5F743D">
      <w:pPr>
        <w:pStyle w:val="5"/>
        <w:spacing w:before="72"/>
        <w:rPr>
          <w:rFonts w:hint="eastAsia"/>
          <w:b w:val="0"/>
          <w:bCs w:val="0"/>
          <w:sz w:val="30"/>
          <w:szCs w:val="24"/>
          <w:highlight w:val="yellow"/>
        </w:rPr>
        <w:sectPr>
          <w:pgSz w:w="12240" w:h="15840"/>
          <w:pgMar w:top="2098" w:right="1474" w:bottom="1984" w:left="1587" w:header="850" w:footer="1587" w:gutter="0"/>
          <w:lnNumType w:countBy="0" w:distance="360"/>
          <w:pgNumType w:fmt="decimal"/>
          <w:cols w:space="720" w:num="1"/>
          <w:rtlGutter w:val="0"/>
          <w:docGrid w:linePitch="0" w:charSpace="0"/>
        </w:sectPr>
      </w:pPr>
    </w:p>
    <w:p w14:paraId="0E8F7910">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黑体" w:hAnsi="黑体" w:eastAsia="黑体"/>
          <w:b w:val="0"/>
          <w:bCs w:val="0"/>
          <w:kern w:val="44"/>
          <w:sz w:val="44"/>
          <w:szCs w:val="24"/>
        </w:rPr>
      </w:pPr>
      <w:r>
        <w:rPr>
          <w:rFonts w:hint="eastAsia" w:ascii="黑体" w:hAnsi="黑体" w:eastAsia="黑体"/>
          <w:b w:val="0"/>
          <w:bCs w:val="0"/>
          <w:color w:val="000000"/>
          <w:kern w:val="2"/>
          <w:sz w:val="44"/>
          <w:szCs w:val="24"/>
        </w:rPr>
        <w:t>第三部分  名</w:t>
      </w:r>
      <w:r>
        <w:rPr>
          <w:rFonts w:hint="eastAsia" w:ascii="黑体" w:hAnsi="黑体" w:eastAsia="黑体"/>
          <w:b w:val="0"/>
          <w:bCs w:val="0"/>
          <w:kern w:val="44"/>
          <w:sz w:val="44"/>
          <w:szCs w:val="24"/>
        </w:rPr>
        <w:t>词解释</w:t>
      </w:r>
    </w:p>
    <w:p w14:paraId="73C570DB">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p>
    <w:p w14:paraId="7BC07F65">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一、财政拨款收入：</w:t>
      </w:r>
      <w:r>
        <w:rPr>
          <w:rFonts w:hint="eastAsia" w:ascii="仿宋_GB2312" w:hAnsi="仿宋_GB2312" w:eastAsia="仿宋_GB2312"/>
          <w:b w:val="0"/>
          <w:bCs w:val="0"/>
          <w:color w:val="000000"/>
          <w:sz w:val="32"/>
          <w:szCs w:val="24"/>
        </w:rPr>
        <w:t>指单位从同级财政部门取得的财政预算资金。</w:t>
      </w:r>
    </w:p>
    <w:p w14:paraId="597A7D06">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二、事业收入：</w:t>
      </w:r>
      <w:r>
        <w:rPr>
          <w:rFonts w:hint="eastAsia" w:ascii="仿宋_GB2312" w:hAnsi="仿宋_GB2312" w:eastAsia="仿宋_GB2312"/>
          <w:b w:val="0"/>
          <w:bCs w:val="0"/>
          <w:color w:val="000000"/>
          <w:sz w:val="32"/>
          <w:szCs w:val="24"/>
        </w:rPr>
        <w:t>指事业单位开展专业业务活动及辅助活动取得的收入。</w:t>
      </w:r>
    </w:p>
    <w:p w14:paraId="3133B0F2">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三、经营收入：</w:t>
      </w:r>
      <w:r>
        <w:rPr>
          <w:rFonts w:hint="eastAsia" w:ascii="仿宋_GB2312" w:hAnsi="仿宋_GB2312" w:eastAsia="仿宋_GB2312"/>
          <w:b w:val="0"/>
          <w:bCs w:val="0"/>
          <w:color w:val="000000"/>
          <w:sz w:val="32"/>
          <w:szCs w:val="24"/>
        </w:rPr>
        <w:t>指事业单位在专业业务活动及其辅助活动之外开展非独立核算经营活动取得的收入。</w:t>
      </w:r>
    </w:p>
    <w:p w14:paraId="27481D14">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四、其他收入：</w:t>
      </w:r>
      <w:r>
        <w:rPr>
          <w:rFonts w:hint="eastAsia" w:ascii="仿宋_GB2312" w:hAnsi="仿宋_GB2312" w:eastAsia="仿宋_GB2312"/>
          <w:b w:val="0"/>
          <w:bCs w:val="0"/>
          <w:color w:val="000000"/>
          <w:sz w:val="32"/>
          <w:szCs w:val="24"/>
        </w:rPr>
        <w:t xml:space="preserve">指单位取得的除上述收入以外的各项收入。 </w:t>
      </w:r>
    </w:p>
    <w:p w14:paraId="2CEFABB3">
      <w:pPr>
        <w:pStyle w:val="2"/>
        <w:keepNext w:val="0"/>
        <w:keepLines w:val="0"/>
        <w:pageBreakBefore w:val="0"/>
        <w:widowControl w:val="0"/>
        <w:kinsoku/>
        <w:wordWrap/>
        <w:overflowPunct w:val="0"/>
        <w:topLinePunct w:val="0"/>
        <w:autoSpaceDE w:val="0"/>
        <w:autoSpaceDN w:val="0"/>
        <w:bidi w:val="0"/>
        <w:adjustRightInd w:val="0"/>
        <w:snapToGrid/>
        <w:spacing w:beforeLines="0" w:afterLines="0" w:line="576" w:lineRule="exact"/>
        <w:ind w:firstLine="640" w:firstLineChars="200"/>
        <w:textAlignment w:val="auto"/>
        <w:rPr>
          <w:rFonts w:hint="eastAsia" w:ascii="仿宋_GB2312" w:eastAsia="仿宋_GB2312"/>
          <w:b w:val="0"/>
          <w:bCs w:val="0"/>
          <w:color w:val="auto"/>
          <w:sz w:val="32"/>
          <w:szCs w:val="32"/>
        </w:rPr>
      </w:pPr>
      <w:r>
        <w:rPr>
          <w:rFonts w:hint="eastAsia" w:ascii="黑体" w:hAnsi="黑体" w:eastAsia="黑体" w:cs="黑体"/>
          <w:b w:val="0"/>
          <w:bCs w:val="0"/>
          <w:color w:val="auto"/>
          <w:sz w:val="32"/>
          <w:szCs w:val="32"/>
          <w:lang w:val="en-US" w:eastAsia="zh-CN" w:bidi="ar-SA"/>
        </w:rPr>
        <w:t>五、使用非财政拨款结余（含专用结余）：</w:t>
      </w:r>
      <w:r>
        <w:rPr>
          <w:rFonts w:hint="eastAsia" w:ascii="仿宋_GB2312" w:eastAsia="仿宋_GB2312"/>
          <w:b w:val="0"/>
          <w:bCs w:val="0"/>
          <w:color w:val="auto"/>
          <w:sz w:val="32"/>
          <w:szCs w:val="32"/>
        </w:rPr>
        <w:t xml:space="preserve">指事业单位使用以前年度积累的非财政拨款结余弥补当年收支差额的金额。 </w:t>
      </w:r>
    </w:p>
    <w:p w14:paraId="34C79876">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六、年初结转和结余：</w:t>
      </w:r>
      <w:r>
        <w:rPr>
          <w:rFonts w:hint="eastAsia" w:ascii="仿宋_GB2312" w:hAnsi="仿宋_GB2312" w:eastAsia="仿宋_GB2312"/>
          <w:b w:val="0"/>
          <w:bCs w:val="0"/>
          <w:color w:val="000000"/>
          <w:sz w:val="32"/>
          <w:szCs w:val="24"/>
        </w:rPr>
        <w:t xml:space="preserve">指以前年度尚未完成、结转到本年按有关规定继续使用的资金。 </w:t>
      </w:r>
    </w:p>
    <w:p w14:paraId="1ACB46DA">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七、结余分配：</w:t>
      </w:r>
      <w:r>
        <w:rPr>
          <w:rFonts w:hint="eastAsia" w:ascii="仿宋_GB2312" w:hAnsi="仿宋_GB2312" w:eastAsia="仿宋_GB2312"/>
          <w:b w:val="0"/>
          <w:bCs w:val="0"/>
          <w:color w:val="000000"/>
          <w:sz w:val="32"/>
          <w:szCs w:val="24"/>
        </w:rPr>
        <w:t>指事业单位按照会计制度规定缴纳的所得税、提取的专用结余以及转入非财政拨款结余的金额等。</w:t>
      </w:r>
    </w:p>
    <w:p w14:paraId="14F17142">
      <w:pPr>
        <w:keepNext w:val="0"/>
        <w:keepLines w:val="0"/>
        <w:pageBreakBefore w:val="0"/>
        <w:widowControl w:val="0"/>
        <w:kinsoku/>
        <w:wordWrap/>
        <w:overflowPunct w:val="0"/>
        <w:topLinePunct w:val="0"/>
        <w:autoSpaceDE w:val="0"/>
        <w:autoSpaceDN w:val="0"/>
        <w:bidi w:val="0"/>
        <w:adjustRightInd w:val="0"/>
        <w:snapToGrid/>
        <w:spacing w:line="576" w:lineRule="exact"/>
        <w:ind w:firstLine="640"/>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八、年末结转和结余：</w:t>
      </w:r>
      <w:r>
        <w:rPr>
          <w:rFonts w:hint="eastAsia" w:ascii="仿宋_GB2312" w:hAnsi="仿宋_GB2312" w:eastAsia="仿宋_GB2312"/>
          <w:b w:val="0"/>
          <w:bCs w:val="0"/>
          <w:color w:val="000000"/>
          <w:sz w:val="32"/>
          <w:szCs w:val="24"/>
        </w:rPr>
        <w:t>指单位按有关规定结转到下年或以后年度继续使用的资金。</w:t>
      </w:r>
    </w:p>
    <w:p w14:paraId="11CCF7E8">
      <w:pPr>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九、一般公共服务（类）党委办公厅（室）及相关机构事务（款）事业运行（项）：</w:t>
      </w:r>
      <w:r>
        <w:rPr>
          <w:rFonts w:hint="eastAsia" w:ascii="仿宋_GB2312" w:hAnsi="仿宋_GB2312" w:eastAsia="仿宋_GB2312"/>
          <w:b w:val="0"/>
          <w:bCs w:val="0"/>
          <w:color w:val="000000"/>
          <w:kern w:val="2"/>
          <w:sz w:val="32"/>
          <w:szCs w:val="24"/>
        </w:rPr>
        <w:t>指机关开展会议、监督、调研、视察等工作需要用于购买货物和服务的各项支出。</w:t>
      </w:r>
    </w:p>
    <w:p w14:paraId="1DE112F3">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十、社会保障和就业（类）行政事业单位养老支出（款）机关事业单位基本养老保险缴费支出（项）：</w:t>
      </w:r>
      <w:r>
        <w:rPr>
          <w:rFonts w:hint="eastAsia" w:ascii="仿宋_GB2312" w:hAnsi="仿宋_GB2312" w:eastAsia="仿宋_GB2312"/>
          <w:b w:val="0"/>
          <w:bCs w:val="0"/>
          <w:color w:val="000000"/>
          <w:kern w:val="2"/>
          <w:sz w:val="32"/>
          <w:szCs w:val="24"/>
        </w:rPr>
        <w:t>指机关事业单位实施养老保险制度由单位缴纳的基本养老保险费支出。</w:t>
      </w:r>
    </w:p>
    <w:p w14:paraId="512965D6">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十一、社会保障和就业（类）其他社会保障和就业支出（款）其他社会保障和就业支出（项）：</w:t>
      </w:r>
      <w:r>
        <w:rPr>
          <w:rFonts w:hint="eastAsia" w:ascii="仿宋_GB2312" w:hAnsi="仿宋_GB2312" w:eastAsia="仿宋_GB2312"/>
          <w:b w:val="0"/>
          <w:bCs w:val="0"/>
          <w:color w:val="000000"/>
          <w:kern w:val="2"/>
          <w:sz w:val="32"/>
          <w:szCs w:val="24"/>
        </w:rPr>
        <w:t>反映除上述项目以外其他用于社会保障和就业方面的支出。</w:t>
      </w:r>
    </w:p>
    <w:p w14:paraId="3DAACBC3">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十二、医疗卫生与计划生育（类）行政事业单位医疗（款）行政事业单位医疗（项）：</w:t>
      </w:r>
      <w:r>
        <w:rPr>
          <w:rFonts w:hint="eastAsia" w:ascii="仿宋_GB2312" w:hAnsi="仿宋_GB2312" w:eastAsia="仿宋_GB2312"/>
          <w:b w:val="0"/>
          <w:bCs w:val="0"/>
          <w:color w:val="000000"/>
          <w:kern w:val="2"/>
          <w:sz w:val="32"/>
          <w:szCs w:val="24"/>
        </w:rPr>
        <w:t>指财政部门安排的行政事业单位基本医疗保险缴费经费。</w:t>
      </w:r>
    </w:p>
    <w:p w14:paraId="7968ACEF">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十三、住房保障（类）住房改革支出（款）住房公积金（项）：</w:t>
      </w:r>
      <w:r>
        <w:rPr>
          <w:rFonts w:hint="eastAsia" w:ascii="仿宋_GB2312" w:hAnsi="仿宋_GB2312" w:eastAsia="仿宋_GB2312"/>
          <w:b w:val="0"/>
          <w:bCs w:val="0"/>
          <w:color w:val="000000"/>
          <w:kern w:val="2"/>
          <w:sz w:val="32"/>
          <w:szCs w:val="24"/>
        </w:rPr>
        <w:t>指反映行政事业单位按人力资源和社会保障部、财政部规定的基本工资和津贴补贴以及规定比例为职工缴纳的住房公积金。</w:t>
      </w:r>
    </w:p>
    <w:p w14:paraId="75891727">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kern w:val="2"/>
          <w:sz w:val="32"/>
          <w:szCs w:val="24"/>
        </w:rPr>
      </w:pPr>
      <w:r>
        <w:rPr>
          <w:rFonts w:hint="eastAsia" w:ascii="黑体" w:hAnsi="黑体" w:eastAsia="黑体" w:cs="黑体"/>
          <w:b w:val="0"/>
          <w:bCs w:val="0"/>
          <w:sz w:val="32"/>
          <w:szCs w:val="32"/>
        </w:rPr>
        <w:t>十四、基本支出：</w:t>
      </w:r>
      <w:r>
        <w:rPr>
          <w:rFonts w:hint="eastAsia" w:ascii="仿宋_GB2312" w:hAnsi="仿宋_GB2312" w:eastAsia="仿宋_GB2312"/>
          <w:b w:val="0"/>
          <w:bCs w:val="0"/>
          <w:color w:val="000000"/>
          <w:kern w:val="2"/>
          <w:sz w:val="32"/>
          <w:szCs w:val="24"/>
        </w:rPr>
        <w:t>指为保障机构正常运转、完成日常工作任务而发生的人员支出和公用支出。</w:t>
      </w:r>
    </w:p>
    <w:p w14:paraId="776A73A4">
      <w:pPr>
        <w:keepNext w:val="0"/>
        <w:keepLines w:val="0"/>
        <w:pageBreakBefore w:val="0"/>
        <w:widowControl w:val="0"/>
        <w:kinsoku/>
        <w:wordWrap/>
        <w:overflowPunct w:val="0"/>
        <w:topLinePunct w:val="0"/>
        <w:autoSpaceDE w:val="0"/>
        <w:autoSpaceDN w:val="0"/>
        <w:bidi w:val="0"/>
        <w:adjustRightInd w:val="0"/>
        <w:snapToGrid/>
        <w:spacing w:line="550" w:lineRule="exact"/>
        <w:ind w:firstLine="641"/>
        <w:jc w:val="both"/>
        <w:textAlignment w:val="auto"/>
        <w:rPr>
          <w:rFonts w:hint="eastAsia" w:ascii="仿宋_GB2312" w:hAnsi="仿宋_GB2312" w:eastAsia="仿宋_GB2312"/>
          <w:b w:val="0"/>
          <w:bCs w:val="0"/>
          <w:color w:val="000000"/>
          <w:sz w:val="32"/>
          <w:szCs w:val="24"/>
        </w:rPr>
      </w:pPr>
      <w:r>
        <w:rPr>
          <w:rFonts w:hint="eastAsia" w:ascii="黑体" w:hAnsi="黑体" w:eastAsia="黑体" w:cs="黑体"/>
          <w:b w:val="0"/>
          <w:bCs w:val="0"/>
          <w:sz w:val="32"/>
          <w:szCs w:val="32"/>
        </w:rPr>
        <w:t>十五、“三公”经费：</w:t>
      </w:r>
      <w:r>
        <w:rPr>
          <w:rFonts w:hint="eastAsia" w:ascii="仿宋_GB2312" w:hAnsi="仿宋_GB2312" w:eastAsia="仿宋_GB2312"/>
          <w:b w:val="0"/>
          <w:bCs w:val="0"/>
          <w:color w:val="000000"/>
          <w:sz w:val="32"/>
          <w:szCs w:val="24"/>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C521D1">
      <w:pPr>
        <w:keepNext/>
        <w:keepLines/>
        <w:pageBreakBefore/>
        <w:spacing w:line="576" w:lineRule="exact"/>
        <w:jc w:val="center"/>
        <w:rPr>
          <w:rFonts w:hint="eastAsia" w:ascii="方正小标宋简体" w:hAnsi="方正小标宋简体" w:eastAsia="方正小标宋简体" w:cs="方正小标宋简体"/>
          <w:b w:val="0"/>
          <w:bCs w:val="0"/>
          <w:kern w:val="44"/>
          <w:sz w:val="44"/>
          <w:szCs w:val="24"/>
        </w:rPr>
      </w:pPr>
      <w:r>
        <w:rPr>
          <w:rFonts w:hint="eastAsia" w:ascii="方正小标宋简体" w:hAnsi="方正小标宋简体" w:eastAsia="方正小标宋简体" w:cs="方正小标宋简体"/>
          <w:b w:val="0"/>
          <w:bCs w:val="0"/>
          <w:color w:val="000000"/>
          <w:kern w:val="2"/>
          <w:sz w:val="44"/>
          <w:szCs w:val="24"/>
        </w:rPr>
        <w:t>第</w:t>
      </w:r>
      <w:r>
        <w:rPr>
          <w:rFonts w:hint="eastAsia" w:ascii="方正小标宋简体" w:hAnsi="方正小标宋简体" w:eastAsia="方正小标宋简体" w:cs="方正小标宋简体"/>
          <w:b w:val="0"/>
          <w:bCs w:val="0"/>
          <w:kern w:val="44"/>
          <w:sz w:val="44"/>
          <w:szCs w:val="24"/>
        </w:rPr>
        <w:t>四部分  附件</w:t>
      </w:r>
    </w:p>
    <w:p w14:paraId="3637526D">
      <w:pPr>
        <w:keepNext/>
        <w:keepLines/>
        <w:spacing w:line="576" w:lineRule="exact"/>
        <w:rPr>
          <w:rFonts w:hint="eastAsia" w:ascii="黑体" w:hAnsi="黑体" w:eastAsia="黑体"/>
          <w:b w:val="0"/>
          <w:bCs w:val="0"/>
          <w:kern w:val="2"/>
          <w:sz w:val="32"/>
          <w:szCs w:val="24"/>
        </w:rPr>
      </w:pPr>
    </w:p>
    <w:p w14:paraId="0BDE47AC">
      <w:pPr>
        <w:keepNext/>
        <w:keepLines/>
        <w:spacing w:line="576" w:lineRule="exact"/>
        <w:rPr>
          <w:rFonts w:hint="eastAsia" w:ascii="方正小标宋简体" w:hAnsi="方正小标宋简体" w:eastAsia="方正小标宋简体"/>
          <w:b w:val="0"/>
          <w:bCs w:val="0"/>
          <w:kern w:val="2"/>
          <w:sz w:val="44"/>
          <w:szCs w:val="24"/>
        </w:rPr>
      </w:pPr>
      <w:r>
        <w:rPr>
          <w:rFonts w:hint="eastAsia" w:ascii="黑体" w:hAnsi="黑体" w:eastAsia="黑体"/>
          <w:b w:val="0"/>
          <w:bCs w:val="0"/>
          <w:kern w:val="2"/>
          <w:sz w:val="32"/>
          <w:szCs w:val="24"/>
        </w:rPr>
        <w:t>附件</w:t>
      </w:r>
      <w:r>
        <w:rPr>
          <w:rFonts w:hint="eastAsia" w:ascii="Times New Roman" w:hAnsi="Times New Roman" w:eastAsia="黑体"/>
          <w:b w:val="0"/>
          <w:bCs w:val="0"/>
          <w:kern w:val="2"/>
          <w:sz w:val="32"/>
          <w:szCs w:val="24"/>
        </w:rPr>
        <w:t>1</w:t>
      </w:r>
    </w:p>
    <w:p w14:paraId="2EBB1A9C">
      <w:pPr>
        <w:overflowPunct w:val="0"/>
        <w:autoSpaceDE/>
        <w:autoSpaceDN/>
        <w:spacing w:line="576" w:lineRule="exact"/>
        <w:jc w:val="center"/>
        <w:rPr>
          <w:rFonts w:hint="eastAsia" w:ascii="方正小标宋简体" w:hAnsi="方正小标宋简体" w:eastAsia="方正小标宋简体" w:cs="方正小标宋简体"/>
          <w:b w:val="0"/>
          <w:bCs w:val="0"/>
          <w:sz w:val="44"/>
          <w:szCs w:val="44"/>
        </w:rPr>
      </w:pPr>
    </w:p>
    <w:p w14:paraId="784B61F1">
      <w:pPr>
        <w:overflowPunct w:val="0"/>
        <w:autoSpaceDE/>
        <w:autoSpaceDN/>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广元市昭化区目标绩效事务中心</w:t>
      </w:r>
    </w:p>
    <w:p w14:paraId="591D6D98">
      <w:pPr>
        <w:overflowPunct w:val="0"/>
        <w:autoSpaceDE/>
        <w:autoSpaceDN/>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Times New Roman" w:hAnsi="Times New Roman" w:eastAsia="方正小标宋简体" w:cs="方正小标宋简体"/>
          <w:b w:val="0"/>
          <w:bCs w:val="0"/>
          <w:sz w:val="44"/>
          <w:szCs w:val="44"/>
        </w:rPr>
        <w:t>2023</w:t>
      </w:r>
      <w:r>
        <w:rPr>
          <w:rFonts w:hint="eastAsia" w:ascii="方正小标宋简体" w:hAnsi="方正小标宋简体" w:eastAsia="方正小标宋简体" w:cs="方正小标宋简体"/>
          <w:b w:val="0"/>
          <w:bCs w:val="0"/>
          <w:sz w:val="44"/>
          <w:szCs w:val="44"/>
        </w:rPr>
        <w:t>年部门整体支出绩效自评报告</w:t>
      </w:r>
    </w:p>
    <w:p w14:paraId="5A4FD6AF">
      <w:pPr>
        <w:overflowPunct w:val="0"/>
        <w:autoSpaceDE/>
        <w:autoSpaceDN/>
        <w:snapToGrid w:val="0"/>
        <w:spacing w:line="576" w:lineRule="exact"/>
        <w:jc w:val="both"/>
        <w:rPr>
          <w:rFonts w:hint="eastAsia" w:ascii="仿宋_GB2312" w:hAnsi="仿宋" w:eastAsia="仿宋_GB2312"/>
          <w:b w:val="0"/>
          <w:bCs w:val="0"/>
          <w:color w:val="000000"/>
          <w:kern w:val="2"/>
          <w:sz w:val="32"/>
          <w:szCs w:val="32"/>
          <w:lang w:val="zh-CN"/>
        </w:rPr>
      </w:pPr>
    </w:p>
    <w:p w14:paraId="051EA0DF">
      <w:pPr>
        <w:overflowPunct w:val="0"/>
        <w:autoSpaceDE/>
        <w:autoSpaceDN/>
        <w:spacing w:line="576"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14:paraId="1F4BAE15">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（一）机构职能</w:t>
      </w:r>
    </w:p>
    <w:p w14:paraId="4D0BDDB2">
      <w:pPr>
        <w:pStyle w:val="15"/>
        <w:widowControl w:val="0"/>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协助相关部门做好区委、区政府重大决策、重要工作部署落实情况督促检查，承担区委、区政府领导批交办事项专项督查或督查调研；根据授权，协助统筹规范区本级督查检查考核事项；配合做好乡镇（街道）、区级部门实施目标绩效运行监控，牵头组织考评；负责协助做好市委、市政府下达的绩效目标任务的运行；参与区委、区政府年度民生实事任务统筹，拟订全区民生实事实施方案，开展日常推进督促检查；配合做好区人大代表建议和区政协提案的交办督办工作，拟订区政府领导领办重点建议提案方案，组织开展办理工作视察活动；协助督办区委常委会决定事项、区委主要领导批示件办理工作以及区政府常务会交办事项、区政府主要领导批示件办理工作；承担区督促检查和目标绩效领导小组日常工作；完成区委交办的其他任务。</w:t>
      </w:r>
    </w:p>
    <w:p w14:paraId="7911345E">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（二）机构组成</w:t>
      </w:r>
    </w:p>
    <w:p w14:paraId="25D26EA3">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both"/>
        <w:textAlignment w:val="auto"/>
        <w:rPr>
          <w:rFonts w:hint="eastAsia" w:hAnsi="仿宋_GB2312" w:cs="仿宋_GB2312"/>
          <w:b w:val="0"/>
          <w:bCs w:val="0"/>
          <w:kern w:val="2"/>
          <w:sz w:val="32"/>
          <w:szCs w:val="32"/>
        </w:rPr>
      </w:pPr>
      <w:r>
        <w:rPr>
          <w:rFonts w:hint="eastAsia" w:hAnsi="仿宋_GB2312" w:cs="仿宋_GB2312"/>
          <w:b w:val="0"/>
          <w:bCs w:val="0"/>
          <w:kern w:val="2"/>
          <w:sz w:val="32"/>
          <w:szCs w:val="32"/>
        </w:rPr>
        <w:t>目标绩效事务中心属一级预算单位，设办公室、目标绩效股、督查一股、督查二股。</w:t>
      </w:r>
    </w:p>
    <w:p w14:paraId="1D406C95">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（三）人员概况</w:t>
      </w:r>
    </w:p>
    <w:p w14:paraId="7747EAAF">
      <w:pPr>
        <w:pStyle w:val="5"/>
        <w:overflowPunct w:val="0"/>
        <w:autoSpaceDE/>
        <w:autoSpaceDN/>
        <w:snapToGrid w:val="0"/>
        <w:spacing w:beforeLines="0" w:line="576" w:lineRule="exact"/>
        <w:ind w:firstLine="640" w:firstLineChars="200"/>
        <w:jc w:val="both"/>
        <w:rPr>
          <w:rFonts w:hint="eastAsia" w:hAnsi="仿宋_GB2312" w:cs="仿宋_GB2312"/>
          <w:b w:val="0"/>
          <w:bCs w:val="0"/>
          <w:sz w:val="32"/>
          <w:szCs w:val="32"/>
        </w:rPr>
      </w:pPr>
      <w:r>
        <w:rPr>
          <w:rFonts w:hint="eastAsia" w:ascii="Times New Roman" w:hAnsi="Times New Roman" w:cs="仿宋_GB2312"/>
          <w:b w:val="0"/>
          <w:bCs w:val="0"/>
          <w:sz w:val="32"/>
          <w:szCs w:val="32"/>
        </w:rPr>
        <w:t>2023</w:t>
      </w:r>
      <w:r>
        <w:rPr>
          <w:rFonts w:hint="eastAsia" w:hAnsi="仿宋_GB2312" w:cs="仿宋_GB2312"/>
          <w:b w:val="0"/>
          <w:bCs w:val="0"/>
          <w:sz w:val="32"/>
          <w:szCs w:val="32"/>
        </w:rPr>
        <w:t>年底决算实有在职编制内人员</w:t>
      </w:r>
      <w:r>
        <w:rPr>
          <w:rFonts w:hint="eastAsia" w:ascii="Times New Roman" w:hAnsi="Times New Roman" w:cs="仿宋_GB2312"/>
          <w:b w:val="0"/>
          <w:bCs w:val="0"/>
          <w:color w:val="auto"/>
          <w:sz w:val="32"/>
          <w:szCs w:val="32"/>
        </w:rPr>
        <w:t>9</w:t>
      </w:r>
      <w:r>
        <w:rPr>
          <w:rFonts w:hint="eastAsia" w:hAnsi="仿宋_GB2312" w:cs="仿宋_GB2312"/>
          <w:b w:val="0"/>
          <w:bCs w:val="0"/>
          <w:sz w:val="32"/>
          <w:szCs w:val="32"/>
        </w:rPr>
        <w:t>人，其中：事业人员</w:t>
      </w:r>
      <w:r>
        <w:rPr>
          <w:rFonts w:hint="eastAsia" w:ascii="Times New Roman" w:hAnsi="Times New Roman" w:cs="仿宋_GB2312"/>
          <w:b w:val="0"/>
          <w:bCs w:val="0"/>
          <w:color w:val="auto"/>
          <w:sz w:val="32"/>
          <w:szCs w:val="32"/>
        </w:rPr>
        <w:t>9</w:t>
      </w:r>
      <w:r>
        <w:rPr>
          <w:rFonts w:hint="eastAsia" w:hAnsi="仿宋_GB2312" w:cs="仿宋_GB2312"/>
          <w:b w:val="0"/>
          <w:bCs w:val="0"/>
          <w:sz w:val="32"/>
          <w:szCs w:val="32"/>
        </w:rPr>
        <w:t>人。</w:t>
      </w:r>
    </w:p>
    <w:p w14:paraId="6C8AA79B">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lang w:eastAsia="zh-CN"/>
        </w:rPr>
        <w:t>（四）</w:t>
      </w:r>
      <w:r>
        <w:rPr>
          <w:rFonts w:hint="eastAsia" w:ascii="楷体_GB2312" w:hAnsi="楷体_GB2312" w:eastAsia="楷体_GB2312" w:cs="楷体_GB2312"/>
          <w:b w:val="0"/>
          <w:bCs w:val="0"/>
          <w:color w:val="000000"/>
          <w:kern w:val="2"/>
          <w:sz w:val="32"/>
          <w:szCs w:val="24"/>
        </w:rPr>
        <w:t>当年重要工作概述</w:t>
      </w:r>
    </w:p>
    <w:p w14:paraId="1378FB9A">
      <w:pPr>
        <w:numPr>
          <w:ilvl w:val="0"/>
          <w:numId w:val="0"/>
        </w:numPr>
        <w:overflowPunct w:val="0"/>
        <w:autoSpaceDE/>
        <w:autoSpaceDN/>
        <w:adjustRightInd/>
        <w:spacing w:line="576" w:lineRule="exact"/>
        <w:ind w:left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.始终聚焦重大决策部署，不遗余力服务大局履职尽责</w:t>
      </w:r>
    </w:p>
    <w:p w14:paraId="69130E54">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务实开展政治督查。一是紧盯习近平总书记重要指示批示精神贯彻落实。聚焦习近平总书记来川来广视察重要指示精神和其他重要指示批示精神，牵头制定《督查工作方案》《重点任务责任清单》，建立督办台账，实行清单式管理、动态式调整、跟踪式督办，常态化开展贯彻落实“回头看”，全年报送贯彻落实情况报告</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期。聚焦市委八届七次全会和区委八届五次全会重要部署，细化分解</w:t>
      </w:r>
      <w:r>
        <w:rPr>
          <w:rFonts w:hint="eastAsia" w:ascii="Times New Roman" w:hAnsi="Times New Roman" w:eastAsia="仿宋_GB2312" w:cs="仿宋_GB2312"/>
          <w:b w:val="0"/>
          <w:bCs w:val="0"/>
          <w:sz w:val="32"/>
          <w:szCs w:val="32"/>
        </w:rPr>
        <w:t>15</w:t>
      </w:r>
      <w:r>
        <w:rPr>
          <w:rFonts w:hint="eastAsia" w:ascii="仿宋_GB2312" w:hAnsi="仿宋_GB2312" w:eastAsia="仿宋_GB2312" w:cs="仿宋_GB2312"/>
          <w:b w:val="0"/>
          <w:bCs w:val="0"/>
          <w:sz w:val="32"/>
          <w:szCs w:val="32"/>
        </w:rPr>
        <w:t>个方面</w:t>
      </w:r>
      <w:r>
        <w:rPr>
          <w:rFonts w:hint="eastAsia" w:ascii="Times New Roman" w:hAnsi="Times New Roman" w:eastAsia="仿宋_GB2312" w:cs="仿宋_GB2312"/>
          <w:b w:val="0"/>
          <w:bCs w:val="0"/>
          <w:sz w:val="32"/>
          <w:szCs w:val="32"/>
        </w:rPr>
        <w:t>88</w:t>
      </w:r>
      <w:r>
        <w:rPr>
          <w:rFonts w:hint="eastAsia" w:ascii="仿宋_GB2312" w:hAnsi="仿宋_GB2312" w:eastAsia="仿宋_GB2312" w:cs="仿宋_GB2312"/>
          <w:b w:val="0"/>
          <w:bCs w:val="0"/>
          <w:sz w:val="32"/>
          <w:szCs w:val="32"/>
        </w:rPr>
        <w:t>项具体任务，实行月督查、月调度、月通报。二是紧盯党委重大会议部署落实。聚焦“两个确立”“两个维护”，紧扣服务保障中心大局，细化梳理制定省委十二届二次、三次、全会，市委八届五次、六次全会，区委八届四次、五次全会，市委、区委经济工作会等重要部署责任分工方案（清单）</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个，采取“暗访督查+抽查调度”方式，对各镇和区级重点部门落实有关任务情况督查调度</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次。三是紧盯调研指示精神落实。坚持把贯彻落实各级领导调研指示精神作为重点工作，聚焦重点任务，认真制定了省委领导来广来昭调研、市委主要领导来昭调研重要指示精神等</w:t>
      </w:r>
      <w:r>
        <w:rPr>
          <w:rFonts w:hint="eastAsia" w:ascii="Times New Roman" w:hAnsi="Times New Roman" w:eastAsia="仿宋_GB2312" w:cs="仿宋_GB2312"/>
          <w:b w:val="0"/>
          <w:bCs w:val="0"/>
          <w:sz w:val="32"/>
          <w:szCs w:val="32"/>
        </w:rPr>
        <w:t>10</w:t>
      </w:r>
      <w:r>
        <w:rPr>
          <w:rFonts w:hint="eastAsia" w:ascii="仿宋_GB2312" w:hAnsi="仿宋_GB2312" w:eastAsia="仿宋_GB2312" w:cs="仿宋_GB2312"/>
          <w:b w:val="0"/>
          <w:bCs w:val="0"/>
          <w:sz w:val="32"/>
          <w:szCs w:val="32"/>
        </w:rPr>
        <w:t>个重点任务分工方案（清单），明确实施路线、落实牵头责任、划定职责分工，开展专项督查调度</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次，报送贯彻落实情况</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期。四是紧盯领导批交办事项落实。坚持“想领导所思、急领导所盼、解领导所忧”，围绕区委重要工作部署和主要领导批交办事项</w:t>
      </w:r>
      <w:r>
        <w:rPr>
          <w:rFonts w:hint="eastAsia" w:ascii="Times New Roman" w:hAnsi="Times New Roman" w:eastAsia="仿宋_GB2312" w:cs="仿宋_GB2312"/>
          <w:b w:val="0"/>
          <w:bCs w:val="0"/>
          <w:sz w:val="32"/>
          <w:szCs w:val="32"/>
        </w:rPr>
        <w:t>95</w:t>
      </w:r>
      <w:r>
        <w:rPr>
          <w:rFonts w:hint="eastAsia" w:ascii="仿宋_GB2312" w:hAnsi="仿宋_GB2312" w:eastAsia="仿宋_GB2312" w:cs="仿宋_GB2312"/>
          <w:b w:val="0"/>
          <w:bCs w:val="0"/>
          <w:sz w:val="32"/>
          <w:szCs w:val="32"/>
        </w:rPr>
        <w:t>项，实行台账销号管理，定期反馈落实情况，持续调度未办结事项，截至目前，办结</w:t>
      </w:r>
      <w:r>
        <w:rPr>
          <w:rFonts w:hint="eastAsia" w:ascii="Times New Roman" w:hAnsi="Times New Roman" w:eastAsia="仿宋_GB2312" w:cs="仿宋_GB2312"/>
          <w:b w:val="0"/>
          <w:bCs w:val="0"/>
          <w:sz w:val="32"/>
          <w:szCs w:val="32"/>
        </w:rPr>
        <w:t>86</w:t>
      </w:r>
      <w:r>
        <w:rPr>
          <w:rFonts w:hint="eastAsia" w:ascii="仿宋_GB2312" w:hAnsi="仿宋_GB2312" w:eastAsia="仿宋_GB2312" w:cs="仿宋_GB2312"/>
          <w:b w:val="0"/>
          <w:bCs w:val="0"/>
          <w:sz w:val="32"/>
          <w:szCs w:val="32"/>
        </w:rPr>
        <w:t>项，持续跟踪督办事项</w:t>
      </w:r>
      <w:r>
        <w:rPr>
          <w:rFonts w:hint="eastAsia" w:ascii="Times New Roman" w:hAnsi="Times New Roman" w:eastAsia="仿宋_GB2312" w:cs="仿宋_GB2312"/>
          <w:b w:val="0"/>
          <w:bCs w:val="0"/>
          <w:sz w:val="32"/>
          <w:szCs w:val="32"/>
        </w:rPr>
        <w:t>9</w:t>
      </w:r>
      <w:r>
        <w:rPr>
          <w:rFonts w:hint="eastAsia" w:ascii="仿宋_GB2312" w:hAnsi="仿宋_GB2312" w:eastAsia="仿宋_GB2312" w:cs="仿宋_GB2312"/>
          <w:b w:val="0"/>
          <w:bCs w:val="0"/>
          <w:sz w:val="32"/>
          <w:szCs w:val="32"/>
        </w:rPr>
        <w:t>项，确保重大决策部署事项见行见效。</w:t>
      </w:r>
    </w:p>
    <w:p w14:paraId="02595896">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）扎实开展政务督查。一是盯住要事抓督查。围绕区政府重点工作和区政府主要领导批示件办理、企业家座谈会交办事项，建立专人“点对点”跟进、“事对事”督促、“件对件”落实机制，</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年督促办结重要工作部署事项</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项、批交办事项</w:t>
      </w:r>
      <w:r>
        <w:rPr>
          <w:rFonts w:hint="eastAsia" w:ascii="Times New Roman" w:hAnsi="Times New Roman" w:eastAsia="仿宋_GB2312" w:cs="仿宋_GB2312"/>
          <w:b w:val="0"/>
          <w:bCs w:val="0"/>
          <w:sz w:val="32"/>
          <w:szCs w:val="32"/>
        </w:rPr>
        <w:t>23</w:t>
      </w:r>
      <w:r>
        <w:rPr>
          <w:rFonts w:hint="eastAsia" w:ascii="仿宋_GB2312" w:hAnsi="仿宋_GB2312" w:eastAsia="仿宋_GB2312" w:cs="仿宋_GB2312"/>
          <w:b w:val="0"/>
          <w:bCs w:val="0"/>
          <w:sz w:val="32"/>
          <w:szCs w:val="32"/>
        </w:rPr>
        <w:t>项、企业家座谈会交办事项</w:t>
      </w:r>
      <w:r>
        <w:rPr>
          <w:rFonts w:hint="eastAsia" w:ascii="Times New Roman" w:hAnsi="Times New Roman" w:eastAsia="仿宋_GB2312" w:cs="仿宋_GB2312"/>
          <w:b w:val="0"/>
          <w:bCs w:val="0"/>
          <w:sz w:val="32"/>
          <w:szCs w:val="32"/>
        </w:rPr>
        <w:t>18</w:t>
      </w:r>
      <w:r>
        <w:rPr>
          <w:rFonts w:hint="eastAsia" w:ascii="仿宋_GB2312" w:hAnsi="仿宋_GB2312" w:eastAsia="仿宋_GB2312" w:cs="仿宋_GB2312"/>
          <w:b w:val="0"/>
          <w:bCs w:val="0"/>
          <w:sz w:val="32"/>
          <w:szCs w:val="32"/>
        </w:rPr>
        <w:t>项，办结率</w:t>
      </w:r>
      <w:r>
        <w:rPr>
          <w:rFonts w:hint="eastAsia" w:ascii="Times New Roman" w:hAnsi="Times New Roman" w:eastAsia="仿宋_GB2312" w:cs="仿宋_GB2312"/>
          <w:b w:val="0"/>
          <w:bCs w:val="0"/>
          <w:sz w:val="32"/>
          <w:szCs w:val="32"/>
        </w:rPr>
        <w:t>100</w:t>
      </w:r>
      <w:r>
        <w:rPr>
          <w:rFonts w:hint="eastAsia" w:ascii="仿宋_GB2312" w:hAnsi="仿宋_GB2312" w:eastAsia="仿宋_GB2312" w:cs="仿宋_GB2312"/>
          <w:b w:val="0"/>
          <w:bCs w:val="0"/>
          <w:sz w:val="32"/>
          <w:szCs w:val="32"/>
        </w:rPr>
        <w:t>%，提交专项报告</w:t>
      </w:r>
      <w:r>
        <w:rPr>
          <w:rFonts w:hint="eastAsia" w:ascii="Times New Roman" w:hAnsi="Times New Roman" w:eastAsia="仿宋_GB2312" w:cs="仿宋_GB2312"/>
          <w:b w:val="0"/>
          <w:bCs w:val="0"/>
          <w:sz w:val="32"/>
          <w:szCs w:val="32"/>
        </w:rPr>
        <w:t>9</w:t>
      </w:r>
      <w:r>
        <w:rPr>
          <w:rFonts w:hint="eastAsia" w:ascii="仿宋_GB2312" w:hAnsi="仿宋_GB2312" w:eastAsia="仿宋_GB2312" w:cs="仿宋_GB2312"/>
          <w:b w:val="0"/>
          <w:bCs w:val="0"/>
          <w:sz w:val="32"/>
          <w:szCs w:val="32"/>
        </w:rPr>
        <w:t>期</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sz w:val="32"/>
          <w:szCs w:val="32"/>
        </w:rPr>
        <w:t>二是盯住大事抓督查。围绕项目投资、创建天府旅游名县、创建乡村振兴成效显著县等</w:t>
      </w:r>
      <w:r>
        <w:rPr>
          <w:rFonts w:hint="eastAsia" w:ascii="Times New Roman" w:hAnsi="Times New Roman" w:eastAsia="仿宋_GB2312" w:cs="仿宋_GB2312"/>
          <w:b w:val="0"/>
          <w:bCs w:val="0"/>
          <w:sz w:val="32"/>
          <w:szCs w:val="32"/>
        </w:rPr>
        <w:t>21</w:t>
      </w:r>
      <w:r>
        <w:rPr>
          <w:rFonts w:hint="eastAsia" w:ascii="仿宋_GB2312" w:hAnsi="仿宋_GB2312" w:eastAsia="仿宋_GB2312" w:cs="仿宋_GB2312"/>
          <w:b w:val="0"/>
          <w:bCs w:val="0"/>
          <w:sz w:val="32"/>
          <w:szCs w:val="32"/>
        </w:rPr>
        <w:t>项专项工作，深入镇村、深入现场，全程跟踪督导</w:t>
      </w:r>
      <w:r>
        <w:rPr>
          <w:rFonts w:hint="eastAsia" w:ascii="Times New Roman" w:hAnsi="Times New Roman" w:eastAsia="仿宋_GB2312" w:cs="仿宋_GB2312"/>
          <w:b w:val="0"/>
          <w:bCs w:val="0"/>
          <w:sz w:val="32"/>
          <w:szCs w:val="32"/>
        </w:rPr>
        <w:t>180</w:t>
      </w:r>
      <w:r>
        <w:rPr>
          <w:rFonts w:hint="eastAsia" w:ascii="仿宋_GB2312" w:hAnsi="仿宋_GB2312" w:eastAsia="仿宋_GB2312" w:cs="仿宋_GB2312"/>
          <w:b w:val="0"/>
          <w:bCs w:val="0"/>
          <w:sz w:val="32"/>
          <w:szCs w:val="32"/>
        </w:rPr>
        <w:t>余次，印发《督办通知》</w:t>
      </w:r>
      <w:r>
        <w:rPr>
          <w:rFonts w:hint="eastAsia" w:ascii="Times New Roman" w:hAnsi="Times New Roman" w:eastAsia="仿宋_GB2312" w:cs="仿宋_GB2312"/>
          <w:b w:val="0"/>
          <w:bCs w:val="0"/>
          <w:sz w:val="32"/>
          <w:szCs w:val="32"/>
        </w:rPr>
        <w:t>14</w:t>
      </w:r>
      <w:r>
        <w:rPr>
          <w:rFonts w:hint="eastAsia" w:ascii="仿宋_GB2312" w:hAnsi="仿宋_GB2312" w:eastAsia="仿宋_GB2312" w:cs="仿宋_GB2312"/>
          <w:b w:val="0"/>
          <w:bCs w:val="0"/>
          <w:sz w:val="32"/>
          <w:szCs w:val="32"/>
        </w:rPr>
        <w:t>期、《督查通知》</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期、《督查通报》</w:t>
      </w:r>
      <w:r>
        <w:rPr>
          <w:rFonts w:hint="eastAsia" w:ascii="Times New Roman" w:hAnsi="Times New Roman" w:eastAsia="仿宋_GB2312" w:cs="仿宋_GB2312"/>
          <w:b w:val="0"/>
          <w:bCs w:val="0"/>
          <w:sz w:val="32"/>
          <w:szCs w:val="32"/>
        </w:rPr>
        <w:t>20</w:t>
      </w:r>
      <w:r>
        <w:rPr>
          <w:rFonts w:hint="eastAsia" w:ascii="仿宋_GB2312" w:hAnsi="仿宋_GB2312" w:eastAsia="仿宋_GB2312" w:cs="仿宋_GB2312"/>
          <w:b w:val="0"/>
          <w:bCs w:val="0"/>
          <w:sz w:val="32"/>
          <w:szCs w:val="32"/>
        </w:rPr>
        <w:t>期、《督查报告》</w:t>
      </w:r>
      <w:r>
        <w:rPr>
          <w:rFonts w:hint="eastAsia" w:ascii="Times New Roman" w:hAnsi="Times New Roman" w:eastAsia="仿宋_GB2312" w:cs="仿宋_GB2312"/>
          <w:b w:val="0"/>
          <w:bCs w:val="0"/>
          <w:sz w:val="32"/>
          <w:szCs w:val="32"/>
        </w:rPr>
        <w:t>9</w:t>
      </w:r>
      <w:r>
        <w:rPr>
          <w:rFonts w:hint="eastAsia" w:ascii="仿宋_GB2312" w:hAnsi="仿宋_GB2312" w:eastAsia="仿宋_GB2312" w:cs="仿宋_GB2312"/>
          <w:b w:val="0"/>
          <w:bCs w:val="0"/>
          <w:sz w:val="32"/>
          <w:szCs w:val="32"/>
        </w:rPr>
        <w:t>期。三是盯住实事抓督查。围绕市上通报我区地方政府专项债券资金、重点项目、“互联网+督查”平台留言问题线索等方面存在的</w:t>
      </w:r>
      <w:r>
        <w:rPr>
          <w:rFonts w:hint="eastAsia" w:ascii="Times New Roman" w:hAnsi="Times New Roman" w:eastAsia="仿宋_GB2312" w:cs="仿宋_GB2312"/>
          <w:b w:val="0"/>
          <w:bCs w:val="0"/>
          <w:sz w:val="32"/>
          <w:szCs w:val="32"/>
        </w:rPr>
        <w:t>30</w:t>
      </w:r>
      <w:r>
        <w:rPr>
          <w:rFonts w:hint="eastAsia" w:ascii="仿宋_GB2312" w:hAnsi="仿宋_GB2312" w:eastAsia="仿宋_GB2312" w:cs="仿宋_GB2312"/>
          <w:b w:val="0"/>
          <w:bCs w:val="0"/>
          <w:sz w:val="32"/>
          <w:szCs w:val="32"/>
        </w:rPr>
        <w:t>余个问题，分层分类开展专项督导，全年向市上报送专题整改报告</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期、办理“互联网+督查”问题线索</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件。</w:t>
      </w:r>
    </w:p>
    <w:p w14:paraId="77C48315">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）抓实经济指标运行监测，全力以赴“拼经济、比发展、创一流”。一是明确责任抓落实。</w:t>
      </w:r>
      <w:r>
        <w:rPr>
          <w:rFonts w:hint="eastAsia" w:ascii="仿宋_GB2312" w:hAnsi="仿宋_GB2312" w:eastAsia="仿宋_GB2312" w:cs="仿宋_GB2312"/>
          <w:b w:val="0"/>
          <w:bCs w:val="0"/>
          <w:color w:val="000000"/>
          <w:sz w:val="32"/>
          <w:szCs w:val="32"/>
        </w:rPr>
        <w:t>印发了《广元市昭化区“拼经济、比发展、创一流”运行调度奖惩十条措施》及其运行机制，组建了工作专班，全面分解各单位职能职责，明晰每月、每季度工作完成时限，推行“责任制+清单制+时限制”一体化推进模式，确保了专人专管、常态长效。</w:t>
      </w:r>
      <w:r>
        <w:rPr>
          <w:rFonts w:hint="eastAsia" w:ascii="仿宋_GB2312" w:hAnsi="仿宋_GB2312" w:eastAsia="仿宋_GB2312" w:cs="仿宋_GB2312"/>
          <w:b w:val="0"/>
          <w:bCs w:val="0"/>
          <w:sz w:val="32"/>
          <w:szCs w:val="32"/>
        </w:rPr>
        <w:t>二是强化督查抓落实。</w:t>
      </w:r>
      <w:r>
        <w:rPr>
          <w:rFonts w:hint="eastAsia" w:ascii="仿宋_GB2312" w:hAnsi="仿宋_GB2312" w:eastAsia="仿宋_GB2312" w:cs="仿宋_GB2312"/>
          <w:b w:val="0"/>
          <w:bCs w:val="0"/>
          <w:color w:val="000000"/>
          <w:sz w:val="32"/>
          <w:szCs w:val="32"/>
        </w:rPr>
        <w:t>制定了《全区“拼经济、比发展、创一流”经济运行监测工作机制》，紧盯月度、季度报数</w:t>
      </w:r>
      <w:r>
        <w:rPr>
          <w:rFonts w:hint="eastAsia" w:ascii="Times New Roman" w:hAnsi="Times New Roman"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个责任单位，分行业、分领域动态跟踪监测，全年制定约谈方案</w:t>
      </w:r>
      <w:r>
        <w:rPr>
          <w:rFonts w:hint="eastAsia" w:ascii="Times New Roman" w:hAnsi="Times New Roman" w:eastAsia="仿宋_GB2312" w:cs="仿宋_GB2312"/>
          <w:b w:val="0"/>
          <w:bCs w:val="0"/>
          <w:color w:val="000000"/>
          <w:sz w:val="32"/>
          <w:szCs w:val="32"/>
        </w:rPr>
        <w:t>9</w:t>
      </w:r>
      <w:r>
        <w:rPr>
          <w:rFonts w:hint="eastAsia" w:ascii="仿宋_GB2312" w:hAnsi="仿宋_GB2312" w:eastAsia="仿宋_GB2312" w:cs="仿宋_GB2312"/>
          <w:b w:val="0"/>
          <w:bCs w:val="0"/>
          <w:color w:val="000000"/>
          <w:sz w:val="32"/>
          <w:szCs w:val="32"/>
        </w:rPr>
        <w:t>期，专题督查督办</w:t>
      </w:r>
      <w:r>
        <w:rPr>
          <w:rFonts w:hint="eastAsia" w:ascii="Times New Roman" w:hAnsi="Times New Roman"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rPr>
        <w:t>次，约谈相关单位</w:t>
      </w:r>
      <w:r>
        <w:rPr>
          <w:rFonts w:hint="eastAsia" w:ascii="Times New Roman" w:hAnsi="Times New Roman" w:eastAsia="仿宋_GB2312" w:cs="仿宋_GB2312"/>
          <w:b w:val="0"/>
          <w:bCs w:val="0"/>
          <w:color w:val="000000"/>
          <w:sz w:val="32"/>
          <w:szCs w:val="32"/>
        </w:rPr>
        <w:t>45</w:t>
      </w:r>
      <w:r>
        <w:rPr>
          <w:rFonts w:hint="eastAsia" w:ascii="仿宋_GB2312" w:hAnsi="仿宋_GB2312" w:eastAsia="仿宋_GB2312" w:cs="仿宋_GB2312"/>
          <w:b w:val="0"/>
          <w:bCs w:val="0"/>
          <w:color w:val="000000"/>
          <w:sz w:val="32"/>
          <w:szCs w:val="32"/>
        </w:rPr>
        <w:t>个次，印发运行调度情况通报</w:t>
      </w:r>
      <w:r>
        <w:rPr>
          <w:rFonts w:hint="eastAsia" w:ascii="Times New Roman" w:hAnsi="Times New Roman" w:eastAsia="仿宋_GB2312" w:cs="仿宋_GB2312"/>
          <w:b w:val="0"/>
          <w:bCs w:val="0"/>
          <w:color w:val="000000"/>
          <w:sz w:val="32"/>
          <w:szCs w:val="32"/>
        </w:rPr>
        <w:t>11</w:t>
      </w:r>
      <w:r>
        <w:rPr>
          <w:rFonts w:hint="eastAsia" w:ascii="仿宋_GB2312" w:hAnsi="仿宋_GB2312" w:eastAsia="仿宋_GB2312" w:cs="仿宋_GB2312"/>
          <w:b w:val="0"/>
          <w:bCs w:val="0"/>
          <w:color w:val="000000"/>
          <w:sz w:val="32"/>
          <w:szCs w:val="32"/>
        </w:rPr>
        <w:t>期、提醒敦促函</w:t>
      </w:r>
      <w:r>
        <w:rPr>
          <w:rFonts w:hint="eastAsia" w:ascii="Times New Roman" w:hAnsi="Times New Roman"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rPr>
        <w:t>份次。</w:t>
      </w:r>
      <w:r>
        <w:rPr>
          <w:rFonts w:hint="eastAsia" w:ascii="仿宋_GB2312" w:hAnsi="仿宋_GB2312" w:eastAsia="仿宋_GB2312" w:cs="仿宋_GB2312"/>
          <w:b w:val="0"/>
          <w:bCs w:val="0"/>
          <w:sz w:val="32"/>
          <w:szCs w:val="32"/>
        </w:rPr>
        <w:t>三是凝心聚力抓落实。</w:t>
      </w:r>
      <w:r>
        <w:rPr>
          <w:rFonts w:hint="eastAsia" w:ascii="仿宋_GB2312" w:hAnsi="仿宋_GB2312" w:eastAsia="仿宋_GB2312" w:cs="仿宋_GB2312"/>
          <w:b w:val="0"/>
          <w:bCs w:val="0"/>
          <w:color w:val="000000"/>
          <w:sz w:val="32"/>
          <w:szCs w:val="32"/>
        </w:rPr>
        <w:t>中心针对推进滞后指标，点对点向责任区领导印送《提示提醒单》、向责任部门印发《提醒敦促函》预警，督促牵头单位落实会商研判，鼓励责任单位培育新的经济增长点，全年邀请区统计局开展业务集中培训</w:t>
      </w:r>
      <w:r>
        <w:rPr>
          <w:rFonts w:hint="eastAsia" w:ascii="Times New Roman" w:hAnsi="Times New Roman"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次，督促召开会商会、推进会</w:t>
      </w:r>
      <w:r>
        <w:rPr>
          <w:rFonts w:hint="eastAsia" w:ascii="Times New Roman" w:hAnsi="Times New Roman" w:eastAsia="仿宋_GB2312" w:cs="仿宋_GB2312"/>
          <w:b w:val="0"/>
          <w:bCs w:val="0"/>
          <w:color w:val="000000"/>
          <w:sz w:val="32"/>
          <w:szCs w:val="32"/>
        </w:rPr>
        <w:t>15</w:t>
      </w:r>
      <w:r>
        <w:rPr>
          <w:rFonts w:hint="eastAsia" w:ascii="仿宋_GB2312" w:hAnsi="仿宋_GB2312" w:eastAsia="仿宋_GB2312" w:cs="仿宋_GB2312"/>
          <w:b w:val="0"/>
          <w:bCs w:val="0"/>
          <w:color w:val="000000"/>
          <w:sz w:val="32"/>
          <w:szCs w:val="32"/>
        </w:rPr>
        <w:t>次。全年</w:t>
      </w:r>
      <w:r>
        <w:rPr>
          <w:rFonts w:hint="eastAsia" w:ascii="Times New Roman" w:hAnsi="Times New Roman"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rPr>
        <w:t>个区级部门、</w:t>
      </w:r>
      <w:r>
        <w:rPr>
          <w:rFonts w:hint="eastAsia" w:ascii="Times New Roman" w:hAnsi="Times New Roman"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rPr>
        <w:t>个镇未完成目标任务，将严格按照考核办法进行结果运用。</w:t>
      </w:r>
    </w:p>
    <w:p w14:paraId="2417DC99">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.始终坚持目标引领，多措并举推动全年任务落地落实</w:t>
      </w:r>
    </w:p>
    <w:p w14:paraId="752C6E37">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）强化统筹协调，务实完成</w:t>
      </w:r>
      <w:r>
        <w:rPr>
          <w:rFonts w:hint="eastAsia" w:ascii="Times New Roman" w:hAnsi="Times New Roman" w:eastAsia="仿宋_GB2312" w:cs="仿宋_GB2312"/>
          <w:b w:val="0"/>
          <w:bCs w:val="0"/>
          <w:sz w:val="32"/>
          <w:szCs w:val="32"/>
        </w:rPr>
        <w:t>2022</w:t>
      </w:r>
      <w:r>
        <w:rPr>
          <w:rFonts w:hint="eastAsia" w:ascii="仿宋_GB2312" w:hAnsi="仿宋_GB2312" w:eastAsia="仿宋_GB2312" w:cs="仿宋_GB2312"/>
          <w:b w:val="0"/>
          <w:bCs w:val="0"/>
          <w:sz w:val="32"/>
          <w:szCs w:val="32"/>
        </w:rPr>
        <w:t>年度市、区考评工作。一是认真做好市对区目标考评工作。持续做好与市委目标绩效办沟通衔接，市对区考评期间，每周跟进掌握综合目标考核情况，梳理加分事项</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项，督促全区各级各部门主动创先争优并反馈工作亮点特色。二是精细分析市对区考评结果。市对区考评结果通报后，全面掌握我区各单项指标得分、失扣分情况和全市排位情况，形成数据化专题分析报告，督促相关部门认真分析研究指标具体失扣分原因，采取有效措施，弥补工作短板。三是全面完成综合目标考评。严格运用并规范保存</w:t>
      </w:r>
      <w:r>
        <w:rPr>
          <w:rFonts w:hint="eastAsia" w:ascii="Times New Roman" w:hAnsi="Times New Roman" w:eastAsia="仿宋_GB2312" w:cs="仿宋_GB2312"/>
          <w:b w:val="0"/>
          <w:bCs w:val="0"/>
          <w:sz w:val="32"/>
          <w:szCs w:val="32"/>
        </w:rPr>
        <w:t>64</w:t>
      </w:r>
      <w:r>
        <w:rPr>
          <w:rFonts w:hint="eastAsia" w:ascii="仿宋_GB2312" w:hAnsi="仿宋_GB2312" w:eastAsia="仿宋_GB2312" w:cs="仿宋_GB2312"/>
          <w:b w:val="0"/>
          <w:bCs w:val="0"/>
          <w:sz w:val="32"/>
          <w:szCs w:val="32"/>
        </w:rPr>
        <w:t>个牵头考评单位指标考评打分和区领导评价、各镇各部门评价，对标管理办法严格审核各单位争先创优加分和通报扣分，建立打分台账，充分反映工作实绩。</w:t>
      </w:r>
    </w:p>
    <w:p w14:paraId="12F7AAE8">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）围绕重大决策部署，科学下达</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年综合工作目标。一是优化指标体系。根据全区重大决策部署和年度重点工作，新增纳入重点产业专班等</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项考评指标，删除新冠疫情防控等</w:t>
      </w:r>
      <w:r>
        <w:rPr>
          <w:rFonts w:hint="eastAsia" w:ascii="Times New Roman" w:hAnsi="Times New Roman" w:eastAsia="仿宋_GB2312" w:cs="仿宋_GB2312"/>
          <w:b w:val="0"/>
          <w:bCs w:val="0"/>
          <w:sz w:val="32"/>
          <w:szCs w:val="32"/>
        </w:rPr>
        <w:t>9</w:t>
      </w:r>
      <w:r>
        <w:rPr>
          <w:rFonts w:hint="eastAsia" w:ascii="仿宋_GB2312" w:hAnsi="仿宋_GB2312" w:eastAsia="仿宋_GB2312" w:cs="仿宋_GB2312"/>
          <w:b w:val="0"/>
          <w:bCs w:val="0"/>
          <w:sz w:val="32"/>
          <w:szCs w:val="32"/>
        </w:rPr>
        <w:t>项不需要继续纳入考评指标，对依法治区工作等</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项指标名称进行完善；对林长制工作等</w:t>
      </w:r>
      <w:r>
        <w:rPr>
          <w:rFonts w:hint="eastAsia" w:ascii="Times New Roman" w:hAnsi="Times New Roman" w:eastAsia="仿宋_GB2312" w:cs="仿宋_GB2312"/>
          <w:b w:val="0"/>
          <w:bCs w:val="0"/>
          <w:sz w:val="32"/>
          <w:szCs w:val="32"/>
        </w:rPr>
        <w:t>5</w:t>
      </w:r>
      <w:r>
        <w:rPr>
          <w:rFonts w:hint="eastAsia" w:ascii="仿宋_GB2312" w:hAnsi="仿宋_GB2312" w:eastAsia="仿宋_GB2312" w:cs="仿宋_GB2312"/>
          <w:b w:val="0"/>
          <w:bCs w:val="0"/>
          <w:sz w:val="32"/>
          <w:szCs w:val="32"/>
        </w:rPr>
        <w:t>项保障性指标调整至专项指标考评，进一步优化</w:t>
      </w:r>
      <w:r>
        <w:rPr>
          <w:rFonts w:hint="eastAsia" w:ascii="Times New Roman" w:hAnsi="Times New Roman" w:eastAsia="仿宋_GB2312" w:cs="仿宋_GB2312"/>
          <w:b w:val="0"/>
          <w:bCs w:val="0"/>
          <w:sz w:val="32"/>
          <w:szCs w:val="32"/>
        </w:rPr>
        <w:t>75</w:t>
      </w:r>
      <w:r>
        <w:rPr>
          <w:rFonts w:hint="eastAsia" w:ascii="仿宋_GB2312" w:hAnsi="仿宋_GB2312" w:eastAsia="仿宋_GB2312" w:cs="仿宋_GB2312"/>
          <w:b w:val="0"/>
          <w:bCs w:val="0"/>
          <w:sz w:val="32"/>
          <w:szCs w:val="32"/>
        </w:rPr>
        <w:t>个单位指标考评体系。二是突出工作导向。提升经济发展指标分值权重和超额完成加分上限，各镇镇域经济由</w:t>
      </w:r>
      <w:r>
        <w:rPr>
          <w:rFonts w:hint="eastAsia" w:ascii="Times New Roman" w:hAnsi="Times New Roman" w:eastAsia="仿宋_GB2312" w:cs="仿宋_GB2312"/>
          <w:b w:val="0"/>
          <w:bCs w:val="0"/>
          <w:sz w:val="32"/>
          <w:szCs w:val="32"/>
        </w:rPr>
        <w:t>50</w:t>
      </w:r>
      <w:r>
        <w:rPr>
          <w:rFonts w:hint="eastAsia" w:ascii="仿宋_GB2312" w:hAnsi="仿宋_GB2312" w:eastAsia="仿宋_GB2312" w:cs="仿宋_GB2312"/>
          <w:b w:val="0"/>
          <w:bCs w:val="0"/>
          <w:sz w:val="32"/>
          <w:szCs w:val="32"/>
        </w:rPr>
        <w:t>分提高到</w:t>
      </w:r>
      <w:r>
        <w:rPr>
          <w:rFonts w:hint="eastAsia" w:ascii="Times New Roman" w:hAnsi="Times New Roman" w:eastAsia="仿宋_GB2312" w:cs="仿宋_GB2312"/>
          <w:b w:val="0"/>
          <w:bCs w:val="0"/>
          <w:sz w:val="32"/>
          <w:szCs w:val="32"/>
        </w:rPr>
        <w:t>60</w:t>
      </w:r>
      <w:r>
        <w:rPr>
          <w:rFonts w:hint="eastAsia" w:ascii="仿宋_GB2312" w:hAnsi="仿宋_GB2312" w:eastAsia="仿宋_GB2312" w:cs="仿宋_GB2312"/>
          <w:b w:val="0"/>
          <w:bCs w:val="0"/>
          <w:sz w:val="32"/>
          <w:szCs w:val="32"/>
        </w:rPr>
        <w:t>分，并根据各镇发展定位，重点工作富余分值分别向农业、商贸或工业等相关方面指标倾斜；区级部门项目推进、招商引资等经济发展类指标分值提升</w:t>
      </w:r>
      <w:r>
        <w:rPr>
          <w:rFonts w:hint="eastAsia" w:ascii="Times New Roman" w:hAnsi="Times New Roman" w:eastAsia="仿宋_GB2312" w:cs="仿宋_GB2312"/>
          <w:b w:val="0"/>
          <w:bCs w:val="0"/>
          <w:sz w:val="32"/>
          <w:szCs w:val="32"/>
        </w:rPr>
        <w:t>40</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10</w:t>
      </w:r>
      <w:r>
        <w:rPr>
          <w:rFonts w:hint="eastAsia" w:ascii="仿宋_GB2312" w:hAnsi="仿宋_GB2312" w:eastAsia="仿宋_GB2312" w:cs="仿宋_GB2312"/>
          <w:b w:val="0"/>
          <w:bCs w:val="0"/>
          <w:sz w:val="32"/>
          <w:szCs w:val="32"/>
        </w:rPr>
        <w:t>分左右），进一步优化赋分方式。三是规范考核方式。</w:t>
      </w:r>
      <w:r>
        <w:rPr>
          <w:rFonts w:hint="eastAsia" w:ascii="仿宋_GB2312" w:hAnsi="仿宋_GB2312" w:eastAsia="仿宋_GB2312" w:cs="仿宋_GB2312"/>
          <w:b w:val="0"/>
          <w:bCs w:val="0"/>
          <w:color w:val="000000"/>
          <w:sz w:val="32"/>
          <w:szCs w:val="32"/>
        </w:rPr>
        <w:t>严格落实目标绩效考核“七个不得纳入”，督促牵头考评部门注重平时信息收集和日常监测，在考评方式上，各行业牵头考评部门不得自行到镇和区级部门开展现场考评或组织实施各类社会评价，切实从源头上、过程中减轻工作负担。</w:t>
      </w:r>
    </w:p>
    <w:p w14:paraId="78B6BDAD">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）抓实工作推进，奋力推动目标任务完成。一是加大调度力度。</w:t>
      </w:r>
      <w:r>
        <w:rPr>
          <w:rFonts w:hint="eastAsia" w:ascii="仿宋_GB2312" w:hAnsi="仿宋_GB2312" w:eastAsia="仿宋_GB2312" w:cs="仿宋_GB2312"/>
          <w:b w:val="0"/>
          <w:bCs w:val="0"/>
          <w:color w:val="000000"/>
          <w:sz w:val="32"/>
          <w:szCs w:val="32"/>
        </w:rPr>
        <w:t>及时分解市下目标任务，明确</w:t>
      </w:r>
      <w:r>
        <w:rPr>
          <w:rFonts w:hint="eastAsia" w:ascii="Times New Roman" w:hAnsi="Times New Roman" w:eastAsia="仿宋_GB2312" w:cs="仿宋_GB2312"/>
          <w:b w:val="0"/>
          <w:bCs w:val="0"/>
          <w:sz w:val="32"/>
          <w:szCs w:val="32"/>
        </w:rPr>
        <w:t>110</w:t>
      </w:r>
      <w:r>
        <w:rPr>
          <w:rFonts w:hint="eastAsia" w:ascii="仿宋_GB2312" w:hAnsi="仿宋_GB2312" w:eastAsia="仿宋_GB2312" w:cs="仿宋_GB2312"/>
          <w:b w:val="0"/>
          <w:bCs w:val="0"/>
          <w:color w:val="000000"/>
          <w:sz w:val="32"/>
          <w:szCs w:val="32"/>
        </w:rPr>
        <w:t>项指标分管责任区领导和牵头责任单位，建立“责任领导、牵头部门、部门负责人”三位一体责任体系，实行常态“月调度、月通报”、第十二月份“周调度、周通报”和红、黄、蓝分级预警提示，主要经济指标报数期间，每天跟踪、每天调度。</w:t>
      </w:r>
      <w:r>
        <w:rPr>
          <w:rFonts w:hint="eastAsia" w:ascii="仿宋_GB2312" w:hAnsi="仿宋_GB2312" w:eastAsia="仿宋_GB2312" w:cs="仿宋_GB2312"/>
          <w:b w:val="0"/>
          <w:bCs w:val="0"/>
          <w:sz w:val="32"/>
          <w:szCs w:val="32"/>
        </w:rPr>
        <w:t>二是突出重点工作。</w:t>
      </w:r>
      <w:r>
        <w:rPr>
          <w:rFonts w:hint="eastAsia" w:ascii="仿宋_GB2312" w:hAnsi="仿宋_GB2312" w:eastAsia="仿宋_GB2312" w:cs="仿宋_GB2312"/>
          <w:b w:val="0"/>
          <w:bCs w:val="0"/>
          <w:color w:val="000000"/>
          <w:sz w:val="32"/>
          <w:szCs w:val="32"/>
        </w:rPr>
        <w:t>紧盯项目投资、招商引资、向上争取等重点经济工作，每月开展实地督查，针对推进滞后指标，点对点向责任区领导印送《提示提醒单》</w:t>
      </w:r>
      <w:r>
        <w:rPr>
          <w:rFonts w:hint="eastAsia" w:ascii="Times New Roman" w:hAnsi="Times New Roman" w:eastAsia="仿宋_GB2312" w:cs="仿宋_GB2312"/>
          <w:b w:val="0"/>
          <w:bCs w:val="0"/>
          <w:sz w:val="32"/>
          <w:szCs w:val="32"/>
        </w:rPr>
        <w:t>10</w:t>
      </w:r>
      <w:r>
        <w:rPr>
          <w:rFonts w:hint="eastAsia" w:ascii="仿宋_GB2312" w:hAnsi="仿宋_GB2312" w:eastAsia="仿宋_GB2312" w:cs="仿宋_GB2312"/>
          <w:b w:val="0"/>
          <w:bCs w:val="0"/>
          <w:color w:val="000000"/>
          <w:sz w:val="32"/>
          <w:szCs w:val="32"/>
        </w:rPr>
        <w:t>份次、向责任部门印发《提醒敦促函》预警</w:t>
      </w:r>
      <w:r>
        <w:rPr>
          <w:rFonts w:hint="eastAsia" w:ascii="Times New Roman" w:hAnsi="Times New Roman" w:eastAsia="仿宋_GB2312" w:cs="仿宋_GB2312"/>
          <w:b w:val="0"/>
          <w:bCs w:val="0"/>
          <w:sz w:val="32"/>
          <w:szCs w:val="32"/>
        </w:rPr>
        <w:t>21</w:t>
      </w:r>
      <w:r>
        <w:rPr>
          <w:rFonts w:hint="eastAsia" w:ascii="仿宋_GB2312" w:hAnsi="仿宋_GB2312" w:eastAsia="仿宋_GB2312" w:cs="仿宋_GB2312"/>
          <w:b w:val="0"/>
          <w:bCs w:val="0"/>
          <w:color w:val="000000"/>
          <w:sz w:val="32"/>
          <w:szCs w:val="32"/>
        </w:rPr>
        <w:t>份次，解决实际问题</w:t>
      </w:r>
      <w:r>
        <w:rPr>
          <w:rFonts w:hint="eastAsia" w:ascii="Times New Roman" w:hAnsi="Times New Roman" w:eastAsia="仿宋_GB2312" w:cs="仿宋_GB2312"/>
          <w:b w:val="0"/>
          <w:bCs w:val="0"/>
          <w:sz w:val="32"/>
          <w:szCs w:val="32"/>
        </w:rPr>
        <w:t>20</w:t>
      </w:r>
      <w:r>
        <w:rPr>
          <w:rFonts w:hint="eastAsia" w:ascii="仿宋_GB2312" w:hAnsi="仿宋_GB2312" w:eastAsia="仿宋_GB2312" w:cs="仿宋_GB2312"/>
          <w:b w:val="0"/>
          <w:bCs w:val="0"/>
          <w:color w:val="000000"/>
          <w:sz w:val="32"/>
          <w:szCs w:val="32"/>
        </w:rPr>
        <w:t>余个。</w:t>
      </w:r>
      <w:r>
        <w:rPr>
          <w:rFonts w:hint="eastAsia" w:ascii="仿宋_GB2312" w:hAnsi="仿宋_GB2312" w:eastAsia="仿宋_GB2312" w:cs="仿宋_GB2312"/>
          <w:b w:val="0"/>
          <w:bCs w:val="0"/>
          <w:sz w:val="32"/>
          <w:szCs w:val="32"/>
        </w:rPr>
        <w:t>三是联动结果运用。</w:t>
      </w:r>
      <w:r>
        <w:rPr>
          <w:rFonts w:hint="eastAsia" w:ascii="仿宋_GB2312" w:hAnsi="仿宋_GB2312" w:eastAsia="仿宋_GB2312" w:cs="仿宋_GB2312"/>
          <w:b w:val="0"/>
          <w:bCs w:val="0"/>
          <w:color w:val="000000"/>
          <w:sz w:val="32"/>
          <w:szCs w:val="32"/>
        </w:rPr>
        <w:t>根据市下指标考评加（扣）分情况，对相关责任部门予以双倍加（扣）分；对加分贡献大的责任部门予以额外加分，对扣分较重影响我区在全市排位的相关责任部门，取消当年评先资格</w:t>
      </w:r>
      <w:r>
        <w:rPr>
          <w:rFonts w:hint="eastAsia" w:ascii="仿宋_GB2312" w:hAnsi="仿宋_GB2312" w:eastAsia="仿宋_GB2312" w:cs="仿宋_GB2312"/>
          <w:b w:val="0"/>
          <w:bCs w:val="0"/>
          <w:sz w:val="32"/>
          <w:szCs w:val="32"/>
        </w:rPr>
        <w:t>，切实激励引导全区上下强化责任担当</w:t>
      </w:r>
      <w:r>
        <w:rPr>
          <w:rFonts w:hint="eastAsia" w:ascii="仿宋_GB2312" w:hAnsi="仿宋_GB2312" w:eastAsia="仿宋_GB2312" w:cs="仿宋_GB2312"/>
          <w:b w:val="0"/>
          <w:bCs w:val="0"/>
          <w:color w:val="000000"/>
          <w:sz w:val="32"/>
          <w:szCs w:val="32"/>
        </w:rPr>
        <w:t>。</w:t>
      </w:r>
    </w:p>
    <w:p w14:paraId="47876B0B">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.始终围绕牵头重点工作，不折不扣抓好落实办好办成</w:t>
      </w:r>
    </w:p>
    <w:p w14:paraId="0E64C975">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）加快推进民生实事，不断凝聚经济发展强大合力。一是精心编制实施方案。按照轻重缓急和优先保障原则，围绕</w:t>
      </w:r>
      <w:r>
        <w:rPr>
          <w:rFonts w:hint="eastAsia" w:ascii="Times New Roman" w:hAnsi="Times New Roman" w:eastAsia="仿宋_GB2312" w:cs="仿宋_GB2312"/>
          <w:b w:val="0"/>
          <w:bCs w:val="0"/>
          <w:sz w:val="32"/>
          <w:szCs w:val="32"/>
        </w:rPr>
        <w:t>25</w:t>
      </w:r>
      <w:r>
        <w:rPr>
          <w:rFonts w:hint="eastAsia" w:ascii="仿宋_GB2312" w:hAnsi="仿宋_GB2312" w:eastAsia="仿宋_GB2312" w:cs="仿宋_GB2312"/>
          <w:b w:val="0"/>
          <w:bCs w:val="0"/>
          <w:sz w:val="32"/>
          <w:szCs w:val="32"/>
        </w:rPr>
        <w:t>件省定民生实事、</w:t>
      </w:r>
      <w:r>
        <w:rPr>
          <w:rFonts w:hint="eastAsia" w:ascii="Times New Roman" w:hAnsi="Times New Roman" w:eastAsia="仿宋_GB2312" w:cs="仿宋_GB2312"/>
          <w:b w:val="0"/>
          <w:bCs w:val="0"/>
          <w:sz w:val="32"/>
          <w:szCs w:val="32"/>
        </w:rPr>
        <w:t>13</w:t>
      </w:r>
      <w:r>
        <w:rPr>
          <w:rFonts w:hint="eastAsia" w:ascii="仿宋_GB2312" w:hAnsi="仿宋_GB2312" w:eastAsia="仿宋_GB2312" w:cs="仿宋_GB2312"/>
          <w:b w:val="0"/>
          <w:bCs w:val="0"/>
          <w:sz w:val="32"/>
          <w:szCs w:val="32"/>
        </w:rPr>
        <w:t>件市定民生实事、</w:t>
      </w:r>
      <w:r>
        <w:rPr>
          <w:rFonts w:hint="eastAsia" w:ascii="仿宋_GB2312" w:hAnsi="仿宋_GB2312" w:eastAsia="仿宋_GB2312" w:cs="仿宋_GB2312"/>
          <w:b w:val="0"/>
          <w:bCs w:val="0"/>
          <w:sz w:val="32"/>
          <w:szCs w:val="32"/>
          <w:lang w:bidi="ar"/>
        </w:rPr>
        <w:t>人大票决</w:t>
      </w:r>
      <w:r>
        <w:rPr>
          <w:rFonts w:hint="eastAsia" w:ascii="Times New Roman" w:hAnsi="Times New Roman" w:eastAsia="仿宋_GB2312" w:cs="仿宋_GB2312"/>
          <w:b w:val="0"/>
          <w:bCs w:val="0"/>
          <w:sz w:val="32"/>
          <w:szCs w:val="32"/>
          <w:lang w:bidi="ar"/>
        </w:rPr>
        <w:t>10</w:t>
      </w:r>
      <w:r>
        <w:rPr>
          <w:rFonts w:hint="eastAsia" w:ascii="仿宋_GB2312" w:hAnsi="仿宋_GB2312" w:eastAsia="仿宋_GB2312" w:cs="仿宋_GB2312"/>
          <w:b w:val="0"/>
          <w:bCs w:val="0"/>
          <w:sz w:val="32"/>
          <w:szCs w:val="32"/>
          <w:lang w:bidi="ar"/>
        </w:rPr>
        <w:t>件区级</w:t>
      </w:r>
      <w:r>
        <w:rPr>
          <w:rFonts w:hint="eastAsia" w:ascii="仿宋_GB2312" w:hAnsi="仿宋_GB2312" w:eastAsia="仿宋_GB2312" w:cs="仿宋_GB2312"/>
          <w:b w:val="0"/>
          <w:bCs w:val="0"/>
          <w:sz w:val="32"/>
          <w:szCs w:val="32"/>
        </w:rPr>
        <w:t>民生实事，统筹制定《</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年广元市昭化区</w:t>
      </w:r>
      <w:r>
        <w:rPr>
          <w:rFonts w:hint="eastAsia" w:ascii="Times New Roman" w:hAnsi="Times New Roman" w:eastAsia="仿宋_GB2312" w:cs="仿宋_GB2312"/>
          <w:b w:val="0"/>
          <w:bCs w:val="0"/>
          <w:sz w:val="32"/>
          <w:szCs w:val="32"/>
        </w:rPr>
        <w:t>48</w:t>
      </w:r>
      <w:r>
        <w:rPr>
          <w:rFonts w:hint="eastAsia" w:ascii="仿宋_GB2312" w:hAnsi="仿宋_GB2312" w:eastAsia="仿宋_GB2312" w:cs="仿宋_GB2312"/>
          <w:b w:val="0"/>
          <w:bCs w:val="0"/>
          <w:sz w:val="32"/>
          <w:szCs w:val="32"/>
        </w:rPr>
        <w:t>件民生实事实施方案》，全面覆盖与群众生活息息相关的基础设施建设、农村环境整治、</w:t>
      </w:r>
    </w:p>
    <w:p w14:paraId="2AA2B50B">
      <w:pPr>
        <w:overflowPunct w:val="0"/>
        <w:autoSpaceDE/>
        <w:autoSpaceDN/>
        <w:adjustRightInd/>
        <w:spacing w:line="576"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便民服务建设等领域，逐项落实责任，实行“月调度、月报告、月通报”常态化督促工作机制。二是狠抓民生实事推进。筹备召开民生实事专题推进会</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次，查摆工作短板，安排部署工作任务，同时联合区人大办监督检查力量，采取实地查看、查阅资料、座谈了解等方式，开展民生实事实地督查</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次，书面调度</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次，累计发现问题</w:t>
      </w:r>
      <w:r>
        <w:rPr>
          <w:rFonts w:hint="eastAsia" w:ascii="Times New Roman" w:hAnsi="Times New Roman" w:eastAsia="仿宋_GB2312" w:cs="仿宋_GB2312"/>
          <w:b w:val="0"/>
          <w:bCs w:val="0"/>
          <w:sz w:val="32"/>
          <w:szCs w:val="32"/>
        </w:rPr>
        <w:t>20</w:t>
      </w:r>
      <w:r>
        <w:rPr>
          <w:rFonts w:hint="eastAsia" w:ascii="仿宋_GB2312" w:hAnsi="仿宋_GB2312" w:eastAsia="仿宋_GB2312" w:cs="仿宋_GB2312"/>
          <w:b w:val="0"/>
          <w:bCs w:val="0"/>
          <w:sz w:val="32"/>
          <w:szCs w:val="32"/>
        </w:rPr>
        <w:t>余个，印发《督查通报》</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期、《敦促提醒函》</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期、《督查报告》</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期。三是加大民生实事宣传。充分利用广元日报、“微昭化”、政府门户网等平台，开展民生实事成效宣传，让民生实事更加深入人心、民生福祉更加殷实；积极向市级主流媒体推送我区民生实事工作成效，今年，我区山坪塘除险加固整治行动纳入全省民生实事项目“优秀案例”备选案例。</w:t>
      </w:r>
    </w:p>
    <w:p w14:paraId="44C74D29">
      <w:p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）全力抓好专项整治，切实提升减负工作实效质效。一是夯实廉洁自律根基。</w:t>
      </w:r>
      <w:r>
        <w:rPr>
          <w:rFonts w:hint="eastAsia" w:ascii="仿宋_GB2312" w:hAnsi="仿宋_GB2312" w:eastAsia="仿宋_GB2312" w:cs="仿宋_GB2312"/>
          <w:b w:val="0"/>
          <w:bCs w:val="0"/>
          <w:color w:val="000000"/>
          <w:sz w:val="32"/>
          <w:szCs w:val="32"/>
          <w:lang w:bidi="ar"/>
        </w:rPr>
        <w:t>以群众反映强烈的问题为切入点，重点整治查处“不担当、不作为、不负责，贯彻执行上级决策部署打折扣、做选择、搞变通”等形式主义、官僚主义突出问题</w:t>
      </w:r>
      <w:r>
        <w:rPr>
          <w:rFonts w:hint="eastAsia" w:ascii="Times New Roman" w:hAnsi="Times New Roman" w:eastAsia="仿宋_GB2312" w:cs="仿宋_GB2312"/>
          <w:b w:val="0"/>
          <w:bCs w:val="0"/>
          <w:color w:val="000000"/>
          <w:sz w:val="32"/>
          <w:szCs w:val="32"/>
          <w:lang w:bidi="ar"/>
        </w:rPr>
        <w:t>33</w:t>
      </w:r>
      <w:r>
        <w:rPr>
          <w:rFonts w:hint="eastAsia" w:ascii="仿宋_GB2312" w:hAnsi="仿宋_GB2312" w:eastAsia="仿宋_GB2312" w:cs="仿宋_GB2312"/>
          <w:b w:val="0"/>
          <w:bCs w:val="0"/>
          <w:color w:val="000000"/>
          <w:sz w:val="32"/>
          <w:szCs w:val="32"/>
          <w:lang w:bidi="ar"/>
        </w:rPr>
        <w:t>个，进一步增强党员干部遵规守纪、廉洁自律的思想意识和行动自觉，做到时刻警醒、防微杜渐、警钟长鸣。</w:t>
      </w:r>
      <w:r>
        <w:rPr>
          <w:rFonts w:hint="eastAsia" w:ascii="仿宋_GB2312" w:hAnsi="仿宋_GB2312" w:eastAsia="仿宋_GB2312" w:cs="仿宋_GB2312"/>
          <w:b w:val="0"/>
          <w:bCs w:val="0"/>
          <w:sz w:val="32"/>
          <w:szCs w:val="32"/>
        </w:rPr>
        <w:t>二是统筹规范督查检查考核。</w:t>
      </w:r>
      <w:r>
        <w:rPr>
          <w:rFonts w:hint="eastAsia" w:ascii="仿宋_GB2312" w:hAnsi="仿宋_GB2312" w:eastAsia="仿宋_GB2312" w:cs="仿宋_GB2312"/>
          <w:b w:val="0"/>
          <w:bCs w:val="0"/>
          <w:color w:val="000000"/>
          <w:sz w:val="32"/>
          <w:szCs w:val="32"/>
          <w:lang w:bidi="ar"/>
        </w:rPr>
        <w:t>印发《严格落实统筹规范督查检查考核七条措施》《</w:t>
      </w:r>
      <w:r>
        <w:rPr>
          <w:rFonts w:hint="eastAsia" w:ascii="Times New Roman" w:hAnsi="Times New Roman" w:eastAsia="仿宋_GB2312" w:cs="仿宋_GB2312"/>
          <w:b w:val="0"/>
          <w:bCs w:val="0"/>
          <w:color w:val="000000"/>
          <w:sz w:val="32"/>
          <w:szCs w:val="32"/>
          <w:lang w:bidi="ar"/>
        </w:rPr>
        <w:t>2023</w:t>
      </w:r>
      <w:r>
        <w:rPr>
          <w:rFonts w:hint="eastAsia" w:ascii="仿宋_GB2312" w:hAnsi="仿宋_GB2312" w:eastAsia="仿宋_GB2312" w:cs="仿宋_GB2312"/>
          <w:b w:val="0"/>
          <w:bCs w:val="0"/>
          <w:color w:val="000000"/>
          <w:sz w:val="32"/>
          <w:szCs w:val="32"/>
          <w:lang w:bidi="ar"/>
        </w:rPr>
        <w:t>年区级督查检查考核计划》，统筹规范年度区级督查检查考核事项</w:t>
      </w:r>
      <w:r>
        <w:rPr>
          <w:rFonts w:hint="eastAsia" w:ascii="Times New Roman" w:hAnsi="Times New Roman" w:eastAsia="仿宋_GB2312" w:cs="仿宋_GB2312"/>
          <w:b w:val="0"/>
          <w:bCs w:val="0"/>
          <w:color w:val="000000"/>
          <w:sz w:val="32"/>
          <w:szCs w:val="32"/>
          <w:lang w:bidi="ar"/>
        </w:rPr>
        <w:t>24</w:t>
      </w:r>
      <w:r>
        <w:rPr>
          <w:rFonts w:hint="eastAsia" w:ascii="仿宋_GB2312" w:hAnsi="仿宋_GB2312" w:eastAsia="仿宋_GB2312" w:cs="仿宋_GB2312"/>
          <w:b w:val="0"/>
          <w:bCs w:val="0"/>
          <w:color w:val="000000"/>
          <w:sz w:val="32"/>
          <w:szCs w:val="32"/>
          <w:lang w:bidi="ar"/>
        </w:rPr>
        <w:t>项，进一步强化对“督检考”计划的审核把关和规范实施，坚持“一月一对账、一季一调账、年底算总账”，定期调度督查检查考核情况，避免“督检考”集中扎堆、重复多头开展。</w:t>
      </w:r>
      <w:r>
        <w:rPr>
          <w:rFonts w:hint="eastAsia" w:ascii="仿宋_GB2312" w:hAnsi="仿宋_GB2312" w:eastAsia="仿宋_GB2312" w:cs="仿宋_GB2312"/>
          <w:b w:val="0"/>
          <w:bCs w:val="0"/>
          <w:sz w:val="32"/>
          <w:szCs w:val="32"/>
        </w:rPr>
        <w:t>三是强化专项机制统筹调度作用。</w:t>
      </w:r>
      <w:r>
        <w:rPr>
          <w:rFonts w:hint="eastAsia" w:ascii="仿宋_GB2312" w:hAnsi="仿宋_GB2312" w:eastAsia="仿宋_GB2312" w:cs="仿宋_GB2312"/>
          <w:b w:val="0"/>
          <w:bCs w:val="0"/>
          <w:color w:val="000000"/>
          <w:sz w:val="32"/>
          <w:szCs w:val="32"/>
          <w:lang w:bidi="ar"/>
        </w:rPr>
        <w:t>召开区整治形式主义为基层减负工作专项机制相关会议</w:t>
      </w:r>
      <w:r>
        <w:rPr>
          <w:rFonts w:hint="eastAsia" w:ascii="Times New Roman" w:hAnsi="Times New Roman" w:eastAsia="仿宋_GB2312" w:cs="仿宋_GB2312"/>
          <w:b w:val="0"/>
          <w:bCs w:val="0"/>
          <w:color w:val="000000"/>
          <w:sz w:val="32"/>
          <w:szCs w:val="32"/>
          <w:lang w:bidi="ar"/>
        </w:rPr>
        <w:t>3</w:t>
      </w:r>
      <w:r>
        <w:rPr>
          <w:rFonts w:hint="eastAsia" w:ascii="仿宋_GB2312" w:hAnsi="仿宋_GB2312" w:eastAsia="仿宋_GB2312" w:cs="仿宋_GB2312"/>
          <w:b w:val="0"/>
          <w:bCs w:val="0"/>
          <w:color w:val="000000"/>
          <w:sz w:val="32"/>
          <w:szCs w:val="32"/>
          <w:lang w:bidi="ar"/>
        </w:rPr>
        <w:t>次，研究重点问题，部署推进工作。开展实地督查暗访</w:t>
      </w:r>
      <w:r>
        <w:rPr>
          <w:rFonts w:hint="eastAsia" w:ascii="Times New Roman" w:hAnsi="Times New Roman" w:eastAsia="仿宋_GB2312" w:cs="仿宋_GB2312"/>
          <w:b w:val="0"/>
          <w:bCs w:val="0"/>
          <w:color w:val="000000"/>
          <w:sz w:val="32"/>
          <w:szCs w:val="32"/>
          <w:lang w:bidi="ar"/>
        </w:rPr>
        <w:t>10</w:t>
      </w:r>
      <w:r>
        <w:rPr>
          <w:rFonts w:hint="eastAsia" w:ascii="仿宋_GB2312" w:hAnsi="仿宋_GB2312" w:eastAsia="仿宋_GB2312" w:cs="仿宋_GB2312"/>
          <w:b w:val="0"/>
          <w:bCs w:val="0"/>
          <w:color w:val="000000"/>
          <w:sz w:val="32"/>
          <w:szCs w:val="32"/>
          <w:lang w:bidi="ar"/>
        </w:rPr>
        <w:t>余次，印发督查通报</w:t>
      </w:r>
      <w:r>
        <w:rPr>
          <w:rFonts w:hint="eastAsia" w:ascii="Times New Roman" w:hAnsi="Times New Roman" w:eastAsia="仿宋_GB2312" w:cs="仿宋_GB2312"/>
          <w:b w:val="0"/>
          <w:bCs w:val="0"/>
          <w:color w:val="000000"/>
          <w:sz w:val="32"/>
          <w:szCs w:val="32"/>
          <w:lang w:bidi="ar"/>
        </w:rPr>
        <w:t>10</w:t>
      </w:r>
      <w:r>
        <w:rPr>
          <w:rFonts w:hint="eastAsia" w:ascii="仿宋_GB2312" w:hAnsi="仿宋_GB2312" w:eastAsia="仿宋_GB2312" w:cs="仿宋_GB2312"/>
          <w:b w:val="0"/>
          <w:bCs w:val="0"/>
          <w:color w:val="000000"/>
          <w:sz w:val="32"/>
          <w:szCs w:val="32"/>
          <w:lang w:bidi="ar"/>
        </w:rPr>
        <w:t>余期，向市专项机制进行工作汇报</w:t>
      </w:r>
      <w:r>
        <w:rPr>
          <w:rFonts w:hint="eastAsia" w:ascii="Times New Roman" w:hAnsi="Times New Roman" w:eastAsia="仿宋_GB2312" w:cs="仿宋_GB2312"/>
          <w:b w:val="0"/>
          <w:bCs w:val="0"/>
          <w:color w:val="000000"/>
          <w:sz w:val="32"/>
          <w:szCs w:val="32"/>
          <w:lang w:bidi="ar"/>
        </w:rPr>
        <w:t>6</w:t>
      </w:r>
      <w:r>
        <w:rPr>
          <w:rFonts w:hint="eastAsia" w:ascii="仿宋_GB2312" w:hAnsi="仿宋_GB2312" w:eastAsia="仿宋_GB2312" w:cs="仿宋_GB2312"/>
          <w:b w:val="0"/>
          <w:bCs w:val="0"/>
          <w:color w:val="000000"/>
          <w:sz w:val="32"/>
          <w:szCs w:val="32"/>
          <w:lang w:bidi="ar"/>
        </w:rPr>
        <w:t>次，切实发挥好专项机制牵头抓总、统筹协调、上下联动的作用。</w:t>
      </w:r>
    </w:p>
    <w:p w14:paraId="2BC51265">
      <w:pPr>
        <w:pStyle w:val="6"/>
        <w:overflowPunct w:val="0"/>
        <w:autoSpaceDE/>
        <w:autoSpaceDN/>
        <w:adjustRightInd/>
        <w:spacing w:after="0" w:line="576" w:lineRule="exact"/>
        <w:ind w:left="0" w:firstLine="640" w:firstLineChars="200"/>
        <w:jc w:val="both"/>
        <w:rPr>
          <w:rFonts w:hint="eastAsia" w:ascii="仿宋_GB2312" w:hAnsi="仿宋_GB2312" w:eastAsia="仿宋_GB2312" w:cs="仿宋_GB2312"/>
          <w:b w:val="0"/>
          <w:bCs w:val="0"/>
          <w:color w:val="000000"/>
          <w:kern w:val="2"/>
          <w:sz w:val="32"/>
          <w:szCs w:val="32"/>
          <w:lang w:bidi="ar"/>
        </w:rPr>
      </w:pP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仿宋_GB2312"/>
          <w:b w:val="0"/>
          <w:bCs w:val="0"/>
          <w:kern w:val="2"/>
          <w:sz w:val="32"/>
          <w:szCs w:val="32"/>
        </w:rPr>
        <w:t>3</w:t>
      </w:r>
      <w:r>
        <w:rPr>
          <w:rFonts w:hint="eastAsia" w:ascii="仿宋_GB2312" w:hAnsi="仿宋_GB2312" w:eastAsia="仿宋_GB2312" w:cs="仿宋_GB2312"/>
          <w:b w:val="0"/>
          <w:bCs w:val="0"/>
          <w:kern w:val="2"/>
          <w:sz w:val="32"/>
          <w:szCs w:val="32"/>
        </w:rPr>
        <w:t>）持续落实巡视整改，不断巩固巡视整改工作成果。一是持续深化思想认识。</w:t>
      </w:r>
      <w:r>
        <w:rPr>
          <w:rFonts w:hint="eastAsia" w:ascii="仿宋_GB2312" w:hAnsi="仿宋_GB2312" w:eastAsia="仿宋_GB2312" w:cs="仿宋_GB2312"/>
          <w:b w:val="0"/>
          <w:bCs w:val="0"/>
          <w:color w:val="000000"/>
          <w:kern w:val="2"/>
          <w:sz w:val="32"/>
          <w:szCs w:val="32"/>
          <w:lang w:bidi="ar"/>
        </w:rPr>
        <w:t>在区委常委会会议上传达学习了《省委巡视反馈问题整改销号办法（试行）》并提出我区贯彻意见，通报十一届省委第五轮巡视巡视昭化区反馈意见整改情况，进一步提高深化巡视整改工作认识，不断增强抓好巡视“后半篇文章”的思想自觉、政治自觉、行动自觉。</w:t>
      </w:r>
      <w:r>
        <w:rPr>
          <w:rFonts w:hint="eastAsia" w:ascii="仿宋_GB2312" w:hAnsi="仿宋_GB2312" w:eastAsia="仿宋_GB2312" w:cs="仿宋_GB2312"/>
          <w:b w:val="0"/>
          <w:bCs w:val="0"/>
          <w:kern w:val="2"/>
          <w:sz w:val="32"/>
          <w:szCs w:val="32"/>
        </w:rPr>
        <w:t>二是加强日常督导督查。</w:t>
      </w:r>
      <w:r>
        <w:rPr>
          <w:rFonts w:hint="eastAsia" w:ascii="仿宋_GB2312" w:hAnsi="仿宋_GB2312" w:eastAsia="仿宋_GB2312" w:cs="仿宋_GB2312"/>
          <w:b w:val="0"/>
          <w:bCs w:val="0"/>
          <w:color w:val="000000"/>
          <w:kern w:val="2"/>
          <w:sz w:val="32"/>
          <w:szCs w:val="32"/>
          <w:lang w:bidi="ar"/>
        </w:rPr>
        <w:t>对“大光明公司非法集资案问题化解不到位”推进情况定期一收集、一梳理，督促责任领导和责任单位先后</w:t>
      </w:r>
      <w:r>
        <w:rPr>
          <w:rFonts w:hint="eastAsia" w:ascii="Times New Roman" w:hAnsi="Times New Roman" w:eastAsia="仿宋_GB2312" w:cs="仿宋_GB2312"/>
          <w:b w:val="0"/>
          <w:bCs w:val="0"/>
          <w:color w:val="000000"/>
          <w:kern w:val="2"/>
          <w:sz w:val="32"/>
          <w:szCs w:val="32"/>
          <w:lang w:bidi="ar"/>
        </w:rPr>
        <w:t>2</w:t>
      </w:r>
      <w:r>
        <w:rPr>
          <w:rFonts w:hint="eastAsia" w:ascii="仿宋_GB2312" w:hAnsi="仿宋_GB2312" w:eastAsia="仿宋_GB2312" w:cs="仿宋_GB2312"/>
          <w:b w:val="0"/>
          <w:bCs w:val="0"/>
          <w:color w:val="000000"/>
          <w:kern w:val="2"/>
          <w:sz w:val="32"/>
          <w:szCs w:val="32"/>
          <w:lang w:bidi="ar"/>
        </w:rPr>
        <w:t>次召开会商会议研究部署走访、化解、稳控等工作。并将化解工作纳入重点督办事项，每季度督查调度化解工作推进情况，督促属地党委政府做好集资参与人思想工作并协助办理相关抵偿手续。</w:t>
      </w:r>
      <w:r>
        <w:rPr>
          <w:rFonts w:hint="eastAsia" w:ascii="仿宋_GB2312" w:hAnsi="仿宋_GB2312" w:eastAsia="仿宋_GB2312" w:cs="仿宋_GB2312"/>
          <w:b w:val="0"/>
          <w:bCs w:val="0"/>
          <w:kern w:val="2"/>
          <w:sz w:val="32"/>
          <w:szCs w:val="32"/>
        </w:rPr>
        <w:t>三是全力推动标本兼治。</w:t>
      </w:r>
      <w:r>
        <w:rPr>
          <w:rFonts w:hint="eastAsia" w:ascii="仿宋_GB2312" w:hAnsi="仿宋_GB2312" w:eastAsia="仿宋_GB2312" w:cs="仿宋_GB2312"/>
          <w:b w:val="0"/>
          <w:bCs w:val="0"/>
          <w:color w:val="000000"/>
          <w:kern w:val="2"/>
          <w:sz w:val="32"/>
          <w:szCs w:val="32"/>
          <w:lang w:bidi="ar"/>
        </w:rPr>
        <w:t>督促指导整改责任单位检视各项整改措施的落实和成效以及举一反三等后续整改情况，并始终坚持把制度建设贯穿巡视整改工作全过程。</w:t>
      </w:r>
    </w:p>
    <w:p w14:paraId="27B281D5">
      <w:pPr>
        <w:numPr>
          <w:ilvl w:val="0"/>
          <w:numId w:val="0"/>
        </w:numPr>
        <w:overflowPunct w:val="0"/>
        <w:autoSpaceDE/>
        <w:autoSpaceDN/>
        <w:spacing w:line="576"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二、部门财政收支管理情况</w:t>
      </w:r>
    </w:p>
    <w:p w14:paraId="14948B48">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（一）单位财政资金收入情况</w:t>
      </w:r>
    </w:p>
    <w:p w14:paraId="02E40E61">
      <w:pPr>
        <w:pStyle w:val="11"/>
        <w:widowControl w:val="0"/>
        <w:overflowPunct w:val="0"/>
        <w:autoSpaceDE/>
        <w:autoSpaceDN/>
        <w:adjustRightInd/>
        <w:spacing w:before="0" w:beforeAutospacing="0" w:after="0" w:afterAutospacing="0" w:line="576"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2023</w:t>
      </w:r>
      <w:r>
        <w:rPr>
          <w:rFonts w:hint="eastAsia" w:ascii="仿宋_GB2312" w:hAnsi="仿宋_GB2312" w:eastAsia="仿宋_GB2312" w:cs="仿宋_GB2312"/>
          <w:b w:val="0"/>
          <w:bCs w:val="0"/>
          <w:color w:val="auto"/>
          <w:sz w:val="32"/>
          <w:szCs w:val="32"/>
        </w:rPr>
        <w:t>年初财政批复预算收入</w:t>
      </w:r>
      <w:r>
        <w:rPr>
          <w:rFonts w:hint="eastAsia" w:ascii="Times New Roman" w:hAnsi="Times New Roman" w:eastAsia="仿宋_GB2312" w:cs="仿宋_GB2312"/>
          <w:b w:val="0"/>
          <w:bCs w:val="0"/>
          <w:color w:val="auto"/>
          <w:sz w:val="32"/>
          <w:szCs w:val="32"/>
        </w:rPr>
        <w:t>146</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万元，其中：基本支出</w:t>
      </w:r>
      <w:r>
        <w:rPr>
          <w:rFonts w:hint="eastAsia" w:ascii="Times New Roman" w:hAnsi="Times New Roman" w:eastAsia="仿宋_GB2312" w:cs="仿宋_GB2312"/>
          <w:b w:val="0"/>
          <w:bCs w:val="0"/>
          <w:color w:val="auto"/>
          <w:sz w:val="32"/>
          <w:szCs w:val="32"/>
        </w:rPr>
        <w:t>79</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万元、项目支出</w:t>
      </w:r>
      <w:r>
        <w:rPr>
          <w:rFonts w:hint="eastAsia" w:ascii="Times New Roman" w:hAnsi="Times New Roman" w:eastAsia="仿宋_GB2312" w:cs="仿宋_GB2312"/>
          <w:b w:val="0"/>
          <w:bCs w:val="0"/>
          <w:color w:val="auto"/>
          <w:sz w:val="32"/>
          <w:szCs w:val="32"/>
        </w:rPr>
        <w:t>67</w:t>
      </w:r>
      <w:r>
        <w:rPr>
          <w:rFonts w:hint="eastAsia" w:ascii="仿宋_GB2312" w:hAnsi="仿宋_GB2312" w:eastAsia="仿宋_GB2312" w:cs="仿宋_GB2312"/>
          <w:b w:val="0"/>
          <w:bCs w:val="0"/>
          <w:color w:val="auto"/>
          <w:sz w:val="32"/>
          <w:szCs w:val="32"/>
        </w:rPr>
        <w:t>万元。</w:t>
      </w:r>
      <w:r>
        <w:rPr>
          <w:rFonts w:hint="eastAsia" w:ascii="Times New Roman" w:hAnsi="Times New Roman" w:eastAsia="仿宋_GB2312" w:cs="仿宋_GB2312"/>
          <w:b w:val="0"/>
          <w:bCs w:val="0"/>
          <w:color w:val="auto"/>
          <w:sz w:val="32"/>
          <w:szCs w:val="32"/>
        </w:rPr>
        <w:t>2023</w:t>
      </w:r>
      <w:r>
        <w:rPr>
          <w:rFonts w:hint="eastAsia" w:ascii="仿宋_GB2312" w:hAnsi="仿宋_GB2312" w:eastAsia="仿宋_GB2312" w:cs="仿宋_GB2312"/>
          <w:b w:val="0"/>
          <w:bCs w:val="0"/>
          <w:color w:val="auto"/>
          <w:sz w:val="32"/>
          <w:szCs w:val="32"/>
        </w:rPr>
        <w:t>年全年预算收入</w:t>
      </w:r>
      <w:r>
        <w:rPr>
          <w:rFonts w:hint="eastAsia" w:ascii="Times New Roman" w:hAnsi="Times New Roman" w:eastAsia="仿宋_GB2312" w:cs="仿宋_GB2312"/>
          <w:b w:val="0"/>
          <w:bCs w:val="0"/>
          <w:color w:val="auto"/>
          <w:sz w:val="32"/>
          <w:szCs w:val="32"/>
        </w:rPr>
        <w:t>209</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95</w:t>
      </w:r>
      <w:r>
        <w:rPr>
          <w:rFonts w:hint="eastAsia" w:ascii="仿宋_GB2312" w:hAnsi="仿宋_GB2312" w:eastAsia="仿宋_GB2312" w:cs="仿宋_GB2312"/>
          <w:b w:val="0"/>
          <w:bCs w:val="0"/>
          <w:color w:val="auto"/>
          <w:sz w:val="32"/>
          <w:szCs w:val="32"/>
        </w:rPr>
        <w:t>万元，其中年初预算数</w:t>
      </w:r>
      <w:r>
        <w:rPr>
          <w:rFonts w:hint="eastAsia" w:ascii="Times New Roman" w:hAnsi="Times New Roman" w:eastAsia="仿宋_GB2312" w:cs="仿宋_GB2312"/>
          <w:b w:val="0"/>
          <w:bCs w:val="0"/>
          <w:color w:val="auto"/>
          <w:sz w:val="32"/>
          <w:szCs w:val="32"/>
        </w:rPr>
        <w:t>146</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万元，预算调整</w:t>
      </w:r>
      <w:r>
        <w:rPr>
          <w:rFonts w:hint="eastAsia" w:ascii="Times New Roman" w:hAnsi="Times New Roman" w:eastAsia="仿宋_GB2312" w:cs="仿宋_GB2312"/>
          <w:b w:val="0"/>
          <w:bCs w:val="0"/>
          <w:color w:val="auto"/>
          <w:sz w:val="32"/>
          <w:szCs w:val="32"/>
        </w:rPr>
        <w:t>63</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85</w:t>
      </w:r>
      <w:r>
        <w:rPr>
          <w:rFonts w:hint="eastAsia" w:ascii="仿宋_GB2312" w:hAnsi="仿宋_GB2312" w:eastAsia="仿宋_GB2312" w:cs="仿宋_GB2312"/>
          <w:b w:val="0"/>
          <w:bCs w:val="0"/>
          <w:color w:val="auto"/>
          <w:sz w:val="32"/>
          <w:szCs w:val="32"/>
        </w:rPr>
        <w:t>万元。</w:t>
      </w:r>
    </w:p>
    <w:p w14:paraId="0A189667">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（二）单位财政支出情况</w:t>
      </w:r>
    </w:p>
    <w:p w14:paraId="529B8E07">
      <w:pPr>
        <w:pStyle w:val="11"/>
        <w:widowControl w:val="0"/>
        <w:overflowPunct w:val="0"/>
        <w:autoSpaceDE/>
        <w:autoSpaceDN/>
        <w:adjustRightInd/>
        <w:spacing w:before="0" w:beforeAutospacing="0" w:after="0" w:afterAutospacing="0" w:line="576"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2023</w:t>
      </w:r>
      <w:r>
        <w:rPr>
          <w:rFonts w:hint="eastAsia" w:ascii="仿宋_GB2312" w:hAnsi="仿宋_GB2312" w:eastAsia="仿宋_GB2312" w:cs="仿宋_GB2312"/>
          <w:b w:val="0"/>
          <w:bCs w:val="0"/>
          <w:color w:val="auto"/>
          <w:sz w:val="32"/>
          <w:szCs w:val="32"/>
        </w:rPr>
        <w:t>年度本年支出合计</w:t>
      </w:r>
      <w:r>
        <w:rPr>
          <w:rFonts w:hint="eastAsia" w:ascii="Times New Roman" w:hAnsi="Times New Roman" w:eastAsia="仿宋_GB2312" w:cs="仿宋_GB2312"/>
          <w:b w:val="0"/>
          <w:bCs w:val="0"/>
          <w:color w:val="auto"/>
          <w:sz w:val="32"/>
          <w:szCs w:val="32"/>
        </w:rPr>
        <w:t>208</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23</w:t>
      </w:r>
      <w:r>
        <w:rPr>
          <w:rFonts w:hint="eastAsia" w:ascii="仿宋_GB2312" w:hAnsi="仿宋_GB2312" w:eastAsia="仿宋_GB2312" w:cs="仿宋_GB2312"/>
          <w:b w:val="0"/>
          <w:bCs w:val="0"/>
          <w:color w:val="auto"/>
          <w:sz w:val="32"/>
          <w:szCs w:val="32"/>
        </w:rPr>
        <w:t>万元，其中：基本支出</w:t>
      </w:r>
      <w:r>
        <w:rPr>
          <w:rFonts w:hint="eastAsia" w:ascii="Times New Roman" w:hAnsi="Times New Roman" w:eastAsia="仿宋_GB2312" w:cs="仿宋_GB2312"/>
          <w:b w:val="0"/>
          <w:bCs w:val="0"/>
          <w:color w:val="auto"/>
          <w:sz w:val="32"/>
          <w:szCs w:val="32"/>
        </w:rPr>
        <w:t>141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23</w:t>
      </w:r>
      <w:r>
        <w:rPr>
          <w:rFonts w:hint="eastAsia" w:ascii="仿宋_GB2312" w:hAnsi="仿宋_GB2312" w:eastAsia="仿宋_GB2312" w:cs="仿宋_GB2312"/>
          <w:b w:val="0"/>
          <w:bCs w:val="0"/>
          <w:color w:val="auto"/>
          <w:sz w:val="32"/>
          <w:szCs w:val="32"/>
        </w:rPr>
        <w:t>万元，占</w:t>
      </w:r>
      <w:r>
        <w:rPr>
          <w:rFonts w:hint="eastAsia" w:ascii="Times New Roman" w:hAnsi="Times New Roman" w:eastAsia="仿宋_GB2312" w:cs="仿宋_GB2312"/>
          <w:b w:val="0"/>
          <w:bCs w:val="0"/>
          <w:color w:val="auto"/>
          <w:sz w:val="32"/>
          <w:szCs w:val="32"/>
        </w:rPr>
        <w:t>68</w:t>
      </w:r>
      <w:r>
        <w:rPr>
          <w:rFonts w:hint="eastAsia" w:ascii="仿宋_GB2312" w:hAnsi="仿宋_GB2312" w:eastAsia="仿宋_GB2312" w:cs="仿宋_GB2312"/>
          <w:b w:val="0"/>
          <w:bCs w:val="0"/>
          <w:color w:val="auto"/>
          <w:sz w:val="32"/>
          <w:szCs w:val="32"/>
        </w:rPr>
        <w:t>%，项目支出</w:t>
      </w:r>
      <w:r>
        <w:rPr>
          <w:rFonts w:hint="eastAsia" w:ascii="Times New Roman" w:hAnsi="Times New Roman" w:eastAsia="仿宋_GB2312" w:cs="仿宋_GB2312"/>
          <w:b w:val="0"/>
          <w:bCs w:val="0"/>
          <w:color w:val="auto"/>
          <w:sz w:val="32"/>
          <w:szCs w:val="32"/>
        </w:rPr>
        <w:t>67</w:t>
      </w:r>
      <w:r>
        <w:rPr>
          <w:rFonts w:hint="eastAsia" w:ascii="仿宋_GB2312" w:hAnsi="仿宋_GB2312" w:eastAsia="仿宋_GB2312" w:cs="仿宋_GB2312"/>
          <w:b w:val="0"/>
          <w:bCs w:val="0"/>
          <w:color w:val="auto"/>
          <w:sz w:val="32"/>
          <w:szCs w:val="32"/>
        </w:rPr>
        <w:t>万元，占</w:t>
      </w:r>
      <w:r>
        <w:rPr>
          <w:rFonts w:hint="eastAsia" w:ascii="Times New Roman" w:hAnsi="Times New Roman" w:eastAsia="仿宋_GB2312" w:cs="仿宋_GB2312"/>
          <w:b w:val="0"/>
          <w:bCs w:val="0"/>
          <w:color w:val="auto"/>
          <w:sz w:val="32"/>
          <w:szCs w:val="32"/>
        </w:rPr>
        <w:t>32</w:t>
      </w:r>
      <w:r>
        <w:rPr>
          <w:rFonts w:hint="eastAsia" w:ascii="仿宋_GB2312" w:hAnsi="仿宋_GB2312" w:eastAsia="仿宋_GB2312" w:cs="仿宋_GB2312"/>
          <w:b w:val="0"/>
          <w:bCs w:val="0"/>
          <w:color w:val="auto"/>
          <w:sz w:val="32"/>
          <w:szCs w:val="32"/>
        </w:rPr>
        <w:t>%。</w:t>
      </w:r>
    </w:p>
    <w:p w14:paraId="35676C9D">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（三）结转和结余情况</w:t>
      </w:r>
    </w:p>
    <w:p w14:paraId="47FAFCC2">
      <w:pPr>
        <w:pStyle w:val="11"/>
        <w:widowControl w:val="0"/>
        <w:overflowPunct w:val="0"/>
        <w:autoSpaceDE/>
        <w:autoSpaceDN/>
        <w:adjustRightInd/>
        <w:spacing w:before="0" w:beforeAutospacing="0" w:after="0" w:afterAutospacing="0" w:line="576"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2023</w:t>
      </w:r>
      <w:r>
        <w:rPr>
          <w:rFonts w:hint="eastAsia" w:ascii="仿宋_GB2312" w:hAnsi="仿宋_GB2312" w:eastAsia="仿宋_GB2312" w:cs="仿宋_GB2312"/>
          <w:b w:val="0"/>
          <w:bCs w:val="0"/>
          <w:color w:val="auto"/>
          <w:sz w:val="32"/>
          <w:szCs w:val="32"/>
        </w:rPr>
        <w:t>年结转资金</w:t>
      </w:r>
      <w:r>
        <w:rPr>
          <w:rFonts w:hint="eastAsia" w:ascii="Times New Roman" w:hAnsi="Times New Roman"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72</w:t>
      </w:r>
      <w:r>
        <w:rPr>
          <w:rFonts w:hint="eastAsia" w:ascii="仿宋_GB2312" w:hAnsi="仿宋_GB2312" w:eastAsia="仿宋_GB2312" w:cs="仿宋_GB2312"/>
          <w:b w:val="0"/>
          <w:bCs w:val="0"/>
          <w:color w:val="auto"/>
          <w:sz w:val="32"/>
          <w:szCs w:val="32"/>
        </w:rPr>
        <w:t>万元，其中：社会保障支出</w:t>
      </w:r>
      <w:r>
        <w:rPr>
          <w:rFonts w:hint="eastAsia" w:ascii="Times New Roman" w:hAnsi="Times New Roman"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rPr>
        <w:t>72</w:t>
      </w:r>
      <w:r>
        <w:rPr>
          <w:rFonts w:hint="eastAsia" w:ascii="仿宋_GB2312" w:hAnsi="仿宋_GB2312" w:eastAsia="仿宋_GB2312" w:cs="仿宋_GB2312"/>
          <w:b w:val="0"/>
          <w:bCs w:val="0"/>
          <w:color w:val="auto"/>
          <w:sz w:val="32"/>
          <w:szCs w:val="32"/>
        </w:rPr>
        <w:t>万元。</w:t>
      </w:r>
    </w:p>
    <w:p w14:paraId="48BB2953">
      <w:pPr>
        <w:numPr>
          <w:ilvl w:val="0"/>
          <w:numId w:val="1"/>
        </w:numPr>
        <w:overflowPunct w:val="0"/>
        <w:autoSpaceDE/>
        <w:autoSpaceDN/>
        <w:spacing w:line="576"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部门整体预算绩效管理情况</w:t>
      </w:r>
    </w:p>
    <w:p w14:paraId="317F0430">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（一）部门预算总体绩效</w:t>
      </w:r>
    </w:p>
    <w:p w14:paraId="3939527D">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部门预算项目绩效管理。一是目标制定情况：绩效目标是预算编制的前提和基础，按照“费随事定”的原则，区目标绩效事务中心按要求编制了绩效目标,从项目完成、项目效益、满意度等方面设置了绩效指标，综合反映项目预期完成的数量、成本、时效、质量，预期达到的社会效益、经济效益、生态效益、可持续影响以及服务对象满意度等情况。</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年初预算</w:t>
      </w:r>
      <w:r>
        <w:rPr>
          <w:rFonts w:hint="eastAsia" w:ascii="Times New Roman" w:hAnsi="Times New Roman" w:eastAsia="仿宋_GB2312" w:cs="仿宋_GB2312"/>
          <w:b w:val="0"/>
          <w:bCs w:val="0"/>
          <w:sz w:val="32"/>
          <w:szCs w:val="32"/>
        </w:rPr>
        <w:t>146</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万元，预算调整</w:t>
      </w:r>
      <w:r>
        <w:rPr>
          <w:rFonts w:hint="eastAsia" w:ascii="Times New Roman" w:hAnsi="Times New Roman" w:eastAsia="仿宋_GB2312" w:cs="仿宋_GB2312"/>
          <w:b w:val="0"/>
          <w:bCs w:val="0"/>
          <w:sz w:val="32"/>
          <w:szCs w:val="32"/>
        </w:rPr>
        <w:t>63</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85</w:t>
      </w:r>
      <w:r>
        <w:rPr>
          <w:rFonts w:hint="eastAsia" w:ascii="仿宋_GB2312" w:hAnsi="仿宋_GB2312" w:eastAsia="仿宋_GB2312" w:cs="仿宋_GB2312"/>
          <w:b w:val="0"/>
          <w:bCs w:val="0"/>
          <w:sz w:val="32"/>
          <w:szCs w:val="32"/>
        </w:rPr>
        <w:t>万元，共计</w:t>
      </w:r>
      <w:r>
        <w:rPr>
          <w:rFonts w:hint="eastAsia" w:ascii="Times New Roman" w:hAnsi="Times New Roman" w:eastAsia="仿宋_GB2312" w:cs="仿宋_GB2312"/>
          <w:b w:val="0"/>
          <w:bCs w:val="0"/>
          <w:sz w:val="32"/>
          <w:szCs w:val="32"/>
        </w:rPr>
        <w:t>209</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95</w:t>
      </w:r>
      <w:r>
        <w:rPr>
          <w:rFonts w:hint="eastAsia" w:ascii="仿宋_GB2312" w:hAnsi="仿宋_GB2312" w:eastAsia="仿宋_GB2312" w:cs="仿宋_GB2312"/>
          <w:b w:val="0"/>
          <w:bCs w:val="0"/>
          <w:sz w:val="32"/>
          <w:szCs w:val="32"/>
        </w:rPr>
        <w:t>万元。其中基本支出</w:t>
      </w:r>
      <w:r>
        <w:rPr>
          <w:rFonts w:hint="eastAsia" w:ascii="Times New Roman" w:hAnsi="Times New Roman" w:eastAsia="仿宋_GB2312" w:cs="仿宋_GB2312"/>
          <w:b w:val="0"/>
          <w:bCs w:val="0"/>
          <w:sz w:val="32"/>
          <w:szCs w:val="32"/>
        </w:rPr>
        <w:t>142</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95</w:t>
      </w:r>
      <w:r>
        <w:rPr>
          <w:rFonts w:hint="eastAsia" w:ascii="仿宋_GB2312" w:hAnsi="仿宋_GB2312" w:eastAsia="仿宋_GB2312" w:cs="仿宋_GB2312"/>
          <w:b w:val="0"/>
          <w:bCs w:val="0"/>
          <w:sz w:val="32"/>
          <w:szCs w:val="32"/>
        </w:rPr>
        <w:t>万元，项目支出</w:t>
      </w:r>
      <w:r>
        <w:rPr>
          <w:rFonts w:hint="eastAsia" w:ascii="Times New Roman" w:hAnsi="Times New Roman" w:eastAsia="仿宋_GB2312" w:cs="仿宋_GB2312"/>
          <w:b w:val="0"/>
          <w:bCs w:val="0"/>
          <w:sz w:val="32"/>
          <w:szCs w:val="32"/>
        </w:rPr>
        <w:t>67</w:t>
      </w:r>
      <w:r>
        <w:rPr>
          <w:rFonts w:hint="eastAsia" w:ascii="仿宋_GB2312" w:hAnsi="仿宋_GB2312" w:eastAsia="仿宋_GB2312" w:cs="仿宋_GB2312"/>
          <w:b w:val="0"/>
          <w:bCs w:val="0"/>
          <w:sz w:val="32"/>
          <w:szCs w:val="32"/>
        </w:rPr>
        <w:t>万元。二是目标实现情况：</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年全年人员类资金实际支出</w:t>
      </w:r>
      <w:r>
        <w:rPr>
          <w:rFonts w:hint="eastAsia" w:ascii="Times New Roman" w:hAnsi="Times New Roman" w:eastAsia="仿宋_GB2312" w:cs="仿宋_GB2312"/>
          <w:b w:val="0"/>
          <w:bCs w:val="0"/>
          <w:sz w:val="32"/>
          <w:szCs w:val="32"/>
        </w:rPr>
        <w:t>132</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83</w:t>
      </w:r>
      <w:r>
        <w:rPr>
          <w:rFonts w:hint="eastAsia" w:ascii="仿宋_GB2312" w:hAnsi="仿宋_GB2312" w:eastAsia="仿宋_GB2312" w:cs="仿宋_GB2312"/>
          <w:b w:val="0"/>
          <w:bCs w:val="0"/>
          <w:sz w:val="32"/>
          <w:szCs w:val="32"/>
        </w:rPr>
        <w:t>万元，主要用于：人员基本工资、津贴补贴、奖金、机关事业单位养老保险、医疗保险，其他社会保障缴费、住房公积金、其他工资福利等。全年运转类资金支出</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万元，主要用于：办公费、印刷费、水电费、差旅费、维修费、会议费、培训费、公务接待支出等。全年其他运转类资金支出</w:t>
      </w:r>
      <w:r>
        <w:rPr>
          <w:rFonts w:hint="eastAsia" w:ascii="Times New Roman" w:hAnsi="Times New Roman" w:eastAsia="仿宋_GB2312" w:cs="仿宋_GB2312"/>
          <w:b w:val="0"/>
          <w:bCs w:val="0"/>
          <w:sz w:val="32"/>
          <w:szCs w:val="32"/>
        </w:rPr>
        <w:t>67</w:t>
      </w:r>
      <w:r>
        <w:rPr>
          <w:rFonts w:hint="eastAsia" w:ascii="仿宋_GB2312" w:hAnsi="仿宋_GB2312" w:eastAsia="仿宋_GB2312" w:cs="仿宋_GB2312"/>
          <w:b w:val="0"/>
          <w:bCs w:val="0"/>
          <w:sz w:val="32"/>
          <w:szCs w:val="32"/>
        </w:rPr>
        <w:t>万元，主要用于目标管理、督查及省委巡视整改经费等。</w:t>
      </w:r>
    </w:p>
    <w:p w14:paraId="6DF8A06A">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过程管控。本单位在资金拨付过程中，严格按照预算编制数执行，每月月初按资金测算情况上区财政局申报用款计划，资金到位后按时足额支付。根据不同项目完成进度情况，及时足额拨付相关的项目资金。在全年执行过程中，根据本单位人员增减变化、项目增加、项目调剂等实际情况，及时做出预算调整，预算调整数合计</w:t>
      </w:r>
      <w:r>
        <w:rPr>
          <w:rFonts w:hint="eastAsia" w:ascii="Times New Roman" w:hAnsi="Times New Roman" w:eastAsia="仿宋_GB2312" w:cs="仿宋_GB2312"/>
          <w:b w:val="0"/>
          <w:bCs w:val="0"/>
          <w:sz w:val="32"/>
          <w:szCs w:val="32"/>
        </w:rPr>
        <w:t>63</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85</w:t>
      </w:r>
      <w:r>
        <w:rPr>
          <w:rFonts w:hint="eastAsia" w:ascii="仿宋_GB2312" w:hAnsi="仿宋_GB2312" w:eastAsia="仿宋_GB2312" w:cs="仿宋_GB2312"/>
          <w:b w:val="0"/>
          <w:bCs w:val="0"/>
          <w:sz w:val="32"/>
          <w:szCs w:val="32"/>
        </w:rPr>
        <w:t>万元。</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年全年完成情况：截止</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w:t>
      </w:r>
      <w:r>
        <w:rPr>
          <w:rFonts w:hint="eastAsia" w:ascii="Times New Roman" w:hAnsi="Times New Roman" w:eastAsia="仿宋_GB2312" w:cs="仿宋_GB2312"/>
          <w:b w:val="0"/>
          <w:bCs w:val="0"/>
          <w:sz w:val="32"/>
          <w:szCs w:val="32"/>
        </w:rPr>
        <w:t>12</w:t>
      </w:r>
      <w:r>
        <w:rPr>
          <w:rFonts w:hint="eastAsia" w:ascii="仿宋_GB2312" w:hAnsi="仿宋_GB2312" w:eastAsia="仿宋_GB2312" w:cs="仿宋_GB2312"/>
          <w:b w:val="0"/>
          <w:bCs w:val="0"/>
          <w:sz w:val="32"/>
          <w:szCs w:val="32"/>
        </w:rPr>
        <w:t>月</w:t>
      </w:r>
      <w:r>
        <w:rPr>
          <w:rFonts w:hint="eastAsia" w:ascii="Times New Roman" w:hAnsi="Times New Roman" w:eastAsia="仿宋_GB2312" w:cs="仿宋_GB2312"/>
          <w:b w:val="0"/>
          <w:bCs w:val="0"/>
          <w:sz w:val="32"/>
          <w:szCs w:val="32"/>
        </w:rPr>
        <w:t>31</w:t>
      </w:r>
      <w:r>
        <w:rPr>
          <w:rFonts w:hint="eastAsia" w:ascii="仿宋_GB2312" w:hAnsi="仿宋_GB2312" w:eastAsia="仿宋_GB2312" w:cs="仿宋_GB2312"/>
          <w:b w:val="0"/>
          <w:bCs w:val="0"/>
          <w:sz w:val="32"/>
          <w:szCs w:val="32"/>
        </w:rPr>
        <w:t>日，目标绩效事务中心</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年全年预算</w:t>
      </w:r>
      <w:r>
        <w:rPr>
          <w:rFonts w:hint="eastAsia" w:ascii="Times New Roman" w:hAnsi="Times New Roman" w:eastAsia="仿宋_GB2312" w:cs="仿宋_GB2312"/>
          <w:b w:val="0"/>
          <w:bCs w:val="0"/>
          <w:sz w:val="32"/>
          <w:szCs w:val="32"/>
        </w:rPr>
        <w:t>209</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95</w:t>
      </w:r>
      <w:r>
        <w:rPr>
          <w:rFonts w:hint="eastAsia" w:ascii="仿宋_GB2312" w:hAnsi="仿宋_GB2312" w:eastAsia="仿宋_GB2312" w:cs="仿宋_GB2312"/>
          <w:b w:val="0"/>
          <w:bCs w:val="0"/>
          <w:sz w:val="32"/>
          <w:szCs w:val="32"/>
        </w:rPr>
        <w:t>万元，全年预算执行</w:t>
      </w:r>
      <w:r>
        <w:rPr>
          <w:rFonts w:hint="eastAsia" w:ascii="Times New Roman" w:hAnsi="Times New Roman" w:eastAsia="仿宋_GB2312" w:cs="仿宋_GB2312"/>
          <w:b w:val="0"/>
          <w:bCs w:val="0"/>
          <w:sz w:val="32"/>
          <w:szCs w:val="32"/>
        </w:rPr>
        <w:t>208</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23</w:t>
      </w:r>
      <w:r>
        <w:rPr>
          <w:rFonts w:hint="eastAsia" w:ascii="仿宋_GB2312" w:hAnsi="仿宋_GB2312" w:eastAsia="仿宋_GB2312" w:cs="仿宋_GB2312"/>
          <w:b w:val="0"/>
          <w:bCs w:val="0"/>
          <w:sz w:val="32"/>
          <w:szCs w:val="32"/>
        </w:rPr>
        <w:t>万元，剩余</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72</w:t>
      </w:r>
      <w:r>
        <w:rPr>
          <w:rFonts w:hint="eastAsia" w:ascii="仿宋_GB2312" w:hAnsi="仿宋_GB2312" w:eastAsia="仿宋_GB2312" w:cs="仿宋_GB2312"/>
          <w:b w:val="0"/>
          <w:bCs w:val="0"/>
          <w:sz w:val="32"/>
          <w:szCs w:val="32"/>
        </w:rPr>
        <w:t>万元未支付。</w:t>
      </w:r>
    </w:p>
    <w:p w14:paraId="3FE13D36">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.完成结果：截止</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w:t>
      </w:r>
      <w:r>
        <w:rPr>
          <w:rFonts w:hint="eastAsia" w:ascii="Times New Roman" w:hAnsi="Times New Roman" w:eastAsia="仿宋_GB2312" w:cs="仿宋_GB2312"/>
          <w:b w:val="0"/>
          <w:bCs w:val="0"/>
          <w:sz w:val="32"/>
          <w:szCs w:val="32"/>
        </w:rPr>
        <w:t>12</w:t>
      </w:r>
      <w:r>
        <w:rPr>
          <w:rFonts w:hint="eastAsia" w:ascii="仿宋_GB2312" w:hAnsi="仿宋_GB2312" w:eastAsia="仿宋_GB2312" w:cs="仿宋_GB2312"/>
          <w:b w:val="0"/>
          <w:bCs w:val="0"/>
          <w:sz w:val="32"/>
          <w:szCs w:val="32"/>
        </w:rPr>
        <w:t>月</w:t>
      </w:r>
      <w:r>
        <w:rPr>
          <w:rFonts w:hint="eastAsia" w:ascii="Times New Roman" w:hAnsi="Times New Roman" w:eastAsia="仿宋_GB2312" w:cs="仿宋_GB2312"/>
          <w:b w:val="0"/>
          <w:bCs w:val="0"/>
          <w:sz w:val="32"/>
          <w:szCs w:val="32"/>
        </w:rPr>
        <w:t>31</w:t>
      </w:r>
      <w:r>
        <w:rPr>
          <w:rFonts w:hint="eastAsia" w:ascii="仿宋_GB2312" w:hAnsi="仿宋_GB2312" w:eastAsia="仿宋_GB2312" w:cs="仿宋_GB2312"/>
          <w:b w:val="0"/>
          <w:bCs w:val="0"/>
          <w:sz w:val="32"/>
          <w:szCs w:val="32"/>
        </w:rPr>
        <w:t>日，区目标绩效事务中心</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年全年预算</w:t>
      </w:r>
      <w:r>
        <w:rPr>
          <w:rFonts w:hint="eastAsia" w:ascii="Times New Roman" w:hAnsi="Times New Roman" w:eastAsia="仿宋_GB2312" w:cs="仿宋_GB2312"/>
          <w:b w:val="0"/>
          <w:bCs w:val="0"/>
          <w:sz w:val="32"/>
          <w:szCs w:val="32"/>
        </w:rPr>
        <w:t>209</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95</w:t>
      </w:r>
      <w:r>
        <w:rPr>
          <w:rFonts w:hint="eastAsia" w:ascii="仿宋_GB2312" w:hAnsi="仿宋_GB2312" w:eastAsia="仿宋_GB2312" w:cs="仿宋_GB2312"/>
          <w:b w:val="0"/>
          <w:bCs w:val="0"/>
          <w:sz w:val="32"/>
          <w:szCs w:val="32"/>
        </w:rPr>
        <w:t>万元，全年预算执行</w:t>
      </w:r>
      <w:r>
        <w:rPr>
          <w:rFonts w:hint="eastAsia" w:ascii="Times New Roman" w:hAnsi="Times New Roman" w:eastAsia="仿宋_GB2312" w:cs="仿宋_GB2312"/>
          <w:b w:val="0"/>
          <w:bCs w:val="0"/>
          <w:sz w:val="32"/>
          <w:szCs w:val="32"/>
        </w:rPr>
        <w:t>208</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23</w:t>
      </w:r>
      <w:r>
        <w:rPr>
          <w:rFonts w:hint="eastAsia" w:ascii="仿宋_GB2312" w:hAnsi="仿宋_GB2312" w:eastAsia="仿宋_GB2312" w:cs="仿宋_GB2312"/>
          <w:b w:val="0"/>
          <w:bCs w:val="0"/>
          <w:sz w:val="32"/>
          <w:szCs w:val="32"/>
        </w:rPr>
        <w:t>万元，其中：一般公共服务支出</w:t>
      </w:r>
      <w:r>
        <w:rPr>
          <w:rFonts w:hint="eastAsia" w:ascii="Times New Roman" w:hAnsi="Times New Roman" w:eastAsia="仿宋_GB2312" w:cs="仿宋_GB2312"/>
          <w:b w:val="0"/>
          <w:bCs w:val="0"/>
          <w:sz w:val="32"/>
          <w:szCs w:val="32"/>
        </w:rPr>
        <w:t>182</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23</w:t>
      </w:r>
      <w:r>
        <w:rPr>
          <w:rFonts w:hint="eastAsia" w:ascii="仿宋_GB2312" w:hAnsi="仿宋_GB2312" w:eastAsia="仿宋_GB2312" w:cs="仿宋_GB2312"/>
          <w:b w:val="0"/>
          <w:bCs w:val="0"/>
          <w:sz w:val="32"/>
          <w:szCs w:val="32"/>
        </w:rPr>
        <w:t>万元，社会保障和就业支出</w:t>
      </w:r>
      <w:r>
        <w:rPr>
          <w:rFonts w:hint="eastAsia" w:ascii="Times New Roman" w:hAnsi="Times New Roman" w:eastAsia="仿宋_GB2312" w:cs="仿宋_GB2312"/>
          <w:b w:val="0"/>
          <w:bCs w:val="0"/>
          <w:sz w:val="32"/>
          <w:szCs w:val="32"/>
        </w:rPr>
        <w:t>16</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万元，卫生健康支出</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5</w:t>
      </w:r>
      <w:r>
        <w:rPr>
          <w:rFonts w:hint="eastAsia" w:ascii="仿宋_GB2312" w:hAnsi="仿宋_GB2312" w:eastAsia="仿宋_GB2312" w:cs="仿宋_GB2312"/>
          <w:b w:val="0"/>
          <w:bCs w:val="0"/>
          <w:sz w:val="32"/>
          <w:szCs w:val="32"/>
        </w:rPr>
        <w:t>万元，住房保障支出</w:t>
      </w:r>
      <w:r>
        <w:rPr>
          <w:rFonts w:hint="eastAsia" w:ascii="Times New Roman" w:hAnsi="Times New Roman" w:eastAsia="仿宋_GB2312" w:cs="仿宋_GB2312"/>
          <w:b w:val="0"/>
          <w:bCs w:val="0"/>
          <w:sz w:val="32"/>
          <w:szCs w:val="32"/>
        </w:rPr>
        <w:t>6</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万元。资金结余金额：</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72</w:t>
      </w:r>
      <w:r>
        <w:rPr>
          <w:rFonts w:hint="eastAsia" w:ascii="仿宋_GB2312" w:hAnsi="仿宋_GB2312" w:eastAsia="仿宋_GB2312" w:cs="仿宋_GB2312"/>
          <w:b w:val="0"/>
          <w:bCs w:val="0"/>
          <w:sz w:val="32"/>
          <w:szCs w:val="32"/>
        </w:rPr>
        <w:t>万元，其中：社会保障缴费</w:t>
      </w: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b w:val="0"/>
          <w:bCs w:val="0"/>
          <w:sz w:val="32"/>
          <w:szCs w:val="32"/>
        </w:rPr>
        <w:t>72</w:t>
      </w:r>
      <w:r>
        <w:rPr>
          <w:rFonts w:hint="eastAsia" w:ascii="仿宋_GB2312" w:hAnsi="仿宋_GB2312" w:eastAsia="仿宋_GB2312" w:cs="仿宋_GB2312"/>
          <w:b w:val="0"/>
          <w:bCs w:val="0"/>
          <w:sz w:val="32"/>
          <w:szCs w:val="32"/>
        </w:rPr>
        <w:t>万元。</w:t>
      </w:r>
    </w:p>
    <w:p w14:paraId="10DD9A1E">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本单位无违法违纪使用资金情况。</w:t>
      </w:r>
    </w:p>
    <w:p w14:paraId="48C15E0C">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（二）项目预算绩效管理情况</w:t>
      </w:r>
    </w:p>
    <w:p w14:paraId="315411BE">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.部门预算项目绩效情况。</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初编制本单位预算项目绩效目标的时候，将绩效目标制定纳入本单位主任办公会集体决策范围，严格按照预算管理办法，讨论决定项目绩效目标制定、项目完成进度安排、资金拨付合规、及时、足额等事宜。在项目执行过程中，定期把控、不定期抽查项目的完成进度和完工质量，根据上级单位的资金调配情况、党委政府的统筹安排，合法合规、及时足额支付项目资金。</w:t>
      </w:r>
    </w:p>
    <w:p w14:paraId="6F651C00">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.专项预算绩效情况。</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年本单位无专项项目。</w:t>
      </w:r>
    </w:p>
    <w:p w14:paraId="7F90CF9E">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（三）绩效结果应用</w:t>
      </w:r>
    </w:p>
    <w:p w14:paraId="769F8E46">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制度建设：一是成立了以主任为组长，分管财务副主任为副组长，办公室、财务工作人员为成员的预算绩效管理工作领导小组，为进一步做好我中心年度预算绩效管理工作，开展年度预算绩效等财务相关工作；二是将办（中心）、村（社区）相关工作纳入年度考核中。三是建立内部财务制度。所长、会计、出纳岗位职责明确，会计管账不管钱，出纳管钱不管账。所有支出都是以正规发票入账，并有经办人、分管领导等签字，然后由镇长审批支付。出纳负责按月将原始票据分类汇总并及时交会计按月记账，并按月与银行核对银行存款余额、与出纳核对现金余额，并将其分类汇总装订成册归档。所有支出都有财务初核，从最大程度上杜绝了不合规原始票据入账。印章管理实行会计出纳分管，会计管理财务公章、会计印章，出纳管理镇长印章、出纳印章。现金、存款支票均由出纳管理，使用时由会计人员填制，然后由出纳人员复核、加密、盖章。</w:t>
      </w:r>
    </w:p>
    <w:p w14:paraId="7FD14E12">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绩效信息公开：按上级要求公开公示制度要求，对各项资金的收支余管理情况进行了公开公示，对公用经费开支情况定期不定期的上传机关微信、QQ工作群公示等，并设置了监督电话举报箱。按上级要求信息通达制度要求，落实财政所出纳为信息联络员，并有信息传递记录装订成册，并已分类整理、装订成册、归档保管。</w:t>
      </w:r>
    </w:p>
    <w:p w14:paraId="79920209">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（四）自评质量</w:t>
      </w:r>
    </w:p>
    <w:p w14:paraId="054D66AC">
      <w:pPr>
        <w:overflowPunct w:val="0"/>
        <w:autoSpaceDE/>
        <w:autoSpaceDN/>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通过各项经费的使用，保障了干部职工的基本利益，提高了干部职工的工作积极性和责任心，保障了各项工作的高效进行，为单位高效运转提供了坚定保障，实现了年初制定的目标任务。从完成效果来看，较好地达到了预期目标。因此，从项目决策、项目管理、项目完成和项目效果来看，都较好地达到了预期的效果。经自评，我单位</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年部门整体支出绩效评价得分</w:t>
      </w:r>
      <w:r>
        <w:rPr>
          <w:rFonts w:hint="eastAsia" w:ascii="仿宋_GB2312" w:hAnsi="仿宋_GB2312" w:eastAsia="仿宋_GB2312" w:cs="仿宋_GB2312"/>
          <w:b w:val="0"/>
          <w:bCs w:val="0"/>
          <w:color w:val="auto"/>
          <w:sz w:val="32"/>
          <w:szCs w:val="32"/>
        </w:rPr>
        <w:t>为</w:t>
      </w:r>
      <w:r>
        <w:rPr>
          <w:rFonts w:hint="eastAsia" w:ascii="Times New Roman" w:hAnsi="Times New Roman" w:eastAsia="仿宋_GB2312" w:cs="仿宋_GB2312"/>
          <w:b w:val="0"/>
          <w:bCs w:val="0"/>
          <w:color w:val="auto"/>
          <w:sz w:val="32"/>
          <w:szCs w:val="32"/>
        </w:rPr>
        <w:t>99</w:t>
      </w:r>
      <w:r>
        <w:rPr>
          <w:rFonts w:hint="eastAsia" w:ascii="仿宋_GB2312" w:hAnsi="仿宋_GB2312" w:eastAsia="仿宋_GB2312" w:cs="仿宋_GB2312"/>
          <w:b w:val="0"/>
          <w:bCs w:val="0"/>
          <w:color w:val="auto"/>
          <w:sz w:val="32"/>
          <w:szCs w:val="32"/>
        </w:rPr>
        <w:t>分</w:t>
      </w:r>
      <w:r>
        <w:rPr>
          <w:rFonts w:hint="eastAsia" w:ascii="仿宋_GB2312" w:hAnsi="仿宋_GB2312" w:eastAsia="仿宋_GB2312" w:cs="仿宋_GB2312"/>
          <w:b w:val="0"/>
          <w:bCs w:val="0"/>
          <w:sz w:val="32"/>
          <w:szCs w:val="32"/>
        </w:rPr>
        <w:t>。</w:t>
      </w:r>
    </w:p>
    <w:p w14:paraId="166A7090">
      <w:pPr>
        <w:overflowPunct w:val="0"/>
        <w:topLinePunct/>
        <w:spacing w:line="576" w:lineRule="exact"/>
        <w:ind w:firstLine="640" w:firstLineChars="200"/>
        <w:jc w:val="both"/>
        <w:rPr>
          <w:rFonts w:hint="eastAsia" w:ascii="楷体_GB2312" w:hAnsi="楷体_GB2312" w:eastAsia="楷体_GB2312" w:cs="楷体_GB2312"/>
          <w:b w:val="0"/>
          <w:bCs w:val="0"/>
          <w:color w:val="000000"/>
          <w:kern w:val="2"/>
          <w:sz w:val="32"/>
          <w:szCs w:val="24"/>
        </w:rPr>
      </w:pPr>
      <w:r>
        <w:rPr>
          <w:rFonts w:hint="eastAsia" w:ascii="楷体_GB2312" w:hAnsi="楷体_GB2312" w:eastAsia="楷体_GB2312" w:cs="楷体_GB2312"/>
          <w:b w:val="0"/>
          <w:bCs w:val="0"/>
          <w:color w:val="000000"/>
          <w:kern w:val="2"/>
          <w:sz w:val="32"/>
          <w:szCs w:val="24"/>
        </w:rPr>
        <w:t>（五）根据审计监督、财会监督和决算审查结果，本单位上一年度预算管理完全符合相关财政财务管理规定，资金审批手续齐全、审批流程完整，支出符合部门批复用途，资金从预算到申报，从审批到支付，整过程全程监控、严格把关，整个过程合理合法，无违反相关规定的现象。</w:t>
      </w:r>
    </w:p>
    <w:p w14:paraId="2DC205C0">
      <w:pPr>
        <w:numPr>
          <w:ilvl w:val="0"/>
          <w:numId w:val="0"/>
        </w:numPr>
        <w:overflowPunct w:val="0"/>
        <w:autoSpaceDE/>
        <w:autoSpaceDN/>
        <w:spacing w:line="576"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四、存在的问题及建议</w:t>
      </w:r>
    </w:p>
    <w:p w14:paraId="75041488">
      <w:pPr>
        <w:numPr>
          <w:ilvl w:val="0"/>
          <w:numId w:val="0"/>
        </w:numPr>
        <w:overflowPunct w:val="0"/>
        <w:autoSpaceDE/>
        <w:autoSpaceDN/>
        <w:spacing w:line="576" w:lineRule="exact"/>
        <w:ind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（一）存在问题</w:t>
      </w:r>
    </w:p>
    <w:p w14:paraId="5A441163">
      <w:pPr>
        <w:overflowPunct w:val="0"/>
        <w:autoSpaceDE/>
        <w:autoSpaceDN/>
        <w:snapToGrid w:val="0"/>
        <w:spacing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sz w:val="32"/>
          <w:szCs w:val="32"/>
        </w:rPr>
        <w:t>预算编制精准性还有待进一步提高。在预算编制过程中与业务股室沟通不够，造成在开展过程中应急性时间较多，造成预算与实际支出费用存在偏差，在支出时也还存在申报计划时功能科目与实际支出不一致的情况，从而造成预算编制不够精确。</w:t>
      </w:r>
    </w:p>
    <w:p w14:paraId="4BA1C1F9">
      <w:pPr>
        <w:numPr>
          <w:ilvl w:val="0"/>
          <w:numId w:val="0"/>
        </w:numPr>
        <w:overflowPunct w:val="0"/>
        <w:autoSpaceDE/>
        <w:autoSpaceDN/>
        <w:spacing w:line="576" w:lineRule="exact"/>
        <w:ind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（二）改进建议</w:t>
      </w:r>
    </w:p>
    <w:p w14:paraId="47DA8030">
      <w:pPr>
        <w:overflowPunct w:val="0"/>
        <w:autoSpaceDE/>
        <w:autoSpaceDN/>
        <w:snapToGrid w:val="0"/>
        <w:spacing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一是加强财务人员培训。二是强化预算执行。三是优化绩效管理。四是确保绩效目标。五是保障资金安全。</w:t>
      </w:r>
    </w:p>
    <w:p w14:paraId="6F24CE80">
      <w:pPr>
        <w:pStyle w:val="2"/>
        <w:spacing w:beforeLines="0" w:afterLines="0"/>
        <w:rPr>
          <w:rFonts w:hint="eastAsia"/>
          <w:b w:val="0"/>
          <w:bCs w:val="0"/>
          <w:sz w:val="24"/>
          <w:szCs w:val="24"/>
        </w:rPr>
      </w:pPr>
    </w:p>
    <w:p w14:paraId="7237B224">
      <w:pPr>
        <w:keepNext/>
        <w:keepLines/>
        <w:spacing w:line="576" w:lineRule="exact"/>
        <w:ind w:firstLine="640"/>
        <w:jc w:val="both"/>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附表：部门整体（项目）支出绩效自评表（</w:t>
      </w:r>
      <w:r>
        <w:rPr>
          <w:rFonts w:hint="eastAsia" w:ascii="Times New Roman" w:hAnsi="Times New Roman" w:eastAsia="仿宋_GB2312"/>
          <w:b w:val="0"/>
          <w:bCs w:val="0"/>
          <w:kern w:val="2"/>
          <w:sz w:val="32"/>
          <w:szCs w:val="24"/>
        </w:rPr>
        <w:t>2023</w:t>
      </w:r>
      <w:r>
        <w:rPr>
          <w:rFonts w:hint="eastAsia" w:ascii="仿宋_GB2312" w:hAnsi="仿宋_GB2312" w:eastAsia="仿宋_GB2312"/>
          <w:b w:val="0"/>
          <w:bCs w:val="0"/>
          <w:kern w:val="2"/>
          <w:sz w:val="32"/>
          <w:szCs w:val="24"/>
        </w:rPr>
        <w:t>年度）</w:t>
      </w:r>
    </w:p>
    <w:p w14:paraId="15EB5971">
      <w:pPr>
        <w:pStyle w:val="2"/>
        <w:spacing w:beforeLines="0" w:afterLines="0"/>
        <w:rPr>
          <w:rFonts w:hint="eastAsia" w:ascii="仿宋_GB2312" w:hAnsi="仿宋_GB2312" w:eastAsia="仿宋_GB2312"/>
          <w:b w:val="0"/>
          <w:bCs w:val="0"/>
          <w:kern w:val="2"/>
          <w:sz w:val="32"/>
          <w:szCs w:val="24"/>
        </w:rPr>
      </w:pPr>
    </w:p>
    <w:p w14:paraId="6BE72A73">
      <w:pPr>
        <w:pStyle w:val="2"/>
        <w:spacing w:beforeLines="0" w:afterLines="0"/>
        <w:rPr>
          <w:rFonts w:hint="eastAsia" w:ascii="仿宋_GB2312" w:hAnsi="仿宋_GB2312" w:eastAsia="仿宋_GB2312"/>
          <w:b w:val="0"/>
          <w:bCs w:val="0"/>
          <w:kern w:val="2"/>
          <w:sz w:val="32"/>
          <w:szCs w:val="24"/>
        </w:rPr>
      </w:pPr>
    </w:p>
    <w:p w14:paraId="3FD314B3">
      <w:pPr>
        <w:pStyle w:val="2"/>
        <w:spacing w:beforeLines="0" w:afterLines="0"/>
        <w:rPr>
          <w:rFonts w:hint="eastAsia" w:ascii="仿宋_GB2312" w:hAnsi="仿宋_GB2312" w:eastAsia="仿宋_GB2312"/>
          <w:b w:val="0"/>
          <w:bCs w:val="0"/>
          <w:kern w:val="2"/>
          <w:sz w:val="32"/>
          <w:szCs w:val="24"/>
        </w:rPr>
      </w:pPr>
    </w:p>
    <w:p w14:paraId="4E4FD5EF">
      <w:pPr>
        <w:pStyle w:val="2"/>
        <w:spacing w:beforeLines="0" w:afterLines="0"/>
        <w:rPr>
          <w:rFonts w:hint="eastAsia" w:ascii="仿宋_GB2312" w:hAnsi="仿宋_GB2312" w:eastAsia="仿宋_GB2312"/>
          <w:b w:val="0"/>
          <w:bCs w:val="0"/>
          <w:kern w:val="2"/>
          <w:sz w:val="32"/>
          <w:szCs w:val="24"/>
        </w:rPr>
      </w:pPr>
    </w:p>
    <w:p w14:paraId="66CEB22D">
      <w:pPr>
        <w:pStyle w:val="2"/>
        <w:spacing w:beforeLines="0" w:afterLines="0"/>
        <w:rPr>
          <w:rFonts w:hint="eastAsia" w:ascii="仿宋_GB2312" w:hAnsi="仿宋_GB2312" w:eastAsia="仿宋_GB2312"/>
          <w:b w:val="0"/>
          <w:bCs w:val="0"/>
          <w:kern w:val="2"/>
          <w:sz w:val="32"/>
          <w:szCs w:val="24"/>
        </w:rPr>
      </w:pPr>
    </w:p>
    <w:p w14:paraId="13BA984A">
      <w:pPr>
        <w:pStyle w:val="2"/>
        <w:spacing w:beforeLines="0" w:afterLines="0"/>
        <w:rPr>
          <w:rFonts w:hint="eastAsia" w:ascii="仿宋_GB2312" w:hAnsi="仿宋_GB2312" w:eastAsia="仿宋_GB2312"/>
          <w:b w:val="0"/>
          <w:bCs w:val="0"/>
          <w:kern w:val="2"/>
          <w:sz w:val="32"/>
          <w:szCs w:val="24"/>
        </w:rPr>
      </w:pPr>
    </w:p>
    <w:p w14:paraId="6B7D0E3A">
      <w:pPr>
        <w:pStyle w:val="2"/>
        <w:spacing w:beforeLines="0" w:afterLines="0"/>
        <w:rPr>
          <w:rFonts w:hint="eastAsia" w:ascii="仿宋_GB2312" w:hAnsi="仿宋_GB2312" w:eastAsia="仿宋_GB2312"/>
          <w:b w:val="0"/>
          <w:bCs w:val="0"/>
          <w:kern w:val="2"/>
          <w:sz w:val="32"/>
          <w:szCs w:val="24"/>
        </w:rPr>
      </w:pPr>
    </w:p>
    <w:p w14:paraId="7B22F0F9">
      <w:pPr>
        <w:pStyle w:val="2"/>
        <w:spacing w:beforeLines="0" w:afterLines="0"/>
        <w:rPr>
          <w:rFonts w:hint="eastAsia" w:ascii="仿宋_GB2312" w:hAnsi="仿宋_GB2312" w:eastAsia="仿宋_GB2312"/>
          <w:b w:val="0"/>
          <w:bCs w:val="0"/>
          <w:kern w:val="2"/>
          <w:sz w:val="32"/>
          <w:szCs w:val="24"/>
        </w:rPr>
      </w:pPr>
    </w:p>
    <w:p w14:paraId="4F96A7F2">
      <w:pPr>
        <w:pStyle w:val="2"/>
        <w:spacing w:beforeLines="0" w:afterLines="0"/>
        <w:rPr>
          <w:rFonts w:hint="eastAsia" w:ascii="仿宋_GB2312" w:hAnsi="仿宋_GB2312" w:eastAsia="仿宋_GB2312"/>
          <w:b w:val="0"/>
          <w:bCs w:val="0"/>
          <w:kern w:val="2"/>
          <w:sz w:val="32"/>
          <w:szCs w:val="24"/>
        </w:rPr>
      </w:pPr>
    </w:p>
    <w:tbl>
      <w:tblPr>
        <w:tblStyle w:val="13"/>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
        <w:gridCol w:w="447"/>
        <w:gridCol w:w="160"/>
        <w:gridCol w:w="769"/>
        <w:gridCol w:w="84"/>
        <w:gridCol w:w="951"/>
        <w:gridCol w:w="173"/>
        <w:gridCol w:w="733"/>
        <w:gridCol w:w="607"/>
        <w:gridCol w:w="1638"/>
        <w:gridCol w:w="322"/>
        <w:gridCol w:w="771"/>
        <w:gridCol w:w="327"/>
        <w:gridCol w:w="722"/>
        <w:gridCol w:w="398"/>
        <w:gridCol w:w="903"/>
      </w:tblGrid>
      <w:tr w14:paraId="42F3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6"/>
            <w:tcBorders>
              <w:top w:val="nil"/>
              <w:left w:val="nil"/>
              <w:bottom w:val="nil"/>
              <w:right w:val="nil"/>
              <w:tl2br w:val="nil"/>
              <w:tr2bl w:val="nil"/>
            </w:tcBorders>
            <w:noWrap w:val="0"/>
            <w:vAlign w:val="center"/>
          </w:tcPr>
          <w:p w14:paraId="268220FF">
            <w:pPr>
              <w:keepNext w:val="0"/>
              <w:keepLines w:val="0"/>
              <w:pageBreakBefore w:val="0"/>
              <w:widowControl/>
              <w:kinsoku/>
              <w:wordWrap/>
              <w:overflowPunct/>
              <w:topLinePunct w:val="0"/>
              <w:autoSpaceDE w:val="0"/>
              <w:autoSpaceDN w:val="0"/>
              <w:bidi w:val="0"/>
              <w:adjustRightInd w:val="0"/>
              <w:snapToGrid/>
              <w:spacing w:line="576" w:lineRule="exact"/>
              <w:jc w:val="center"/>
              <w:textAlignment w:val="center"/>
              <w:rPr>
                <w:rFonts w:hint="eastAsia" w:ascii="黑体" w:hAnsi="宋体" w:eastAsia="黑体" w:cs="黑体"/>
                <w:b w:val="0"/>
                <w:bCs w:val="0"/>
                <w:color w:val="000000"/>
                <w:sz w:val="40"/>
                <w:szCs w:val="40"/>
              </w:rPr>
            </w:pPr>
            <w:r>
              <w:rPr>
                <w:rFonts w:hint="eastAsia" w:ascii="方正小标宋简体" w:hAnsi="方正小标宋简体" w:eastAsia="方正小标宋简体" w:cs="方正小标宋简体"/>
                <w:b w:val="0"/>
                <w:bCs w:val="0"/>
                <w:color w:val="000000"/>
                <w:sz w:val="44"/>
                <w:szCs w:val="44"/>
                <w:lang w:bidi="ar"/>
              </w:rPr>
              <w:t>广元市昭化区部门整体支出绩效目标自评表</w:t>
            </w:r>
          </w:p>
        </w:tc>
      </w:tr>
      <w:tr w14:paraId="10CA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6"/>
            <w:tcBorders>
              <w:top w:val="nil"/>
              <w:left w:val="nil"/>
              <w:bottom w:val="nil"/>
              <w:right w:val="nil"/>
              <w:tl2br w:val="nil"/>
              <w:tr2bl w:val="nil"/>
            </w:tcBorders>
            <w:noWrap w:val="0"/>
            <w:vAlign w:val="top"/>
          </w:tcPr>
          <w:p w14:paraId="4A3DAEBB">
            <w:pPr>
              <w:widowControl/>
              <w:jc w:val="center"/>
              <w:textAlignment w:val="top"/>
              <w:rPr>
                <w:rFonts w:hint="default" w:hAnsi="宋体" w:cs="宋体"/>
                <w:b w:val="0"/>
                <w:bCs w:val="0"/>
                <w:color w:val="000000"/>
                <w:sz w:val="22"/>
                <w:szCs w:val="22"/>
              </w:rPr>
            </w:pPr>
            <w:r>
              <w:rPr>
                <w:rFonts w:hint="default" w:hAnsi="宋体" w:cs="宋体"/>
                <w:b w:val="0"/>
                <w:bCs w:val="0"/>
                <w:color w:val="000000"/>
                <w:sz w:val="22"/>
                <w:szCs w:val="22"/>
                <w:lang w:bidi="ar"/>
              </w:rPr>
              <w:t>（</w:t>
            </w:r>
            <w:r>
              <w:rPr>
                <w:rFonts w:hint="default" w:ascii="Times New Roman" w:hAnsi="Times New Roman" w:cs="宋体"/>
                <w:b w:val="0"/>
                <w:bCs w:val="0"/>
                <w:color w:val="000000"/>
                <w:sz w:val="22"/>
                <w:szCs w:val="22"/>
                <w:lang w:bidi="ar"/>
              </w:rPr>
              <w:t>2023</w:t>
            </w:r>
            <w:r>
              <w:rPr>
                <w:rFonts w:hint="default" w:hAnsi="宋体" w:cs="宋体"/>
                <w:b w:val="0"/>
                <w:bCs w:val="0"/>
                <w:color w:val="000000"/>
                <w:sz w:val="22"/>
                <w:szCs w:val="22"/>
                <w:lang w:bidi="ar"/>
              </w:rPr>
              <w:t>年度）</w:t>
            </w:r>
          </w:p>
        </w:tc>
      </w:tr>
      <w:tr w14:paraId="22E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7523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主管部门</w:t>
            </w:r>
          </w:p>
        </w:tc>
        <w:tc>
          <w:tcPr>
            <w:tcW w:w="230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9E69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广元市昭化区目标绩效事务中心</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9A2C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实施单位</w:t>
            </w:r>
          </w:p>
        </w:tc>
        <w:tc>
          <w:tcPr>
            <w:tcW w:w="1111"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32CBAF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广元市昭化区目标绩效事务中心</w:t>
            </w:r>
          </w:p>
        </w:tc>
      </w:tr>
      <w:tr w14:paraId="12B8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5" w:type="pct"/>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482C318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项目（政策）资金（万元）</w:t>
            </w:r>
          </w:p>
        </w:tc>
        <w:tc>
          <w:tcPr>
            <w:tcW w:w="1067" w:type="pct"/>
            <w:gridSpan w:val="4"/>
            <w:tcBorders>
              <w:top w:val="nil"/>
              <w:left w:val="single" w:color="000000" w:sz="4" w:space="0"/>
              <w:bottom w:val="single" w:color="000000" w:sz="4" w:space="0"/>
              <w:right w:val="single" w:color="000000" w:sz="4" w:space="0"/>
              <w:tl2br w:val="nil"/>
              <w:tr2bl w:val="nil"/>
            </w:tcBorders>
            <w:noWrap w:val="0"/>
            <w:vAlign w:val="center"/>
          </w:tcPr>
          <w:p w14:paraId="68472890">
            <w:pPr>
              <w:jc w:val="center"/>
              <w:rPr>
                <w:rFonts w:hint="default" w:hAnsi="宋体" w:cs="宋体"/>
                <w:b w:val="0"/>
                <w:bCs w:val="0"/>
                <w:color w:val="000000"/>
                <w:sz w:val="15"/>
                <w:szCs w:val="15"/>
              </w:rPr>
            </w:pPr>
          </w:p>
        </w:tc>
        <w:tc>
          <w:tcPr>
            <w:tcW w:w="1234" w:type="pct"/>
            <w:gridSpan w:val="2"/>
            <w:tcBorders>
              <w:top w:val="nil"/>
              <w:left w:val="single" w:color="000000" w:sz="4" w:space="0"/>
              <w:bottom w:val="single" w:color="000000" w:sz="4" w:space="0"/>
              <w:right w:val="single" w:color="000000" w:sz="4" w:space="0"/>
              <w:tl2br w:val="nil"/>
              <w:tr2bl w:val="nil"/>
            </w:tcBorders>
            <w:noWrap w:val="0"/>
            <w:vAlign w:val="center"/>
          </w:tcPr>
          <w:p w14:paraId="447DE9D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年初预算数</w:t>
            </w:r>
          </w:p>
        </w:tc>
        <w:tc>
          <w:tcPr>
            <w:tcW w:w="780" w:type="pct"/>
            <w:gridSpan w:val="3"/>
            <w:tcBorders>
              <w:top w:val="nil"/>
              <w:left w:val="single" w:color="000000" w:sz="4" w:space="0"/>
              <w:bottom w:val="single" w:color="000000" w:sz="4" w:space="0"/>
              <w:right w:val="single" w:color="000000" w:sz="4" w:space="0"/>
              <w:tl2br w:val="nil"/>
              <w:tr2bl w:val="nil"/>
            </w:tcBorders>
            <w:noWrap w:val="0"/>
            <w:vAlign w:val="center"/>
          </w:tcPr>
          <w:p w14:paraId="565C0785">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全年预算数</w:t>
            </w:r>
          </w:p>
        </w:tc>
        <w:tc>
          <w:tcPr>
            <w:tcW w:w="616" w:type="pct"/>
            <w:gridSpan w:val="2"/>
            <w:tcBorders>
              <w:top w:val="nil"/>
              <w:left w:val="single" w:color="000000" w:sz="4" w:space="0"/>
              <w:bottom w:val="single" w:color="000000" w:sz="4" w:space="0"/>
              <w:right w:val="single" w:color="000000" w:sz="4" w:space="0"/>
              <w:tl2br w:val="nil"/>
              <w:tr2bl w:val="nil"/>
            </w:tcBorders>
            <w:noWrap w:val="0"/>
            <w:vAlign w:val="center"/>
          </w:tcPr>
          <w:p w14:paraId="42904596">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全年执行数</w:t>
            </w:r>
          </w:p>
        </w:tc>
        <w:tc>
          <w:tcPr>
            <w:tcW w:w="494" w:type="pct"/>
            <w:tcBorders>
              <w:top w:val="nil"/>
              <w:left w:val="single" w:color="000000" w:sz="4" w:space="0"/>
              <w:bottom w:val="single" w:color="000000" w:sz="4" w:space="0"/>
              <w:right w:val="single" w:color="000000" w:sz="4" w:space="0"/>
              <w:tl2br w:val="nil"/>
              <w:tr2bl w:val="nil"/>
            </w:tcBorders>
            <w:noWrap w:val="0"/>
            <w:vAlign w:val="center"/>
          </w:tcPr>
          <w:p w14:paraId="1757B857">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执行率（%）</w:t>
            </w:r>
          </w:p>
        </w:tc>
      </w:tr>
      <w:tr w14:paraId="06FE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5"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89018E6">
            <w:pPr>
              <w:jc w:val="center"/>
              <w:rPr>
                <w:rFonts w:hint="default" w:hAnsi="宋体" w:cs="宋体"/>
                <w:b w:val="0"/>
                <w:bCs w:val="0"/>
                <w:color w:val="000000"/>
                <w:sz w:val="15"/>
                <w:szCs w:val="15"/>
              </w:rPr>
            </w:pPr>
          </w:p>
        </w:tc>
        <w:tc>
          <w:tcPr>
            <w:tcW w:w="106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128DD">
            <w:pPr>
              <w:widowControl/>
              <w:jc w:val="both"/>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年度资金总额</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04D8E">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146</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FDF11">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209</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95</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7F890">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208</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23</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74310">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99</w:t>
            </w:r>
          </w:p>
        </w:tc>
      </w:tr>
      <w:tr w14:paraId="68E2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805"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0F516398">
            <w:pPr>
              <w:jc w:val="center"/>
              <w:rPr>
                <w:rFonts w:hint="default" w:hAnsi="宋体" w:cs="宋体"/>
                <w:b w:val="0"/>
                <w:bCs w:val="0"/>
                <w:color w:val="000000"/>
                <w:sz w:val="15"/>
                <w:szCs w:val="15"/>
              </w:rPr>
            </w:pPr>
          </w:p>
        </w:tc>
        <w:tc>
          <w:tcPr>
            <w:tcW w:w="106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EC6C5">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（一）财政拨款小计</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ADEC0">
            <w:pPr>
              <w:jc w:val="center"/>
              <w:rPr>
                <w:rFonts w:hint="default" w:hAnsi="宋体" w:cs="宋体"/>
                <w:b w:val="0"/>
                <w:bCs w:val="0"/>
                <w:color w:val="000000"/>
                <w:sz w:val="15"/>
                <w:szCs w:val="15"/>
              </w:rPr>
            </w:pP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47C9A">
            <w:pPr>
              <w:jc w:val="center"/>
              <w:rPr>
                <w:rFonts w:hint="default" w:hAnsi="宋体" w:cs="宋体"/>
                <w:b w:val="0"/>
                <w:bCs w:val="0"/>
                <w:color w:val="000000"/>
                <w:sz w:val="15"/>
                <w:szCs w:val="15"/>
              </w:rPr>
            </w:pP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22CEC">
            <w:pPr>
              <w:jc w:val="center"/>
              <w:rPr>
                <w:rFonts w:hint="default" w:hAnsi="宋体" w:cs="宋体"/>
                <w:b w:val="0"/>
                <w:bCs w:val="0"/>
                <w:color w:val="000000"/>
                <w:sz w:val="15"/>
                <w:szCs w:val="15"/>
              </w:rPr>
            </w:pP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AE0C7">
            <w:pPr>
              <w:jc w:val="center"/>
              <w:rPr>
                <w:rFonts w:hint="default" w:hAnsi="宋体" w:cs="宋体"/>
                <w:b w:val="0"/>
                <w:bCs w:val="0"/>
                <w:color w:val="000000"/>
                <w:sz w:val="15"/>
                <w:szCs w:val="15"/>
              </w:rPr>
            </w:pPr>
          </w:p>
        </w:tc>
      </w:tr>
      <w:tr w14:paraId="7471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05"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4FAEAA0">
            <w:pPr>
              <w:jc w:val="center"/>
              <w:rPr>
                <w:rFonts w:hint="default" w:hAnsi="宋体" w:cs="宋体"/>
                <w:b w:val="0"/>
                <w:bCs w:val="0"/>
                <w:color w:val="000000"/>
                <w:sz w:val="15"/>
                <w:szCs w:val="15"/>
              </w:rPr>
            </w:pPr>
          </w:p>
        </w:tc>
        <w:tc>
          <w:tcPr>
            <w:tcW w:w="106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99225">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 xml:space="preserve">  </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.一般公共预算</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DF7BC">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146</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C1138">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209</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95</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77213">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208</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23</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1EC07">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99</w:t>
            </w:r>
          </w:p>
        </w:tc>
      </w:tr>
      <w:tr w14:paraId="4678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82"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71CC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整体</w:t>
            </w:r>
            <w:r>
              <w:rPr>
                <w:rFonts w:hint="default" w:hAnsi="宋体" w:cs="宋体"/>
                <w:b w:val="0"/>
                <w:bCs w:val="0"/>
                <w:color w:val="000000"/>
                <w:sz w:val="15"/>
                <w:szCs w:val="15"/>
                <w:lang w:bidi="ar"/>
              </w:rPr>
              <w:br w:type="textWrapping"/>
            </w:r>
            <w:r>
              <w:rPr>
                <w:rFonts w:hint="default" w:hAnsi="宋体" w:cs="宋体"/>
                <w:b w:val="0"/>
                <w:bCs w:val="0"/>
                <w:color w:val="000000"/>
                <w:sz w:val="15"/>
                <w:szCs w:val="15"/>
                <w:lang w:bidi="ar"/>
              </w:rPr>
              <w:t>目标</w:t>
            </w:r>
          </w:p>
        </w:tc>
        <w:tc>
          <w:tcPr>
            <w:tcW w:w="3505"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B4C5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年度目标</w:t>
            </w:r>
          </w:p>
        </w:tc>
        <w:tc>
          <w:tcPr>
            <w:tcW w:w="111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2DCC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完成情况</w:t>
            </w:r>
          </w:p>
        </w:tc>
      </w:tr>
      <w:tr w14:paraId="7A07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0DF19">
            <w:pPr>
              <w:jc w:val="center"/>
              <w:rPr>
                <w:rFonts w:hint="default" w:hAnsi="宋体" w:cs="宋体"/>
                <w:b w:val="0"/>
                <w:bCs w:val="0"/>
                <w:color w:val="000000"/>
                <w:sz w:val="15"/>
                <w:szCs w:val="15"/>
              </w:rPr>
            </w:pPr>
          </w:p>
        </w:tc>
        <w:tc>
          <w:tcPr>
            <w:tcW w:w="3505"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639AC">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 xml:space="preserve">   保障日常运行。落实中央、省、市、区各项决策，紧贴区委区政府中心工作，扎实开展疫情防控常态化、民生实事等事项督查，以区委常委会议定事项，区政府常务会议定事项，全区重（难）点事项和区委区政府主要领导批示件办理事项为主要内容，对全区区级各部门、各镇进行督查检查考核。开展区级目标绩效管理学习，全年召开全区目标绩效管理工作会议</w:t>
            </w:r>
            <w:r>
              <w:rPr>
                <w:rFonts w:hint="default" w:ascii="Times New Roman" w:hAnsi="Times New Roman" w:cs="宋体"/>
                <w:b w:val="0"/>
                <w:bCs w:val="0"/>
                <w:color w:val="000000"/>
                <w:sz w:val="15"/>
                <w:szCs w:val="15"/>
                <w:lang w:bidi="ar"/>
              </w:rPr>
              <w:t>4</w:t>
            </w:r>
            <w:r>
              <w:rPr>
                <w:rFonts w:hint="default" w:hAnsi="宋体" w:cs="宋体"/>
                <w:b w:val="0"/>
                <w:bCs w:val="0"/>
                <w:color w:val="000000"/>
                <w:sz w:val="15"/>
                <w:szCs w:val="15"/>
                <w:lang w:bidi="ar"/>
              </w:rPr>
              <w:t>次，全年培训</w:t>
            </w:r>
            <w:r>
              <w:rPr>
                <w:rFonts w:hint="default" w:ascii="Times New Roman" w:hAnsi="Times New Roman" w:cs="宋体"/>
                <w:b w:val="0"/>
                <w:bCs w:val="0"/>
                <w:color w:val="000000"/>
                <w:sz w:val="15"/>
                <w:szCs w:val="15"/>
                <w:lang w:bidi="ar"/>
              </w:rPr>
              <w:t>200</w:t>
            </w:r>
            <w:r>
              <w:rPr>
                <w:rFonts w:hint="default" w:hAnsi="宋体" w:cs="宋体"/>
                <w:b w:val="0"/>
                <w:bCs w:val="0"/>
                <w:color w:val="000000"/>
                <w:sz w:val="15"/>
                <w:szCs w:val="15"/>
                <w:lang w:bidi="ar"/>
              </w:rPr>
              <w:t>人次，适时开展目标调度，做好市对区目标考评工作、重点工作运行，完成年度综合目标考核等工作。</w:t>
            </w:r>
          </w:p>
        </w:tc>
        <w:tc>
          <w:tcPr>
            <w:tcW w:w="111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DAEBF">
            <w:pPr>
              <w:widowControl/>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2023</w:t>
            </w:r>
            <w:r>
              <w:rPr>
                <w:rFonts w:hint="default" w:hAnsi="宋体" w:cs="宋体"/>
                <w:b w:val="0"/>
                <w:bCs w:val="0"/>
                <w:color w:val="000000"/>
                <w:sz w:val="15"/>
                <w:szCs w:val="15"/>
                <w:lang w:bidi="ar"/>
              </w:rPr>
              <w:t>年绩效指标按照要求完成全年任务内容。</w:t>
            </w:r>
          </w:p>
        </w:tc>
      </w:tr>
      <w:tr w14:paraId="215D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382"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C97DD">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部门整体绩效指标</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06EA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一级指标</w:t>
            </w:r>
          </w:p>
        </w:tc>
        <w:tc>
          <w:tcPr>
            <w:tcW w:w="5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4F0E6">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二级指标</w:t>
            </w:r>
          </w:p>
        </w:tc>
        <w:tc>
          <w:tcPr>
            <w:tcW w:w="173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0B14D">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三级指标</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DB416">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年度指标值</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C701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实际完成值</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448B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偏差原因分析及改进措施</w:t>
            </w:r>
          </w:p>
        </w:tc>
      </w:tr>
      <w:tr w14:paraId="3A3F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CFBB4">
            <w:pPr>
              <w:jc w:val="center"/>
              <w:rPr>
                <w:rFonts w:hint="default" w:hAnsi="宋体" w:cs="宋体"/>
                <w:b w:val="0"/>
                <w:bCs w:val="0"/>
                <w:color w:val="000000"/>
                <w:sz w:val="15"/>
                <w:szCs w:val="15"/>
              </w:rPr>
            </w:pPr>
          </w:p>
        </w:tc>
        <w:tc>
          <w:tcPr>
            <w:tcW w:w="422" w:type="pct"/>
            <w:vMerge w:val="restart"/>
            <w:tcBorders>
              <w:top w:val="single" w:color="000000" w:sz="4" w:space="0"/>
              <w:left w:val="single" w:color="000000" w:sz="4" w:space="0"/>
              <w:bottom w:val="nil"/>
              <w:right w:val="single" w:color="000000" w:sz="4" w:space="0"/>
              <w:tl2br w:val="nil"/>
              <w:tr2bl w:val="nil"/>
            </w:tcBorders>
            <w:noWrap w:val="0"/>
            <w:vAlign w:val="center"/>
          </w:tcPr>
          <w:p w14:paraId="50069C6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产出指标</w:t>
            </w:r>
          </w:p>
        </w:tc>
        <w:tc>
          <w:tcPr>
            <w:tcW w:w="56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E827BE7">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数量指标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E8130">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AA93B">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目标管理会议次数</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D259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4</w:t>
            </w:r>
            <w:r>
              <w:rPr>
                <w:rFonts w:hint="default" w:hAnsi="宋体" w:cs="宋体"/>
                <w:b w:val="0"/>
                <w:bCs w:val="0"/>
                <w:color w:val="000000"/>
                <w:sz w:val="15"/>
                <w:szCs w:val="15"/>
                <w:lang w:bidi="ar"/>
              </w:rPr>
              <w:t>次</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72994">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5</w:t>
            </w:r>
            <w:r>
              <w:rPr>
                <w:rFonts w:hint="default" w:hAnsi="宋体" w:cs="宋体"/>
                <w:b w:val="0"/>
                <w:bCs w:val="0"/>
                <w:color w:val="000000"/>
                <w:sz w:val="15"/>
                <w:szCs w:val="15"/>
                <w:lang w:bidi="ar"/>
              </w:rPr>
              <w:t>次</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24D60">
            <w:pPr>
              <w:jc w:val="center"/>
              <w:rPr>
                <w:rFonts w:hint="default" w:hAnsi="宋体" w:cs="宋体"/>
                <w:b w:val="0"/>
                <w:bCs w:val="0"/>
                <w:color w:val="000000"/>
                <w:sz w:val="15"/>
                <w:szCs w:val="15"/>
              </w:rPr>
            </w:pPr>
          </w:p>
        </w:tc>
      </w:tr>
      <w:tr w14:paraId="22B4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ECDC5">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04507C2">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2906C75">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F4076">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2</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35DDB">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目标管理会议培训人次</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7390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200</w:t>
            </w:r>
            <w:r>
              <w:rPr>
                <w:rFonts w:hint="default" w:hAnsi="宋体" w:cs="宋体"/>
                <w:b w:val="0"/>
                <w:bCs w:val="0"/>
                <w:color w:val="000000"/>
                <w:sz w:val="15"/>
                <w:szCs w:val="15"/>
                <w:lang w:bidi="ar"/>
              </w:rPr>
              <w:t>次</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F22A1">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200</w:t>
            </w:r>
            <w:r>
              <w:rPr>
                <w:rFonts w:hint="default" w:hAnsi="宋体" w:cs="宋体"/>
                <w:b w:val="0"/>
                <w:bCs w:val="0"/>
                <w:color w:val="000000"/>
                <w:sz w:val="15"/>
                <w:szCs w:val="15"/>
                <w:lang w:bidi="ar"/>
              </w:rPr>
              <w:t>次</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967D4">
            <w:pPr>
              <w:jc w:val="center"/>
              <w:rPr>
                <w:rFonts w:hint="default" w:hAnsi="宋体" w:cs="宋体"/>
                <w:b w:val="0"/>
                <w:bCs w:val="0"/>
                <w:color w:val="000000"/>
                <w:sz w:val="15"/>
                <w:szCs w:val="15"/>
              </w:rPr>
            </w:pPr>
          </w:p>
        </w:tc>
      </w:tr>
      <w:tr w14:paraId="3FB9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616B4">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5DD00C08">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86365BC">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6ED3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3</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B7BE4">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在职职工人数</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14CF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6</w:t>
            </w:r>
            <w:r>
              <w:rPr>
                <w:rFonts w:hint="default" w:hAnsi="宋体" w:cs="宋体"/>
                <w:b w:val="0"/>
                <w:bCs w:val="0"/>
                <w:color w:val="000000"/>
                <w:sz w:val="15"/>
                <w:szCs w:val="15"/>
                <w:lang w:bidi="ar"/>
              </w:rPr>
              <w:t>人</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FEE25">
            <w:pPr>
              <w:widowControl/>
              <w:jc w:val="center"/>
              <w:textAlignment w:val="center"/>
              <w:rPr>
                <w:rFonts w:hint="default" w:hAnsi="宋体" w:cs="宋体"/>
                <w:b w:val="0"/>
                <w:bCs w:val="0"/>
                <w:color w:val="000000"/>
                <w:sz w:val="15"/>
                <w:szCs w:val="15"/>
              </w:rPr>
            </w:pPr>
            <w:r>
              <w:rPr>
                <w:rFonts w:hint="default" w:ascii="Times New Roman" w:hAnsi="Times New Roman" w:cs="宋体"/>
                <w:b w:val="0"/>
                <w:bCs w:val="0"/>
                <w:color w:val="000000"/>
                <w:sz w:val="15"/>
                <w:szCs w:val="15"/>
                <w:lang w:bidi="ar"/>
              </w:rPr>
              <w:t>9</w:t>
            </w:r>
            <w:r>
              <w:rPr>
                <w:rFonts w:hint="default" w:hAnsi="宋体" w:cs="宋体"/>
                <w:b w:val="0"/>
                <w:bCs w:val="0"/>
                <w:color w:val="000000"/>
                <w:sz w:val="15"/>
                <w:szCs w:val="15"/>
                <w:lang w:bidi="ar"/>
              </w:rPr>
              <w:t>人</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C51C3">
            <w:pPr>
              <w:jc w:val="center"/>
              <w:rPr>
                <w:rFonts w:hint="default" w:hAnsi="宋体" w:cs="宋体"/>
                <w:b w:val="0"/>
                <w:bCs w:val="0"/>
                <w:color w:val="000000"/>
                <w:sz w:val="15"/>
                <w:szCs w:val="15"/>
              </w:rPr>
            </w:pPr>
          </w:p>
        </w:tc>
      </w:tr>
      <w:tr w14:paraId="56E6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F7E44">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3DFD52A">
            <w:pPr>
              <w:jc w:val="center"/>
              <w:rPr>
                <w:rFonts w:hint="default" w:hAnsi="宋体" w:cs="宋体"/>
                <w:b w:val="0"/>
                <w:bCs w:val="0"/>
                <w:color w:val="000000"/>
                <w:sz w:val="15"/>
                <w:szCs w:val="15"/>
              </w:rPr>
            </w:pPr>
          </w:p>
        </w:tc>
        <w:tc>
          <w:tcPr>
            <w:tcW w:w="56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C1D80DA">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质量指标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6075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1CC17">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督查事项执行率</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7CAC1">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71524">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92339">
            <w:pPr>
              <w:jc w:val="center"/>
              <w:rPr>
                <w:rFonts w:hint="default" w:hAnsi="宋体" w:cs="宋体"/>
                <w:b w:val="0"/>
                <w:bCs w:val="0"/>
                <w:color w:val="000000"/>
                <w:sz w:val="15"/>
                <w:szCs w:val="15"/>
              </w:rPr>
            </w:pPr>
          </w:p>
        </w:tc>
      </w:tr>
      <w:tr w14:paraId="22D2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F0283">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4CA0003">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8F4DEE5">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8134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2</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BAE56">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目标管理事项执行率</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F02F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4B58E">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4BA3E">
            <w:pPr>
              <w:jc w:val="center"/>
              <w:rPr>
                <w:rFonts w:hint="default" w:hAnsi="宋体" w:cs="宋体"/>
                <w:b w:val="0"/>
                <w:bCs w:val="0"/>
                <w:color w:val="000000"/>
                <w:sz w:val="15"/>
                <w:szCs w:val="15"/>
              </w:rPr>
            </w:pPr>
          </w:p>
        </w:tc>
      </w:tr>
      <w:tr w14:paraId="53DC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A6999">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1E935A05">
            <w:pPr>
              <w:jc w:val="center"/>
              <w:rPr>
                <w:rFonts w:hint="default" w:hAnsi="宋体" w:cs="宋体"/>
                <w:b w:val="0"/>
                <w:bCs w:val="0"/>
                <w:color w:val="000000"/>
                <w:sz w:val="15"/>
                <w:szCs w:val="15"/>
              </w:rPr>
            </w:pPr>
          </w:p>
        </w:tc>
        <w:tc>
          <w:tcPr>
            <w:tcW w:w="569" w:type="pct"/>
            <w:gridSpan w:val="2"/>
            <w:tcBorders>
              <w:top w:val="single" w:color="000000" w:sz="4" w:space="0"/>
              <w:left w:val="single" w:color="000000" w:sz="4" w:space="0"/>
              <w:bottom w:val="nil"/>
              <w:right w:val="single" w:color="000000" w:sz="4" w:space="0"/>
              <w:tl2br w:val="nil"/>
              <w:tr2bl w:val="nil"/>
            </w:tcBorders>
            <w:noWrap w:val="0"/>
            <w:vAlign w:val="center"/>
          </w:tcPr>
          <w:p w14:paraId="047818A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时效指标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8255A">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D48DD">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督查、目标管理各项业务完成的时间、效率情况</w:t>
            </w:r>
          </w:p>
        </w:tc>
        <w:tc>
          <w:tcPr>
            <w:tcW w:w="780" w:type="pct"/>
            <w:gridSpan w:val="3"/>
            <w:tcBorders>
              <w:top w:val="single" w:color="000000" w:sz="4" w:space="0"/>
              <w:left w:val="nil"/>
              <w:bottom w:val="single" w:color="000000" w:sz="4" w:space="0"/>
              <w:right w:val="single" w:color="000000" w:sz="4" w:space="0"/>
              <w:tl2br w:val="nil"/>
              <w:tr2bl w:val="nil"/>
            </w:tcBorders>
            <w:noWrap w:val="0"/>
            <w:vAlign w:val="center"/>
          </w:tcPr>
          <w:p w14:paraId="2CCD6E8D">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定性</w:t>
            </w:r>
            <w:r>
              <w:rPr>
                <w:rFonts w:hint="eastAsia" w:hAnsi="宋体" w:cs="宋体"/>
                <w:b w:val="0"/>
                <w:bCs w:val="0"/>
                <w:color w:val="000000"/>
                <w:sz w:val="15"/>
                <w:szCs w:val="15"/>
                <w:lang w:eastAsia="zh-CN" w:bidi="ar"/>
              </w:rPr>
              <w:t>：</w:t>
            </w:r>
            <w:r>
              <w:rPr>
                <w:rFonts w:hint="default" w:hAnsi="宋体" w:cs="宋体"/>
                <w:b w:val="0"/>
                <w:bCs w:val="0"/>
                <w:color w:val="000000"/>
                <w:sz w:val="15"/>
                <w:szCs w:val="15"/>
                <w:lang w:bidi="ar"/>
              </w:rPr>
              <w:t>优良中低差</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698B1">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优</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F9CC6">
            <w:pPr>
              <w:jc w:val="center"/>
              <w:rPr>
                <w:rFonts w:hint="default" w:hAnsi="宋体" w:cs="宋体"/>
                <w:b w:val="0"/>
                <w:bCs w:val="0"/>
                <w:color w:val="000000"/>
                <w:sz w:val="15"/>
                <w:szCs w:val="15"/>
              </w:rPr>
            </w:pPr>
          </w:p>
        </w:tc>
      </w:tr>
      <w:tr w14:paraId="68BA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5DB4C">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4C0AA93">
            <w:pPr>
              <w:jc w:val="center"/>
              <w:rPr>
                <w:rFonts w:hint="default" w:hAnsi="宋体" w:cs="宋体"/>
                <w:b w:val="0"/>
                <w:bCs w:val="0"/>
                <w:color w:val="000000"/>
                <w:sz w:val="15"/>
                <w:szCs w:val="15"/>
              </w:rPr>
            </w:pPr>
          </w:p>
        </w:tc>
        <w:tc>
          <w:tcPr>
            <w:tcW w:w="56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D5464F4">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成本指标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5253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8BC52">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督查工作经费</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08D5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50</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F556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50</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DB59C">
            <w:pPr>
              <w:jc w:val="center"/>
              <w:rPr>
                <w:rFonts w:hint="default" w:hAnsi="宋体" w:cs="宋体"/>
                <w:b w:val="0"/>
                <w:bCs w:val="0"/>
                <w:color w:val="000000"/>
                <w:sz w:val="15"/>
                <w:szCs w:val="15"/>
              </w:rPr>
            </w:pPr>
          </w:p>
        </w:tc>
      </w:tr>
      <w:tr w14:paraId="436C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36302">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44127E4">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D83EC2B">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CF27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2</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21698">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目标管理工作经费</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7293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41022">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AEA83">
            <w:pPr>
              <w:jc w:val="center"/>
              <w:rPr>
                <w:rFonts w:hint="default" w:hAnsi="宋体" w:cs="宋体"/>
                <w:b w:val="0"/>
                <w:bCs w:val="0"/>
                <w:color w:val="000000"/>
                <w:sz w:val="15"/>
                <w:szCs w:val="15"/>
              </w:rPr>
            </w:pPr>
          </w:p>
        </w:tc>
      </w:tr>
      <w:tr w14:paraId="3F6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6D03B">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705F3522">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4CCD6E3">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D170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3</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D0417">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人员工资、保险</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FD66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102</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55</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9231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102</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55</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301EF">
            <w:pPr>
              <w:jc w:val="center"/>
              <w:rPr>
                <w:rFonts w:hint="default" w:hAnsi="宋体" w:cs="宋体"/>
                <w:b w:val="0"/>
                <w:bCs w:val="0"/>
                <w:color w:val="000000"/>
                <w:sz w:val="15"/>
                <w:szCs w:val="15"/>
              </w:rPr>
            </w:pPr>
          </w:p>
        </w:tc>
      </w:tr>
      <w:tr w14:paraId="4433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E578D">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5B35EA0B">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7A9AEA2">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82BD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4</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AACAB">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人员工作经费，主要用于下乡补贴、办公经费、督查会议费等</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0ACDA">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8</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4</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CD6C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8</w:t>
            </w: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4</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8FA5C">
            <w:pPr>
              <w:jc w:val="center"/>
              <w:rPr>
                <w:rFonts w:hint="default" w:hAnsi="宋体" w:cs="宋体"/>
                <w:b w:val="0"/>
                <w:bCs w:val="0"/>
                <w:color w:val="000000"/>
                <w:sz w:val="15"/>
                <w:szCs w:val="15"/>
              </w:rPr>
            </w:pPr>
          </w:p>
        </w:tc>
      </w:tr>
      <w:tr w14:paraId="4877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27D52">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50A1CB22">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9C8603">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392D2">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5</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3300A">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省委巡视经费</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7F2F0">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7</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53D97">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7</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8A940">
            <w:pPr>
              <w:jc w:val="center"/>
              <w:rPr>
                <w:rFonts w:hint="default" w:hAnsi="宋体" w:cs="宋体"/>
                <w:b w:val="0"/>
                <w:bCs w:val="0"/>
                <w:color w:val="000000"/>
                <w:sz w:val="15"/>
                <w:szCs w:val="15"/>
              </w:rPr>
            </w:pPr>
          </w:p>
        </w:tc>
      </w:tr>
      <w:tr w14:paraId="529A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81B6E">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nil"/>
              <w:right w:val="single" w:color="000000" w:sz="4" w:space="0"/>
              <w:tl2br w:val="nil"/>
              <w:tr2bl w:val="nil"/>
            </w:tcBorders>
            <w:noWrap w:val="0"/>
            <w:vAlign w:val="center"/>
          </w:tcPr>
          <w:p w14:paraId="479499ED">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373F1AF">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AF08C">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6</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AB0D1">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解决</w:t>
            </w:r>
            <w:r>
              <w:rPr>
                <w:rFonts w:hint="default" w:ascii="Times New Roman" w:hAnsi="Times New Roman" w:cs="宋体"/>
                <w:b w:val="0"/>
                <w:bCs w:val="0"/>
                <w:color w:val="000000"/>
                <w:sz w:val="15"/>
                <w:szCs w:val="15"/>
                <w:lang w:bidi="ar"/>
              </w:rPr>
              <w:t>2023</w:t>
            </w:r>
            <w:r>
              <w:rPr>
                <w:rFonts w:hint="default" w:hAnsi="宋体" w:cs="宋体"/>
                <w:b w:val="0"/>
                <w:bCs w:val="0"/>
                <w:color w:val="000000"/>
                <w:sz w:val="15"/>
                <w:szCs w:val="15"/>
                <w:lang w:bidi="ar"/>
              </w:rPr>
              <w:t>年工作经费差口资金</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3E87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32</w:t>
            </w:r>
            <w:r>
              <w:rPr>
                <w:rFonts w:hint="default" w:hAnsi="宋体" w:cs="宋体"/>
                <w:b w:val="0"/>
                <w:bCs w:val="0"/>
                <w:color w:val="000000"/>
                <w:sz w:val="15"/>
                <w:szCs w:val="15"/>
                <w:lang w:bidi="ar"/>
              </w:rPr>
              <w:t>万元</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A79E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32</w:t>
            </w:r>
            <w:r>
              <w:rPr>
                <w:rFonts w:hint="default" w:hAnsi="宋体" w:cs="宋体"/>
                <w:b w:val="0"/>
                <w:bCs w:val="0"/>
                <w:color w:val="000000"/>
                <w:sz w:val="15"/>
                <w:szCs w:val="15"/>
                <w:lang w:bidi="ar"/>
              </w:rPr>
              <w:t>万元</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C24D01">
            <w:pPr>
              <w:jc w:val="center"/>
              <w:rPr>
                <w:rFonts w:hint="default" w:hAnsi="宋体" w:cs="宋体"/>
                <w:b w:val="0"/>
                <w:bCs w:val="0"/>
                <w:color w:val="000000"/>
                <w:sz w:val="15"/>
                <w:szCs w:val="15"/>
              </w:rPr>
            </w:pPr>
          </w:p>
        </w:tc>
      </w:tr>
      <w:tr w14:paraId="5D40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DDA4B">
            <w:pPr>
              <w:jc w:val="center"/>
              <w:rPr>
                <w:rFonts w:hint="default" w:hAnsi="宋体" w:cs="宋体"/>
                <w:b w:val="0"/>
                <w:bCs w:val="0"/>
                <w:color w:val="000000"/>
                <w:sz w:val="15"/>
                <w:szCs w:val="15"/>
              </w:rPr>
            </w:pPr>
          </w:p>
        </w:tc>
        <w:tc>
          <w:tcPr>
            <w:tcW w:w="42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548D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效益指标</w:t>
            </w:r>
          </w:p>
        </w:tc>
        <w:tc>
          <w:tcPr>
            <w:tcW w:w="56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7194032">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社会效益</w:t>
            </w:r>
            <w:r>
              <w:rPr>
                <w:rFonts w:hint="default" w:hAnsi="宋体" w:cs="宋体"/>
                <w:b w:val="0"/>
                <w:bCs w:val="0"/>
                <w:color w:val="000000"/>
                <w:sz w:val="15"/>
                <w:szCs w:val="15"/>
                <w:lang w:bidi="ar"/>
              </w:rPr>
              <w:br w:type="textWrapping"/>
            </w:r>
            <w:r>
              <w:rPr>
                <w:rFonts w:hint="default" w:hAnsi="宋体" w:cs="宋体"/>
                <w:b w:val="0"/>
                <w:bCs w:val="0"/>
                <w:color w:val="000000"/>
                <w:sz w:val="15"/>
                <w:szCs w:val="15"/>
                <w:lang w:bidi="ar"/>
              </w:rPr>
              <w:t>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F2827">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AC677">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督查事项整改落实率</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3A20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02C4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9BB6">
            <w:pPr>
              <w:jc w:val="center"/>
              <w:rPr>
                <w:rFonts w:hint="default" w:hAnsi="宋体" w:cs="宋体"/>
                <w:b w:val="0"/>
                <w:bCs w:val="0"/>
                <w:color w:val="000000"/>
                <w:sz w:val="15"/>
                <w:szCs w:val="15"/>
              </w:rPr>
            </w:pPr>
          </w:p>
        </w:tc>
      </w:tr>
      <w:tr w14:paraId="6EEB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3F317">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DB215">
            <w:pPr>
              <w:jc w:val="center"/>
              <w:rPr>
                <w:rFonts w:hint="default" w:hAnsi="宋体" w:cs="宋体"/>
                <w:b w:val="0"/>
                <w:bCs w:val="0"/>
                <w:color w:val="000000"/>
                <w:sz w:val="15"/>
                <w:szCs w:val="15"/>
              </w:rPr>
            </w:pPr>
          </w:p>
        </w:tc>
        <w:tc>
          <w:tcPr>
            <w:tcW w:w="56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E5D188A">
            <w:pPr>
              <w:jc w:val="center"/>
              <w:rPr>
                <w:rFonts w:hint="default" w:hAnsi="宋体" w:cs="宋体"/>
                <w:b w:val="0"/>
                <w:bCs w:val="0"/>
                <w:color w:val="000000"/>
                <w:sz w:val="15"/>
                <w:szCs w:val="15"/>
              </w:rPr>
            </w:pP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34E3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2</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B25F2">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目标管理、督查事项检查结果公开度</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FBE84">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F909D">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100</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A57A7">
            <w:pPr>
              <w:jc w:val="center"/>
              <w:rPr>
                <w:rFonts w:hint="default" w:hAnsi="宋体" w:cs="宋体"/>
                <w:b w:val="0"/>
                <w:bCs w:val="0"/>
                <w:color w:val="000000"/>
                <w:sz w:val="15"/>
                <w:szCs w:val="15"/>
              </w:rPr>
            </w:pPr>
          </w:p>
        </w:tc>
      </w:tr>
      <w:tr w14:paraId="0CDC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3DE49">
            <w:pPr>
              <w:jc w:val="center"/>
              <w:rPr>
                <w:rFonts w:hint="default" w:hAnsi="宋体" w:cs="宋体"/>
                <w:b w:val="0"/>
                <w:bCs w:val="0"/>
                <w:color w:val="000000"/>
                <w:sz w:val="15"/>
                <w:szCs w:val="15"/>
              </w:rPr>
            </w:pPr>
          </w:p>
        </w:tc>
        <w:tc>
          <w:tcPr>
            <w:tcW w:w="4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BAB8F">
            <w:pPr>
              <w:jc w:val="center"/>
              <w:rPr>
                <w:rFonts w:hint="default" w:hAnsi="宋体" w:cs="宋体"/>
                <w:b w:val="0"/>
                <w:bCs w:val="0"/>
                <w:color w:val="000000"/>
                <w:sz w:val="15"/>
                <w:szCs w:val="15"/>
              </w:rPr>
            </w:pPr>
          </w:p>
        </w:tc>
        <w:tc>
          <w:tcPr>
            <w:tcW w:w="5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143EB">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可持续影响指标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1EC4D">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85D96">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长期督查考核、目标绩效管理</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E60BA">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定性：优良中差</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1FEC7">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优</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A0958">
            <w:pPr>
              <w:jc w:val="center"/>
              <w:rPr>
                <w:rFonts w:hint="default" w:hAnsi="宋体" w:cs="宋体"/>
                <w:b w:val="0"/>
                <w:bCs w:val="0"/>
                <w:color w:val="000000"/>
                <w:sz w:val="15"/>
                <w:szCs w:val="15"/>
              </w:rPr>
            </w:pPr>
          </w:p>
        </w:tc>
      </w:tr>
      <w:tr w14:paraId="4E48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1963B">
            <w:pPr>
              <w:jc w:val="center"/>
              <w:rPr>
                <w:rFonts w:hint="default" w:hAnsi="宋体" w:cs="宋体"/>
                <w:b w:val="0"/>
                <w:bCs w:val="0"/>
                <w:color w:val="000000"/>
                <w:sz w:val="15"/>
                <w:szCs w:val="15"/>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6441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满意度</w:t>
            </w:r>
            <w:r>
              <w:rPr>
                <w:rFonts w:hint="default" w:hAnsi="宋体" w:cs="宋体"/>
                <w:b w:val="0"/>
                <w:bCs w:val="0"/>
                <w:color w:val="000000"/>
                <w:sz w:val="15"/>
                <w:szCs w:val="15"/>
                <w:lang w:bidi="ar"/>
              </w:rPr>
              <w:br w:type="textWrapping"/>
            </w:r>
            <w:r>
              <w:rPr>
                <w:rFonts w:hint="default" w:hAnsi="宋体" w:cs="宋体"/>
                <w:b w:val="0"/>
                <w:bCs w:val="0"/>
                <w:color w:val="000000"/>
                <w:sz w:val="15"/>
                <w:szCs w:val="15"/>
                <w:lang w:bidi="ar"/>
              </w:rPr>
              <w:t>指标</w:t>
            </w:r>
          </w:p>
        </w:tc>
        <w:tc>
          <w:tcPr>
            <w:tcW w:w="5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A76DF">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服务对象满意度指标</w:t>
            </w:r>
          </w:p>
        </w:tc>
        <w:tc>
          <w:tcPr>
            <w:tcW w:w="4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1A1B8">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指标</w:t>
            </w:r>
            <w:r>
              <w:rPr>
                <w:rFonts w:hint="default" w:ascii="Times New Roman" w:hAnsi="Times New Roman" w:cs="宋体"/>
                <w:b w:val="0"/>
                <w:bCs w:val="0"/>
                <w:color w:val="000000"/>
                <w:sz w:val="15"/>
                <w:szCs w:val="15"/>
                <w:lang w:bidi="ar"/>
              </w:rPr>
              <w:t>1</w:t>
            </w:r>
            <w:r>
              <w:rPr>
                <w:rFonts w:hint="default" w:hAnsi="宋体" w:cs="宋体"/>
                <w:b w:val="0"/>
                <w:bCs w:val="0"/>
                <w:color w:val="000000"/>
                <w:sz w:val="15"/>
                <w:szCs w:val="15"/>
                <w:lang w:bidi="ar"/>
              </w:rPr>
              <w:t>：</w:t>
            </w:r>
          </w:p>
        </w:tc>
        <w:tc>
          <w:tcPr>
            <w:tcW w:w="12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A5076">
            <w:pPr>
              <w:widowControl/>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被督导单位满意度</w:t>
            </w:r>
          </w:p>
        </w:tc>
        <w:tc>
          <w:tcPr>
            <w:tcW w:w="7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85A23">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90</w:t>
            </w:r>
          </w:p>
        </w:tc>
        <w:tc>
          <w:tcPr>
            <w:tcW w:w="6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61939">
            <w:pPr>
              <w:widowControl/>
              <w:jc w:val="center"/>
              <w:textAlignment w:val="center"/>
              <w:rPr>
                <w:rFonts w:hint="default" w:hAnsi="宋体" w:cs="宋体"/>
                <w:b w:val="0"/>
                <w:bCs w:val="0"/>
                <w:color w:val="000000"/>
                <w:sz w:val="15"/>
                <w:szCs w:val="15"/>
              </w:rPr>
            </w:pPr>
            <w:r>
              <w:rPr>
                <w:rFonts w:hint="default" w:hAnsi="宋体" w:cs="宋体"/>
                <w:b w:val="0"/>
                <w:bCs w:val="0"/>
                <w:color w:val="000000"/>
                <w:sz w:val="15"/>
                <w:szCs w:val="15"/>
                <w:lang w:bidi="ar"/>
              </w:rPr>
              <w:t>=</w:t>
            </w:r>
            <w:r>
              <w:rPr>
                <w:rFonts w:hint="default" w:ascii="Times New Roman" w:hAnsi="Times New Roman" w:cs="宋体"/>
                <w:b w:val="0"/>
                <w:bCs w:val="0"/>
                <w:color w:val="000000"/>
                <w:sz w:val="15"/>
                <w:szCs w:val="15"/>
                <w:lang w:bidi="ar"/>
              </w:rPr>
              <w:t>95</w:t>
            </w:r>
          </w:p>
        </w:tc>
        <w:tc>
          <w:tcPr>
            <w:tcW w:w="4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61B35">
            <w:pPr>
              <w:jc w:val="center"/>
              <w:rPr>
                <w:rFonts w:hint="default" w:hAnsi="宋体" w:cs="宋体"/>
                <w:b w:val="0"/>
                <w:bCs w:val="0"/>
                <w:color w:val="000000"/>
                <w:sz w:val="15"/>
                <w:szCs w:val="15"/>
              </w:rPr>
            </w:pPr>
          </w:p>
        </w:tc>
      </w:tr>
      <w:tr w14:paraId="1C7C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79" w:hRule="atLeast"/>
        </w:trPr>
        <w:tc>
          <w:tcPr>
            <w:tcW w:w="4951" w:type="pct"/>
            <w:gridSpan w:val="15"/>
            <w:tcBorders>
              <w:top w:val="nil"/>
              <w:left w:val="nil"/>
              <w:bottom w:val="nil"/>
              <w:right w:val="nil"/>
              <w:tl2br w:val="nil"/>
              <w:tr2bl w:val="nil"/>
            </w:tcBorders>
            <w:noWrap w:val="0"/>
            <w:vAlign w:val="center"/>
          </w:tcPr>
          <w:p w14:paraId="1E1B4F33">
            <w:pPr>
              <w:keepNext w:val="0"/>
              <w:keepLines w:val="0"/>
              <w:pageBreakBefore w:val="0"/>
              <w:widowControl/>
              <w:kinsoku/>
              <w:wordWrap/>
              <w:overflowPunct/>
              <w:topLinePunct w:val="0"/>
              <w:autoSpaceDE w:val="0"/>
              <w:autoSpaceDN w:val="0"/>
              <w:bidi w:val="0"/>
              <w:adjustRightInd w:val="0"/>
              <w:snapToGrid/>
              <w:spacing w:line="576" w:lineRule="exact"/>
              <w:jc w:val="center"/>
              <w:textAlignment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pacing w:val="-11"/>
                <w:sz w:val="44"/>
                <w:szCs w:val="44"/>
                <w:lang w:bidi="ar"/>
              </w:rPr>
              <w:t>广元市昭化区财政项目（政策）支出绩效自评表</w:t>
            </w:r>
          </w:p>
        </w:tc>
      </w:tr>
      <w:tr w14:paraId="7D8A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4951" w:type="pct"/>
            <w:gridSpan w:val="15"/>
            <w:tcBorders>
              <w:top w:val="nil"/>
              <w:left w:val="nil"/>
              <w:bottom w:val="nil"/>
              <w:right w:val="nil"/>
              <w:tl2br w:val="nil"/>
              <w:tr2bl w:val="nil"/>
            </w:tcBorders>
            <w:noWrap w:val="0"/>
            <w:vAlign w:val="top"/>
          </w:tcPr>
          <w:p w14:paraId="02E8EFAB">
            <w:pPr>
              <w:widowControl/>
              <w:jc w:val="center"/>
              <w:textAlignment w:val="top"/>
              <w:rPr>
                <w:rFonts w:hint="default" w:hAnsi="宋体" w:cs="宋体"/>
                <w:b w:val="0"/>
                <w:bCs w:val="0"/>
                <w:color w:val="000000"/>
                <w:sz w:val="24"/>
                <w:szCs w:val="24"/>
              </w:rPr>
            </w:pPr>
            <w:r>
              <w:rPr>
                <w:rFonts w:hint="default" w:hAnsi="宋体" w:cs="宋体"/>
                <w:b w:val="0"/>
                <w:bCs w:val="0"/>
                <w:color w:val="000000"/>
                <w:sz w:val="24"/>
                <w:szCs w:val="24"/>
                <w:lang w:bidi="ar"/>
              </w:rPr>
              <w:t xml:space="preserve">（ </w:t>
            </w:r>
            <w:r>
              <w:rPr>
                <w:rFonts w:hint="default" w:ascii="Times New Roman" w:hAnsi="Times New Roman" w:cs="宋体"/>
                <w:b w:val="0"/>
                <w:bCs w:val="0"/>
                <w:color w:val="000000"/>
                <w:sz w:val="24"/>
                <w:szCs w:val="24"/>
                <w:lang w:bidi="ar"/>
              </w:rPr>
              <w:t>2023</w:t>
            </w:r>
            <w:r>
              <w:rPr>
                <w:rFonts w:hint="default" w:hAnsi="宋体" w:cs="宋体"/>
                <w:b w:val="0"/>
                <w:bCs w:val="0"/>
                <w:color w:val="000000"/>
                <w:sz w:val="24"/>
                <w:szCs w:val="24"/>
                <w:lang w:bidi="ar"/>
              </w:rPr>
              <w:t>年度）</w:t>
            </w:r>
          </w:p>
        </w:tc>
      </w:tr>
      <w:tr w14:paraId="4CBE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656" w:hRule="atLeast"/>
        </w:trPr>
        <w:tc>
          <w:tcPr>
            <w:tcW w:w="80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3B2E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项目（政策）名称</w:t>
            </w:r>
          </w:p>
        </w:tc>
        <w:tc>
          <w:tcPr>
            <w:tcW w:w="414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6A88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目标管理经费</w:t>
            </w:r>
          </w:p>
        </w:tc>
      </w:tr>
      <w:tr w14:paraId="4E70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40" w:hRule="atLeast"/>
        </w:trPr>
        <w:tc>
          <w:tcPr>
            <w:tcW w:w="80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39B7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主管部门</w:t>
            </w:r>
          </w:p>
        </w:tc>
        <w:tc>
          <w:tcPr>
            <w:tcW w:w="24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D701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B30E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实施单位</w:t>
            </w:r>
          </w:p>
        </w:tc>
        <w:tc>
          <w:tcPr>
            <w:tcW w:w="1291"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29132A1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r>
      <w:tr w14:paraId="401F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68" w:hRule="atLeast"/>
        </w:trPr>
        <w:tc>
          <w:tcPr>
            <w:tcW w:w="803" w:type="pct"/>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1A67B91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项目（政策）资金（万元）</w:t>
            </w:r>
          </w:p>
        </w:tc>
        <w:tc>
          <w:tcPr>
            <w:tcW w:w="1355" w:type="pct"/>
            <w:gridSpan w:val="4"/>
            <w:tcBorders>
              <w:top w:val="nil"/>
              <w:left w:val="single" w:color="000000" w:sz="4" w:space="0"/>
              <w:bottom w:val="single" w:color="000000" w:sz="4" w:space="0"/>
              <w:right w:val="single" w:color="000000" w:sz="4" w:space="0"/>
              <w:tl2br w:val="nil"/>
              <w:tr2bl w:val="nil"/>
            </w:tcBorders>
            <w:noWrap w:val="0"/>
            <w:vAlign w:val="center"/>
          </w:tcPr>
          <w:p w14:paraId="01DEC9D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年度预算数（万元）</w:t>
            </w:r>
          </w:p>
        </w:tc>
        <w:tc>
          <w:tcPr>
            <w:tcW w:w="1076" w:type="pct"/>
            <w:gridSpan w:val="2"/>
            <w:tcBorders>
              <w:top w:val="nil"/>
              <w:left w:val="single" w:color="000000" w:sz="4" w:space="0"/>
              <w:bottom w:val="single" w:color="000000" w:sz="4" w:space="0"/>
              <w:right w:val="single" w:color="000000" w:sz="4" w:space="0"/>
              <w:tl2br w:val="nil"/>
              <w:tr2bl w:val="nil"/>
            </w:tcBorders>
            <w:noWrap w:val="0"/>
            <w:vAlign w:val="center"/>
          </w:tcPr>
          <w:p w14:paraId="3F6D5E6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年初预算数</w:t>
            </w:r>
          </w:p>
        </w:tc>
        <w:tc>
          <w:tcPr>
            <w:tcW w:w="424" w:type="pct"/>
            <w:tcBorders>
              <w:top w:val="nil"/>
              <w:left w:val="single" w:color="000000" w:sz="4" w:space="0"/>
              <w:bottom w:val="single" w:color="000000" w:sz="4" w:space="0"/>
              <w:right w:val="single" w:color="000000" w:sz="4" w:space="0"/>
              <w:tl2br w:val="nil"/>
              <w:tr2bl w:val="nil"/>
            </w:tcBorders>
            <w:noWrap w:val="0"/>
            <w:vAlign w:val="center"/>
          </w:tcPr>
          <w:p w14:paraId="0112B41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全年预算数</w:t>
            </w:r>
          </w:p>
        </w:tc>
        <w:tc>
          <w:tcPr>
            <w:tcW w:w="577" w:type="pct"/>
            <w:gridSpan w:val="2"/>
            <w:tcBorders>
              <w:top w:val="nil"/>
              <w:left w:val="single" w:color="000000" w:sz="4" w:space="0"/>
              <w:bottom w:val="single" w:color="000000" w:sz="4" w:space="0"/>
              <w:right w:val="single" w:color="000000" w:sz="4" w:space="0"/>
              <w:tl2br w:val="nil"/>
              <w:tr2bl w:val="nil"/>
            </w:tcBorders>
            <w:noWrap w:val="0"/>
            <w:vAlign w:val="center"/>
          </w:tcPr>
          <w:p w14:paraId="64A2C02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全年执行数</w:t>
            </w:r>
          </w:p>
        </w:tc>
        <w:tc>
          <w:tcPr>
            <w:tcW w:w="713" w:type="pct"/>
            <w:gridSpan w:val="2"/>
            <w:tcBorders>
              <w:top w:val="nil"/>
              <w:left w:val="single" w:color="000000" w:sz="4" w:space="0"/>
              <w:bottom w:val="single" w:color="000000" w:sz="4" w:space="0"/>
              <w:right w:val="single" w:color="000000" w:sz="4" w:space="0"/>
              <w:tl2br w:val="nil"/>
              <w:tr2bl w:val="nil"/>
            </w:tcBorders>
            <w:noWrap w:val="0"/>
            <w:vAlign w:val="center"/>
          </w:tcPr>
          <w:p w14:paraId="5792EEF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执行率</w:t>
            </w:r>
          </w:p>
        </w:tc>
      </w:tr>
      <w:tr w14:paraId="500D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261C301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713D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年度资金总额</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14EC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15D3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7676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13" w:type="pct"/>
            <w:gridSpan w:val="2"/>
            <w:tcBorders>
              <w:top w:val="nil"/>
              <w:left w:val="single" w:color="000000" w:sz="4" w:space="0"/>
              <w:bottom w:val="single" w:color="000000" w:sz="4" w:space="0"/>
              <w:right w:val="single" w:color="000000" w:sz="4" w:space="0"/>
              <w:tl2br w:val="nil"/>
              <w:tr2bl w:val="nil"/>
            </w:tcBorders>
            <w:noWrap w:val="0"/>
            <w:vAlign w:val="center"/>
          </w:tcPr>
          <w:p w14:paraId="0E070BD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4608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E8389F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E9EC0">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（一）财政拨款小计</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259A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2F38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D404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13" w:type="pct"/>
            <w:gridSpan w:val="2"/>
            <w:tcBorders>
              <w:top w:val="nil"/>
              <w:left w:val="single" w:color="000000" w:sz="4" w:space="0"/>
              <w:bottom w:val="single" w:color="000000" w:sz="4" w:space="0"/>
              <w:right w:val="single" w:color="000000" w:sz="4" w:space="0"/>
              <w:tl2br w:val="nil"/>
              <w:tr2bl w:val="nil"/>
            </w:tcBorders>
            <w:noWrap w:val="0"/>
            <w:vAlign w:val="center"/>
          </w:tcPr>
          <w:p w14:paraId="55D3CB7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18EC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06DB6AE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55DA5">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.一般公共预算</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28EA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9599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BF9B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13" w:type="pct"/>
            <w:gridSpan w:val="2"/>
            <w:tcBorders>
              <w:top w:val="nil"/>
              <w:left w:val="single" w:color="000000" w:sz="4" w:space="0"/>
              <w:bottom w:val="single" w:color="000000" w:sz="4" w:space="0"/>
              <w:right w:val="single" w:color="000000" w:sz="4" w:space="0"/>
              <w:tl2br w:val="nil"/>
              <w:tr2bl w:val="nil"/>
            </w:tcBorders>
            <w:noWrap w:val="0"/>
            <w:vAlign w:val="center"/>
          </w:tcPr>
          <w:p w14:paraId="2FD9DEA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479E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5DFE94B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4CF71">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2</w:t>
            </w:r>
            <w:r>
              <w:rPr>
                <w:rFonts w:hint="default" w:hAnsi="宋体" w:cs="宋体"/>
                <w:b w:val="0"/>
                <w:bCs w:val="0"/>
                <w:color w:val="000000"/>
                <w:sz w:val="18"/>
                <w:szCs w:val="18"/>
                <w:lang w:bidi="ar"/>
              </w:rPr>
              <w:t>.政府性基金</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D0DFD">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b w:val="0"/>
                <w:bCs w:val="0"/>
                <w:color w:val="000000"/>
                <w:sz w:val="18"/>
                <w:szCs w:val="18"/>
              </w:rPr>
            </w:pP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D64B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C084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80DD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481A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614BD5A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BFC14">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3</w:t>
            </w:r>
            <w:r>
              <w:rPr>
                <w:rFonts w:hint="default" w:hAnsi="宋体" w:cs="宋体"/>
                <w:b w:val="0"/>
                <w:bCs w:val="0"/>
                <w:color w:val="000000"/>
                <w:sz w:val="18"/>
                <w:szCs w:val="18"/>
                <w:lang w:bidi="ar"/>
              </w:rPr>
              <w:t>.国有资本经营预算</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9A46D">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b w:val="0"/>
                <w:bCs w:val="0"/>
                <w:color w:val="000000"/>
                <w:sz w:val="18"/>
                <w:szCs w:val="18"/>
              </w:rPr>
            </w:pP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2E083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D94D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427F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532E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803"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53BF5C5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135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D5BA1">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（二）其他资金</w:t>
            </w:r>
          </w:p>
        </w:tc>
        <w:tc>
          <w:tcPr>
            <w:tcW w:w="107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FE93A">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b w:val="0"/>
                <w:bCs w:val="0"/>
                <w:color w:val="000000"/>
                <w:sz w:val="18"/>
                <w:szCs w:val="18"/>
              </w:rPr>
            </w:pP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62A6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60CD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6DCD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76BE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444" w:hRule="atLeast"/>
        </w:trPr>
        <w:tc>
          <w:tcPr>
            <w:tcW w:w="24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E1A6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年度总体目标</w:t>
            </w:r>
          </w:p>
        </w:tc>
        <w:tc>
          <w:tcPr>
            <w:tcW w:w="2989" w:type="pct"/>
            <w:gridSpan w:val="9"/>
            <w:tcBorders>
              <w:top w:val="single" w:color="000000" w:sz="4" w:space="0"/>
              <w:left w:val="single" w:color="000000" w:sz="4" w:space="0"/>
              <w:bottom w:val="nil"/>
              <w:right w:val="single" w:color="000000" w:sz="4" w:space="0"/>
              <w:tl2br w:val="nil"/>
              <w:tr2bl w:val="nil"/>
            </w:tcBorders>
            <w:noWrap w:val="0"/>
            <w:vAlign w:val="center"/>
          </w:tcPr>
          <w:p w14:paraId="2821476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预期目标</w:t>
            </w:r>
          </w:p>
        </w:tc>
        <w:tc>
          <w:tcPr>
            <w:tcW w:w="171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51B3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全年实际完成情况</w:t>
            </w:r>
          </w:p>
        </w:tc>
      </w:tr>
      <w:tr w14:paraId="3160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943"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B41F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2989" w:type="pct"/>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732539E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对于长期督查的工作和单位，通过定期督查，促进完成目标任务。</w:t>
            </w:r>
          </w:p>
        </w:tc>
        <w:tc>
          <w:tcPr>
            <w:tcW w:w="171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AB7C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全面完成全年目标任务</w:t>
            </w:r>
          </w:p>
        </w:tc>
      </w:tr>
      <w:tr w14:paraId="44CF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22" w:hRule="atLeast"/>
        </w:trPr>
        <w:tc>
          <w:tcPr>
            <w:tcW w:w="24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A0EE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绩效</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557" w:type="pct"/>
            <w:gridSpan w:val="3"/>
            <w:tcBorders>
              <w:top w:val="nil"/>
              <w:left w:val="single" w:color="000000" w:sz="4" w:space="0"/>
              <w:bottom w:val="single" w:color="000000" w:sz="4" w:space="0"/>
              <w:right w:val="single" w:color="000000" w:sz="4" w:space="0"/>
              <w:tl2br w:val="nil"/>
              <w:tr2bl w:val="nil"/>
            </w:tcBorders>
            <w:noWrap w:val="0"/>
            <w:vAlign w:val="center"/>
          </w:tcPr>
          <w:p w14:paraId="7A5B6D2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一级指标</w:t>
            </w:r>
          </w:p>
        </w:tc>
        <w:tc>
          <w:tcPr>
            <w:tcW w:w="618" w:type="pct"/>
            <w:gridSpan w:val="2"/>
            <w:tcBorders>
              <w:top w:val="nil"/>
              <w:left w:val="single" w:color="000000" w:sz="4" w:space="0"/>
              <w:bottom w:val="single" w:color="000000" w:sz="4" w:space="0"/>
              <w:right w:val="single" w:color="000000" w:sz="4" w:space="0"/>
              <w:tl2br w:val="nil"/>
              <w:tr2bl w:val="nil"/>
            </w:tcBorders>
            <w:noWrap w:val="0"/>
            <w:vAlign w:val="center"/>
          </w:tcPr>
          <w:p w14:paraId="7559F17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二级指标</w:t>
            </w:r>
          </w:p>
        </w:tc>
        <w:tc>
          <w:tcPr>
            <w:tcW w:w="1814" w:type="pct"/>
            <w:gridSpan w:val="4"/>
            <w:tcBorders>
              <w:top w:val="nil"/>
              <w:left w:val="single" w:color="000000" w:sz="4" w:space="0"/>
              <w:bottom w:val="single" w:color="000000" w:sz="4" w:space="0"/>
              <w:right w:val="single" w:color="000000" w:sz="4" w:space="0"/>
              <w:tl2br w:val="nil"/>
              <w:tr2bl w:val="nil"/>
            </w:tcBorders>
            <w:noWrap w:val="0"/>
            <w:vAlign w:val="center"/>
          </w:tcPr>
          <w:p w14:paraId="2744679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三级指标</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5847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年度指标值</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F93D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实际完成值</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0C0F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偏差原因分析及改进措施</w:t>
            </w:r>
          </w:p>
        </w:tc>
      </w:tr>
      <w:tr w14:paraId="36D1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B17C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438E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产出指标</w:t>
            </w:r>
          </w:p>
        </w:tc>
        <w:tc>
          <w:tcPr>
            <w:tcW w:w="61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5A06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数量指标</w:t>
            </w: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599804D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38325B6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抽检覆盖率</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B591E">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95</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6912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95</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4EE9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7B64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F1F1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3AB2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61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C39B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3C83AD6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2</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5488EFD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会议培训次数</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E02E0">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4</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A055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4</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0864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390B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151C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0CAE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61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F918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4DD474B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3</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6BE2262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培训人次数</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FC7FD">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200</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057A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200</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6A0B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33C3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F241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CD93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6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251D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质量指标</w:t>
            </w: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0403EB6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4718595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各镇目标任务完成率</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D15DE">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90</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5F2F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90</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5BC0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0BB3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917F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1832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6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4A06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时效指标</w:t>
            </w: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315DC18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4FE5EC2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及时反馈目标管理运行</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7D882">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4542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DF67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04AD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FA91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3BE4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6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260A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成本指标</w:t>
            </w: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2F3CDE8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208E9D7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经费控制额</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5EB29">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Arial" w:cs="Arial"/>
                <w:b w:val="0"/>
                <w:bCs w:val="0"/>
                <w:color w:val="000000"/>
                <w:sz w:val="18"/>
                <w:szCs w:val="18"/>
              </w:rPr>
            </w:pPr>
            <w:r>
              <w:rPr>
                <w:rFonts w:hint="default" w:ascii="Arial" w:hAnsi="Arial" w:cs="Arial"/>
                <w:b w:val="0"/>
                <w:bCs w:val="0"/>
                <w:color w:val="000000"/>
                <w:sz w:val="18"/>
                <w:szCs w:val="18"/>
                <w:lang w:bidi="ar"/>
              </w:rPr>
              <w:t>≤</w:t>
            </w:r>
            <w:r>
              <w:rPr>
                <w:rFonts w:hint="default" w:ascii="Times New Roman" w:hAnsi="Times New Roman" w:cs="Arial"/>
                <w:b w:val="0"/>
                <w:bCs w:val="0"/>
                <w:color w:val="000000"/>
                <w:sz w:val="18"/>
                <w:szCs w:val="18"/>
                <w:lang w:bidi="ar"/>
              </w:rPr>
              <w:t>10</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3D83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865C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r w14:paraId="792B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8" w:type="pct"/>
          <w:trHeight w:val="567" w:hRule="atLeast"/>
        </w:trPr>
        <w:tc>
          <w:tcPr>
            <w:tcW w:w="24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F74B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c>
          <w:tcPr>
            <w:tcW w:w="55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9FED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效益指标</w:t>
            </w:r>
          </w:p>
        </w:tc>
        <w:tc>
          <w:tcPr>
            <w:tcW w:w="6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4BE8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社会效益</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737" w:type="pct"/>
            <w:gridSpan w:val="2"/>
            <w:tcBorders>
              <w:top w:val="single" w:color="000000" w:sz="4" w:space="0"/>
              <w:left w:val="single" w:color="000000" w:sz="4" w:space="0"/>
              <w:bottom w:val="single" w:color="000000" w:sz="4" w:space="0"/>
              <w:right w:val="nil"/>
              <w:tl2br w:val="nil"/>
              <w:tr2bl w:val="nil"/>
            </w:tcBorders>
            <w:noWrap w:val="0"/>
            <w:vAlign w:val="center"/>
          </w:tcPr>
          <w:p w14:paraId="44973E3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076" w:type="pct"/>
            <w:gridSpan w:val="2"/>
            <w:tcBorders>
              <w:top w:val="single" w:color="000000" w:sz="4" w:space="0"/>
              <w:left w:val="nil"/>
              <w:bottom w:val="single" w:color="000000" w:sz="4" w:space="0"/>
              <w:right w:val="single" w:color="000000" w:sz="4" w:space="0"/>
              <w:tl2br w:val="nil"/>
              <w:tr2bl w:val="nil"/>
            </w:tcBorders>
            <w:noWrap w:val="0"/>
            <w:vAlign w:val="center"/>
          </w:tcPr>
          <w:p w14:paraId="469B8C9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检查结果公开度</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1DE2B">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5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74A0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7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C7D9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b w:val="0"/>
                <w:bCs w:val="0"/>
                <w:color w:val="000000"/>
                <w:sz w:val="18"/>
                <w:szCs w:val="18"/>
              </w:rPr>
            </w:pPr>
          </w:p>
        </w:tc>
      </w:tr>
    </w:tbl>
    <w:p w14:paraId="3D3F0C6F">
      <w:pPr>
        <w:pStyle w:val="2"/>
        <w:spacing w:beforeLines="0" w:afterLines="0"/>
        <w:rPr>
          <w:rFonts w:hint="eastAsia"/>
          <w:b w:val="0"/>
          <w:bCs w:val="0"/>
          <w:sz w:val="24"/>
          <w:szCs w:val="24"/>
        </w:rPr>
      </w:pPr>
    </w:p>
    <w:tbl>
      <w:tblPr>
        <w:tblStyle w:val="13"/>
        <w:tblW w:w="94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294"/>
        <w:gridCol w:w="723"/>
        <w:gridCol w:w="129"/>
        <w:gridCol w:w="1047"/>
        <w:gridCol w:w="82"/>
        <w:gridCol w:w="1140"/>
        <w:gridCol w:w="81"/>
        <w:gridCol w:w="1052"/>
        <w:gridCol w:w="888"/>
        <w:gridCol w:w="398"/>
        <w:gridCol w:w="346"/>
        <w:gridCol w:w="993"/>
        <w:gridCol w:w="291"/>
        <w:gridCol w:w="1263"/>
        <w:gridCol w:w="203"/>
      </w:tblGrid>
      <w:tr w14:paraId="395F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400" w:type="dxa"/>
            <w:gridSpan w:val="16"/>
            <w:tcBorders>
              <w:top w:val="nil"/>
              <w:left w:val="nil"/>
              <w:bottom w:val="nil"/>
              <w:right w:val="nil"/>
              <w:tl2br w:val="nil"/>
              <w:tr2bl w:val="nil"/>
            </w:tcBorders>
            <w:noWrap w:val="0"/>
            <w:vAlign w:val="center"/>
          </w:tcPr>
          <w:p w14:paraId="528A7A59">
            <w:pPr>
              <w:widowControl/>
              <w:jc w:val="center"/>
              <w:textAlignment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pacing w:val="-11"/>
                <w:sz w:val="44"/>
                <w:szCs w:val="44"/>
                <w:lang w:bidi="ar"/>
              </w:rPr>
              <w:t>广元市昭化区财政项目（政策）支出绩效自评表</w:t>
            </w:r>
          </w:p>
        </w:tc>
      </w:tr>
      <w:tr w14:paraId="02EB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400" w:type="dxa"/>
            <w:gridSpan w:val="16"/>
            <w:tcBorders>
              <w:top w:val="nil"/>
              <w:left w:val="nil"/>
              <w:bottom w:val="nil"/>
              <w:right w:val="nil"/>
              <w:tl2br w:val="nil"/>
              <w:tr2bl w:val="nil"/>
            </w:tcBorders>
            <w:noWrap w:val="0"/>
            <w:vAlign w:val="top"/>
          </w:tcPr>
          <w:p w14:paraId="1EC31078">
            <w:pPr>
              <w:widowControl/>
              <w:jc w:val="center"/>
              <w:textAlignment w:val="top"/>
              <w:rPr>
                <w:rFonts w:hint="default" w:hAnsi="宋体" w:cs="宋体"/>
                <w:b w:val="0"/>
                <w:bCs w:val="0"/>
                <w:color w:val="000000"/>
                <w:sz w:val="24"/>
                <w:szCs w:val="24"/>
              </w:rPr>
            </w:pPr>
            <w:r>
              <w:rPr>
                <w:rFonts w:hint="default" w:hAnsi="宋体" w:cs="宋体"/>
                <w:b w:val="0"/>
                <w:bCs w:val="0"/>
                <w:color w:val="000000"/>
                <w:sz w:val="24"/>
                <w:szCs w:val="24"/>
                <w:lang w:bidi="ar"/>
              </w:rPr>
              <w:t xml:space="preserve">（ </w:t>
            </w:r>
            <w:r>
              <w:rPr>
                <w:rFonts w:hint="default" w:ascii="Times New Roman" w:hAnsi="Times New Roman" w:cs="宋体"/>
                <w:b w:val="0"/>
                <w:bCs w:val="0"/>
                <w:color w:val="000000"/>
                <w:sz w:val="24"/>
                <w:szCs w:val="24"/>
                <w:lang w:bidi="ar"/>
              </w:rPr>
              <w:t>2023</w:t>
            </w:r>
            <w:r>
              <w:rPr>
                <w:rFonts w:hint="default" w:hAnsi="宋体" w:cs="宋体"/>
                <w:b w:val="0"/>
                <w:bCs w:val="0"/>
                <w:color w:val="000000"/>
                <w:sz w:val="24"/>
                <w:szCs w:val="24"/>
                <w:lang w:bidi="ar"/>
              </w:rPr>
              <w:t>年度）</w:t>
            </w:r>
          </w:p>
        </w:tc>
      </w:tr>
      <w:tr w14:paraId="27B8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A3D0C">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项目（政策）名称</w:t>
            </w:r>
          </w:p>
        </w:tc>
        <w:tc>
          <w:tcPr>
            <w:tcW w:w="791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A9824">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省委巡视整改工作经费</w:t>
            </w:r>
          </w:p>
        </w:tc>
      </w:tr>
      <w:tr w14:paraId="7641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5204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主管部门</w:t>
            </w:r>
          </w:p>
        </w:tc>
        <w:tc>
          <w:tcPr>
            <w:tcW w:w="441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5F28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7E5A1">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实施单位</w:t>
            </w:r>
          </w:p>
        </w:tc>
        <w:tc>
          <w:tcPr>
            <w:tcW w:w="2750"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5514EB8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r>
      <w:tr w14:paraId="2F92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4D95F6E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项目（政策）资金（万元）</w:t>
            </w:r>
          </w:p>
        </w:tc>
        <w:tc>
          <w:tcPr>
            <w:tcW w:w="2479" w:type="dxa"/>
            <w:gridSpan w:val="5"/>
            <w:tcBorders>
              <w:top w:val="nil"/>
              <w:left w:val="single" w:color="000000" w:sz="4" w:space="0"/>
              <w:bottom w:val="single" w:color="000000" w:sz="4" w:space="0"/>
              <w:right w:val="single" w:color="000000" w:sz="4" w:space="0"/>
              <w:tl2br w:val="nil"/>
              <w:tr2bl w:val="nil"/>
            </w:tcBorders>
            <w:noWrap w:val="0"/>
            <w:vAlign w:val="center"/>
          </w:tcPr>
          <w:p w14:paraId="48CFB94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年度预算数（万元）</w:t>
            </w:r>
          </w:p>
        </w:tc>
        <w:tc>
          <w:tcPr>
            <w:tcW w:w="1940" w:type="dxa"/>
            <w:gridSpan w:val="2"/>
            <w:tcBorders>
              <w:top w:val="nil"/>
              <w:left w:val="single" w:color="000000" w:sz="4" w:space="0"/>
              <w:bottom w:val="single" w:color="000000" w:sz="4" w:space="0"/>
              <w:right w:val="single" w:color="000000" w:sz="4" w:space="0"/>
              <w:tl2br w:val="nil"/>
              <w:tr2bl w:val="nil"/>
            </w:tcBorders>
            <w:noWrap w:val="0"/>
            <w:vAlign w:val="center"/>
          </w:tcPr>
          <w:p w14:paraId="1B2691C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年初预算数</w:t>
            </w:r>
          </w:p>
        </w:tc>
        <w:tc>
          <w:tcPr>
            <w:tcW w:w="744" w:type="dxa"/>
            <w:gridSpan w:val="2"/>
            <w:tcBorders>
              <w:top w:val="nil"/>
              <w:left w:val="single" w:color="000000" w:sz="4" w:space="0"/>
              <w:bottom w:val="single" w:color="000000" w:sz="4" w:space="0"/>
              <w:right w:val="single" w:color="000000" w:sz="4" w:space="0"/>
              <w:tl2br w:val="nil"/>
              <w:tr2bl w:val="nil"/>
            </w:tcBorders>
            <w:noWrap w:val="0"/>
            <w:vAlign w:val="center"/>
          </w:tcPr>
          <w:p w14:paraId="5B3AF87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全年预算数</w:t>
            </w:r>
          </w:p>
        </w:tc>
        <w:tc>
          <w:tcPr>
            <w:tcW w:w="1284" w:type="dxa"/>
            <w:gridSpan w:val="2"/>
            <w:tcBorders>
              <w:top w:val="nil"/>
              <w:left w:val="single" w:color="000000" w:sz="4" w:space="0"/>
              <w:bottom w:val="single" w:color="000000" w:sz="4" w:space="0"/>
              <w:right w:val="single" w:color="000000" w:sz="4" w:space="0"/>
              <w:tl2br w:val="nil"/>
              <w:tr2bl w:val="nil"/>
            </w:tcBorders>
            <w:noWrap w:val="0"/>
            <w:vAlign w:val="center"/>
          </w:tcPr>
          <w:p w14:paraId="6585B131">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全年执行数</w:t>
            </w:r>
          </w:p>
        </w:tc>
        <w:tc>
          <w:tcPr>
            <w:tcW w:w="1466" w:type="dxa"/>
            <w:gridSpan w:val="2"/>
            <w:tcBorders>
              <w:top w:val="nil"/>
              <w:left w:val="single" w:color="000000" w:sz="4" w:space="0"/>
              <w:bottom w:val="single" w:color="000000" w:sz="4" w:space="0"/>
              <w:right w:val="single" w:color="000000" w:sz="4" w:space="0"/>
              <w:tl2br w:val="nil"/>
              <w:tr2bl w:val="nil"/>
            </w:tcBorders>
            <w:noWrap w:val="0"/>
            <w:vAlign w:val="center"/>
          </w:tcPr>
          <w:p w14:paraId="38EC910C">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执行率</w:t>
            </w:r>
          </w:p>
        </w:tc>
      </w:tr>
      <w:tr w14:paraId="1FDB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28521CA">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1CF7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年度资金总额</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6813C">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298FD">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8C41B">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466" w:type="dxa"/>
            <w:gridSpan w:val="2"/>
            <w:tcBorders>
              <w:top w:val="nil"/>
              <w:left w:val="single" w:color="000000" w:sz="4" w:space="0"/>
              <w:bottom w:val="single" w:color="000000" w:sz="4" w:space="0"/>
              <w:right w:val="single" w:color="000000" w:sz="4" w:space="0"/>
              <w:tl2br w:val="nil"/>
              <w:tr2bl w:val="nil"/>
            </w:tcBorders>
            <w:noWrap w:val="0"/>
            <w:vAlign w:val="center"/>
          </w:tcPr>
          <w:p w14:paraId="6F36EBDF">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1E25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D4FEA9C">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8ACE1">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（一）财政拨款小计</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32794">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35F85">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EB69B">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466" w:type="dxa"/>
            <w:gridSpan w:val="2"/>
            <w:tcBorders>
              <w:top w:val="nil"/>
              <w:left w:val="single" w:color="000000" w:sz="4" w:space="0"/>
              <w:bottom w:val="single" w:color="000000" w:sz="4" w:space="0"/>
              <w:right w:val="single" w:color="000000" w:sz="4" w:space="0"/>
              <w:tl2br w:val="nil"/>
              <w:tr2bl w:val="nil"/>
            </w:tcBorders>
            <w:noWrap w:val="0"/>
            <w:vAlign w:val="center"/>
          </w:tcPr>
          <w:p w14:paraId="301A431A">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4BEC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3AEF104">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844B0">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.一般公共预算</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B1217">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DD6F1">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E7CCD">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466" w:type="dxa"/>
            <w:gridSpan w:val="2"/>
            <w:tcBorders>
              <w:top w:val="nil"/>
              <w:left w:val="single" w:color="000000" w:sz="4" w:space="0"/>
              <w:bottom w:val="single" w:color="000000" w:sz="4" w:space="0"/>
              <w:right w:val="single" w:color="000000" w:sz="4" w:space="0"/>
              <w:tl2br w:val="nil"/>
              <w:tr2bl w:val="nil"/>
            </w:tcBorders>
            <w:noWrap w:val="0"/>
            <w:vAlign w:val="center"/>
          </w:tcPr>
          <w:p w14:paraId="00AAB460">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2526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7CBA980">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4B624">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2</w:t>
            </w:r>
            <w:r>
              <w:rPr>
                <w:rFonts w:hint="default" w:hAnsi="宋体" w:cs="宋体"/>
                <w:b w:val="0"/>
                <w:bCs w:val="0"/>
                <w:color w:val="000000"/>
                <w:sz w:val="18"/>
                <w:szCs w:val="18"/>
                <w:lang w:bidi="ar"/>
              </w:rPr>
              <w:t>.政府性基金</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08542">
            <w:pPr>
              <w:rPr>
                <w:rFonts w:hint="default" w:hAnsi="宋体" w:cs="宋体"/>
                <w:b w:val="0"/>
                <w:bCs w:val="0"/>
                <w:color w:val="000000"/>
                <w:sz w:val="18"/>
                <w:szCs w:val="18"/>
              </w:rPr>
            </w:pP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35F1D">
            <w:pPr>
              <w:jc w:val="center"/>
              <w:rPr>
                <w:rFonts w:hint="default" w:hAnsi="宋体" w:cs="宋体"/>
                <w:b w:val="0"/>
                <w:bCs w:val="0"/>
                <w:color w:val="000000"/>
                <w:sz w:val="18"/>
                <w:szCs w:val="18"/>
              </w:rPr>
            </w:pP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42B24">
            <w:pPr>
              <w:jc w:val="center"/>
              <w:rPr>
                <w:rFonts w:hint="default" w:hAnsi="宋体" w:cs="宋体"/>
                <w:b w:val="0"/>
                <w:bCs w:val="0"/>
                <w:color w:val="000000"/>
                <w:sz w:val="18"/>
                <w:szCs w:val="18"/>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36A1E">
            <w:pPr>
              <w:jc w:val="center"/>
              <w:rPr>
                <w:rFonts w:hint="default" w:hAnsi="宋体" w:cs="宋体"/>
                <w:b w:val="0"/>
                <w:bCs w:val="0"/>
                <w:color w:val="000000"/>
                <w:sz w:val="18"/>
                <w:szCs w:val="18"/>
              </w:rPr>
            </w:pPr>
          </w:p>
        </w:tc>
      </w:tr>
      <w:tr w14:paraId="3618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0166B05F">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22509">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3</w:t>
            </w:r>
            <w:r>
              <w:rPr>
                <w:rFonts w:hint="default" w:hAnsi="宋体" w:cs="宋体"/>
                <w:b w:val="0"/>
                <w:bCs w:val="0"/>
                <w:color w:val="000000"/>
                <w:sz w:val="18"/>
                <w:szCs w:val="18"/>
                <w:lang w:bidi="ar"/>
              </w:rPr>
              <w:t>.国有资本经营预算</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84A69">
            <w:pPr>
              <w:rPr>
                <w:rFonts w:hint="default" w:hAnsi="宋体" w:cs="宋体"/>
                <w:b w:val="0"/>
                <w:bCs w:val="0"/>
                <w:color w:val="000000"/>
                <w:sz w:val="18"/>
                <w:szCs w:val="18"/>
              </w:rPr>
            </w:pP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8338C">
            <w:pPr>
              <w:jc w:val="center"/>
              <w:rPr>
                <w:rFonts w:hint="default" w:hAnsi="宋体" w:cs="宋体"/>
                <w:b w:val="0"/>
                <w:bCs w:val="0"/>
                <w:color w:val="000000"/>
                <w:sz w:val="18"/>
                <w:szCs w:val="18"/>
              </w:rPr>
            </w:pP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D1B32">
            <w:pPr>
              <w:jc w:val="center"/>
              <w:rPr>
                <w:rFonts w:hint="default" w:hAnsi="宋体" w:cs="宋体"/>
                <w:b w:val="0"/>
                <w:bCs w:val="0"/>
                <w:color w:val="000000"/>
                <w:sz w:val="18"/>
                <w:szCs w:val="18"/>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A0C38">
            <w:pPr>
              <w:jc w:val="center"/>
              <w:rPr>
                <w:rFonts w:hint="default" w:hAnsi="宋体" w:cs="宋体"/>
                <w:b w:val="0"/>
                <w:bCs w:val="0"/>
                <w:color w:val="000000"/>
                <w:sz w:val="18"/>
                <w:szCs w:val="18"/>
              </w:rPr>
            </w:pPr>
          </w:p>
        </w:tc>
      </w:tr>
      <w:tr w14:paraId="4B5E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7"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3EEC35F">
            <w:pPr>
              <w:jc w:val="center"/>
              <w:rPr>
                <w:rFonts w:hint="default" w:hAnsi="宋体" w:cs="宋体"/>
                <w:b w:val="0"/>
                <w:bCs w:val="0"/>
                <w:color w:val="000000"/>
                <w:sz w:val="18"/>
                <w:szCs w:val="18"/>
              </w:rPr>
            </w:pPr>
          </w:p>
        </w:tc>
        <w:tc>
          <w:tcPr>
            <w:tcW w:w="24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6FA47">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（二）其他资金</w:t>
            </w:r>
          </w:p>
        </w:tc>
        <w:tc>
          <w:tcPr>
            <w:tcW w:w="19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269F6">
            <w:pPr>
              <w:rPr>
                <w:rFonts w:hint="default" w:hAnsi="宋体" w:cs="宋体"/>
                <w:b w:val="0"/>
                <w:bCs w:val="0"/>
                <w:color w:val="000000"/>
                <w:sz w:val="18"/>
                <w:szCs w:val="18"/>
              </w:rPr>
            </w:pP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0517B">
            <w:pPr>
              <w:jc w:val="center"/>
              <w:rPr>
                <w:rFonts w:hint="default" w:hAnsi="宋体" w:cs="宋体"/>
                <w:b w:val="0"/>
                <w:bCs w:val="0"/>
                <w:color w:val="000000"/>
                <w:sz w:val="18"/>
                <w:szCs w:val="18"/>
              </w:rPr>
            </w:pP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91869">
            <w:pPr>
              <w:jc w:val="center"/>
              <w:rPr>
                <w:rFonts w:hint="default" w:hAnsi="宋体" w:cs="宋体"/>
                <w:b w:val="0"/>
                <w:bCs w:val="0"/>
                <w:color w:val="000000"/>
                <w:sz w:val="18"/>
                <w:szCs w:val="18"/>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4D508">
            <w:pPr>
              <w:jc w:val="center"/>
              <w:rPr>
                <w:rFonts w:hint="default" w:hAnsi="宋体" w:cs="宋体"/>
                <w:b w:val="0"/>
                <w:bCs w:val="0"/>
                <w:color w:val="000000"/>
                <w:sz w:val="18"/>
                <w:szCs w:val="18"/>
              </w:rPr>
            </w:pPr>
          </w:p>
        </w:tc>
      </w:tr>
      <w:tr w14:paraId="466C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6CB0C">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年度总体目标</w:t>
            </w:r>
          </w:p>
        </w:tc>
        <w:tc>
          <w:tcPr>
            <w:tcW w:w="5436" w:type="dxa"/>
            <w:gridSpan w:val="9"/>
            <w:tcBorders>
              <w:top w:val="single" w:color="000000" w:sz="4" w:space="0"/>
              <w:left w:val="single" w:color="000000" w:sz="4" w:space="0"/>
              <w:bottom w:val="nil"/>
              <w:right w:val="single" w:color="000000" w:sz="4" w:space="0"/>
              <w:tl2br w:val="nil"/>
              <w:tr2bl w:val="nil"/>
            </w:tcBorders>
            <w:noWrap w:val="0"/>
            <w:vAlign w:val="center"/>
          </w:tcPr>
          <w:p w14:paraId="12883229">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预期目标</w:t>
            </w:r>
          </w:p>
        </w:tc>
        <w:tc>
          <w:tcPr>
            <w:tcW w:w="349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69D7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全年实际完成情况</w:t>
            </w:r>
          </w:p>
        </w:tc>
      </w:tr>
      <w:tr w14:paraId="2243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E3799">
            <w:pPr>
              <w:jc w:val="center"/>
              <w:rPr>
                <w:rFonts w:hint="default" w:hAnsi="宋体" w:cs="宋体"/>
                <w:b w:val="0"/>
                <w:bCs w:val="0"/>
                <w:color w:val="000000"/>
                <w:sz w:val="18"/>
                <w:szCs w:val="18"/>
              </w:rPr>
            </w:pPr>
          </w:p>
        </w:tc>
        <w:tc>
          <w:tcPr>
            <w:tcW w:w="5436"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5463ECA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对于长期督查的工作和单位，通过定期督查，促进完成目标任务。</w:t>
            </w:r>
          </w:p>
        </w:tc>
        <w:tc>
          <w:tcPr>
            <w:tcW w:w="349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3F85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全面完成全年目标任务</w:t>
            </w:r>
          </w:p>
        </w:tc>
      </w:tr>
      <w:tr w14:paraId="2768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EE62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绩效</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1017" w:type="dxa"/>
            <w:gridSpan w:val="2"/>
            <w:tcBorders>
              <w:top w:val="nil"/>
              <w:left w:val="single" w:color="000000" w:sz="4" w:space="0"/>
              <w:bottom w:val="single" w:color="000000" w:sz="4" w:space="0"/>
              <w:right w:val="single" w:color="000000" w:sz="4" w:space="0"/>
              <w:tl2br w:val="nil"/>
              <w:tr2bl w:val="nil"/>
            </w:tcBorders>
            <w:noWrap w:val="0"/>
            <w:vAlign w:val="center"/>
          </w:tcPr>
          <w:p w14:paraId="3FF29B7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一级指标</w:t>
            </w:r>
          </w:p>
        </w:tc>
        <w:tc>
          <w:tcPr>
            <w:tcW w:w="1176" w:type="dxa"/>
            <w:gridSpan w:val="2"/>
            <w:tcBorders>
              <w:top w:val="nil"/>
              <w:left w:val="single" w:color="000000" w:sz="4" w:space="0"/>
              <w:bottom w:val="single" w:color="000000" w:sz="4" w:space="0"/>
              <w:right w:val="single" w:color="000000" w:sz="4" w:space="0"/>
              <w:tl2br w:val="nil"/>
              <w:tr2bl w:val="nil"/>
            </w:tcBorders>
            <w:noWrap w:val="0"/>
            <w:vAlign w:val="center"/>
          </w:tcPr>
          <w:p w14:paraId="792C4D2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二级指标</w:t>
            </w:r>
          </w:p>
        </w:tc>
        <w:tc>
          <w:tcPr>
            <w:tcW w:w="3243" w:type="dxa"/>
            <w:gridSpan w:val="5"/>
            <w:tcBorders>
              <w:top w:val="nil"/>
              <w:left w:val="single" w:color="000000" w:sz="4" w:space="0"/>
              <w:bottom w:val="single" w:color="000000" w:sz="4" w:space="0"/>
              <w:right w:val="single" w:color="000000" w:sz="4" w:space="0"/>
              <w:tl2br w:val="nil"/>
              <w:tr2bl w:val="nil"/>
            </w:tcBorders>
            <w:noWrap w:val="0"/>
            <w:vAlign w:val="center"/>
          </w:tcPr>
          <w:p w14:paraId="64E4E73B">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三级指标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3C17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年度指标值</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EB98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实际完成值</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7CD0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偏差原因分析及改进措施</w:t>
            </w:r>
          </w:p>
        </w:tc>
      </w:tr>
      <w:tr w14:paraId="4402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FE416">
            <w:pPr>
              <w:jc w:val="center"/>
              <w:rPr>
                <w:rFonts w:hint="default" w:hAnsi="宋体" w:cs="宋体"/>
                <w:b w:val="0"/>
                <w:bCs w:val="0"/>
                <w:color w:val="000000"/>
                <w:sz w:val="18"/>
                <w:szCs w:val="18"/>
              </w:rPr>
            </w:pPr>
          </w:p>
        </w:tc>
        <w:tc>
          <w:tcPr>
            <w:tcW w:w="101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02F0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产出指标</w:t>
            </w:r>
          </w:p>
        </w:tc>
        <w:tc>
          <w:tcPr>
            <w:tcW w:w="11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5B894">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数量指标</w:t>
            </w: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75BE4EC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396758FB">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抽查覆盖率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55E5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90</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D1E64">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90</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76DC6">
            <w:pPr>
              <w:jc w:val="center"/>
              <w:rPr>
                <w:rFonts w:hint="default" w:hAnsi="宋体" w:cs="宋体"/>
                <w:b w:val="0"/>
                <w:bCs w:val="0"/>
                <w:color w:val="000000"/>
                <w:sz w:val="18"/>
                <w:szCs w:val="18"/>
              </w:rPr>
            </w:pPr>
          </w:p>
        </w:tc>
      </w:tr>
      <w:tr w14:paraId="1296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E8526">
            <w:pPr>
              <w:jc w:val="center"/>
              <w:rPr>
                <w:rFonts w:hint="default" w:hAnsi="宋体" w:cs="宋体"/>
                <w:b w:val="0"/>
                <w:bCs w:val="0"/>
                <w:color w:val="000000"/>
                <w:sz w:val="18"/>
                <w:szCs w:val="18"/>
              </w:rPr>
            </w:pPr>
          </w:p>
        </w:tc>
        <w:tc>
          <w:tcPr>
            <w:tcW w:w="101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DAE8E">
            <w:pPr>
              <w:jc w:val="center"/>
              <w:rPr>
                <w:rFonts w:hint="default" w:hAnsi="宋体" w:cs="宋体"/>
                <w:b w:val="0"/>
                <w:bCs w:val="0"/>
                <w:color w:val="000000"/>
                <w:sz w:val="18"/>
                <w:szCs w:val="18"/>
              </w:rPr>
            </w:pPr>
          </w:p>
        </w:tc>
        <w:tc>
          <w:tcPr>
            <w:tcW w:w="11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71ACF">
            <w:pPr>
              <w:jc w:val="center"/>
              <w:rPr>
                <w:rFonts w:hint="default" w:hAnsi="宋体" w:cs="宋体"/>
                <w:b w:val="0"/>
                <w:bCs w:val="0"/>
                <w:color w:val="000000"/>
                <w:sz w:val="18"/>
                <w:szCs w:val="18"/>
              </w:rPr>
            </w:pP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384FF57D">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2</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7B139B4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上常委会议研究次数</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7C6B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2</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86010">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2</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AF479">
            <w:pPr>
              <w:jc w:val="center"/>
              <w:rPr>
                <w:rFonts w:hint="default" w:hAnsi="宋体" w:cs="宋体"/>
                <w:b w:val="0"/>
                <w:bCs w:val="0"/>
                <w:color w:val="000000"/>
                <w:sz w:val="18"/>
                <w:szCs w:val="18"/>
              </w:rPr>
            </w:pPr>
          </w:p>
        </w:tc>
      </w:tr>
      <w:tr w14:paraId="01B8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07DCE">
            <w:pPr>
              <w:jc w:val="center"/>
              <w:rPr>
                <w:rFonts w:hint="default" w:hAnsi="宋体" w:cs="宋体"/>
                <w:b w:val="0"/>
                <w:bCs w:val="0"/>
                <w:color w:val="000000"/>
                <w:sz w:val="18"/>
                <w:szCs w:val="18"/>
              </w:rPr>
            </w:pPr>
          </w:p>
        </w:tc>
        <w:tc>
          <w:tcPr>
            <w:tcW w:w="101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6DCC9">
            <w:pPr>
              <w:jc w:val="center"/>
              <w:rPr>
                <w:rFonts w:hint="default" w:hAnsi="宋体" w:cs="宋体"/>
                <w:b w:val="0"/>
                <w:bCs w:val="0"/>
                <w:color w:val="000000"/>
                <w:sz w:val="18"/>
                <w:szCs w:val="18"/>
              </w:rPr>
            </w:pPr>
          </w:p>
        </w:tc>
        <w:tc>
          <w:tcPr>
            <w:tcW w:w="11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3F75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质量指标</w:t>
            </w: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3D07827D">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24F41C1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督查的单位整改落实率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CE9A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95</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0052E">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95</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97AC6">
            <w:pPr>
              <w:jc w:val="center"/>
              <w:rPr>
                <w:rFonts w:hint="default" w:hAnsi="宋体" w:cs="宋体"/>
                <w:b w:val="0"/>
                <w:bCs w:val="0"/>
                <w:color w:val="000000"/>
                <w:sz w:val="18"/>
                <w:szCs w:val="18"/>
              </w:rPr>
            </w:pPr>
          </w:p>
        </w:tc>
      </w:tr>
      <w:tr w14:paraId="084C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3B4FC">
            <w:pPr>
              <w:jc w:val="center"/>
              <w:rPr>
                <w:rFonts w:hint="default" w:hAnsi="宋体" w:cs="宋体"/>
                <w:b w:val="0"/>
                <w:bCs w:val="0"/>
                <w:color w:val="000000"/>
                <w:sz w:val="18"/>
                <w:szCs w:val="18"/>
              </w:rPr>
            </w:pPr>
          </w:p>
        </w:tc>
        <w:tc>
          <w:tcPr>
            <w:tcW w:w="101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D997D">
            <w:pPr>
              <w:jc w:val="center"/>
              <w:rPr>
                <w:rFonts w:hint="default" w:hAnsi="宋体" w:cs="宋体"/>
                <w:b w:val="0"/>
                <w:bCs w:val="0"/>
                <w:color w:val="000000"/>
                <w:sz w:val="18"/>
                <w:szCs w:val="18"/>
              </w:rPr>
            </w:pPr>
          </w:p>
        </w:tc>
        <w:tc>
          <w:tcPr>
            <w:tcW w:w="11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43F3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时效指标</w:t>
            </w: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44472AF4">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038FDFB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被督查的单位对巡视及时整改率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3E29F">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90</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AC503">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90</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AFBE4">
            <w:pPr>
              <w:jc w:val="center"/>
              <w:rPr>
                <w:rFonts w:hint="default" w:hAnsi="宋体" w:cs="宋体"/>
                <w:b w:val="0"/>
                <w:bCs w:val="0"/>
                <w:color w:val="000000"/>
                <w:sz w:val="18"/>
                <w:szCs w:val="18"/>
              </w:rPr>
            </w:pPr>
          </w:p>
        </w:tc>
      </w:tr>
      <w:tr w14:paraId="1705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05151">
            <w:pPr>
              <w:jc w:val="center"/>
              <w:rPr>
                <w:rFonts w:hint="default" w:hAnsi="宋体" w:cs="宋体"/>
                <w:b w:val="0"/>
                <w:bCs w:val="0"/>
                <w:color w:val="000000"/>
                <w:sz w:val="18"/>
                <w:szCs w:val="18"/>
              </w:rPr>
            </w:pPr>
          </w:p>
        </w:tc>
        <w:tc>
          <w:tcPr>
            <w:tcW w:w="101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963A4">
            <w:pPr>
              <w:jc w:val="center"/>
              <w:rPr>
                <w:rFonts w:hint="default" w:hAnsi="宋体" w:cs="宋体"/>
                <w:b w:val="0"/>
                <w:bCs w:val="0"/>
                <w:color w:val="000000"/>
                <w:sz w:val="18"/>
                <w:szCs w:val="18"/>
              </w:rPr>
            </w:pPr>
          </w:p>
        </w:tc>
        <w:tc>
          <w:tcPr>
            <w:tcW w:w="11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9C66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成本指标</w:t>
            </w: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4084B8C9">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1E7BADF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经费控制额</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EDAD3">
            <w:pPr>
              <w:widowControl/>
              <w:jc w:val="center"/>
              <w:textAlignment w:val="center"/>
              <w:rPr>
                <w:rFonts w:hint="default" w:hAnsi="Arial" w:cs="Arial"/>
                <w:b w:val="0"/>
                <w:bCs w:val="0"/>
                <w:color w:val="000000"/>
                <w:sz w:val="18"/>
                <w:szCs w:val="18"/>
              </w:rPr>
            </w:pPr>
            <w:r>
              <w:rPr>
                <w:rFonts w:hint="default" w:ascii="Arial" w:hAnsi="Arial" w:cs="Arial"/>
                <w:b w:val="0"/>
                <w:bCs w:val="0"/>
                <w:color w:val="000000"/>
                <w:sz w:val="18"/>
                <w:szCs w:val="18"/>
                <w:lang w:bidi="ar"/>
              </w:rPr>
              <w:t>≤</w:t>
            </w:r>
            <w:r>
              <w:rPr>
                <w:rFonts w:hint="default" w:ascii="Times New Roman" w:hAnsi="Times New Roman" w:cs="Arial"/>
                <w:b w:val="0"/>
                <w:bCs w:val="0"/>
                <w:color w:val="000000"/>
                <w:sz w:val="18"/>
                <w:szCs w:val="18"/>
                <w:lang w:bidi="ar"/>
              </w:rPr>
              <w:t>7</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EFA30">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7</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4E39F">
            <w:pPr>
              <w:jc w:val="center"/>
              <w:rPr>
                <w:rFonts w:hint="default" w:hAnsi="宋体" w:cs="宋体"/>
                <w:b w:val="0"/>
                <w:bCs w:val="0"/>
                <w:color w:val="000000"/>
                <w:sz w:val="18"/>
                <w:szCs w:val="18"/>
              </w:rPr>
            </w:pPr>
          </w:p>
        </w:tc>
      </w:tr>
      <w:tr w14:paraId="30B1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389F5">
            <w:pPr>
              <w:jc w:val="center"/>
              <w:rPr>
                <w:rFonts w:hint="default" w:hAnsi="宋体" w:cs="宋体"/>
                <w:b w:val="0"/>
                <w:bCs w:val="0"/>
                <w:color w:val="000000"/>
                <w:sz w:val="18"/>
                <w:szCs w:val="18"/>
              </w:rPr>
            </w:pPr>
          </w:p>
        </w:tc>
        <w:tc>
          <w:tcPr>
            <w:tcW w:w="10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CB6F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效益指标</w:t>
            </w:r>
          </w:p>
        </w:tc>
        <w:tc>
          <w:tcPr>
            <w:tcW w:w="11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DE411">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社会效益</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1303" w:type="dxa"/>
            <w:gridSpan w:val="3"/>
            <w:tcBorders>
              <w:top w:val="single" w:color="000000" w:sz="4" w:space="0"/>
              <w:left w:val="single" w:color="000000" w:sz="4" w:space="0"/>
              <w:bottom w:val="single" w:color="000000" w:sz="4" w:space="0"/>
              <w:right w:val="nil"/>
              <w:tl2br w:val="nil"/>
              <w:tr2bl w:val="nil"/>
            </w:tcBorders>
            <w:noWrap w:val="0"/>
            <w:vAlign w:val="center"/>
          </w:tcPr>
          <w:p w14:paraId="27ED33A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w:t>
            </w:r>
          </w:p>
        </w:tc>
        <w:tc>
          <w:tcPr>
            <w:tcW w:w="1940" w:type="dxa"/>
            <w:gridSpan w:val="2"/>
            <w:tcBorders>
              <w:top w:val="single" w:color="000000" w:sz="4" w:space="0"/>
              <w:left w:val="nil"/>
              <w:bottom w:val="single" w:color="000000" w:sz="4" w:space="0"/>
              <w:right w:val="single" w:color="000000" w:sz="4" w:space="0"/>
              <w:tl2br w:val="nil"/>
              <w:tr2bl w:val="nil"/>
            </w:tcBorders>
            <w:noWrap w:val="0"/>
            <w:vAlign w:val="center"/>
          </w:tcPr>
          <w:p w14:paraId="02A36644">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检查结果公开度</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EA4D0">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12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E16DE">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8002D">
            <w:pPr>
              <w:jc w:val="center"/>
              <w:rPr>
                <w:rFonts w:hint="default" w:hAnsi="宋体" w:cs="宋体"/>
                <w:b w:val="0"/>
                <w:bCs w:val="0"/>
                <w:color w:val="000000"/>
                <w:sz w:val="18"/>
                <w:szCs w:val="18"/>
              </w:rPr>
            </w:pPr>
          </w:p>
        </w:tc>
      </w:tr>
      <w:tr w14:paraId="1104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600" w:hRule="atLeast"/>
        </w:trPr>
        <w:tc>
          <w:tcPr>
            <w:tcW w:w="9197" w:type="dxa"/>
            <w:gridSpan w:val="15"/>
            <w:tcBorders>
              <w:top w:val="nil"/>
              <w:left w:val="nil"/>
              <w:bottom w:val="nil"/>
              <w:right w:val="nil"/>
              <w:tl2br w:val="nil"/>
              <w:tr2bl w:val="nil"/>
            </w:tcBorders>
            <w:noWrap w:val="0"/>
            <w:vAlign w:val="center"/>
          </w:tcPr>
          <w:p w14:paraId="6F0E309E">
            <w:pPr>
              <w:widowControl/>
              <w:jc w:val="center"/>
              <w:textAlignment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pacing w:val="-11"/>
                <w:sz w:val="44"/>
                <w:szCs w:val="44"/>
                <w:lang w:bidi="ar"/>
              </w:rPr>
              <w:t>广元市昭化区财政项目（政策）支出绩效自评表</w:t>
            </w:r>
          </w:p>
        </w:tc>
      </w:tr>
      <w:tr w14:paraId="4A39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60" w:hRule="atLeast"/>
        </w:trPr>
        <w:tc>
          <w:tcPr>
            <w:tcW w:w="9197" w:type="dxa"/>
            <w:gridSpan w:val="15"/>
            <w:tcBorders>
              <w:top w:val="nil"/>
              <w:left w:val="nil"/>
              <w:bottom w:val="nil"/>
              <w:right w:val="nil"/>
              <w:tl2br w:val="nil"/>
              <w:tr2bl w:val="nil"/>
            </w:tcBorders>
            <w:noWrap w:val="0"/>
            <w:vAlign w:val="top"/>
          </w:tcPr>
          <w:p w14:paraId="24B13CDB">
            <w:pPr>
              <w:widowControl/>
              <w:jc w:val="center"/>
              <w:textAlignment w:val="top"/>
              <w:rPr>
                <w:rFonts w:hint="default" w:hAnsi="宋体" w:cs="宋体"/>
                <w:b w:val="0"/>
                <w:bCs w:val="0"/>
                <w:color w:val="000000"/>
                <w:sz w:val="24"/>
                <w:szCs w:val="24"/>
              </w:rPr>
            </w:pPr>
            <w:r>
              <w:rPr>
                <w:rFonts w:hint="default" w:hAnsi="宋体" w:cs="宋体"/>
                <w:b w:val="0"/>
                <w:bCs w:val="0"/>
                <w:color w:val="000000"/>
                <w:sz w:val="24"/>
                <w:szCs w:val="24"/>
                <w:lang w:bidi="ar"/>
              </w:rPr>
              <w:t xml:space="preserve">（ </w:t>
            </w:r>
            <w:r>
              <w:rPr>
                <w:rFonts w:hint="default" w:ascii="Times New Roman" w:hAnsi="Times New Roman" w:cs="宋体"/>
                <w:b w:val="0"/>
                <w:bCs w:val="0"/>
                <w:color w:val="000000"/>
                <w:sz w:val="24"/>
                <w:szCs w:val="24"/>
                <w:lang w:bidi="ar"/>
              </w:rPr>
              <w:t>2023</w:t>
            </w:r>
            <w:r>
              <w:rPr>
                <w:rFonts w:hint="default" w:hAnsi="宋体" w:cs="宋体"/>
                <w:b w:val="0"/>
                <w:bCs w:val="0"/>
                <w:color w:val="000000"/>
                <w:sz w:val="24"/>
                <w:szCs w:val="24"/>
                <w:lang w:bidi="ar"/>
              </w:rPr>
              <w:t>年度）</w:t>
            </w:r>
          </w:p>
        </w:tc>
      </w:tr>
      <w:tr w14:paraId="6CEB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600" w:hRule="atLeast"/>
        </w:trPr>
        <w:tc>
          <w:tcPr>
            <w:tcW w:w="16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EA99F">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项目（政策）名称</w:t>
            </w:r>
          </w:p>
        </w:tc>
        <w:tc>
          <w:tcPr>
            <w:tcW w:w="758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0DBE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解决</w:t>
            </w:r>
            <w:r>
              <w:rPr>
                <w:rFonts w:hint="default" w:ascii="Times New Roman" w:hAnsi="Times New Roman" w:cs="宋体"/>
                <w:b w:val="0"/>
                <w:bCs w:val="0"/>
                <w:color w:val="000000"/>
                <w:sz w:val="18"/>
                <w:szCs w:val="18"/>
                <w:lang w:bidi="ar"/>
              </w:rPr>
              <w:t>2023</w:t>
            </w:r>
            <w:r>
              <w:rPr>
                <w:rFonts w:hint="default" w:hAnsi="宋体" w:cs="宋体"/>
                <w:b w:val="0"/>
                <w:bCs w:val="0"/>
                <w:color w:val="000000"/>
                <w:sz w:val="18"/>
                <w:szCs w:val="18"/>
                <w:lang w:bidi="ar"/>
              </w:rPr>
              <w:t>年度工作经费差口资金</w:t>
            </w:r>
          </w:p>
        </w:tc>
      </w:tr>
      <w:tr w14:paraId="5C71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360" w:hRule="atLeast"/>
        </w:trPr>
        <w:tc>
          <w:tcPr>
            <w:tcW w:w="16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E8D9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主管部门</w:t>
            </w:r>
          </w:p>
        </w:tc>
        <w:tc>
          <w:tcPr>
            <w:tcW w:w="34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7DA5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E69A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实施单位</w:t>
            </w:r>
          </w:p>
        </w:tc>
        <w:tc>
          <w:tcPr>
            <w:tcW w:w="2893"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008748A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广元市昭化区目标绩效事务中心</w:t>
            </w:r>
          </w:p>
        </w:tc>
      </w:tr>
      <w:tr w14:paraId="1B2F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1719FA3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项目（政策）资金（万元）</w:t>
            </w:r>
          </w:p>
        </w:tc>
        <w:tc>
          <w:tcPr>
            <w:tcW w:w="2269" w:type="dxa"/>
            <w:gridSpan w:val="3"/>
            <w:tcBorders>
              <w:top w:val="nil"/>
              <w:left w:val="single" w:color="000000" w:sz="4" w:space="0"/>
              <w:bottom w:val="single" w:color="000000" w:sz="4" w:space="0"/>
              <w:right w:val="single" w:color="000000" w:sz="4" w:space="0"/>
              <w:tl2br w:val="nil"/>
              <w:tr2bl w:val="nil"/>
            </w:tcBorders>
            <w:noWrap w:val="0"/>
            <w:vAlign w:val="center"/>
          </w:tcPr>
          <w:p w14:paraId="23B31C3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年度预算数（万元）</w:t>
            </w:r>
          </w:p>
        </w:tc>
        <w:tc>
          <w:tcPr>
            <w:tcW w:w="1133" w:type="dxa"/>
            <w:gridSpan w:val="2"/>
            <w:tcBorders>
              <w:top w:val="nil"/>
              <w:left w:val="single" w:color="000000" w:sz="4" w:space="0"/>
              <w:bottom w:val="single" w:color="000000" w:sz="4" w:space="0"/>
              <w:right w:val="single" w:color="000000" w:sz="4" w:space="0"/>
              <w:tl2br w:val="nil"/>
              <w:tr2bl w:val="nil"/>
            </w:tcBorders>
            <w:noWrap w:val="0"/>
            <w:vAlign w:val="center"/>
          </w:tcPr>
          <w:p w14:paraId="1C31EF99">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年初预算数</w:t>
            </w:r>
          </w:p>
        </w:tc>
        <w:tc>
          <w:tcPr>
            <w:tcW w:w="1286" w:type="dxa"/>
            <w:gridSpan w:val="2"/>
            <w:tcBorders>
              <w:top w:val="nil"/>
              <w:left w:val="single" w:color="000000" w:sz="4" w:space="0"/>
              <w:bottom w:val="single" w:color="000000" w:sz="4" w:space="0"/>
              <w:right w:val="single" w:color="000000" w:sz="4" w:space="0"/>
              <w:tl2br w:val="nil"/>
              <w:tr2bl w:val="nil"/>
            </w:tcBorders>
            <w:noWrap w:val="0"/>
            <w:vAlign w:val="center"/>
          </w:tcPr>
          <w:p w14:paraId="7724E495">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全年预算数</w:t>
            </w:r>
          </w:p>
        </w:tc>
        <w:tc>
          <w:tcPr>
            <w:tcW w:w="1339" w:type="dxa"/>
            <w:gridSpan w:val="2"/>
            <w:tcBorders>
              <w:top w:val="nil"/>
              <w:left w:val="single" w:color="000000" w:sz="4" w:space="0"/>
              <w:bottom w:val="single" w:color="000000" w:sz="4" w:space="0"/>
              <w:right w:val="single" w:color="000000" w:sz="4" w:space="0"/>
              <w:tl2br w:val="nil"/>
              <w:tr2bl w:val="nil"/>
            </w:tcBorders>
            <w:noWrap w:val="0"/>
            <w:vAlign w:val="center"/>
          </w:tcPr>
          <w:p w14:paraId="772189AB">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全年执行数</w:t>
            </w:r>
          </w:p>
        </w:tc>
        <w:tc>
          <w:tcPr>
            <w:tcW w:w="1554" w:type="dxa"/>
            <w:gridSpan w:val="2"/>
            <w:tcBorders>
              <w:top w:val="nil"/>
              <w:left w:val="single" w:color="000000" w:sz="4" w:space="0"/>
              <w:bottom w:val="single" w:color="000000" w:sz="4" w:space="0"/>
              <w:right w:val="single" w:color="000000" w:sz="4" w:space="0"/>
              <w:tl2br w:val="nil"/>
              <w:tr2bl w:val="nil"/>
            </w:tcBorders>
            <w:noWrap w:val="0"/>
            <w:vAlign w:val="center"/>
          </w:tcPr>
          <w:p w14:paraId="2256CC1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执行率</w:t>
            </w:r>
          </w:p>
        </w:tc>
      </w:tr>
      <w:tr w14:paraId="04E6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BD11905">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1ACC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年度资金总额</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895E1">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3AC6D">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C43A1">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554" w:type="dxa"/>
            <w:gridSpan w:val="2"/>
            <w:tcBorders>
              <w:top w:val="nil"/>
              <w:left w:val="single" w:color="000000" w:sz="4" w:space="0"/>
              <w:bottom w:val="single" w:color="000000" w:sz="4" w:space="0"/>
              <w:right w:val="single" w:color="000000" w:sz="4" w:space="0"/>
              <w:tl2br w:val="nil"/>
              <w:tr2bl w:val="nil"/>
            </w:tcBorders>
            <w:noWrap w:val="0"/>
            <w:vAlign w:val="center"/>
          </w:tcPr>
          <w:p w14:paraId="782702EA">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1EF4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542910DE">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3A6EF">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（一）财政拨款小计</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93299">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1898B">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832EA">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554" w:type="dxa"/>
            <w:gridSpan w:val="2"/>
            <w:tcBorders>
              <w:top w:val="nil"/>
              <w:left w:val="single" w:color="000000" w:sz="4" w:space="0"/>
              <w:bottom w:val="single" w:color="000000" w:sz="4" w:space="0"/>
              <w:right w:val="single" w:color="000000" w:sz="4" w:space="0"/>
              <w:tl2br w:val="nil"/>
              <w:tr2bl w:val="nil"/>
            </w:tcBorders>
            <w:noWrap w:val="0"/>
            <w:vAlign w:val="center"/>
          </w:tcPr>
          <w:p w14:paraId="41B7CF42">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3BAB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12EF1423">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77CB6">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1</w:t>
            </w:r>
            <w:r>
              <w:rPr>
                <w:rFonts w:hint="default" w:hAnsi="宋体" w:cs="宋体"/>
                <w:b w:val="0"/>
                <w:bCs w:val="0"/>
                <w:color w:val="000000"/>
                <w:sz w:val="18"/>
                <w:szCs w:val="18"/>
                <w:lang w:bidi="ar"/>
              </w:rPr>
              <w:t>.一般公共预算</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2D39C">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C0631">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CF8BD">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 xml:space="preserve"> </w:t>
            </w:r>
          </w:p>
        </w:tc>
        <w:tc>
          <w:tcPr>
            <w:tcW w:w="1554" w:type="dxa"/>
            <w:gridSpan w:val="2"/>
            <w:tcBorders>
              <w:top w:val="nil"/>
              <w:left w:val="single" w:color="000000" w:sz="4" w:space="0"/>
              <w:bottom w:val="single" w:color="000000" w:sz="4" w:space="0"/>
              <w:right w:val="single" w:color="000000" w:sz="4" w:space="0"/>
              <w:tl2br w:val="nil"/>
              <w:tr2bl w:val="nil"/>
            </w:tcBorders>
            <w:noWrap w:val="0"/>
            <w:vAlign w:val="center"/>
          </w:tcPr>
          <w:p w14:paraId="44C7AA7E">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00</w:t>
            </w:r>
            <w:r>
              <w:rPr>
                <w:rFonts w:hint="default" w:hAnsi="宋体" w:cs="宋体"/>
                <w:b w:val="0"/>
                <w:bCs w:val="0"/>
                <w:color w:val="000000"/>
                <w:sz w:val="18"/>
                <w:szCs w:val="18"/>
                <w:lang w:bidi="ar"/>
              </w:rPr>
              <w:t>%</w:t>
            </w:r>
          </w:p>
        </w:tc>
      </w:tr>
      <w:tr w14:paraId="14C0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5A6718A">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7A988">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2</w:t>
            </w:r>
            <w:r>
              <w:rPr>
                <w:rFonts w:hint="default" w:hAnsi="宋体" w:cs="宋体"/>
                <w:b w:val="0"/>
                <w:bCs w:val="0"/>
                <w:color w:val="000000"/>
                <w:sz w:val="18"/>
                <w:szCs w:val="18"/>
                <w:lang w:bidi="ar"/>
              </w:rPr>
              <w:t>.政府性基金</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791C8">
            <w:pPr>
              <w:rPr>
                <w:rFonts w:hint="default" w:hAnsi="宋体" w:cs="宋体"/>
                <w:b w:val="0"/>
                <w:bCs w:val="0"/>
                <w:color w:val="000000"/>
                <w:sz w:val="18"/>
                <w:szCs w:val="18"/>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25E61">
            <w:pPr>
              <w:jc w:val="center"/>
              <w:rPr>
                <w:rFonts w:hint="default" w:hAnsi="宋体" w:cs="宋体"/>
                <w:b w:val="0"/>
                <w:bCs w:val="0"/>
                <w:color w:val="000000"/>
                <w:sz w:val="18"/>
                <w:szCs w:val="18"/>
              </w:rPr>
            </w:pP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BC7C9">
            <w:pPr>
              <w:jc w:val="center"/>
              <w:rPr>
                <w:rFonts w:hint="default" w:hAnsi="宋体" w:cs="宋体"/>
                <w:b w:val="0"/>
                <w:bCs w:val="0"/>
                <w:color w:val="000000"/>
                <w:sz w:val="18"/>
                <w:szCs w:val="18"/>
              </w:rPr>
            </w:pP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4F053">
            <w:pPr>
              <w:jc w:val="center"/>
              <w:rPr>
                <w:rFonts w:hint="default" w:hAnsi="宋体" w:cs="宋体"/>
                <w:b w:val="0"/>
                <w:bCs w:val="0"/>
                <w:color w:val="000000"/>
                <w:sz w:val="18"/>
                <w:szCs w:val="18"/>
              </w:rPr>
            </w:pPr>
          </w:p>
        </w:tc>
      </w:tr>
      <w:tr w14:paraId="430C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1E2B9418">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4AB9C">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 xml:space="preserve">   </w:t>
            </w:r>
            <w:r>
              <w:rPr>
                <w:rFonts w:hint="default" w:ascii="Times New Roman" w:hAnsi="Times New Roman" w:cs="宋体"/>
                <w:b w:val="0"/>
                <w:bCs w:val="0"/>
                <w:color w:val="000000"/>
                <w:sz w:val="18"/>
                <w:szCs w:val="18"/>
                <w:lang w:bidi="ar"/>
              </w:rPr>
              <w:t>3</w:t>
            </w:r>
            <w:r>
              <w:rPr>
                <w:rFonts w:hint="default" w:hAnsi="宋体" w:cs="宋体"/>
                <w:b w:val="0"/>
                <w:bCs w:val="0"/>
                <w:color w:val="000000"/>
                <w:sz w:val="18"/>
                <w:szCs w:val="18"/>
                <w:lang w:bidi="ar"/>
              </w:rPr>
              <w:t>.国有资本经营预算</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250EE">
            <w:pPr>
              <w:rPr>
                <w:rFonts w:hint="default" w:hAnsi="宋体" w:cs="宋体"/>
                <w:b w:val="0"/>
                <w:bCs w:val="0"/>
                <w:color w:val="000000"/>
                <w:sz w:val="18"/>
                <w:szCs w:val="18"/>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4DDDF">
            <w:pPr>
              <w:jc w:val="center"/>
              <w:rPr>
                <w:rFonts w:hint="default" w:hAnsi="宋体" w:cs="宋体"/>
                <w:b w:val="0"/>
                <w:bCs w:val="0"/>
                <w:color w:val="000000"/>
                <w:sz w:val="18"/>
                <w:szCs w:val="18"/>
              </w:rPr>
            </w:pP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86A78">
            <w:pPr>
              <w:jc w:val="center"/>
              <w:rPr>
                <w:rFonts w:hint="default" w:hAnsi="宋体" w:cs="宋体"/>
                <w:b w:val="0"/>
                <w:bCs w:val="0"/>
                <w:color w:val="000000"/>
                <w:sz w:val="18"/>
                <w:szCs w:val="18"/>
              </w:rPr>
            </w:pP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1E992">
            <w:pPr>
              <w:jc w:val="center"/>
              <w:rPr>
                <w:rFonts w:hint="default" w:hAnsi="宋体" w:cs="宋体"/>
                <w:b w:val="0"/>
                <w:bCs w:val="0"/>
                <w:color w:val="000000"/>
                <w:sz w:val="18"/>
                <w:szCs w:val="18"/>
              </w:rPr>
            </w:pPr>
          </w:p>
        </w:tc>
      </w:tr>
      <w:tr w14:paraId="1BA5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20" w:hRule="atLeast"/>
        </w:trPr>
        <w:tc>
          <w:tcPr>
            <w:tcW w:w="1616"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1EFAE04">
            <w:pPr>
              <w:jc w:val="center"/>
              <w:rPr>
                <w:rFonts w:hint="default" w:hAnsi="宋体" w:cs="宋体"/>
                <w:b w:val="0"/>
                <w:bCs w:val="0"/>
                <w:color w:val="000000"/>
                <w:sz w:val="18"/>
                <w:szCs w:val="18"/>
              </w:rPr>
            </w:pPr>
          </w:p>
        </w:tc>
        <w:tc>
          <w:tcPr>
            <w:tcW w:w="22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ABD78">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（二）其他资金</w:t>
            </w:r>
          </w:p>
        </w:tc>
        <w:tc>
          <w:tcPr>
            <w:tcW w:w="11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B4268">
            <w:pPr>
              <w:rPr>
                <w:rFonts w:hint="default" w:hAnsi="宋体" w:cs="宋体"/>
                <w:b w:val="0"/>
                <w:bCs w:val="0"/>
                <w:color w:val="000000"/>
                <w:sz w:val="18"/>
                <w:szCs w:val="18"/>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64663">
            <w:pPr>
              <w:jc w:val="center"/>
              <w:rPr>
                <w:rFonts w:hint="default" w:hAnsi="宋体" w:cs="宋体"/>
                <w:b w:val="0"/>
                <w:bCs w:val="0"/>
                <w:color w:val="000000"/>
                <w:sz w:val="18"/>
                <w:szCs w:val="18"/>
              </w:rPr>
            </w:pP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CBF18">
            <w:pPr>
              <w:jc w:val="center"/>
              <w:rPr>
                <w:rFonts w:hint="default" w:hAnsi="宋体" w:cs="宋体"/>
                <w:b w:val="0"/>
                <w:bCs w:val="0"/>
                <w:color w:val="000000"/>
                <w:sz w:val="18"/>
                <w:szCs w:val="18"/>
              </w:rPr>
            </w:pP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BA20D">
            <w:pPr>
              <w:jc w:val="center"/>
              <w:rPr>
                <w:rFonts w:hint="default" w:hAnsi="宋体" w:cs="宋体"/>
                <w:b w:val="0"/>
                <w:bCs w:val="0"/>
                <w:color w:val="000000"/>
                <w:sz w:val="18"/>
                <w:szCs w:val="18"/>
              </w:rPr>
            </w:pPr>
          </w:p>
        </w:tc>
      </w:tr>
      <w:tr w14:paraId="79CF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440" w:hRule="atLeast"/>
        </w:trPr>
        <w:tc>
          <w:tcPr>
            <w:tcW w:w="76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0C2D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年度总体目标</w:t>
            </w:r>
          </w:p>
        </w:tc>
        <w:tc>
          <w:tcPr>
            <w:tcW w:w="4254" w:type="dxa"/>
            <w:gridSpan w:val="7"/>
            <w:tcBorders>
              <w:top w:val="single" w:color="000000" w:sz="4" w:space="0"/>
              <w:left w:val="single" w:color="000000" w:sz="4" w:space="0"/>
              <w:bottom w:val="nil"/>
              <w:right w:val="single" w:color="000000" w:sz="4" w:space="0"/>
              <w:tl2br w:val="nil"/>
              <w:tr2bl w:val="nil"/>
            </w:tcBorders>
            <w:noWrap w:val="0"/>
            <w:vAlign w:val="center"/>
          </w:tcPr>
          <w:p w14:paraId="400D91D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预期目标</w:t>
            </w:r>
          </w:p>
        </w:tc>
        <w:tc>
          <w:tcPr>
            <w:tcW w:w="417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1A7C9">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全年实际完成情况</w:t>
            </w:r>
          </w:p>
        </w:tc>
      </w:tr>
      <w:tr w14:paraId="7096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600"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D9F5E">
            <w:pPr>
              <w:jc w:val="center"/>
              <w:rPr>
                <w:rFonts w:hint="default" w:hAnsi="宋体" w:cs="宋体"/>
                <w:b w:val="0"/>
                <w:bCs w:val="0"/>
                <w:color w:val="000000"/>
                <w:sz w:val="18"/>
                <w:szCs w:val="18"/>
              </w:rPr>
            </w:pPr>
          </w:p>
        </w:tc>
        <w:tc>
          <w:tcPr>
            <w:tcW w:w="4254"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028FC725">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对于长期督查的工作和单位，通过定期督查，促进完成目标任务。</w:t>
            </w:r>
          </w:p>
        </w:tc>
        <w:tc>
          <w:tcPr>
            <w:tcW w:w="417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F5383">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全面完成全年目标任务</w:t>
            </w:r>
          </w:p>
        </w:tc>
      </w:tr>
      <w:tr w14:paraId="1C1A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1060" w:hRule="atLeast"/>
        </w:trPr>
        <w:tc>
          <w:tcPr>
            <w:tcW w:w="76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C471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绩效</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852" w:type="dxa"/>
            <w:gridSpan w:val="2"/>
            <w:tcBorders>
              <w:top w:val="nil"/>
              <w:left w:val="single" w:color="000000" w:sz="4" w:space="0"/>
              <w:bottom w:val="single" w:color="000000" w:sz="4" w:space="0"/>
              <w:right w:val="single" w:color="000000" w:sz="4" w:space="0"/>
              <w:tl2br w:val="nil"/>
              <w:tr2bl w:val="nil"/>
            </w:tcBorders>
            <w:noWrap w:val="0"/>
            <w:vAlign w:val="center"/>
          </w:tcPr>
          <w:p w14:paraId="5670599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一级指标</w:t>
            </w:r>
          </w:p>
        </w:tc>
        <w:tc>
          <w:tcPr>
            <w:tcW w:w="1129" w:type="dxa"/>
            <w:gridSpan w:val="2"/>
            <w:tcBorders>
              <w:top w:val="nil"/>
              <w:left w:val="single" w:color="000000" w:sz="4" w:space="0"/>
              <w:bottom w:val="single" w:color="000000" w:sz="4" w:space="0"/>
              <w:right w:val="single" w:color="000000" w:sz="4" w:space="0"/>
              <w:tl2br w:val="nil"/>
              <w:tr2bl w:val="nil"/>
            </w:tcBorders>
            <w:noWrap w:val="0"/>
            <w:vAlign w:val="center"/>
          </w:tcPr>
          <w:p w14:paraId="28FCEAF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二级指标</w:t>
            </w:r>
          </w:p>
        </w:tc>
        <w:tc>
          <w:tcPr>
            <w:tcW w:w="2273" w:type="dxa"/>
            <w:gridSpan w:val="3"/>
            <w:tcBorders>
              <w:top w:val="nil"/>
              <w:left w:val="single" w:color="000000" w:sz="4" w:space="0"/>
              <w:bottom w:val="single" w:color="000000" w:sz="4" w:space="0"/>
              <w:right w:val="single" w:color="000000" w:sz="4" w:space="0"/>
              <w:tl2br w:val="nil"/>
              <w:tr2bl w:val="nil"/>
            </w:tcBorders>
            <w:noWrap w:val="0"/>
            <w:vAlign w:val="center"/>
          </w:tcPr>
          <w:p w14:paraId="197A395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三级指标</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77E19">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年度指标值</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E752A">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实际完成值</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C55F5">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偏差原因分析及改进措施</w:t>
            </w:r>
          </w:p>
        </w:tc>
      </w:tr>
      <w:tr w14:paraId="10FF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840"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5BC80">
            <w:pPr>
              <w:jc w:val="center"/>
              <w:rPr>
                <w:rFonts w:hint="default" w:hAnsi="宋体" w:cs="宋体"/>
                <w:b w:val="0"/>
                <w:bCs w:val="0"/>
                <w:color w:val="000000"/>
                <w:sz w:val="18"/>
                <w:szCs w:val="18"/>
              </w:rPr>
            </w:pPr>
          </w:p>
        </w:tc>
        <w:tc>
          <w:tcPr>
            <w:tcW w:w="85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1CB9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产出指标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BE427">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数量指标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1BF64315">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57AB6031">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抽查覆盖率</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8148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90</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F0FB9">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D3AF8">
            <w:pPr>
              <w:jc w:val="center"/>
              <w:rPr>
                <w:rFonts w:hint="default" w:hAnsi="宋体" w:cs="宋体"/>
                <w:b w:val="0"/>
                <w:bCs w:val="0"/>
                <w:color w:val="000000"/>
                <w:sz w:val="18"/>
                <w:szCs w:val="18"/>
              </w:rPr>
            </w:pPr>
          </w:p>
        </w:tc>
      </w:tr>
      <w:tr w14:paraId="0774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840"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1AC87">
            <w:pPr>
              <w:jc w:val="center"/>
              <w:rPr>
                <w:rFonts w:hint="default" w:hAnsi="宋体" w:cs="宋体"/>
                <w:b w:val="0"/>
                <w:bCs w:val="0"/>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9D25A">
            <w:pPr>
              <w:jc w:val="center"/>
              <w:rPr>
                <w:rFonts w:hint="default" w:hAnsi="宋体" w:cs="宋体"/>
                <w:b w:val="0"/>
                <w:bCs w:val="0"/>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E2B41">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质量指标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1A6A8896">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1189B458">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抽查频次</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3E3AC">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90</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DDDE9">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95</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7002A">
            <w:pPr>
              <w:jc w:val="center"/>
              <w:rPr>
                <w:rFonts w:hint="default" w:hAnsi="宋体" w:cs="宋体"/>
                <w:b w:val="0"/>
                <w:bCs w:val="0"/>
                <w:color w:val="000000"/>
                <w:sz w:val="18"/>
                <w:szCs w:val="18"/>
              </w:rPr>
            </w:pPr>
          </w:p>
        </w:tc>
      </w:tr>
      <w:tr w14:paraId="7608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692"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3113C">
            <w:pPr>
              <w:jc w:val="center"/>
              <w:rPr>
                <w:rFonts w:hint="default" w:hAnsi="宋体" w:cs="宋体"/>
                <w:b w:val="0"/>
                <w:bCs w:val="0"/>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9B479">
            <w:pPr>
              <w:jc w:val="center"/>
              <w:rPr>
                <w:rFonts w:hint="default" w:hAnsi="宋体" w:cs="宋体"/>
                <w:b w:val="0"/>
                <w:bCs w:val="0"/>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7217B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时效指标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3D0436E4">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6ED82AE7">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整改率</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463DE">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r>
              <w:rPr>
                <w:rFonts w:hint="default" w:ascii="Times New Roman" w:hAnsi="Times New Roman" w:cs="宋体"/>
                <w:b w:val="0"/>
                <w:bCs w:val="0"/>
                <w:color w:val="000000"/>
                <w:sz w:val="18"/>
                <w:szCs w:val="18"/>
                <w:lang w:bidi="ar"/>
              </w:rPr>
              <w:t>100</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B7608">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137C8">
            <w:pPr>
              <w:jc w:val="center"/>
              <w:rPr>
                <w:rFonts w:hint="default" w:hAnsi="宋体" w:cs="宋体"/>
                <w:b w:val="0"/>
                <w:bCs w:val="0"/>
                <w:color w:val="000000"/>
                <w:sz w:val="18"/>
                <w:szCs w:val="18"/>
              </w:rPr>
            </w:pPr>
          </w:p>
        </w:tc>
      </w:tr>
      <w:tr w14:paraId="1880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588"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A5B9C">
            <w:pPr>
              <w:jc w:val="center"/>
              <w:rPr>
                <w:rFonts w:hint="default" w:hAnsi="宋体" w:cs="宋体"/>
                <w:b w:val="0"/>
                <w:bCs w:val="0"/>
                <w:color w:val="000000"/>
                <w:sz w:val="18"/>
                <w:szCs w:val="18"/>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7BA66">
            <w:pPr>
              <w:jc w:val="center"/>
              <w:rPr>
                <w:rFonts w:hint="default" w:hAnsi="宋体" w:cs="宋体"/>
                <w:b w:val="0"/>
                <w:bCs w:val="0"/>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D0D8B">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成本指标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33925325">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553C540A">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经费控制额</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83EA1">
            <w:pPr>
              <w:widowControl/>
              <w:jc w:val="center"/>
              <w:textAlignment w:val="center"/>
              <w:rPr>
                <w:rFonts w:hint="default" w:hAnsi="Arial" w:cs="Arial"/>
                <w:b w:val="0"/>
                <w:bCs w:val="0"/>
                <w:color w:val="000000"/>
                <w:sz w:val="18"/>
                <w:szCs w:val="18"/>
              </w:rPr>
            </w:pPr>
            <w:r>
              <w:rPr>
                <w:rFonts w:hint="default" w:ascii="Arial" w:hAnsi="Arial" w:cs="Arial"/>
                <w:b w:val="0"/>
                <w:bCs w:val="0"/>
                <w:color w:val="000000"/>
                <w:sz w:val="18"/>
                <w:szCs w:val="18"/>
                <w:lang w:bidi="ar"/>
              </w:rPr>
              <w:t>≤</w:t>
            </w:r>
            <w:r>
              <w:rPr>
                <w:rFonts w:hint="default" w:ascii="Times New Roman" w:hAnsi="Times New Roman" w:cs="Arial"/>
                <w:b w:val="0"/>
                <w:bCs w:val="0"/>
                <w:color w:val="000000"/>
                <w:sz w:val="18"/>
                <w:szCs w:val="18"/>
                <w:lang w:bidi="ar"/>
              </w:rPr>
              <w:t>32</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E5224">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32</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77506">
            <w:pPr>
              <w:jc w:val="center"/>
              <w:rPr>
                <w:rFonts w:hint="default" w:hAnsi="宋体" w:cs="宋体"/>
                <w:b w:val="0"/>
                <w:bCs w:val="0"/>
                <w:color w:val="000000"/>
                <w:sz w:val="18"/>
                <w:szCs w:val="18"/>
              </w:rPr>
            </w:pPr>
          </w:p>
        </w:tc>
      </w:tr>
      <w:tr w14:paraId="1CE4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840"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FE87D">
            <w:pPr>
              <w:jc w:val="center"/>
              <w:rPr>
                <w:rFonts w:hint="default" w:hAnsi="宋体" w:cs="宋体"/>
                <w:b w:val="0"/>
                <w:bCs w:val="0"/>
                <w:color w:val="000000"/>
                <w:sz w:val="18"/>
                <w:szCs w:val="18"/>
              </w:rPr>
            </w:pPr>
          </w:p>
        </w:tc>
        <w:tc>
          <w:tcPr>
            <w:tcW w:w="8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C723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效益指标</w:t>
            </w:r>
          </w:p>
        </w:tc>
        <w:tc>
          <w:tcPr>
            <w:tcW w:w="1129" w:type="dxa"/>
            <w:gridSpan w:val="2"/>
            <w:tcBorders>
              <w:top w:val="single" w:color="000000" w:sz="4" w:space="0"/>
              <w:left w:val="single" w:color="000000" w:sz="4" w:space="0"/>
              <w:bottom w:val="nil"/>
              <w:right w:val="single" w:color="000000" w:sz="4" w:space="0"/>
              <w:tl2br w:val="nil"/>
              <w:tr2bl w:val="nil"/>
            </w:tcBorders>
            <w:noWrap w:val="0"/>
            <w:vAlign w:val="center"/>
          </w:tcPr>
          <w:p w14:paraId="7794AE20">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社会效益</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55687E8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7413A78B">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整改落实率</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DC543">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95</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19044">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A7FA3">
            <w:pPr>
              <w:jc w:val="center"/>
              <w:rPr>
                <w:rFonts w:hint="default" w:hAnsi="宋体" w:cs="宋体"/>
                <w:b w:val="0"/>
                <w:bCs w:val="0"/>
                <w:color w:val="000000"/>
                <w:sz w:val="18"/>
                <w:szCs w:val="18"/>
              </w:rPr>
            </w:pPr>
          </w:p>
        </w:tc>
      </w:tr>
      <w:tr w14:paraId="088A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 w:type="dxa"/>
          <w:trHeight w:val="540" w:hRule="atLeast"/>
        </w:trPr>
        <w:tc>
          <w:tcPr>
            <w:tcW w:w="76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A99BD">
            <w:pPr>
              <w:jc w:val="center"/>
              <w:rPr>
                <w:rFonts w:hint="default" w:hAnsi="宋体" w:cs="宋体"/>
                <w:b w:val="0"/>
                <w:bCs w:val="0"/>
                <w:color w:val="000000"/>
                <w:sz w:val="18"/>
                <w:szCs w:val="18"/>
              </w:rPr>
            </w:pPr>
          </w:p>
        </w:tc>
        <w:tc>
          <w:tcPr>
            <w:tcW w:w="8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EB802">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满意度</w:t>
            </w:r>
            <w:r>
              <w:rPr>
                <w:rFonts w:hint="default" w:hAnsi="宋体" w:cs="宋体"/>
                <w:b w:val="0"/>
                <w:bCs w:val="0"/>
                <w:color w:val="000000"/>
                <w:sz w:val="18"/>
                <w:szCs w:val="18"/>
                <w:lang w:bidi="ar"/>
              </w:rPr>
              <w:br w:type="textWrapping"/>
            </w:r>
            <w:r>
              <w:rPr>
                <w:rFonts w:hint="default" w:hAnsi="宋体" w:cs="宋体"/>
                <w:b w:val="0"/>
                <w:bCs w:val="0"/>
                <w:color w:val="000000"/>
                <w:sz w:val="18"/>
                <w:szCs w:val="18"/>
                <w:lang w:bidi="ar"/>
              </w:rPr>
              <w:t>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A4AD8">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nil"/>
              <w:tl2br w:val="nil"/>
              <w:tr2bl w:val="nil"/>
            </w:tcBorders>
            <w:noWrap w:val="0"/>
            <w:vAlign w:val="center"/>
          </w:tcPr>
          <w:p w14:paraId="3FD4443B">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指标：</w:t>
            </w:r>
          </w:p>
        </w:tc>
        <w:tc>
          <w:tcPr>
            <w:tcW w:w="1133" w:type="dxa"/>
            <w:gridSpan w:val="2"/>
            <w:tcBorders>
              <w:top w:val="single" w:color="000000" w:sz="4" w:space="0"/>
              <w:left w:val="nil"/>
              <w:bottom w:val="single" w:color="000000" w:sz="4" w:space="0"/>
              <w:right w:val="single" w:color="000000" w:sz="4" w:space="0"/>
              <w:tl2br w:val="nil"/>
              <w:tr2bl w:val="nil"/>
            </w:tcBorders>
            <w:noWrap w:val="0"/>
            <w:vAlign w:val="center"/>
          </w:tcPr>
          <w:p w14:paraId="4C17BD07">
            <w:pPr>
              <w:widowControl/>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受惠群众满意度</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598AD">
            <w:pPr>
              <w:widowControl/>
              <w:jc w:val="center"/>
              <w:textAlignment w:val="center"/>
              <w:rPr>
                <w:rFonts w:hint="default" w:hAnsi="宋体" w:cs="宋体"/>
                <w:b w:val="0"/>
                <w:bCs w:val="0"/>
                <w:color w:val="000000"/>
                <w:sz w:val="18"/>
                <w:szCs w:val="18"/>
              </w:rPr>
            </w:pPr>
            <w:r>
              <w:rPr>
                <w:rFonts w:hint="default" w:hAnsi="宋体" w:cs="宋体"/>
                <w:b w:val="0"/>
                <w:bCs w:val="0"/>
                <w:color w:val="000000"/>
                <w:sz w:val="18"/>
                <w:szCs w:val="18"/>
                <w:lang w:bidi="ar"/>
              </w:rPr>
              <w:t>=</w:t>
            </w:r>
          </w:p>
        </w:tc>
        <w:tc>
          <w:tcPr>
            <w:tcW w:w="13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44F15">
            <w:pPr>
              <w:widowControl/>
              <w:jc w:val="center"/>
              <w:textAlignment w:val="center"/>
              <w:rPr>
                <w:rFonts w:hint="default" w:hAnsi="宋体" w:cs="宋体"/>
                <w:b w:val="0"/>
                <w:bCs w:val="0"/>
                <w:color w:val="000000"/>
                <w:sz w:val="18"/>
                <w:szCs w:val="18"/>
              </w:rPr>
            </w:pPr>
            <w:r>
              <w:rPr>
                <w:rFonts w:hint="default" w:ascii="Times New Roman" w:hAnsi="Times New Roman" w:cs="宋体"/>
                <w:b w:val="0"/>
                <w:bCs w:val="0"/>
                <w:color w:val="000000"/>
                <w:sz w:val="18"/>
                <w:szCs w:val="18"/>
                <w:lang w:bidi="ar"/>
              </w:rPr>
              <w:t>100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1E9AE">
            <w:pPr>
              <w:jc w:val="center"/>
              <w:rPr>
                <w:rFonts w:hint="default" w:hAnsi="宋体" w:cs="宋体"/>
                <w:b w:val="0"/>
                <w:bCs w:val="0"/>
                <w:color w:val="000000"/>
                <w:sz w:val="18"/>
                <w:szCs w:val="18"/>
              </w:rPr>
            </w:pPr>
          </w:p>
        </w:tc>
      </w:tr>
    </w:tbl>
    <w:p w14:paraId="58BCBA15">
      <w:pPr>
        <w:keepNext w:val="0"/>
        <w:keepLines w:val="0"/>
        <w:pageBreakBefore w:val="0"/>
        <w:widowControl w:val="0"/>
        <w:kinsoku/>
        <w:wordWrap/>
        <w:overflowPunct w:val="0"/>
        <w:autoSpaceDE w:val="0"/>
        <w:autoSpaceDN w:val="0"/>
        <w:bidi w:val="0"/>
        <w:adjustRightInd w:val="0"/>
        <w:spacing w:line="576" w:lineRule="exact"/>
        <w:jc w:val="both"/>
        <w:textAlignment w:val="auto"/>
        <w:rPr>
          <w:rFonts w:hint="eastAsia" w:ascii="黑体" w:hAnsi="黑体" w:eastAsia="黑体"/>
          <w:b w:val="0"/>
          <w:bCs w:val="0"/>
          <w:kern w:val="2"/>
          <w:sz w:val="32"/>
          <w:szCs w:val="24"/>
        </w:rPr>
      </w:pPr>
      <w:r>
        <w:rPr>
          <w:rFonts w:hint="eastAsia" w:ascii="黑体" w:hAnsi="黑体" w:eastAsia="黑体"/>
          <w:b w:val="0"/>
          <w:bCs w:val="0"/>
          <w:kern w:val="2"/>
          <w:sz w:val="32"/>
          <w:szCs w:val="24"/>
        </w:rPr>
        <w:t>附件</w:t>
      </w:r>
      <w:r>
        <w:rPr>
          <w:rFonts w:hint="eastAsia" w:ascii="Times New Roman" w:hAnsi="Times New Roman" w:eastAsia="黑体"/>
          <w:b w:val="0"/>
          <w:bCs w:val="0"/>
          <w:kern w:val="2"/>
          <w:sz w:val="32"/>
          <w:szCs w:val="24"/>
        </w:rPr>
        <w:t>2</w:t>
      </w:r>
    </w:p>
    <w:p w14:paraId="3D3835DA">
      <w:pPr>
        <w:pStyle w:val="2"/>
        <w:keepNext w:val="0"/>
        <w:keepLines w:val="0"/>
        <w:pageBreakBefore w:val="0"/>
        <w:widowControl w:val="0"/>
        <w:kinsoku/>
        <w:wordWrap/>
        <w:overflowPunct w:val="0"/>
        <w:autoSpaceDE w:val="0"/>
        <w:autoSpaceDN w:val="0"/>
        <w:bidi w:val="0"/>
        <w:adjustRightInd w:val="0"/>
        <w:spacing w:beforeLines="0" w:afterLines="0" w:line="576" w:lineRule="exact"/>
        <w:textAlignment w:val="auto"/>
        <w:rPr>
          <w:rFonts w:hint="eastAsia"/>
        </w:rPr>
      </w:pPr>
    </w:p>
    <w:p w14:paraId="5A778121">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b w:val="0"/>
          <w:bCs w:val="0"/>
          <w:kern w:val="2"/>
          <w:sz w:val="44"/>
          <w:szCs w:val="44"/>
          <w:lang w:val="zh-CN"/>
        </w:rPr>
      </w:pPr>
      <w:r>
        <w:rPr>
          <w:rFonts w:hint="eastAsia" w:ascii="Times New Roman" w:hAnsi="Times New Roman" w:eastAsia="方正小标宋简体" w:cs="方正小标宋简体"/>
          <w:b w:val="0"/>
          <w:bCs w:val="0"/>
          <w:kern w:val="2"/>
          <w:sz w:val="44"/>
          <w:szCs w:val="44"/>
        </w:rPr>
        <w:t>2023</w:t>
      </w:r>
      <w:r>
        <w:rPr>
          <w:rFonts w:hint="eastAsia" w:ascii="方正小标宋简体" w:hAnsi="方正小标宋简体" w:eastAsia="方正小标宋简体" w:cs="方正小标宋简体"/>
          <w:b w:val="0"/>
          <w:bCs w:val="0"/>
          <w:kern w:val="2"/>
          <w:sz w:val="44"/>
          <w:szCs w:val="44"/>
        </w:rPr>
        <w:t>年督查经费</w:t>
      </w:r>
      <w:r>
        <w:rPr>
          <w:rFonts w:hint="eastAsia" w:ascii="方正小标宋简体" w:hAnsi="方正小标宋简体" w:eastAsia="方正小标宋简体" w:cs="方正小标宋简体"/>
          <w:b w:val="0"/>
          <w:bCs w:val="0"/>
          <w:kern w:val="2"/>
          <w:sz w:val="44"/>
          <w:szCs w:val="44"/>
          <w:lang w:val="zh-CN"/>
        </w:rPr>
        <w:t>专项预算项目绩效评价报告</w:t>
      </w:r>
    </w:p>
    <w:p w14:paraId="7F73EAA8">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hAnsi="黑体" w:eastAsia="黑体"/>
          <w:b w:val="0"/>
          <w:bCs w:val="0"/>
          <w:sz w:val="32"/>
          <w:szCs w:val="32"/>
        </w:rPr>
      </w:pPr>
    </w:p>
    <w:p w14:paraId="6A53C5A3">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黑体"/>
          <w:b w:val="0"/>
          <w:bCs w:val="0"/>
          <w:sz w:val="32"/>
          <w:szCs w:val="32"/>
        </w:rPr>
      </w:pPr>
      <w:r>
        <w:rPr>
          <w:rFonts w:hint="eastAsia" w:ascii="Times New Roman" w:hAnsi="黑体" w:eastAsia="黑体"/>
          <w:b w:val="0"/>
          <w:bCs w:val="0"/>
          <w:sz w:val="32"/>
          <w:szCs w:val="32"/>
        </w:rPr>
        <w:t>一、项目概况</w:t>
      </w:r>
    </w:p>
    <w:p w14:paraId="66BBEB6E">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楷体" w:eastAsia="楷体_GB2312"/>
          <w:b w:val="0"/>
          <w:bCs w:val="0"/>
          <w:sz w:val="32"/>
          <w:szCs w:val="24"/>
        </w:rPr>
        <w:t>（一）项目资金申报及批复情况。</w:t>
      </w:r>
      <w:r>
        <w:rPr>
          <w:rFonts w:hint="eastAsia" w:ascii="仿宋_GB2312" w:hAnsi="仿宋_GB2312" w:eastAsia="仿宋_GB2312" w:cs="仿宋_GB2312"/>
          <w:b w:val="0"/>
          <w:bCs w:val="0"/>
          <w:sz w:val="32"/>
          <w:szCs w:val="32"/>
        </w:rPr>
        <w:t>我中心</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年度区财政局本级预算督查经费项目资金</w:t>
      </w:r>
      <w:r>
        <w:rPr>
          <w:rFonts w:hint="eastAsia" w:ascii="Times New Roman" w:hAnsi="Times New Roman" w:eastAsia="仿宋_GB2312" w:cs="仿宋_GB2312"/>
          <w:b w:val="0"/>
          <w:bCs w:val="0"/>
          <w:sz w:val="32"/>
          <w:szCs w:val="32"/>
        </w:rPr>
        <w:t>50</w:t>
      </w:r>
      <w:r>
        <w:rPr>
          <w:rFonts w:hint="eastAsia" w:ascii="仿宋_GB2312" w:hAnsi="仿宋_GB2312" w:eastAsia="仿宋_GB2312" w:cs="仿宋_GB2312"/>
          <w:b w:val="0"/>
          <w:bCs w:val="0"/>
          <w:sz w:val="32"/>
          <w:szCs w:val="32"/>
        </w:rPr>
        <w:t>万元。</w:t>
      </w:r>
    </w:p>
    <w:p w14:paraId="6A6D0E02">
      <w:pPr>
        <w:keepNext w:val="0"/>
        <w:keepLines w:val="0"/>
        <w:pageBreakBefore w:val="0"/>
        <w:widowControl w:val="0"/>
        <w:kinsoku/>
        <w:wordWrap/>
        <w:overflow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楷体" w:eastAsia="楷体_GB2312"/>
          <w:b w:val="0"/>
          <w:bCs w:val="0"/>
          <w:sz w:val="32"/>
          <w:szCs w:val="24"/>
        </w:rPr>
        <w:t>（二）项目绩效目标。</w:t>
      </w:r>
      <w:r>
        <w:rPr>
          <w:rFonts w:hint="eastAsia" w:ascii="仿宋_GB2312" w:hAnsi="仿宋_GB2312" w:eastAsia="仿宋_GB2312" w:cs="仿宋_GB2312"/>
          <w:b w:val="0"/>
          <w:bCs w:val="0"/>
          <w:sz w:val="32"/>
          <w:szCs w:val="32"/>
        </w:rPr>
        <w:t>根据全年工作安排，落实</w:t>
      </w:r>
      <w:r>
        <w:rPr>
          <w:rFonts w:hint="eastAsia" w:ascii="仿宋_GB2312" w:hAnsi="仿宋_GB2312" w:eastAsia="仿宋_GB2312" w:cs="仿宋_GB2312"/>
          <w:b w:val="0"/>
          <w:bCs w:val="0"/>
          <w:color w:val="000000"/>
          <w:sz w:val="32"/>
          <w:szCs w:val="32"/>
          <w:lang w:val="zh-CN"/>
        </w:rPr>
        <w:t>中央、省、市、区各项决策，扎实开展督查和目标绩效管理，紧贴区委区政府中心工作开展督促检查，以区委常委会议定事项、区政府常务会议事项、全区重（难）点事项和区委区政府主要领导重要批示办事事项为主要内容，对全区区级各部门、各镇党委进行督查及绩效考评，抽检覆盖率达到</w:t>
      </w:r>
      <w:r>
        <w:rPr>
          <w:rFonts w:hint="eastAsia" w:ascii="Times New Roman" w:hAnsi="Times New Roman" w:eastAsia="仿宋_GB2312" w:cs="仿宋_GB2312"/>
          <w:b w:val="0"/>
          <w:bCs w:val="0"/>
          <w:color w:val="000000"/>
          <w:sz w:val="32"/>
          <w:szCs w:val="32"/>
          <w:lang w:val="zh-CN"/>
        </w:rPr>
        <w:t>90</w:t>
      </w:r>
      <w:r>
        <w:rPr>
          <w:rFonts w:hint="eastAsia" w:ascii="仿宋_GB2312" w:hAnsi="仿宋_GB2312" w:eastAsia="仿宋_GB2312" w:cs="仿宋_GB2312"/>
          <w:b w:val="0"/>
          <w:bCs w:val="0"/>
          <w:color w:val="000000"/>
          <w:sz w:val="32"/>
          <w:szCs w:val="32"/>
          <w:lang w:val="zh-CN"/>
        </w:rPr>
        <w:t>%；根据中央、省、市、区各项决策，及对民生实事目标任务进行细化分解，实行跟踪督办，每月随机抽查，检查频次达到</w:t>
      </w:r>
      <w:r>
        <w:rPr>
          <w:rFonts w:hint="eastAsia" w:ascii="Times New Roman" w:hAnsi="Times New Roman" w:eastAsia="仿宋_GB2312" w:cs="仿宋_GB2312"/>
          <w:b w:val="0"/>
          <w:bCs w:val="0"/>
          <w:color w:val="000000"/>
          <w:sz w:val="32"/>
          <w:szCs w:val="32"/>
          <w:lang w:val="zh-CN"/>
        </w:rPr>
        <w:t>90</w:t>
      </w:r>
      <w:r>
        <w:rPr>
          <w:rFonts w:hint="eastAsia" w:ascii="仿宋_GB2312" w:hAnsi="仿宋_GB2312" w:eastAsia="仿宋_GB2312" w:cs="仿宋_GB2312"/>
          <w:b w:val="0"/>
          <w:bCs w:val="0"/>
          <w:color w:val="000000"/>
          <w:sz w:val="32"/>
          <w:szCs w:val="32"/>
          <w:lang w:val="zh-CN"/>
        </w:rPr>
        <w:t>%；扎实做好市对区目标考评工作，结合全年目标任务，以责任制+清单制形式分解目标任务，实时跟踪分析目标运行情况，督促各承担市对区考核任务的行业主管部门强化责任目标。受惠群众满意度达</w:t>
      </w:r>
      <w:r>
        <w:rPr>
          <w:rFonts w:hint="eastAsia" w:ascii="Times New Roman" w:hAnsi="Times New Roman" w:eastAsia="仿宋_GB2312" w:cs="仿宋_GB2312"/>
          <w:b w:val="0"/>
          <w:bCs w:val="0"/>
          <w:color w:val="000000"/>
          <w:sz w:val="32"/>
          <w:szCs w:val="32"/>
          <w:lang w:val="zh-CN"/>
        </w:rPr>
        <w:t>90</w:t>
      </w:r>
      <w:r>
        <w:rPr>
          <w:rFonts w:hint="eastAsia" w:ascii="仿宋_GB2312" w:hAnsi="仿宋_GB2312" w:eastAsia="仿宋_GB2312" w:cs="仿宋_GB2312"/>
          <w:b w:val="0"/>
          <w:bCs w:val="0"/>
          <w:color w:val="000000"/>
          <w:sz w:val="32"/>
          <w:szCs w:val="32"/>
          <w:lang w:val="zh-CN"/>
        </w:rPr>
        <w:t>%。</w:t>
      </w:r>
    </w:p>
    <w:p w14:paraId="42C24FBB">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楷体" w:eastAsia="楷体_GB2312"/>
          <w:b w:val="0"/>
          <w:bCs w:val="0"/>
          <w:sz w:val="32"/>
          <w:szCs w:val="24"/>
        </w:rPr>
        <w:t>（三）项目资金申报相符性。</w:t>
      </w:r>
      <w:r>
        <w:rPr>
          <w:rFonts w:hint="eastAsia" w:ascii="仿宋_GB2312" w:hAnsi="仿宋_GB2312" w:eastAsia="仿宋_GB2312" w:cs="仿宋_GB2312"/>
          <w:b w:val="0"/>
          <w:bCs w:val="0"/>
          <w:sz w:val="32"/>
          <w:szCs w:val="32"/>
        </w:rPr>
        <w:t>资金申报完全按照项目实施内容及年度内计划方案实施，资金申报合理，操作性强，可行性高。我中心结合资金性质及用途，有预见性、前瞻性地开展工作，有效发挥了资金效益。</w:t>
      </w:r>
    </w:p>
    <w:p w14:paraId="5F12A768">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黑体"/>
          <w:b w:val="0"/>
          <w:bCs w:val="0"/>
          <w:sz w:val="32"/>
          <w:szCs w:val="32"/>
        </w:rPr>
      </w:pPr>
      <w:r>
        <w:rPr>
          <w:rFonts w:hint="eastAsia" w:ascii="Times New Roman" w:hAnsi="黑体" w:eastAsia="黑体"/>
          <w:b w:val="0"/>
          <w:bCs w:val="0"/>
          <w:sz w:val="32"/>
          <w:szCs w:val="32"/>
        </w:rPr>
        <w:t>二、项目实施及管理情况</w:t>
      </w:r>
    </w:p>
    <w:p w14:paraId="61D08929">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_GB2312"/>
          <w:b w:val="0"/>
          <w:bCs w:val="0"/>
          <w:sz w:val="32"/>
          <w:szCs w:val="32"/>
        </w:rPr>
      </w:pPr>
      <w:r>
        <w:rPr>
          <w:rFonts w:hint="eastAsia" w:ascii="楷体_GB2312" w:hAnsi="仿宋_GB2312" w:eastAsia="楷体_GB2312"/>
          <w:b w:val="0"/>
          <w:bCs w:val="0"/>
          <w:sz w:val="32"/>
          <w:szCs w:val="32"/>
        </w:rPr>
        <w:t>（一）资金计划、到位及使用情况</w:t>
      </w:r>
      <w:r>
        <w:rPr>
          <w:rFonts w:hint="eastAsia" w:ascii="Times New Roman" w:hAnsi="仿宋_GB2312" w:eastAsia="仿宋_GB2312"/>
          <w:b w:val="0"/>
          <w:bCs w:val="0"/>
          <w:sz w:val="32"/>
          <w:szCs w:val="32"/>
        </w:rPr>
        <w:t>。</w:t>
      </w:r>
      <w:r>
        <w:rPr>
          <w:rFonts w:hint="eastAsia" w:ascii="Times New Roman" w:hAnsi="Times New Roman" w:eastAsia="仿宋_GB2312"/>
          <w:b w:val="0"/>
          <w:bCs w:val="0"/>
          <w:sz w:val="32"/>
          <w:szCs w:val="32"/>
        </w:rPr>
        <w:t>2023</w:t>
      </w:r>
      <w:r>
        <w:rPr>
          <w:rFonts w:hint="eastAsia" w:ascii="Times New Roman" w:hAnsi="仿宋_GB2312" w:eastAsia="仿宋_GB2312"/>
          <w:b w:val="0"/>
          <w:bCs w:val="0"/>
          <w:sz w:val="32"/>
          <w:szCs w:val="32"/>
        </w:rPr>
        <w:t>年督查等项目资金计划安排及时，资金拨付能按时到位，我中心严格按照各类项目资金使用要求支出，落实专款专用，无任何违规使用的情况。</w:t>
      </w:r>
    </w:p>
    <w:p w14:paraId="28D81995">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eastAsia="仿宋_GB2312"/>
          <w:b w:val="0"/>
          <w:bCs w:val="0"/>
          <w:sz w:val="32"/>
          <w:szCs w:val="32"/>
        </w:rPr>
        <w:t>.</w:t>
      </w:r>
      <w:r>
        <w:rPr>
          <w:rFonts w:hint="eastAsia" w:ascii="Times New Roman" w:hAnsi="仿宋_GB2312" w:eastAsia="仿宋_GB2312"/>
          <w:b w:val="0"/>
          <w:bCs w:val="0"/>
          <w:sz w:val="32"/>
          <w:szCs w:val="32"/>
        </w:rPr>
        <w:t>资金计划和到位及时。</w:t>
      </w:r>
      <w:r>
        <w:rPr>
          <w:rFonts w:hint="eastAsia" w:ascii="Times New Roman" w:hAnsi="Times New Roman" w:eastAsia="仿宋_GB2312"/>
          <w:b w:val="0"/>
          <w:bCs w:val="0"/>
          <w:sz w:val="32"/>
          <w:szCs w:val="32"/>
        </w:rPr>
        <w:t>2023</w:t>
      </w:r>
      <w:r>
        <w:rPr>
          <w:rFonts w:hint="eastAsia" w:ascii="Times New Roman" w:hAnsi="仿宋_GB2312" w:eastAsia="仿宋_GB2312"/>
          <w:b w:val="0"/>
          <w:bCs w:val="0"/>
          <w:sz w:val="32"/>
          <w:szCs w:val="32"/>
        </w:rPr>
        <w:t>年度区财政局在有效时限内将督查等项目资金指标下达我中心，我中心根据资金用途制定了详细的项目实施方案及资金使用计划。</w:t>
      </w:r>
    </w:p>
    <w:p w14:paraId="3FB3B805">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eastAsia="仿宋_GB2312"/>
          <w:b w:val="0"/>
          <w:bCs w:val="0"/>
          <w:sz w:val="32"/>
          <w:szCs w:val="32"/>
        </w:rPr>
        <w:t>.</w:t>
      </w:r>
      <w:r>
        <w:rPr>
          <w:rFonts w:hint="eastAsia" w:ascii="Times New Roman" w:hAnsi="仿宋_GB2312" w:eastAsia="仿宋_GB2312"/>
          <w:b w:val="0"/>
          <w:bCs w:val="0"/>
          <w:sz w:val="32"/>
          <w:szCs w:val="32"/>
        </w:rPr>
        <w:t>资金使用符合要求。我中心项目资金的实际支出完全符合资金开支范围、标准及支付要求，支付依据合规合法，资金支付与预算相符。</w:t>
      </w:r>
    </w:p>
    <w:p w14:paraId="009F7D88">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_GB2312"/>
          <w:b w:val="0"/>
          <w:bCs w:val="0"/>
          <w:sz w:val="32"/>
          <w:szCs w:val="32"/>
        </w:rPr>
      </w:pPr>
      <w:r>
        <w:rPr>
          <w:rFonts w:hint="eastAsia" w:ascii="楷体_GB2312" w:hAnsi="仿宋_GB2312" w:eastAsia="楷体_GB2312"/>
          <w:b w:val="0"/>
          <w:bCs w:val="0"/>
          <w:sz w:val="32"/>
          <w:szCs w:val="32"/>
        </w:rPr>
        <w:t>（二）项目财务管理情况</w:t>
      </w:r>
      <w:r>
        <w:rPr>
          <w:rFonts w:hint="eastAsia" w:ascii="Times New Roman" w:hAnsi="仿宋_GB2312" w:eastAsia="仿宋_GB2312"/>
          <w:b w:val="0"/>
          <w:bCs w:val="0"/>
          <w:sz w:val="32"/>
          <w:szCs w:val="32"/>
        </w:rPr>
        <w:t>。为强化专项资金管理，发挥资金的最大使用绩效，我中心按照</w:t>
      </w:r>
      <w:r>
        <w:rPr>
          <w:rFonts w:hint="eastAsia" w:ascii="Times New Roman" w:eastAsia="仿宋_GB2312"/>
          <w:b w:val="0"/>
          <w:bCs w:val="0"/>
          <w:sz w:val="32"/>
          <w:szCs w:val="32"/>
        </w:rPr>
        <w:t>“</w:t>
      </w:r>
      <w:r>
        <w:rPr>
          <w:rFonts w:hint="eastAsia" w:ascii="Times New Roman" w:hAnsi="仿宋_GB2312" w:eastAsia="仿宋_GB2312"/>
          <w:b w:val="0"/>
          <w:bCs w:val="0"/>
          <w:sz w:val="32"/>
          <w:szCs w:val="32"/>
        </w:rPr>
        <w:t>统筹兼顾、突出重点、促进发展、专款专用、注重绩效</w:t>
      </w:r>
      <w:r>
        <w:rPr>
          <w:rFonts w:hint="eastAsia" w:ascii="Times New Roman" w:eastAsia="仿宋_GB2312"/>
          <w:b w:val="0"/>
          <w:bCs w:val="0"/>
          <w:sz w:val="32"/>
          <w:szCs w:val="32"/>
        </w:rPr>
        <w:t>”</w:t>
      </w:r>
      <w:r>
        <w:rPr>
          <w:rFonts w:hint="eastAsia" w:ascii="Times New Roman" w:hAnsi="仿宋_GB2312" w:eastAsia="仿宋_GB2312"/>
          <w:b w:val="0"/>
          <w:bCs w:val="0"/>
          <w:sz w:val="32"/>
          <w:szCs w:val="32"/>
        </w:rPr>
        <w:t>的原则，制定了专项资金使用实施方案、项目资金管理办法及内控管理制度等，规范了项目资金的核算及账务处理相关内容，进一步强化监督管理，严格按照各项管理办法、制度执行，充分发挥了资金使用效益。</w:t>
      </w:r>
    </w:p>
    <w:p w14:paraId="140635FD">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_GB2312"/>
          <w:b w:val="0"/>
          <w:bCs w:val="0"/>
          <w:sz w:val="32"/>
          <w:szCs w:val="32"/>
        </w:rPr>
      </w:pPr>
      <w:r>
        <w:rPr>
          <w:rFonts w:hint="eastAsia" w:ascii="Times New Roman" w:hAnsi="楷体" w:eastAsia="楷体_GB2312"/>
          <w:b w:val="0"/>
          <w:bCs w:val="0"/>
          <w:sz w:val="32"/>
          <w:szCs w:val="24"/>
        </w:rPr>
        <w:t>（三）项目组织实施情况。</w:t>
      </w:r>
      <w:r>
        <w:rPr>
          <w:rFonts w:hint="eastAsia" w:ascii="Times New Roman" w:hAnsi="仿宋_GB2312" w:eastAsia="仿宋_GB2312"/>
          <w:b w:val="0"/>
          <w:bCs w:val="0"/>
          <w:sz w:val="32"/>
          <w:szCs w:val="32"/>
        </w:rPr>
        <w:t>我中心制定了切实可行的工作实施方案，为专项资金的使用提供了坚强的组织保障。严格按照程序化、制度化、公开化、透明化实施。</w:t>
      </w:r>
    </w:p>
    <w:p w14:paraId="1862EFF0">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黑体"/>
          <w:b w:val="0"/>
          <w:bCs w:val="0"/>
          <w:sz w:val="32"/>
          <w:szCs w:val="32"/>
        </w:rPr>
      </w:pPr>
      <w:r>
        <w:rPr>
          <w:rFonts w:hint="eastAsia" w:ascii="Times New Roman" w:hAnsi="黑体" w:eastAsia="黑体"/>
          <w:b w:val="0"/>
          <w:bCs w:val="0"/>
          <w:sz w:val="32"/>
          <w:szCs w:val="32"/>
        </w:rPr>
        <w:t>三、项目绩效情况</w:t>
      </w:r>
    </w:p>
    <w:p w14:paraId="77D80CA7">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hAnsi="仿宋_GB2312" w:eastAsia="仿宋_GB2312"/>
          <w:b w:val="0"/>
          <w:bCs w:val="0"/>
          <w:sz w:val="32"/>
          <w:szCs w:val="32"/>
        </w:rPr>
      </w:pPr>
      <w:r>
        <w:rPr>
          <w:rFonts w:hint="eastAsia" w:ascii="Times New Roman" w:hAnsi="Times New Roman" w:eastAsia="仿宋_GB2312"/>
          <w:b w:val="0"/>
          <w:bCs w:val="0"/>
          <w:sz w:val="32"/>
          <w:szCs w:val="32"/>
        </w:rPr>
        <w:t>2023</w:t>
      </w:r>
      <w:r>
        <w:rPr>
          <w:rFonts w:hint="eastAsia" w:ascii="Times New Roman" w:hAnsi="仿宋_GB2312" w:eastAsia="仿宋_GB2312"/>
          <w:b w:val="0"/>
          <w:bCs w:val="0"/>
          <w:sz w:val="32"/>
          <w:szCs w:val="32"/>
        </w:rPr>
        <w:t>年度督查工作，我中心做到了资金与项目方案相符，严格按照方案要求实施，加强了资金管理，做到了专款专用，确保了资金的安全，提高了资金使用效率。</w:t>
      </w:r>
    </w:p>
    <w:p w14:paraId="6730A991">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黑体"/>
          <w:b w:val="0"/>
          <w:bCs w:val="0"/>
          <w:sz w:val="32"/>
          <w:szCs w:val="32"/>
        </w:rPr>
      </w:pPr>
      <w:r>
        <w:rPr>
          <w:rFonts w:hint="eastAsia" w:ascii="Times New Roman" w:eastAsia="黑体"/>
          <w:b w:val="0"/>
          <w:bCs w:val="0"/>
          <w:sz w:val="32"/>
          <w:szCs w:val="32"/>
        </w:rPr>
        <w:t>四、评价结论及建议</w:t>
      </w:r>
    </w:p>
    <w:p w14:paraId="0CD24CC9">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楷体_GB2312"/>
          <w:b w:val="0"/>
          <w:bCs w:val="0"/>
          <w:sz w:val="32"/>
          <w:szCs w:val="24"/>
        </w:rPr>
      </w:pPr>
      <w:r>
        <w:rPr>
          <w:rFonts w:hint="eastAsia" w:ascii="Times New Roman" w:hAnsi="楷体" w:eastAsia="楷体_GB2312"/>
          <w:b w:val="0"/>
          <w:bCs w:val="0"/>
          <w:sz w:val="32"/>
          <w:szCs w:val="24"/>
        </w:rPr>
        <w:t>（一）评价结论</w:t>
      </w:r>
    </w:p>
    <w:p w14:paraId="0F0B0883">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区目标绩效事务中心</w:t>
      </w:r>
      <w:r>
        <w:rPr>
          <w:rFonts w:hint="eastAsia" w:ascii="Times New Roman" w:hAnsi="Times New Roman" w:eastAsia="仿宋"/>
          <w:b w:val="0"/>
          <w:bCs w:val="0"/>
          <w:sz w:val="32"/>
          <w:szCs w:val="24"/>
        </w:rPr>
        <w:t>2023</w:t>
      </w:r>
      <w:r>
        <w:rPr>
          <w:rFonts w:hint="eastAsia" w:ascii="仿宋_GB2312" w:hAnsi="仿宋_GB2312" w:eastAsia="仿宋_GB2312" w:cs="仿宋_GB2312"/>
          <w:b w:val="0"/>
          <w:bCs w:val="0"/>
          <w:sz w:val="32"/>
          <w:szCs w:val="24"/>
        </w:rPr>
        <w:t>年度督查等项目资金支出合规合法，较好地完成了年度目标绩效任务，对标项目支出绩效评价指标体系，我单位对本项目进行总体自评，评价结果为：优，得分</w:t>
      </w:r>
      <w:r>
        <w:rPr>
          <w:rFonts w:hint="eastAsia" w:ascii="Times New Roman" w:hAnsi="Times New Roman" w:eastAsia="仿宋_GB2312" w:cs="仿宋_GB2312"/>
          <w:b w:val="0"/>
          <w:bCs w:val="0"/>
          <w:sz w:val="32"/>
          <w:szCs w:val="24"/>
        </w:rPr>
        <w:t>100</w:t>
      </w:r>
      <w:r>
        <w:rPr>
          <w:rFonts w:hint="eastAsia" w:ascii="仿宋_GB2312" w:hAnsi="仿宋_GB2312" w:eastAsia="仿宋_GB2312" w:cs="仿宋_GB2312"/>
          <w:b w:val="0"/>
          <w:bCs w:val="0"/>
          <w:sz w:val="32"/>
          <w:szCs w:val="24"/>
        </w:rPr>
        <w:t>分。</w:t>
      </w:r>
    </w:p>
    <w:p w14:paraId="1FAD273E">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楷体_GB2312"/>
          <w:b w:val="0"/>
          <w:bCs w:val="0"/>
          <w:sz w:val="32"/>
          <w:szCs w:val="24"/>
        </w:rPr>
      </w:pPr>
      <w:r>
        <w:rPr>
          <w:rFonts w:hint="eastAsia" w:ascii="Times New Roman" w:hAnsi="楷体" w:eastAsia="楷体_GB2312"/>
          <w:b w:val="0"/>
          <w:bCs w:val="0"/>
          <w:sz w:val="32"/>
          <w:szCs w:val="24"/>
        </w:rPr>
        <w:t>（二）存在的问题</w:t>
      </w:r>
    </w:p>
    <w:p w14:paraId="3F5DC0E1">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
          <w:b w:val="0"/>
          <w:bCs w:val="0"/>
          <w:sz w:val="32"/>
          <w:szCs w:val="24"/>
        </w:rPr>
      </w:pPr>
      <w:r>
        <w:rPr>
          <w:rFonts w:hint="eastAsia" w:ascii="Times New Roman" w:eastAsia="仿宋"/>
          <w:b w:val="0"/>
          <w:bCs w:val="0"/>
          <w:sz w:val="32"/>
          <w:szCs w:val="24"/>
        </w:rPr>
        <w:t>无。</w:t>
      </w:r>
    </w:p>
    <w:p w14:paraId="3AF1FAE9">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楷体_GB2312"/>
          <w:b w:val="0"/>
          <w:bCs w:val="0"/>
          <w:sz w:val="32"/>
          <w:szCs w:val="24"/>
        </w:rPr>
      </w:pPr>
      <w:r>
        <w:rPr>
          <w:rFonts w:hint="eastAsia" w:ascii="Times New Roman" w:hAnsi="楷体" w:eastAsia="楷体_GB2312"/>
          <w:b w:val="0"/>
          <w:bCs w:val="0"/>
          <w:sz w:val="32"/>
          <w:szCs w:val="24"/>
        </w:rPr>
        <w:t>（三）相关建议</w:t>
      </w:r>
    </w:p>
    <w:p w14:paraId="3A1950C4">
      <w:pPr>
        <w:keepNext w:val="0"/>
        <w:keepLines w:val="0"/>
        <w:pageBreakBefore w:val="0"/>
        <w:widowControl w:val="0"/>
        <w:kinsoku/>
        <w:wordWrap/>
        <w:overflowPunct w:val="0"/>
        <w:topLinePunct/>
        <w:autoSpaceDE w:val="0"/>
        <w:autoSpaceDN w:val="0"/>
        <w:bidi w:val="0"/>
        <w:adjustRightInd w:val="0"/>
        <w:spacing w:line="576" w:lineRule="exact"/>
        <w:ind w:firstLine="640" w:firstLineChars="200"/>
        <w:textAlignment w:val="auto"/>
        <w:rPr>
          <w:rFonts w:hint="eastAsia" w:ascii="Times New Roman" w:eastAsia="仿宋"/>
          <w:b w:val="0"/>
          <w:bCs w:val="0"/>
          <w:sz w:val="32"/>
          <w:szCs w:val="24"/>
        </w:rPr>
      </w:pPr>
      <w:r>
        <w:rPr>
          <w:rFonts w:hint="eastAsia" w:ascii="Times New Roman" w:eastAsia="仿宋"/>
          <w:b w:val="0"/>
          <w:bCs w:val="0"/>
          <w:sz w:val="32"/>
          <w:szCs w:val="24"/>
        </w:rPr>
        <w:t>无。</w:t>
      </w:r>
    </w:p>
    <w:p w14:paraId="7A4CDE16">
      <w:pPr>
        <w:keepNext w:val="0"/>
        <w:keepLines w:val="0"/>
        <w:pageBreakBefore w:val="0"/>
        <w:widowControl w:val="0"/>
        <w:kinsoku/>
        <w:wordWrap/>
        <w:overflowPunct w:val="0"/>
        <w:autoSpaceDE w:val="0"/>
        <w:autoSpaceDN w:val="0"/>
        <w:bidi w:val="0"/>
        <w:adjustRightInd w:val="0"/>
        <w:spacing w:line="576" w:lineRule="exact"/>
        <w:ind w:firstLine="880"/>
        <w:textAlignment w:val="auto"/>
        <w:rPr>
          <w:rFonts w:hint="eastAsia" w:ascii="黑体" w:hAnsi="黑体" w:eastAsia="黑体"/>
          <w:b w:val="0"/>
          <w:bCs w:val="0"/>
          <w:kern w:val="44"/>
          <w:sz w:val="44"/>
          <w:szCs w:val="24"/>
        </w:rPr>
      </w:pPr>
    </w:p>
    <w:p w14:paraId="15960A2C">
      <w:pPr>
        <w:pStyle w:val="2"/>
        <w:keepNext w:val="0"/>
        <w:keepLines w:val="0"/>
        <w:pageBreakBefore w:val="0"/>
        <w:widowControl w:val="0"/>
        <w:kinsoku/>
        <w:wordWrap/>
        <w:overflowPunct w:val="0"/>
        <w:autoSpaceDE w:val="0"/>
        <w:autoSpaceDN w:val="0"/>
        <w:bidi w:val="0"/>
        <w:adjustRightInd w:val="0"/>
        <w:spacing w:beforeLines="0" w:afterLines="0" w:line="576" w:lineRule="exact"/>
        <w:textAlignment w:val="auto"/>
        <w:rPr>
          <w:rFonts w:hint="eastAsia" w:ascii="黑体" w:hAnsi="黑体" w:eastAsia="黑体"/>
          <w:b w:val="0"/>
          <w:bCs w:val="0"/>
          <w:kern w:val="44"/>
          <w:sz w:val="44"/>
          <w:szCs w:val="24"/>
        </w:rPr>
        <w:sectPr>
          <w:pgSz w:w="12240" w:h="15840"/>
          <w:pgMar w:top="2098" w:right="1474" w:bottom="1984" w:left="1587" w:header="850" w:footer="1587" w:gutter="0"/>
          <w:lnNumType w:countBy="0" w:distance="360"/>
          <w:pgNumType w:fmt="decimal"/>
          <w:cols w:space="720" w:num="1"/>
          <w:rtlGutter w:val="0"/>
          <w:docGrid w:linePitch="0" w:charSpace="0"/>
        </w:sectPr>
      </w:pPr>
    </w:p>
    <w:p w14:paraId="1DD90C2B">
      <w:pPr>
        <w:keepNext w:val="0"/>
        <w:keepLines w:val="0"/>
        <w:pageBreakBefore w:val="0"/>
        <w:widowControl w:val="0"/>
        <w:kinsoku/>
        <w:wordWrap/>
        <w:overflowPunct w:val="0"/>
        <w:autoSpaceDE w:val="0"/>
        <w:autoSpaceDN w:val="0"/>
        <w:bidi w:val="0"/>
        <w:adjustRightInd w:val="0"/>
        <w:spacing w:line="576" w:lineRule="exact"/>
        <w:jc w:val="center"/>
        <w:textAlignment w:val="auto"/>
        <w:rPr>
          <w:rFonts w:hint="eastAsia" w:ascii="黑体" w:hAnsi="黑体" w:eastAsia="黑体"/>
          <w:b w:val="0"/>
          <w:bCs w:val="0"/>
          <w:kern w:val="44"/>
          <w:sz w:val="44"/>
          <w:szCs w:val="24"/>
        </w:rPr>
      </w:pPr>
      <w:r>
        <w:rPr>
          <w:rFonts w:hint="eastAsia" w:ascii="黑体" w:hAnsi="黑体" w:eastAsia="黑体"/>
          <w:b w:val="0"/>
          <w:bCs w:val="0"/>
          <w:color w:val="000000"/>
          <w:kern w:val="2"/>
          <w:sz w:val="44"/>
          <w:szCs w:val="24"/>
        </w:rPr>
        <w:t>第</w:t>
      </w:r>
      <w:r>
        <w:rPr>
          <w:rFonts w:hint="eastAsia" w:ascii="黑体" w:hAnsi="黑体" w:eastAsia="黑体"/>
          <w:b w:val="0"/>
          <w:bCs w:val="0"/>
          <w:kern w:val="44"/>
          <w:sz w:val="44"/>
          <w:szCs w:val="24"/>
        </w:rPr>
        <w:t>五部分  附表</w:t>
      </w:r>
    </w:p>
    <w:p w14:paraId="26C982E0">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p>
    <w:p w14:paraId="405CBFBF">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一、收</w:t>
      </w:r>
      <w:r>
        <w:rPr>
          <w:rFonts w:hint="eastAsia" w:ascii="仿宋_GB2312" w:hAnsi="仿宋_GB2312" w:eastAsia="仿宋_GB2312"/>
          <w:b w:val="0"/>
          <w:bCs w:val="0"/>
          <w:kern w:val="2"/>
          <w:sz w:val="32"/>
          <w:szCs w:val="24"/>
        </w:rPr>
        <w:t>入支出决算总表</w:t>
      </w:r>
    </w:p>
    <w:p w14:paraId="09935598">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color w:val="000000"/>
          <w:kern w:val="2"/>
          <w:sz w:val="32"/>
          <w:szCs w:val="24"/>
        </w:rPr>
        <w:t>二、收</w:t>
      </w:r>
      <w:r>
        <w:rPr>
          <w:rFonts w:hint="eastAsia" w:ascii="仿宋_GB2312" w:hAnsi="仿宋_GB2312" w:eastAsia="仿宋_GB2312"/>
          <w:b w:val="0"/>
          <w:bCs w:val="0"/>
          <w:kern w:val="2"/>
          <w:sz w:val="32"/>
          <w:szCs w:val="24"/>
        </w:rPr>
        <w:t>入决算表</w:t>
      </w:r>
    </w:p>
    <w:p w14:paraId="4F47CE10">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三、</w:t>
      </w:r>
      <w:r>
        <w:rPr>
          <w:rFonts w:hint="eastAsia" w:ascii="仿宋_GB2312" w:hAnsi="仿宋_GB2312" w:eastAsia="仿宋_GB2312"/>
          <w:b w:val="0"/>
          <w:bCs w:val="0"/>
          <w:color w:val="000000"/>
          <w:kern w:val="2"/>
          <w:sz w:val="32"/>
          <w:szCs w:val="24"/>
        </w:rPr>
        <w:t>支</w:t>
      </w:r>
      <w:r>
        <w:rPr>
          <w:rFonts w:hint="eastAsia" w:ascii="仿宋_GB2312" w:hAnsi="仿宋_GB2312" w:eastAsia="仿宋_GB2312"/>
          <w:b w:val="0"/>
          <w:bCs w:val="0"/>
          <w:kern w:val="2"/>
          <w:sz w:val="32"/>
          <w:szCs w:val="24"/>
        </w:rPr>
        <w:t>出决算表</w:t>
      </w:r>
    </w:p>
    <w:p w14:paraId="496CF850">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四、</w:t>
      </w:r>
      <w:r>
        <w:rPr>
          <w:rFonts w:hint="eastAsia" w:ascii="仿宋_GB2312" w:hAnsi="仿宋_GB2312" w:eastAsia="仿宋_GB2312"/>
          <w:b w:val="0"/>
          <w:bCs w:val="0"/>
          <w:color w:val="000000"/>
          <w:kern w:val="2"/>
          <w:sz w:val="32"/>
          <w:szCs w:val="24"/>
        </w:rPr>
        <w:t>财</w:t>
      </w:r>
      <w:r>
        <w:rPr>
          <w:rFonts w:hint="eastAsia" w:ascii="仿宋_GB2312" w:hAnsi="仿宋_GB2312" w:eastAsia="仿宋_GB2312"/>
          <w:b w:val="0"/>
          <w:bCs w:val="0"/>
          <w:kern w:val="2"/>
          <w:sz w:val="32"/>
          <w:szCs w:val="24"/>
        </w:rPr>
        <w:t>政拨款收入支出决算总表</w:t>
      </w:r>
    </w:p>
    <w:p w14:paraId="1158A198">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五、</w:t>
      </w:r>
      <w:r>
        <w:rPr>
          <w:rFonts w:hint="eastAsia" w:ascii="仿宋_GB2312" w:hAnsi="仿宋_GB2312" w:eastAsia="仿宋_GB2312"/>
          <w:b w:val="0"/>
          <w:bCs w:val="0"/>
          <w:color w:val="000000"/>
          <w:kern w:val="2"/>
          <w:sz w:val="32"/>
          <w:szCs w:val="24"/>
        </w:rPr>
        <w:t>财</w:t>
      </w:r>
      <w:r>
        <w:rPr>
          <w:rFonts w:hint="eastAsia" w:ascii="仿宋_GB2312" w:hAnsi="仿宋_GB2312" w:eastAsia="仿宋_GB2312"/>
          <w:b w:val="0"/>
          <w:bCs w:val="0"/>
          <w:kern w:val="2"/>
          <w:sz w:val="32"/>
          <w:szCs w:val="24"/>
        </w:rPr>
        <w:t>政拨款支出决算明细表</w:t>
      </w:r>
    </w:p>
    <w:p w14:paraId="7852626E">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六、</w:t>
      </w:r>
      <w:r>
        <w:rPr>
          <w:rFonts w:hint="eastAsia" w:ascii="仿宋_GB2312" w:hAnsi="仿宋_GB2312" w:eastAsia="仿宋_GB2312"/>
          <w:b w:val="0"/>
          <w:bCs w:val="0"/>
          <w:color w:val="000000"/>
          <w:kern w:val="2"/>
          <w:sz w:val="32"/>
          <w:szCs w:val="24"/>
        </w:rPr>
        <w:t>一</w:t>
      </w:r>
      <w:r>
        <w:rPr>
          <w:rFonts w:hint="eastAsia" w:ascii="仿宋_GB2312" w:hAnsi="仿宋_GB2312" w:eastAsia="仿宋_GB2312"/>
          <w:b w:val="0"/>
          <w:bCs w:val="0"/>
          <w:kern w:val="2"/>
          <w:sz w:val="32"/>
          <w:szCs w:val="24"/>
        </w:rPr>
        <w:t>般公共预算财政拨款支出决算表</w:t>
      </w:r>
    </w:p>
    <w:p w14:paraId="71222F62">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七、</w:t>
      </w:r>
      <w:r>
        <w:rPr>
          <w:rFonts w:hint="eastAsia" w:ascii="仿宋_GB2312" w:hAnsi="仿宋_GB2312" w:eastAsia="仿宋_GB2312"/>
          <w:b w:val="0"/>
          <w:bCs w:val="0"/>
          <w:color w:val="000000"/>
          <w:kern w:val="2"/>
          <w:sz w:val="32"/>
          <w:szCs w:val="24"/>
        </w:rPr>
        <w:t>一</w:t>
      </w:r>
      <w:r>
        <w:rPr>
          <w:rFonts w:hint="eastAsia" w:ascii="仿宋_GB2312" w:hAnsi="仿宋_GB2312" w:eastAsia="仿宋_GB2312"/>
          <w:b w:val="0"/>
          <w:bCs w:val="0"/>
          <w:kern w:val="2"/>
          <w:sz w:val="32"/>
          <w:szCs w:val="24"/>
        </w:rPr>
        <w:t>般公共预算财政拨款支出决算明细表</w:t>
      </w:r>
    </w:p>
    <w:p w14:paraId="6017586E">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八、</w:t>
      </w:r>
      <w:r>
        <w:rPr>
          <w:rFonts w:hint="eastAsia" w:ascii="仿宋_GB2312" w:hAnsi="仿宋_GB2312" w:eastAsia="仿宋_GB2312"/>
          <w:b w:val="0"/>
          <w:bCs w:val="0"/>
          <w:color w:val="000000"/>
          <w:kern w:val="2"/>
          <w:sz w:val="32"/>
          <w:szCs w:val="24"/>
        </w:rPr>
        <w:t>一</w:t>
      </w:r>
      <w:r>
        <w:rPr>
          <w:rFonts w:hint="eastAsia" w:ascii="仿宋_GB2312" w:hAnsi="仿宋_GB2312" w:eastAsia="仿宋_GB2312"/>
          <w:b w:val="0"/>
          <w:bCs w:val="0"/>
          <w:kern w:val="2"/>
          <w:sz w:val="32"/>
          <w:szCs w:val="24"/>
        </w:rPr>
        <w:t>般公共预算财政拨款基本支出决算表</w:t>
      </w:r>
    </w:p>
    <w:p w14:paraId="189DAD63">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九、</w:t>
      </w:r>
      <w:r>
        <w:rPr>
          <w:rFonts w:hint="eastAsia" w:ascii="仿宋_GB2312" w:hAnsi="仿宋_GB2312" w:eastAsia="仿宋_GB2312"/>
          <w:b w:val="0"/>
          <w:bCs w:val="0"/>
          <w:color w:val="000000"/>
          <w:kern w:val="2"/>
          <w:sz w:val="32"/>
          <w:szCs w:val="24"/>
        </w:rPr>
        <w:t>一</w:t>
      </w:r>
      <w:r>
        <w:rPr>
          <w:rFonts w:hint="eastAsia" w:ascii="仿宋_GB2312" w:hAnsi="仿宋_GB2312" w:eastAsia="仿宋_GB2312"/>
          <w:b w:val="0"/>
          <w:bCs w:val="0"/>
          <w:kern w:val="2"/>
          <w:sz w:val="32"/>
          <w:szCs w:val="24"/>
        </w:rPr>
        <w:t>般公共预算财政拨款项目支出决算表</w:t>
      </w:r>
    </w:p>
    <w:p w14:paraId="6ECAE0C9">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color w:val="000000"/>
          <w:kern w:val="2"/>
          <w:sz w:val="32"/>
          <w:szCs w:val="24"/>
        </w:rPr>
      </w:pPr>
      <w:r>
        <w:rPr>
          <w:rFonts w:hint="eastAsia" w:ascii="仿宋_GB2312" w:hAnsi="仿宋_GB2312" w:eastAsia="仿宋_GB2312"/>
          <w:b w:val="0"/>
          <w:bCs w:val="0"/>
          <w:kern w:val="2"/>
          <w:sz w:val="32"/>
          <w:szCs w:val="24"/>
        </w:rPr>
        <w:t>十、</w:t>
      </w:r>
      <w:r>
        <w:rPr>
          <w:rFonts w:hint="eastAsia" w:ascii="仿宋_GB2312" w:hAnsi="仿宋_GB2312" w:eastAsia="仿宋_GB2312"/>
          <w:b w:val="0"/>
          <w:bCs w:val="0"/>
          <w:color w:val="000000"/>
          <w:kern w:val="2"/>
          <w:sz w:val="32"/>
          <w:szCs w:val="24"/>
        </w:rPr>
        <w:t>政</w:t>
      </w:r>
      <w:r>
        <w:rPr>
          <w:rFonts w:hint="eastAsia" w:ascii="仿宋_GB2312" w:hAnsi="仿宋_GB2312" w:eastAsia="仿宋_GB2312"/>
          <w:b w:val="0"/>
          <w:bCs w:val="0"/>
          <w:kern w:val="2"/>
          <w:sz w:val="32"/>
          <w:szCs w:val="24"/>
        </w:rPr>
        <w:t>府性基金预算财政拨款收入支出决算表</w:t>
      </w:r>
    </w:p>
    <w:p w14:paraId="46090075">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十一、国有资本经营预算财政拨款收入支出决算表</w:t>
      </w:r>
    </w:p>
    <w:p w14:paraId="362B572E">
      <w:pPr>
        <w:pStyle w:val="4"/>
        <w:keepNext w:val="0"/>
        <w:keepLines w:val="0"/>
        <w:pageBreakBefore w:val="0"/>
        <w:widowControl w:val="0"/>
        <w:kinsoku/>
        <w:wordWrap/>
        <w:overflowPunct w:val="0"/>
        <w:autoSpaceDE w:val="0"/>
        <w:autoSpaceDN w:val="0"/>
        <w:bidi w:val="0"/>
        <w:adjustRightInd w:val="0"/>
        <w:spacing w:line="576" w:lineRule="exact"/>
        <w:ind w:firstLine="640"/>
        <w:jc w:val="both"/>
        <w:textAlignment w:val="auto"/>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十二、</w:t>
      </w:r>
      <w:r>
        <w:rPr>
          <w:rFonts w:hint="eastAsia" w:ascii="仿宋_GB2312" w:hAnsi="仿宋_GB2312" w:eastAsia="仿宋_GB2312"/>
          <w:b w:val="0"/>
          <w:bCs w:val="0"/>
          <w:color w:val="000000"/>
          <w:kern w:val="2"/>
          <w:sz w:val="32"/>
          <w:szCs w:val="24"/>
        </w:rPr>
        <w:t>国</w:t>
      </w:r>
      <w:r>
        <w:rPr>
          <w:rFonts w:hint="eastAsia" w:ascii="仿宋_GB2312" w:hAnsi="仿宋_GB2312" w:eastAsia="仿宋_GB2312"/>
          <w:b w:val="0"/>
          <w:bCs w:val="0"/>
          <w:kern w:val="2"/>
          <w:sz w:val="32"/>
          <w:szCs w:val="24"/>
        </w:rPr>
        <w:t>有资本经营预算财政拨款支出决算表</w:t>
      </w:r>
    </w:p>
    <w:p w14:paraId="63B991E3">
      <w:pPr>
        <w:keepNext w:val="0"/>
        <w:keepLines w:val="0"/>
        <w:pageBreakBefore w:val="0"/>
        <w:widowControl w:val="0"/>
        <w:kinsoku/>
        <w:wordWrap/>
        <w:overflowPunct w:val="0"/>
        <w:autoSpaceDE w:val="0"/>
        <w:autoSpaceDN w:val="0"/>
        <w:bidi w:val="0"/>
        <w:adjustRightInd w:val="0"/>
        <w:spacing w:line="576" w:lineRule="exact"/>
        <w:ind w:firstLine="640"/>
        <w:textAlignment w:val="auto"/>
        <w:rPr>
          <w:rFonts w:hint="eastAsia" w:ascii="仿宋_GB2312" w:hAnsi="仿宋_GB2312" w:eastAsia="仿宋_GB2312"/>
          <w:b w:val="0"/>
          <w:bCs w:val="0"/>
          <w:kern w:val="2"/>
          <w:sz w:val="32"/>
          <w:szCs w:val="24"/>
        </w:rPr>
      </w:pPr>
      <w:r>
        <w:rPr>
          <w:rFonts w:hint="eastAsia" w:ascii="仿宋_GB2312" w:hAnsi="仿宋_GB2312" w:eastAsia="仿宋_GB2312"/>
          <w:b w:val="0"/>
          <w:bCs w:val="0"/>
          <w:kern w:val="2"/>
          <w:sz w:val="32"/>
          <w:szCs w:val="24"/>
        </w:rPr>
        <w:t>十三、财政拨款“三公”经费支出决算表</w:t>
      </w:r>
    </w:p>
    <w:p w14:paraId="1CAF1769">
      <w:pPr>
        <w:pStyle w:val="2"/>
        <w:keepNext w:val="0"/>
        <w:keepLines w:val="0"/>
        <w:pageBreakBefore w:val="0"/>
        <w:widowControl w:val="0"/>
        <w:kinsoku/>
        <w:wordWrap/>
        <w:overflowPunct w:val="0"/>
        <w:autoSpaceDE w:val="0"/>
        <w:autoSpaceDN w:val="0"/>
        <w:bidi w:val="0"/>
        <w:adjustRightInd w:val="0"/>
        <w:spacing w:beforeLines="0" w:afterLines="0" w:line="576" w:lineRule="exact"/>
        <w:ind w:firstLine="640"/>
        <w:textAlignment w:val="auto"/>
        <w:rPr>
          <w:rFonts w:hint="eastAsia"/>
          <w:b w:val="0"/>
          <w:bCs w:val="0"/>
          <w:sz w:val="24"/>
          <w:szCs w:val="24"/>
        </w:rPr>
      </w:pPr>
    </w:p>
    <w:p w14:paraId="5AA9C05E">
      <w:pPr>
        <w:pStyle w:val="2"/>
        <w:keepNext w:val="0"/>
        <w:keepLines w:val="0"/>
        <w:pageBreakBefore w:val="0"/>
        <w:widowControl w:val="0"/>
        <w:kinsoku/>
        <w:wordWrap/>
        <w:overflowPunct w:val="0"/>
        <w:autoSpaceDE w:val="0"/>
        <w:autoSpaceDN w:val="0"/>
        <w:bidi w:val="0"/>
        <w:adjustRightInd w:val="0"/>
        <w:spacing w:beforeLines="0" w:afterLines="0" w:line="576" w:lineRule="exact"/>
        <w:ind w:firstLine="640"/>
        <w:textAlignment w:val="auto"/>
        <w:rPr>
          <w:rFonts w:hint="eastAsia"/>
          <w:b w:val="0"/>
          <w:bCs w:val="0"/>
          <w:sz w:val="24"/>
          <w:szCs w:val="24"/>
        </w:rPr>
      </w:pPr>
    </w:p>
    <w:p w14:paraId="7099D627">
      <w:pPr>
        <w:pStyle w:val="2"/>
        <w:spacing w:beforeLines="0" w:afterLines="0"/>
        <w:ind w:firstLine="640"/>
        <w:rPr>
          <w:rFonts w:hint="eastAsia"/>
          <w:b w:val="0"/>
          <w:bCs w:val="0"/>
          <w:sz w:val="24"/>
          <w:szCs w:val="24"/>
        </w:rPr>
      </w:pPr>
    </w:p>
    <w:p w14:paraId="3615302C">
      <w:pPr>
        <w:pStyle w:val="2"/>
        <w:spacing w:beforeLines="0" w:afterLines="0"/>
        <w:ind w:firstLine="640"/>
        <w:rPr>
          <w:rFonts w:hint="eastAsia"/>
          <w:b w:val="0"/>
          <w:bCs w:val="0"/>
          <w:sz w:val="24"/>
          <w:szCs w:val="24"/>
        </w:rPr>
      </w:pPr>
    </w:p>
    <w:p w14:paraId="71797F8F">
      <w:pPr>
        <w:pStyle w:val="2"/>
        <w:spacing w:beforeLines="0" w:afterLines="0"/>
        <w:ind w:firstLine="640"/>
        <w:rPr>
          <w:rFonts w:hint="eastAsia"/>
          <w:b w:val="0"/>
          <w:bCs w:val="0"/>
          <w:sz w:val="24"/>
          <w:szCs w:val="24"/>
        </w:rPr>
      </w:pPr>
    </w:p>
    <w:p w14:paraId="2EE51A6F">
      <w:pPr>
        <w:pStyle w:val="2"/>
        <w:spacing w:beforeLines="0" w:afterLines="0"/>
        <w:rPr>
          <w:rFonts w:hint="eastAsia"/>
          <w:b w:val="0"/>
          <w:bCs w:val="0"/>
          <w:sz w:val="24"/>
          <w:szCs w:val="24"/>
        </w:rPr>
      </w:pPr>
    </w:p>
    <w:sectPr>
      <w:pgSz w:w="12240" w:h="15840"/>
      <w:pgMar w:top="2098" w:right="1474" w:bottom="1984" w:left="1587" w:header="850" w:footer="1587" w:gutter="0"/>
      <w:lnNumType w:countBy="0" w:distance="36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C36F">
    <w:pPr>
      <w:pStyle w:val="7"/>
      <w:rPr>
        <w:rFonts w:hint="default"/>
        <w:sz w:val="18"/>
        <w:szCs w:val="18"/>
      </w:rPr>
    </w:pPr>
    <w:r>
      <w:rPr>
        <w:rFonts w:hint="default" w:ascii="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4F9A4">
                          <w:pPr>
                            <w:pStyle w:val="7"/>
                            <w:keepNext w:val="0"/>
                            <w:keepLines w:val="0"/>
                            <w:pageBreakBefore w:val="0"/>
                            <w:widowControl w:val="0"/>
                            <w:kinsoku/>
                            <w:wordWrap/>
                            <w:overflowPunct w:val="0"/>
                            <w:topLinePunct w:val="0"/>
                            <w:bidi w:val="0"/>
                            <w:adjustRightInd w:val="0"/>
                            <w:snapToGrid w:val="0"/>
                            <w:ind w:left="240" w:leftChars="100" w:right="240" w:rightChars="100"/>
                            <w:jc w:val="both"/>
                            <w:textAlignment w:val="auto"/>
                            <w:rPr>
                              <w:rFonts w:hint="default"/>
                              <w:sz w:val="18"/>
                              <w:szCs w:val="1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1344F9A4">
                    <w:pPr>
                      <w:pStyle w:val="7"/>
                      <w:keepNext w:val="0"/>
                      <w:keepLines w:val="0"/>
                      <w:pageBreakBefore w:val="0"/>
                      <w:widowControl w:val="0"/>
                      <w:kinsoku/>
                      <w:wordWrap/>
                      <w:overflowPunct w:val="0"/>
                      <w:topLinePunct w:val="0"/>
                      <w:bidi w:val="0"/>
                      <w:adjustRightInd w:val="0"/>
                      <w:snapToGrid w:val="0"/>
                      <w:ind w:left="240" w:leftChars="100" w:right="240" w:rightChars="100"/>
                      <w:jc w:val="both"/>
                      <w:textAlignment w:val="auto"/>
                      <w:rPr>
                        <w:rFonts w:hint="default"/>
                        <w:sz w:val="18"/>
                        <w:szCs w:val="1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E83B">
    <w:pPr>
      <w:pStyle w:val="7"/>
      <w:rPr>
        <w:rFonts w:hint="default"/>
        <w:sz w:val="18"/>
        <w:szCs w:val="18"/>
      </w:rPr>
    </w:pPr>
    <w:r>
      <w:rPr>
        <w:rFonts w:hint="default" w:ascii="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30064">
                          <w:pPr>
                            <w:pStyle w:val="7"/>
                            <w:keepNext w:val="0"/>
                            <w:keepLines w:val="0"/>
                            <w:pageBreakBefore w:val="0"/>
                            <w:widowControl w:val="0"/>
                            <w:kinsoku/>
                            <w:wordWrap/>
                            <w:overflowPunct/>
                            <w:topLinePunct w:val="0"/>
                            <w:bidi w:val="0"/>
                            <w:adjustRightInd w:val="0"/>
                            <w:snapToGrid w:val="0"/>
                            <w:ind w:left="240" w:leftChars="100" w:right="240" w:rightChars="100"/>
                            <w:jc w:val="both"/>
                            <w:textAlignment w:val="auto"/>
                            <w:rPr>
                              <w:rFonts w:hint="default"/>
                              <w:sz w:val="18"/>
                              <w:szCs w:val="1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9730064">
                    <w:pPr>
                      <w:pStyle w:val="7"/>
                      <w:keepNext w:val="0"/>
                      <w:keepLines w:val="0"/>
                      <w:pageBreakBefore w:val="0"/>
                      <w:widowControl w:val="0"/>
                      <w:kinsoku/>
                      <w:wordWrap/>
                      <w:overflowPunct/>
                      <w:topLinePunct w:val="0"/>
                      <w:bidi w:val="0"/>
                      <w:adjustRightInd w:val="0"/>
                      <w:snapToGrid w:val="0"/>
                      <w:ind w:left="240" w:leftChars="100" w:right="240" w:rightChars="100"/>
                      <w:jc w:val="both"/>
                      <w:textAlignment w:val="auto"/>
                      <w:rPr>
                        <w:rFonts w:hint="default"/>
                        <w:sz w:val="18"/>
                        <w:szCs w:val="1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64F9F"/>
    <w:multiLevelType w:val="multilevel"/>
    <w:tmpl w:val="2A564F9F"/>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zc5MzM4YTRlODYzMmUwOTljZjg0ZmNmZDQxOTkifQ=="/>
  </w:docVars>
  <w:rsids>
    <w:rsidRoot w:val="00172A27"/>
    <w:rsid w:val="0257247D"/>
    <w:rsid w:val="0416017E"/>
    <w:rsid w:val="322D3B0B"/>
    <w:rsid w:val="418F427C"/>
    <w:rsid w:val="54295A84"/>
    <w:rsid w:val="5FF54E7A"/>
    <w:rsid w:val="79462067"/>
    <w:rsid w:val="79EE5F19"/>
    <w:rsid w:val="7CE27409"/>
    <w:rsid w:val="7D8F5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pPr>
    <w:rPr>
      <w:rFonts w:hint="default" w:ascii="宋体" w:hAnsi="Times New Roman" w:eastAsia="宋体" w:cs="Times New Roman"/>
      <w:sz w:val="24"/>
      <w:szCs w:val="24"/>
      <w:lang w:val="en-US" w:eastAsia="zh-CN" w:bidi="ar-SA"/>
    </w:rPr>
  </w:style>
  <w:style w:type="paragraph" w:styleId="3">
    <w:name w:val="heading 1"/>
    <w:basedOn w:val="1"/>
    <w:link w:val="17"/>
    <w:unhideWhenUsed/>
    <w:qFormat/>
    <w:uiPriority w:val="99"/>
    <w:pPr>
      <w:outlineLvl w:val="0"/>
    </w:pPr>
    <w:rPr>
      <w:rFonts w:hint="default"/>
      <w:sz w:val="24"/>
      <w:szCs w:val="24"/>
    </w:rPr>
  </w:style>
  <w:style w:type="paragraph" w:styleId="4">
    <w:name w:val="heading 2"/>
    <w:basedOn w:val="1"/>
    <w:link w:val="19"/>
    <w:unhideWhenUsed/>
    <w:qFormat/>
    <w:uiPriority w:val="99"/>
    <w:pPr>
      <w:outlineLvl w:val="1"/>
    </w:pPr>
    <w:rPr>
      <w:rFonts w:hint="default"/>
      <w:sz w:val="24"/>
      <w:szCs w:val="24"/>
    </w:rPr>
  </w:style>
  <w:style w:type="character" w:default="1" w:styleId="14">
    <w:name w:val="Default Paragraph Font"/>
    <w:unhideWhenUsed/>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styleId="5">
    <w:name w:val="Body Text"/>
    <w:basedOn w:val="1"/>
    <w:link w:val="16"/>
    <w:unhideWhenUsed/>
    <w:qFormat/>
    <w:uiPriority w:val="99"/>
    <w:pPr>
      <w:spacing w:beforeLines="30"/>
    </w:pPr>
    <w:rPr>
      <w:rFonts w:hint="eastAsia" w:ascii="仿宋_GB2312" w:eastAsia="仿宋_GB2312"/>
      <w:sz w:val="30"/>
      <w:szCs w:val="24"/>
    </w:rPr>
  </w:style>
  <w:style w:type="paragraph" w:styleId="6">
    <w:name w:val="Body Text Indent 2"/>
    <w:basedOn w:val="1"/>
    <w:unhideWhenUsed/>
    <w:qFormat/>
    <w:uiPriority w:val="99"/>
    <w:pPr>
      <w:spacing w:after="120" w:line="480" w:lineRule="auto"/>
      <w:ind w:left="420"/>
    </w:pPr>
    <w:rPr>
      <w:rFonts w:hint="default"/>
      <w:sz w:val="24"/>
      <w:szCs w:val="24"/>
    </w:rPr>
  </w:style>
  <w:style w:type="paragraph" w:styleId="7">
    <w:name w:val="footer"/>
    <w:basedOn w:val="1"/>
    <w:link w:val="18"/>
    <w:unhideWhenUsed/>
    <w:qFormat/>
    <w:uiPriority w:val="99"/>
    <w:pPr>
      <w:tabs>
        <w:tab w:val="center" w:pos="4153"/>
        <w:tab w:val="right" w:pos="8306"/>
      </w:tabs>
      <w:snapToGrid w:val="0"/>
    </w:pPr>
    <w:rPr>
      <w:rFonts w:hint="default"/>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9">
    <w:name w:val="toc 1"/>
    <w:basedOn w:val="1"/>
    <w:next w:val="1"/>
    <w:unhideWhenUsed/>
    <w:qFormat/>
    <w:uiPriority w:val="39"/>
    <w:pPr>
      <w:tabs>
        <w:tab w:val="right" w:leader="dot" w:pos="8296"/>
      </w:tabs>
      <w:spacing w:before="93"/>
      <w:jc w:val="center"/>
    </w:pPr>
    <w:rPr>
      <w:rFonts w:hint="eastAsia" w:ascii="仿宋" w:hAnsi="仿宋" w:eastAsia="仿宋"/>
      <w:sz w:val="28"/>
      <w:szCs w:val="28"/>
    </w:rPr>
  </w:style>
  <w:style w:type="paragraph" w:styleId="10">
    <w:name w:val="table of figures"/>
    <w:basedOn w:val="1"/>
    <w:next w:val="1"/>
    <w:unhideWhenUsed/>
    <w:qFormat/>
    <w:uiPriority w:val="0"/>
    <w:pPr>
      <w:ind w:left="200" w:leftChars="200" w:hanging="200" w:hangingChars="200"/>
    </w:pPr>
    <w:rPr>
      <w:rFonts w:hint="default"/>
      <w:sz w:val="24"/>
      <w:szCs w:val="24"/>
    </w:rPr>
  </w:style>
  <w:style w:type="paragraph" w:styleId="11">
    <w:name w:val="Normal (Web)"/>
    <w:basedOn w:val="1"/>
    <w:next w:val="12"/>
    <w:unhideWhenUsed/>
    <w:qFormat/>
    <w:uiPriority w:val="99"/>
    <w:pPr>
      <w:widowControl/>
      <w:spacing w:before="100" w:beforeAutospacing="1" w:after="100" w:afterAutospacing="1" w:line="360" w:lineRule="auto"/>
    </w:pPr>
    <w:rPr>
      <w:rFonts w:hint="default" w:hAnsi="宋体" w:cs="宋体"/>
      <w:sz w:val="24"/>
      <w:szCs w:val="24"/>
    </w:rPr>
  </w:style>
  <w:style w:type="paragraph" w:styleId="12">
    <w:name w:val="Body Text First Indent"/>
    <w:basedOn w:val="5"/>
    <w:unhideWhenUsed/>
    <w:qFormat/>
    <w:uiPriority w:val="0"/>
    <w:pPr>
      <w:ind w:firstLine="420" w:firstLineChars="100"/>
    </w:pPr>
    <w:rPr>
      <w:rFonts w:hint="eastAsia"/>
      <w:sz w:val="30"/>
      <w:szCs w:val="24"/>
    </w:rPr>
  </w:style>
  <w:style w:type="paragraph" w:customStyle="1" w:styleId="15">
    <w:name w:val="p0"/>
    <w:basedOn w:val="1"/>
    <w:unhideWhenUsed/>
    <w:qFormat/>
    <w:uiPriority w:val="0"/>
    <w:pPr>
      <w:widowControl/>
    </w:pPr>
    <w:rPr>
      <w:rFonts w:hint="default"/>
      <w:sz w:val="24"/>
      <w:szCs w:val="24"/>
    </w:rPr>
  </w:style>
  <w:style w:type="character" w:customStyle="1" w:styleId="16">
    <w:name w:val="正文文本 Char"/>
    <w:basedOn w:val="14"/>
    <w:link w:val="5"/>
    <w:unhideWhenUsed/>
    <w:qFormat/>
    <w:locked/>
    <w:uiPriority w:val="99"/>
    <w:rPr>
      <w:rFonts w:hint="default" w:cs="Times New Roman"/>
      <w:sz w:val="24"/>
      <w:szCs w:val="24"/>
    </w:rPr>
  </w:style>
  <w:style w:type="character" w:customStyle="1" w:styleId="17">
    <w:name w:val="标题 1 Char"/>
    <w:basedOn w:val="14"/>
    <w:link w:val="3"/>
    <w:unhideWhenUsed/>
    <w:qFormat/>
    <w:locked/>
    <w:uiPriority w:val="9"/>
    <w:rPr>
      <w:rFonts w:hint="default" w:cs="Times New Roman"/>
      <w:b/>
      <w:kern w:val="44"/>
      <w:sz w:val="44"/>
      <w:szCs w:val="44"/>
    </w:rPr>
  </w:style>
  <w:style w:type="character" w:customStyle="1" w:styleId="18">
    <w:name w:val="页脚 Char"/>
    <w:basedOn w:val="14"/>
    <w:link w:val="7"/>
    <w:unhideWhenUsed/>
    <w:qFormat/>
    <w:locked/>
    <w:uiPriority w:val="99"/>
    <w:rPr>
      <w:rFonts w:hint="default" w:cs="Times New Roman"/>
      <w:sz w:val="18"/>
      <w:szCs w:val="18"/>
    </w:rPr>
  </w:style>
  <w:style w:type="character" w:customStyle="1" w:styleId="19">
    <w:name w:val="标题 2 Char"/>
    <w:basedOn w:val="14"/>
    <w:link w:val="4"/>
    <w:unhideWhenUsed/>
    <w:qFormat/>
    <w:locked/>
    <w:uiPriority w:val="9"/>
    <w:rPr>
      <w:rFonts w:hint="default" w:ascii="宋体" w:hAnsi="Cambria" w:eastAsia="宋体" w:cs="Times New Roman"/>
      <w:b/>
      <w:sz w:val="32"/>
      <w:szCs w:val="32"/>
    </w:rPr>
  </w:style>
  <w:style w:type="character" w:customStyle="1" w:styleId="20">
    <w:name w:val="页眉 Char"/>
    <w:basedOn w:val="14"/>
    <w:link w:val="8"/>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17887</Words>
  <Characters>18943</Characters>
  <TotalTime>0</TotalTime>
  <ScaleCrop>false</ScaleCrop>
  <LinksUpToDate>false</LinksUpToDate>
  <CharactersWithSpaces>19060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2024-09-24T05:14:00Z</dcterms:created>
  <dc:creator>Administrator</dc:creator>
  <cp:lastModifiedBy>C</cp:lastModifiedBy>
  <dcterms:modified xsi:type="dcterms:W3CDTF">2024-09-25T04:01:31Z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0B8CA39BF8EB47F78B58EE513FE3C1F0_13</vt:lpwstr>
  </property>
</Properties>
</file>