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color w:val="000000"/>
          <w:kern w:val="2"/>
          <w:sz w:val="72"/>
          <w:szCs w:val="24"/>
          <w:lang w:val="zh-CN"/>
        </w:rPr>
      </w:pPr>
      <w:bookmarkStart w:id="9" w:name="_GoBack"/>
      <w:bookmarkEnd w:id="9"/>
    </w:p>
    <w:p>
      <w:pPr>
        <w:spacing w:line="600" w:lineRule="exact"/>
        <w:jc w:val="center"/>
        <w:rPr>
          <w:rFonts w:hint="eastAsia" w:ascii="方正小标宋简体" w:hAnsi="方正小标宋简体" w:eastAsia="方正小标宋简体"/>
          <w:color w:val="000000"/>
          <w:kern w:val="2"/>
          <w:sz w:val="72"/>
          <w:szCs w:val="24"/>
          <w:lang w:val="zh-CN"/>
        </w:rPr>
      </w:pPr>
    </w:p>
    <w:p>
      <w:pPr>
        <w:spacing w:line="600" w:lineRule="exact"/>
        <w:jc w:val="center"/>
        <w:rPr>
          <w:rFonts w:hint="eastAsia" w:ascii="方正小标宋简体" w:hAnsi="方正小标宋简体" w:eastAsia="方正小标宋简体"/>
          <w:color w:val="000000"/>
          <w:kern w:val="2"/>
          <w:sz w:val="72"/>
          <w:szCs w:val="24"/>
          <w:lang w:val="zh-CN"/>
        </w:rPr>
      </w:pPr>
    </w:p>
    <w:p>
      <w:pPr>
        <w:spacing w:line="1400" w:lineRule="exact"/>
        <w:jc w:val="center"/>
        <w:rPr>
          <w:rFonts w:hint="eastAsia" w:ascii="方正小标宋简体" w:hAnsi="黑体" w:eastAsia="方正小标宋简体"/>
          <w:color w:val="000000"/>
          <w:kern w:val="2"/>
          <w:sz w:val="72"/>
          <w:szCs w:val="24"/>
          <w:lang w:val="zh-CN"/>
        </w:rPr>
      </w:pPr>
      <w:bookmarkStart w:id="0" w:name="OLE_LINK5"/>
      <w:r>
        <w:rPr>
          <w:rFonts w:hint="eastAsia" w:ascii="Times New Roman" w:eastAsia="方正小标宋简体"/>
          <w:color w:val="000000"/>
          <w:spacing w:val="-51"/>
          <w:kern w:val="2"/>
          <w:sz w:val="72"/>
          <w:szCs w:val="24"/>
          <w:lang w:val="zh-CN"/>
        </w:rPr>
        <w:t>四川省广元市昭化区</w:t>
      </w:r>
      <w:r>
        <w:rPr>
          <w:rFonts w:hint="eastAsia" w:ascii="方正小标宋简体" w:hAnsi="黑体" w:eastAsia="方正小标宋简体"/>
          <w:color w:val="000000"/>
          <w:spacing w:val="-51"/>
          <w:w w:val="98"/>
          <w:kern w:val="2"/>
          <w:sz w:val="72"/>
          <w:szCs w:val="24"/>
        </w:rPr>
        <w:t>委政法委员会</w:t>
      </w:r>
      <w:r>
        <w:rPr>
          <w:rFonts w:hint="eastAsia" w:ascii="Times New Roman" w:eastAsia="方正小标宋简体"/>
          <w:color w:val="000000"/>
          <w:kern w:val="2"/>
          <w:sz w:val="72"/>
          <w:szCs w:val="24"/>
          <w:lang w:val="zh-CN"/>
        </w:rPr>
        <w:t>2023</w:t>
      </w:r>
      <w:r>
        <w:rPr>
          <w:rFonts w:hint="eastAsia" w:ascii="方正小标宋简体" w:hAnsi="黑体" w:eastAsia="方正小标宋简体"/>
          <w:color w:val="000000"/>
          <w:kern w:val="2"/>
          <w:sz w:val="72"/>
          <w:szCs w:val="24"/>
          <w:lang w:val="zh-CN"/>
        </w:rPr>
        <w:t>年度部门决算公开</w:t>
      </w:r>
      <w:bookmarkEnd w:id="0"/>
    </w:p>
    <w:p>
      <w:pPr>
        <w:spacing w:line="360" w:lineRule="auto"/>
        <w:jc w:val="center"/>
        <w:rPr>
          <w:rFonts w:hint="eastAsia" w:ascii="黑体" w:hAnsi="黑体" w:eastAsia="黑体"/>
          <w:color w:val="000000"/>
          <w:kern w:val="2"/>
          <w:sz w:val="72"/>
          <w:szCs w:val="24"/>
          <w:lang w:val="zh-CN"/>
        </w:rPr>
      </w:pPr>
    </w:p>
    <w:p>
      <w:pPr>
        <w:pStyle w:val="2"/>
        <w:spacing w:before="72"/>
        <w:rPr>
          <w:rFonts w:hint="eastAsia"/>
          <w:sz w:val="30"/>
          <w:szCs w:val="24"/>
          <w:lang w:val="zh-CN"/>
        </w:rPr>
      </w:pPr>
    </w:p>
    <w:p>
      <w:pPr>
        <w:overflowPunct w:val="0"/>
        <w:spacing w:line="576" w:lineRule="exact"/>
        <w:jc w:val="center"/>
        <w:rPr>
          <w:rFonts w:hint="eastAsia" w:ascii="方正小标宋简体" w:hAnsi="方正小标宋简体" w:eastAsia="方正小标宋简体" w:cs="方正小标宋简体"/>
          <w:kern w:val="2"/>
          <w:sz w:val="44"/>
          <w:szCs w:val="44"/>
          <w:lang w:val="zh-CN"/>
        </w:rPr>
      </w:pPr>
      <w:r>
        <w:rPr>
          <w:rFonts w:hint="eastAsia" w:ascii="方正小标宋简体" w:hAnsi="方正小标宋简体" w:eastAsia="方正小标宋简体" w:cs="方正小标宋简体"/>
          <w:kern w:val="2"/>
          <w:sz w:val="44"/>
          <w:szCs w:val="44"/>
          <w:lang w:val="zh-CN"/>
        </w:rPr>
        <w:br w:type="page"/>
      </w:r>
      <w:r>
        <w:rPr>
          <w:rFonts w:hint="eastAsia" w:ascii="方正小标宋简体" w:hAnsi="方正小标宋简体" w:eastAsia="方正小标宋简体" w:cs="方正小标宋简体"/>
          <w:kern w:val="2"/>
          <w:sz w:val="44"/>
          <w:szCs w:val="44"/>
          <w:lang w:val="zh-CN"/>
        </w:rPr>
        <w:t xml:space="preserve">目  </w:t>
      </w:r>
      <w:r>
        <w:rPr>
          <w:rFonts w:hint="eastAsia" w:ascii="方正小标宋简体" w:hAnsi="方正小标宋简体" w:eastAsia="方正小标宋简体" w:cs="方正小标宋简体"/>
          <w:kern w:val="2"/>
          <w:sz w:val="44"/>
          <w:szCs w:val="44"/>
        </w:rPr>
        <w:t xml:space="preserve"> </w:t>
      </w:r>
      <w:r>
        <w:rPr>
          <w:rFonts w:hint="eastAsia" w:ascii="方正小标宋简体" w:hAnsi="方正小标宋简体" w:eastAsia="方正小标宋简体" w:cs="方正小标宋简体"/>
          <w:kern w:val="2"/>
          <w:sz w:val="44"/>
          <w:szCs w:val="44"/>
          <w:lang w:val="zh-CN"/>
        </w:rPr>
        <w:t xml:space="preserve"> 录</w:t>
      </w:r>
    </w:p>
    <w:p>
      <w:pPr>
        <w:overflowPunct w:val="0"/>
        <w:spacing w:line="576" w:lineRule="exact"/>
        <w:jc w:val="center"/>
        <w:rPr>
          <w:rFonts w:hint="eastAsia" w:ascii="楷体_GB2312" w:eastAsia="楷体_GB2312"/>
          <w:sz w:val="32"/>
          <w:szCs w:val="32"/>
        </w:rPr>
      </w:pPr>
    </w:p>
    <w:p>
      <w:pPr>
        <w:tabs>
          <w:tab w:val="right" w:leader="dot" w:pos="8505"/>
        </w:tabs>
        <w:overflowPunct w:val="0"/>
        <w:spacing w:line="576" w:lineRule="exact"/>
        <w:rPr>
          <w:rFonts w:hint="eastAsia" w:ascii="仿宋_GB2312" w:eastAsia="仿宋_GB2312"/>
          <w:sz w:val="32"/>
          <w:szCs w:val="32"/>
        </w:rPr>
      </w:pPr>
    </w:p>
    <w:p>
      <w:pPr>
        <w:tabs>
          <w:tab w:val="right" w:leader="dot" w:pos="8505"/>
        </w:tabs>
        <w:overflowPunct w:val="0"/>
        <w:spacing w:line="576"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第一部分 部门概况</w:t>
      </w:r>
      <w:r>
        <w:rPr>
          <w:rFonts w:hint="eastAsia" w:ascii="黑体" w:hAnsi="黑体" w:eastAsia="黑体" w:cs="黑体"/>
          <w:sz w:val="32"/>
          <w:szCs w:val="32"/>
        </w:rPr>
        <w:tab/>
      </w:r>
      <w:r>
        <w:rPr>
          <w:rFonts w:hint="eastAsia" w:ascii="Times New Roman" w:eastAsia="Times New Roman"/>
          <w:sz w:val="32"/>
          <w:szCs w:val="32"/>
        </w:rPr>
        <w:t>4</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一、部门职责</w:t>
      </w:r>
      <w:r>
        <w:rPr>
          <w:rFonts w:hint="eastAsia" w:ascii="仿宋_GB2312" w:eastAsia="仿宋_GB2312"/>
          <w:sz w:val="32"/>
          <w:szCs w:val="32"/>
        </w:rPr>
        <w:tab/>
      </w:r>
      <w:r>
        <w:rPr>
          <w:rFonts w:hint="eastAsia" w:ascii="Times New Roman" w:eastAsia="Times New Roman"/>
          <w:sz w:val="32"/>
          <w:szCs w:val="32"/>
        </w:rPr>
        <w:t>4</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二、机构设置</w:t>
      </w:r>
      <w:r>
        <w:rPr>
          <w:rFonts w:hint="eastAsia" w:ascii="仿宋_GB2312" w:eastAsia="仿宋_GB2312"/>
          <w:sz w:val="32"/>
          <w:szCs w:val="32"/>
        </w:rPr>
        <w:tab/>
      </w:r>
      <w:r>
        <w:rPr>
          <w:rFonts w:hint="eastAsia" w:ascii="Times New Roman" w:eastAsia="Times New Roman"/>
          <w:sz w:val="32"/>
          <w:szCs w:val="32"/>
        </w:rPr>
        <w:t>6</w:t>
      </w:r>
    </w:p>
    <w:p>
      <w:pPr>
        <w:tabs>
          <w:tab w:val="right" w:leader="dot" w:pos="8505"/>
        </w:tabs>
        <w:overflowPunct w:val="0"/>
        <w:spacing w:line="576"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第二部分 2023年度部门决算情况说明</w:t>
      </w:r>
      <w:r>
        <w:rPr>
          <w:rFonts w:hint="eastAsia" w:ascii="黑体" w:hAnsi="黑体" w:eastAsia="黑体" w:cs="黑体"/>
          <w:sz w:val="32"/>
          <w:szCs w:val="32"/>
        </w:rPr>
        <w:tab/>
      </w:r>
      <w:r>
        <w:rPr>
          <w:rFonts w:hint="eastAsia" w:ascii="Times New Roman" w:eastAsia="Times New Roman"/>
          <w:sz w:val="32"/>
          <w:szCs w:val="32"/>
        </w:rPr>
        <w:t>7</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一、收入支出决算总体情况说明</w:t>
      </w:r>
      <w:r>
        <w:rPr>
          <w:rFonts w:hint="eastAsia" w:ascii="仿宋_GB2312" w:eastAsia="仿宋_GB2312"/>
          <w:sz w:val="32"/>
          <w:szCs w:val="32"/>
        </w:rPr>
        <w:tab/>
      </w:r>
      <w:r>
        <w:rPr>
          <w:rFonts w:hint="eastAsia" w:ascii="Times New Roman" w:eastAsia="Times New Roman"/>
          <w:sz w:val="32"/>
          <w:szCs w:val="32"/>
        </w:rPr>
        <w:t>7</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二、收入决算情况说明</w:t>
      </w:r>
      <w:r>
        <w:rPr>
          <w:rFonts w:hint="eastAsia" w:ascii="仿宋_GB2312" w:eastAsia="仿宋_GB2312"/>
          <w:sz w:val="32"/>
          <w:szCs w:val="32"/>
        </w:rPr>
        <w:tab/>
      </w:r>
      <w:r>
        <w:rPr>
          <w:rFonts w:hint="eastAsia" w:ascii="Times New Roman" w:eastAsia="Times New Roman"/>
          <w:sz w:val="32"/>
          <w:szCs w:val="32"/>
        </w:rPr>
        <w:t>7</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三、支出决算情况说明</w:t>
      </w:r>
      <w:r>
        <w:rPr>
          <w:rFonts w:hint="eastAsia" w:ascii="仿宋_GB2312" w:eastAsia="仿宋_GB2312"/>
          <w:sz w:val="32"/>
          <w:szCs w:val="32"/>
        </w:rPr>
        <w:tab/>
      </w:r>
      <w:r>
        <w:rPr>
          <w:rFonts w:hint="eastAsia" w:ascii="Times New Roman" w:eastAsia="Times New Roman"/>
          <w:sz w:val="32"/>
          <w:szCs w:val="32"/>
        </w:rPr>
        <w:t>8</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四、财政拨款收入支出决算总体情况说明</w:t>
      </w:r>
      <w:r>
        <w:rPr>
          <w:rFonts w:hint="eastAsia" w:ascii="仿宋_GB2312" w:eastAsia="仿宋_GB2312"/>
          <w:sz w:val="32"/>
          <w:szCs w:val="32"/>
        </w:rPr>
        <w:tab/>
      </w:r>
      <w:r>
        <w:rPr>
          <w:rFonts w:hint="eastAsia" w:ascii="Times New Roman" w:eastAsia="Times New Roman"/>
          <w:sz w:val="32"/>
          <w:szCs w:val="32"/>
        </w:rPr>
        <w:t>9</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五、一般公共预算财政拨款支出决算情况说明</w:t>
      </w:r>
      <w:r>
        <w:rPr>
          <w:rFonts w:hint="eastAsia" w:ascii="仿宋_GB2312" w:eastAsia="仿宋_GB2312"/>
          <w:sz w:val="32"/>
          <w:szCs w:val="32"/>
        </w:rPr>
        <w:tab/>
      </w:r>
      <w:r>
        <w:rPr>
          <w:rFonts w:hint="eastAsia" w:ascii="Times New Roman" w:eastAsia="Times New Roman"/>
          <w:sz w:val="32"/>
          <w:szCs w:val="32"/>
        </w:rPr>
        <w:t>9</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六、一般公共预算财政拨款基本支出决算情况说明</w:t>
      </w:r>
      <w:r>
        <w:rPr>
          <w:rFonts w:hint="eastAsia" w:ascii="仿宋_GB2312" w:eastAsia="仿宋_GB2312"/>
          <w:sz w:val="32"/>
          <w:szCs w:val="32"/>
        </w:rPr>
        <w:tab/>
      </w:r>
      <w:r>
        <w:rPr>
          <w:rFonts w:hint="eastAsia" w:ascii="Times New Roman" w:eastAsia="Times New Roman"/>
          <w:sz w:val="32"/>
          <w:szCs w:val="32"/>
        </w:rPr>
        <w:t>11</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七、财政拨款“三公”经费支出决算情况说明</w:t>
      </w:r>
      <w:r>
        <w:rPr>
          <w:rFonts w:hint="eastAsia" w:ascii="仿宋_GB2312" w:eastAsia="仿宋_GB2312"/>
          <w:sz w:val="32"/>
          <w:szCs w:val="32"/>
        </w:rPr>
        <w:tab/>
      </w:r>
      <w:r>
        <w:rPr>
          <w:rFonts w:hint="eastAsia" w:ascii="Times New Roman" w:eastAsia="Times New Roman"/>
          <w:sz w:val="32"/>
          <w:szCs w:val="32"/>
        </w:rPr>
        <w:t>12</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八、政府性基金预算支出决算情况说明</w:t>
      </w:r>
      <w:r>
        <w:rPr>
          <w:rFonts w:hint="eastAsia" w:ascii="仿宋_GB2312" w:eastAsia="仿宋_GB2312"/>
          <w:sz w:val="32"/>
          <w:szCs w:val="32"/>
        </w:rPr>
        <w:tab/>
      </w:r>
      <w:r>
        <w:rPr>
          <w:rFonts w:hint="eastAsia" w:ascii="Times New Roman" w:eastAsia="Times New Roman"/>
          <w:sz w:val="32"/>
          <w:szCs w:val="32"/>
        </w:rPr>
        <w:t>14</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九、国有资本经营预算支出决算情况说明</w:t>
      </w:r>
      <w:r>
        <w:rPr>
          <w:rFonts w:hint="eastAsia" w:ascii="仿宋_GB2312" w:eastAsia="仿宋_GB2312"/>
          <w:sz w:val="32"/>
          <w:szCs w:val="32"/>
        </w:rPr>
        <w:tab/>
      </w:r>
      <w:r>
        <w:rPr>
          <w:rFonts w:hint="eastAsia" w:ascii="Times New Roman" w:eastAsia="Times New Roman"/>
          <w:sz w:val="32"/>
          <w:szCs w:val="32"/>
        </w:rPr>
        <w:t>14</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十、其他重要事项的情况说明</w:t>
      </w:r>
      <w:r>
        <w:rPr>
          <w:rFonts w:hint="eastAsia" w:ascii="仿宋_GB2312" w:eastAsia="仿宋_GB2312"/>
          <w:sz w:val="32"/>
          <w:szCs w:val="32"/>
        </w:rPr>
        <w:tab/>
      </w:r>
      <w:r>
        <w:rPr>
          <w:rFonts w:hint="eastAsia" w:ascii="Times New Roman" w:eastAsia="Times New Roman"/>
          <w:sz w:val="32"/>
          <w:szCs w:val="32"/>
        </w:rPr>
        <w:t>14</w:t>
      </w:r>
    </w:p>
    <w:p>
      <w:pPr>
        <w:tabs>
          <w:tab w:val="right" w:leader="dot" w:pos="8505"/>
        </w:tabs>
        <w:overflowPunct w:val="0"/>
        <w:spacing w:line="576"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第三部分 名词解释</w:t>
      </w:r>
      <w:r>
        <w:rPr>
          <w:rFonts w:hint="eastAsia" w:ascii="黑体" w:hAnsi="黑体" w:eastAsia="黑体" w:cs="黑体"/>
          <w:sz w:val="32"/>
          <w:szCs w:val="32"/>
        </w:rPr>
        <w:tab/>
      </w:r>
      <w:r>
        <w:rPr>
          <w:rFonts w:hint="eastAsia" w:ascii="黑体" w:hAnsi="黑体" w:eastAsia="黑体" w:cs="黑体"/>
          <w:sz w:val="32"/>
          <w:szCs w:val="32"/>
        </w:rPr>
        <w:t>1</w:t>
      </w:r>
      <w:r>
        <w:rPr>
          <w:rFonts w:hint="eastAsia" w:ascii="Times New Roman" w:eastAsia="Times New Roman"/>
          <w:sz w:val="32"/>
          <w:szCs w:val="32"/>
        </w:rPr>
        <w:t>6</w:t>
      </w:r>
    </w:p>
    <w:p>
      <w:pPr>
        <w:tabs>
          <w:tab w:val="right" w:leader="dot" w:pos="8505"/>
        </w:tabs>
        <w:overflowPunct w:val="0"/>
        <w:spacing w:line="576"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第四部分 附件</w:t>
      </w:r>
      <w:r>
        <w:rPr>
          <w:rFonts w:hint="eastAsia" w:ascii="黑体" w:hAnsi="黑体" w:eastAsia="黑体" w:cs="黑体"/>
          <w:sz w:val="32"/>
          <w:szCs w:val="32"/>
        </w:rPr>
        <w:tab/>
      </w:r>
      <w:r>
        <w:rPr>
          <w:rFonts w:hint="eastAsia" w:ascii="黑体" w:hAnsi="黑体" w:eastAsia="黑体" w:cs="黑体"/>
          <w:sz w:val="32"/>
          <w:szCs w:val="32"/>
        </w:rPr>
        <w:t>19</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rPr>
        <w:tab/>
      </w:r>
      <w:r>
        <w:rPr>
          <w:rFonts w:hint="eastAsia" w:ascii="Times New Roman"/>
          <w:sz w:val="32"/>
          <w:szCs w:val="32"/>
        </w:rPr>
        <w:t>19</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附件2</w:t>
      </w:r>
      <w:r>
        <w:rPr>
          <w:rFonts w:hint="eastAsia" w:ascii="仿宋_GB2312" w:eastAsia="仿宋_GB2312"/>
          <w:sz w:val="32"/>
          <w:szCs w:val="32"/>
        </w:rPr>
        <w:tab/>
      </w:r>
      <w:r>
        <w:rPr>
          <w:rFonts w:hint="eastAsia" w:ascii="Times New Roman"/>
          <w:sz w:val="32"/>
          <w:szCs w:val="32"/>
        </w:rPr>
        <w:t>19</w:t>
      </w:r>
    </w:p>
    <w:p>
      <w:pPr>
        <w:tabs>
          <w:tab w:val="right" w:leader="dot" w:pos="8505"/>
        </w:tabs>
        <w:overflowPunct w:val="0"/>
        <w:spacing w:line="576"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第五部分 附表</w:t>
      </w:r>
      <w:r>
        <w:rPr>
          <w:rFonts w:hint="eastAsia" w:ascii="黑体" w:hAnsi="黑体" w:eastAsia="黑体" w:cs="黑体"/>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一、收入支出决算总表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二、收入决算表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三、支出决算表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四、财政拨款收入支出决算总表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五、财政拨款支出决算明细表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六、一般公共预算财政拨款支出决算表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七、一般公共预算财政拨款支出决算明细表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八、一般公共预算财政拨款基本支出决算表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九、一般公共预算财政拨款项目支出决算表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十、政府性基金预算财政拨款收入支出决算表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十一、国有资本经营预算财政拨款收入支出决算表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十二、国有资本经营预算财政拨款支出决算表</w:t>
      </w:r>
      <w:r>
        <w:rPr>
          <w:rFonts w:hint="eastAsia" w:ascii="仿宋_GB2312" w:eastAsia="仿宋_GB2312"/>
          <w:sz w:val="32"/>
          <w:szCs w:val="32"/>
        </w:rPr>
        <w:tab/>
      </w:r>
      <w:r>
        <w:rPr>
          <w:rFonts w:hint="eastAsia" w:ascii="Times New Roman"/>
          <w:sz w:val="32"/>
          <w:szCs w:val="32"/>
        </w:rPr>
        <w:t>40</w:t>
      </w:r>
    </w:p>
    <w:p>
      <w:pPr>
        <w:tabs>
          <w:tab w:val="right" w:leader="dot" w:pos="8505"/>
        </w:tabs>
        <w:overflowPunct w:val="0"/>
        <w:spacing w:line="576" w:lineRule="exact"/>
        <w:ind w:firstLine="320" w:firstLineChars="100"/>
        <w:rPr>
          <w:rFonts w:hint="eastAsia" w:ascii="仿宋_GB2312" w:eastAsia="仿宋_GB2312"/>
          <w:sz w:val="32"/>
          <w:szCs w:val="32"/>
        </w:rPr>
      </w:pPr>
      <w:r>
        <w:rPr>
          <w:rFonts w:hint="eastAsia" w:ascii="仿宋_GB2312" w:eastAsia="仿宋_GB2312"/>
          <w:sz w:val="32"/>
          <w:szCs w:val="32"/>
        </w:rPr>
        <w:t>十三、财政拨款“三公”经费支出决算表</w:t>
      </w:r>
      <w:r>
        <w:rPr>
          <w:rFonts w:hint="eastAsia" w:ascii="仿宋_GB2312" w:eastAsia="仿宋_GB2312"/>
          <w:sz w:val="32"/>
          <w:szCs w:val="32"/>
        </w:rPr>
        <w:tab/>
      </w:r>
      <w:r>
        <w:rPr>
          <w:rFonts w:hint="eastAsia" w:ascii="Times New Roman"/>
          <w:sz w:val="32"/>
          <w:szCs w:val="32"/>
        </w:rPr>
        <w:t>40</w:t>
      </w:r>
    </w:p>
    <w:p>
      <w:pPr>
        <w:widowControl/>
        <w:snapToGrid w:val="0"/>
        <w:spacing w:line="500" w:lineRule="exact"/>
        <w:ind w:firstLine="1320" w:firstLineChars="550"/>
        <w:rPr>
          <w:rFonts w:hint="eastAsia" w:ascii="Times New Roman" w:eastAsia="Times New Roman"/>
          <w:sz w:val="24"/>
          <w:szCs w:val="24"/>
        </w:rPr>
      </w:pPr>
    </w:p>
    <w:p>
      <w:pPr>
        <w:rPr>
          <w:rFonts w:hint="eastAsia" w:ascii="Times New Roman" w:eastAsia="Times New Roman"/>
          <w:sz w:val="24"/>
          <w:szCs w:val="24"/>
        </w:rPr>
      </w:pPr>
    </w:p>
    <w:p>
      <w:pPr>
        <w:pStyle w:val="2"/>
        <w:spacing w:before="72"/>
        <w:rPr>
          <w:rFonts w:hint="eastAsia"/>
          <w:sz w:val="30"/>
          <w:szCs w:val="24"/>
        </w:rPr>
        <w:sectPr>
          <w:footerReference r:id="rId3" w:type="default"/>
          <w:pgSz w:w="12240" w:h="15840"/>
          <w:pgMar w:top="2098" w:right="1474" w:bottom="1984" w:left="1587" w:header="850" w:footer="1587" w:gutter="0"/>
          <w:lnNumType w:countBy="0" w:distance="360"/>
          <w:cols w:space="720" w:num="1"/>
        </w:sectPr>
      </w:pPr>
    </w:p>
    <w:p>
      <w:pPr>
        <w:pStyle w:val="3"/>
        <w:overflowPunct w:val="0"/>
        <w:spacing w:line="576" w:lineRule="exact"/>
        <w:jc w:val="center"/>
        <w:rPr>
          <w:rFonts w:hint="eastAsia" w:ascii="黑体" w:hAnsi="黑体" w:eastAsia="黑体"/>
          <w:kern w:val="44"/>
          <w:sz w:val="44"/>
          <w:szCs w:val="24"/>
        </w:rPr>
      </w:pPr>
      <w:r>
        <w:rPr>
          <w:rFonts w:hint="eastAsia" w:ascii="黑体" w:hAnsi="黑体" w:eastAsia="黑体"/>
          <w:kern w:val="44"/>
          <w:sz w:val="44"/>
          <w:szCs w:val="24"/>
        </w:rPr>
        <w:t>第一部分 部门概况</w:t>
      </w:r>
    </w:p>
    <w:p>
      <w:pPr>
        <w:pStyle w:val="4"/>
        <w:overflowPunct w:val="0"/>
        <w:spacing w:line="576" w:lineRule="exact"/>
        <w:ind w:firstLine="640"/>
        <w:jc w:val="both"/>
        <w:rPr>
          <w:rFonts w:hint="eastAsia" w:ascii="黑体" w:hAnsi="黑体" w:eastAsia="黑体"/>
          <w:color w:val="000000"/>
          <w:kern w:val="2"/>
          <w:sz w:val="32"/>
          <w:szCs w:val="24"/>
        </w:rPr>
      </w:pPr>
    </w:p>
    <w:p>
      <w:pPr>
        <w:pStyle w:val="4"/>
        <w:overflowPunct w:val="0"/>
        <w:spacing w:line="576" w:lineRule="exact"/>
        <w:ind w:firstLine="640"/>
        <w:jc w:val="both"/>
        <w:rPr>
          <w:rFonts w:hint="eastAsia" w:ascii="黑体" w:hAnsi="黑体" w:eastAsia="黑体"/>
          <w:kern w:val="2"/>
          <w:sz w:val="32"/>
          <w:szCs w:val="24"/>
        </w:rPr>
      </w:pPr>
      <w:r>
        <w:rPr>
          <w:rFonts w:hint="eastAsia" w:ascii="黑体" w:hAnsi="黑体" w:eastAsia="黑体"/>
          <w:color w:val="000000"/>
          <w:kern w:val="2"/>
          <w:sz w:val="32"/>
          <w:szCs w:val="24"/>
        </w:rPr>
        <w:t>一、部门职责</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（一）主要职能。</w:t>
      </w:r>
    </w:p>
    <w:p>
      <w:pPr>
        <w:overflowPunct w:val="0"/>
        <w:spacing w:line="576" w:lineRule="exact"/>
        <w:ind w:firstLine="640" w:firstLineChars="200"/>
        <w:rPr>
          <w:rFonts w:hint="eastAsia" w:ascii="仿宋_GB2312" w:eastAsia="仿宋_GB2312"/>
          <w:color w:val="000000"/>
          <w:sz w:val="32"/>
          <w:szCs w:val="32"/>
        </w:rPr>
      </w:pPr>
      <w:r>
        <w:rPr>
          <w:rFonts w:hint="eastAsia" w:ascii="Times New Roman" w:eastAsia="仿宋_GB2312"/>
          <w:color w:val="000000"/>
          <w:sz w:val="32"/>
          <w:szCs w:val="32"/>
        </w:rPr>
        <w:t>1.</w:t>
      </w:r>
      <w:r>
        <w:rPr>
          <w:rFonts w:hint="eastAsia" w:ascii="仿宋_GB2312" w:eastAsia="仿宋_GB2312"/>
          <w:color w:val="000000"/>
          <w:sz w:val="32"/>
          <w:szCs w:val="32"/>
        </w:rPr>
        <w:t>深入贯彻执行党的路线方针政策和决策部署，统一政法单位思想和行动，坚持党对政法工作的绝对领导，坚决维护党中央权威和集中统一领导。</w:t>
      </w:r>
    </w:p>
    <w:p>
      <w:pPr>
        <w:overflowPunct w:val="0"/>
        <w:spacing w:line="576"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2.深入贯彻党中央、省委、市委和区委决定，对政法工作研究提出全局性部署，推进平安昭化、法治昭化建设，加强过硬队伍建设，深化智能化建设，坚决维护国家政治安全、确保社会大局稳定、促进社会公平正义、保障人民安居乐业、护航经济社会发展。完善和落实政治督察、执法监督、纪律作风督查等工作制度机制。</w:t>
      </w:r>
    </w:p>
    <w:p>
      <w:pPr>
        <w:overflowPunct w:val="0"/>
        <w:spacing w:line="576"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3.了解掌握和分析研判全区政治安全、反邪教形势动态，协调和指导政法单位、相关部门和乡镇（街道）做好政治安全、反邪教工作。</w:t>
      </w:r>
    </w:p>
    <w:p>
      <w:pPr>
        <w:overflowPunct w:val="0"/>
        <w:spacing w:line="576"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4.了解掌握和分析研判全区社会稳定形势，协调指导政法单位、相关部门和乡镇（街道）开展社会稳定风险评估，协调推动预防、化解影响稳定的各类风险，协调应对和完善处置重大突发事件。</w:t>
      </w:r>
    </w:p>
    <w:p>
      <w:pPr>
        <w:overflowPunct w:val="0"/>
        <w:spacing w:line="576"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5.了解掌握和分析研判全区社会治安形势、社会治理情况动态，创新完善多部门参与平安建设工作机制，推动开展基层平安创建、基层社会治理和网格化服务管理工作，统筹指导区、乡镇（街道）、村（社区）三级综治中心建设；构建矛盾纠纷多元化解体系和机制，指导推动预防、化解各类社会矛盾；负责见义勇为宣传、表彰、奖励等工作；负责指导辖区内铁路护路联防工作。</w:t>
      </w:r>
    </w:p>
    <w:p>
      <w:pPr>
        <w:overflowPunct w:val="0"/>
        <w:spacing w:line="576" w:lineRule="exact"/>
        <w:ind w:firstLine="640" w:firstLineChars="200"/>
        <w:rPr>
          <w:rFonts w:hint="eastAsia" w:ascii="仿宋_GB2312" w:eastAsia="仿宋_GB2312"/>
          <w:color w:val="000000"/>
          <w:sz w:val="32"/>
          <w:szCs w:val="32"/>
        </w:rPr>
      </w:pPr>
      <w:r>
        <w:rPr>
          <w:rFonts w:hint="eastAsia" w:ascii="Times New Roman" w:eastAsia="仿宋_GB2312"/>
          <w:color w:val="000000"/>
          <w:sz w:val="32"/>
          <w:szCs w:val="32"/>
        </w:rPr>
        <w:t>6.</w:t>
      </w:r>
      <w:r>
        <w:rPr>
          <w:rFonts w:hint="eastAsia" w:ascii="仿宋_GB2312" w:eastAsia="仿宋_GB2312"/>
          <w:color w:val="000000"/>
          <w:sz w:val="32"/>
          <w:szCs w:val="32"/>
        </w:rPr>
        <w:t>加强对政法工作的督查，统筹协调全区维护政治安全、社会治安综合治理、维护社会稳定、反邪教有关法律法规政策的实施工作。</w:t>
      </w:r>
    </w:p>
    <w:p>
      <w:pPr>
        <w:overflowPunct w:val="0"/>
        <w:spacing w:line="576" w:lineRule="exact"/>
        <w:ind w:firstLine="640" w:firstLineChars="200"/>
        <w:rPr>
          <w:rFonts w:hint="eastAsia" w:ascii="仿宋_GB2312" w:eastAsia="仿宋_GB2312"/>
          <w:color w:val="000000"/>
          <w:sz w:val="32"/>
          <w:szCs w:val="32"/>
        </w:rPr>
      </w:pPr>
      <w:r>
        <w:rPr>
          <w:rFonts w:hint="eastAsia" w:ascii="Times New Roman" w:eastAsia="仿宋_GB2312"/>
          <w:color w:val="000000"/>
          <w:sz w:val="32"/>
          <w:szCs w:val="32"/>
        </w:rPr>
        <w:t>7</w:t>
      </w:r>
      <w:r>
        <w:rPr>
          <w:rFonts w:hint="eastAsia" w:ascii="仿宋_GB2312" w:eastAsia="仿宋_GB2312"/>
          <w:color w:val="000000"/>
          <w:sz w:val="32"/>
          <w:szCs w:val="32"/>
        </w:rPr>
        <w:t>.支持和监督政法单位依法行使职权，检查政法单位执行党的路线方针政策、重大决策部署等情况，指导和协调政法单位密切配合，研究和协调重大、疑难案件，完善与纪检监察机关工作衔接和协作配合机制，推进严格执法、公正司法。</w:t>
      </w:r>
    </w:p>
    <w:p>
      <w:pPr>
        <w:overflowPunct w:val="0"/>
        <w:spacing w:line="576"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8.掌握分析政法舆情动态，指导协调政法单位媒体网络宣传工作，指导政法单位做好涉及政法工作的重大宣传和舆论引导工作，指导政法单位网络安全和智能化建设工作，统筹政法宣传和舆情引导工作。</w:t>
      </w:r>
    </w:p>
    <w:p>
      <w:pPr>
        <w:overflowPunct w:val="0"/>
        <w:spacing w:line="576" w:lineRule="exact"/>
        <w:ind w:firstLine="640" w:firstLineChars="200"/>
        <w:rPr>
          <w:rFonts w:hint="eastAsia" w:ascii="仿宋_GB2312" w:eastAsia="仿宋_GB2312"/>
          <w:color w:val="000000"/>
          <w:sz w:val="32"/>
          <w:szCs w:val="32"/>
        </w:rPr>
      </w:pPr>
      <w:r>
        <w:rPr>
          <w:rFonts w:hint="eastAsia" w:ascii="Times New Roman" w:eastAsia="仿宋_GB2312"/>
          <w:color w:val="000000"/>
          <w:sz w:val="32"/>
          <w:szCs w:val="32"/>
        </w:rPr>
        <w:t>9</w:t>
      </w:r>
      <w:r>
        <w:rPr>
          <w:rFonts w:hint="eastAsia" w:ascii="仿宋_GB2312" w:eastAsia="仿宋_GB2312"/>
          <w:color w:val="000000"/>
          <w:sz w:val="32"/>
          <w:szCs w:val="32"/>
        </w:rPr>
        <w:t>.组织开展政法领域调查研究，研究拟定全区政法工作的政策措施，及时向区委提出建议；组织研究政法改革中带有方向性、倾向性和普遍性的重大问题，深化政法改革。</w:t>
      </w:r>
    </w:p>
    <w:p>
      <w:pPr>
        <w:overflowPunct w:val="0"/>
        <w:spacing w:line="576"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10.指导推动政法系统党的建设和政法队伍建设，协助区级有关职能部门管理监督政法领导干部，代管广元市昭化区法学会。</w:t>
      </w:r>
    </w:p>
    <w:p>
      <w:pPr>
        <w:overflowPunct w:val="0"/>
        <w:spacing w:line="576" w:lineRule="exact"/>
        <w:ind w:firstLine="640" w:firstLineChars="200"/>
        <w:rPr>
          <w:rFonts w:hint="eastAsia" w:ascii="仿宋_GB2312" w:eastAsia="仿宋_GB2312"/>
          <w:color w:val="000000"/>
          <w:sz w:val="32"/>
          <w:szCs w:val="32"/>
        </w:rPr>
      </w:pPr>
      <w:r>
        <w:rPr>
          <w:rFonts w:hint="eastAsia" w:ascii="Times New Roman" w:eastAsia="仿宋_GB2312"/>
          <w:color w:val="000000"/>
          <w:sz w:val="32"/>
          <w:szCs w:val="32"/>
        </w:rPr>
        <w:t>11</w:t>
      </w:r>
      <w:r>
        <w:rPr>
          <w:rFonts w:hint="eastAsia" w:ascii="仿宋_GB2312" w:eastAsia="仿宋_GB2312"/>
          <w:color w:val="000000"/>
          <w:sz w:val="32"/>
          <w:szCs w:val="32"/>
        </w:rPr>
        <w:t>.完成区委交办的其他任务。</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（二）</w:t>
      </w:r>
      <w:r>
        <w:rPr>
          <w:rFonts w:hint="eastAsia" w:ascii="Times New Roman" w:eastAsia="楷体_GB2312" w:cs="楷体_GB2312"/>
          <w:kern w:val="2"/>
          <w:sz w:val="32"/>
          <w:szCs w:val="24"/>
        </w:rPr>
        <w:t>2023</w:t>
      </w:r>
      <w:r>
        <w:rPr>
          <w:rFonts w:hint="eastAsia" w:ascii="楷体_GB2312" w:hAnsi="楷体_GB2312" w:eastAsia="楷体_GB2312" w:cs="楷体_GB2312"/>
          <w:kern w:val="2"/>
          <w:sz w:val="32"/>
          <w:szCs w:val="24"/>
        </w:rPr>
        <w:t>年重点工作完成情况。</w:t>
      </w:r>
    </w:p>
    <w:p>
      <w:pPr>
        <w:overflowPunct w:val="0"/>
        <w:autoSpaceDE/>
        <w:autoSpaceDN/>
        <w:adjustRightInd/>
        <w:spacing w:line="576" w:lineRule="exact"/>
        <w:ind w:firstLine="640" w:firstLineChars="200"/>
        <w:rPr>
          <w:rFonts w:hint="eastAsia" w:ascii="仿宋_GB2312" w:hAnsi="仿宋_GB2312" w:eastAsia="仿宋_GB2312"/>
          <w:color w:val="000000"/>
          <w:kern w:val="2"/>
          <w:sz w:val="32"/>
          <w:szCs w:val="24"/>
          <w:highlight w:val="yellow"/>
        </w:rPr>
      </w:pPr>
      <w:r>
        <w:rPr>
          <w:rFonts w:hint="eastAsia" w:ascii="Times New Roman" w:eastAsia="Times New Roman"/>
          <w:color w:val="000000"/>
          <w:sz w:val="32"/>
          <w:szCs w:val="32"/>
        </w:rPr>
        <w:t>2023</w:t>
      </w:r>
      <w:r>
        <w:rPr>
          <w:rFonts w:hint="eastAsia" w:ascii="Times New Roman" w:eastAsia="仿宋_GB2312"/>
          <w:color w:val="000000"/>
          <w:sz w:val="32"/>
          <w:szCs w:val="32"/>
        </w:rPr>
        <w:t>年，区委政法委坚持以习近平新时代中国特色社会主义思想为指引，深入贯彻落实党的二十大，省委十二届二次、三次、四次全会，市委八届五次、六次、七次全会和区委八届三次、四次、五次全会精神，深入开展学习贯彻习近平新时代中国特色社会主义思想主题教育，扎实推进“防风险、保安全、护稳定、促发展”各项工作，群众安全感、获得感、幸福感不断提升。</w:t>
      </w:r>
      <w:r>
        <w:rPr>
          <w:rFonts w:hint="eastAsia" w:ascii="Times New Roman" w:eastAsia="仿宋_GB2312"/>
          <w:color w:val="000000"/>
          <w:kern w:val="2"/>
          <w:sz w:val="32"/>
          <w:szCs w:val="32"/>
        </w:rPr>
        <w:t>昭化区成功创成首批省级法治政府建设示范区，连续13年无“民转刑”命案发生，平安建设群众满意度测评连续7年位居省市前列，连续6年被省委省政府表彰为平安建设先进县区。</w:t>
      </w:r>
    </w:p>
    <w:p>
      <w:pPr>
        <w:pStyle w:val="4"/>
        <w:overflowPunct w:val="0"/>
        <w:spacing w:line="576" w:lineRule="exact"/>
        <w:ind w:firstLine="64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pPr>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区委政法委部门属于一级预算单位，无二级预算单位，其中行政单位</w:t>
      </w:r>
      <w:r>
        <w:rPr>
          <w:rFonts w:hint="eastAsia" w:ascii="Times New Roman" w:eastAsia="仿宋_GB2312"/>
          <w:kern w:val="2"/>
          <w:sz w:val="32"/>
          <w:szCs w:val="24"/>
        </w:rPr>
        <w:t>0</w:t>
      </w:r>
      <w:r>
        <w:rPr>
          <w:rFonts w:hint="eastAsia" w:ascii="仿宋_GB2312" w:hAnsi="仿宋_GB2312" w:eastAsia="仿宋_GB2312"/>
          <w:kern w:val="2"/>
          <w:sz w:val="32"/>
          <w:szCs w:val="24"/>
        </w:rPr>
        <w:t>个，参照公务员法管理的事业单位</w:t>
      </w:r>
      <w:r>
        <w:rPr>
          <w:rFonts w:hint="eastAsia" w:ascii="Times New Roman" w:eastAsia="仿宋_GB2312"/>
          <w:kern w:val="2"/>
          <w:sz w:val="32"/>
          <w:szCs w:val="24"/>
        </w:rPr>
        <w:t>0</w:t>
      </w:r>
      <w:r>
        <w:rPr>
          <w:rFonts w:hint="eastAsia" w:ascii="仿宋_GB2312" w:hAnsi="仿宋_GB2312" w:eastAsia="仿宋_GB2312"/>
          <w:kern w:val="2"/>
          <w:sz w:val="32"/>
          <w:szCs w:val="24"/>
        </w:rPr>
        <w:t>个，其他事业单位</w:t>
      </w:r>
      <w:r>
        <w:rPr>
          <w:rFonts w:hint="eastAsia" w:ascii="Times New Roman" w:eastAsia="仿宋_GB2312"/>
          <w:kern w:val="2"/>
          <w:sz w:val="32"/>
          <w:szCs w:val="24"/>
        </w:rPr>
        <w:t>0</w:t>
      </w:r>
      <w:r>
        <w:rPr>
          <w:rFonts w:hint="eastAsia" w:ascii="仿宋_GB2312" w:hAnsi="仿宋_GB2312" w:eastAsia="仿宋_GB2312"/>
          <w:kern w:val="2"/>
          <w:sz w:val="32"/>
          <w:szCs w:val="24"/>
        </w:rPr>
        <w:t>个。</w:t>
      </w:r>
    </w:p>
    <w:p>
      <w:pPr>
        <w:spacing w:line="576" w:lineRule="exact"/>
        <w:ind w:firstLine="64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纳入2023年度部门决算编制范围的二级预算单位包括：无</w:t>
      </w:r>
    </w:p>
    <w:p>
      <w:pPr>
        <w:overflowPunct w:val="0"/>
        <w:spacing w:line="576" w:lineRule="exact"/>
        <w:ind w:firstLine="640"/>
        <w:jc w:val="both"/>
        <w:rPr>
          <w:rFonts w:hint="eastAsia" w:ascii="仿宋_GB2312" w:hAnsi="仿宋_GB2312" w:eastAsia="仿宋_GB2312"/>
          <w:kern w:val="2"/>
          <w:sz w:val="32"/>
          <w:szCs w:val="24"/>
        </w:rPr>
      </w:pPr>
    </w:p>
    <w:p>
      <w:pPr>
        <w:overflowPunct w:val="0"/>
        <w:spacing w:line="576" w:lineRule="exact"/>
        <w:jc w:val="center"/>
        <w:rPr>
          <w:rFonts w:hint="eastAsia" w:ascii="方正小标宋简体" w:hAnsi="方正小标宋简体" w:eastAsia="方正小标宋简体" w:cs="方正小标宋简体"/>
          <w:kern w:val="2"/>
          <w:sz w:val="44"/>
          <w:szCs w:val="44"/>
        </w:rPr>
      </w:pPr>
      <w:r>
        <w:rPr>
          <w:rFonts w:hint="eastAsia" w:ascii="黑体" w:hAnsi="黑体" w:eastAsia="黑体"/>
          <w:kern w:val="44"/>
          <w:sz w:val="44"/>
          <w:szCs w:val="24"/>
        </w:rPr>
        <w:br w:type="page"/>
      </w:r>
      <w:r>
        <w:rPr>
          <w:rFonts w:hint="eastAsia" w:ascii="方正小标宋简体" w:hAnsi="方正小标宋简体" w:eastAsia="方正小标宋简体" w:cs="方正小标宋简体"/>
          <w:kern w:val="44"/>
          <w:sz w:val="44"/>
          <w:szCs w:val="44"/>
        </w:rPr>
        <w:t xml:space="preserve">第二部分  </w:t>
      </w:r>
      <w:r>
        <w:rPr>
          <w:rFonts w:hint="eastAsia" w:ascii="Times New Roman" w:eastAsia="方正小标宋简体" w:cs="方正小标宋简体"/>
          <w:kern w:val="44"/>
          <w:sz w:val="44"/>
          <w:szCs w:val="44"/>
        </w:rPr>
        <w:t>2023</w:t>
      </w:r>
      <w:r>
        <w:rPr>
          <w:rFonts w:hint="eastAsia" w:ascii="方正小标宋简体" w:hAnsi="方正小标宋简体" w:eastAsia="方正小标宋简体" w:cs="方正小标宋简体"/>
          <w:kern w:val="44"/>
          <w:sz w:val="44"/>
          <w:szCs w:val="44"/>
        </w:rPr>
        <w:t>年度部门决算情况说明</w:t>
      </w:r>
    </w:p>
    <w:p>
      <w:pPr>
        <w:overflowPunct w:val="0"/>
        <w:topLinePunct/>
        <w:spacing w:line="576" w:lineRule="exact"/>
        <w:ind w:firstLine="640" w:firstLineChars="200"/>
        <w:jc w:val="both"/>
        <w:rPr>
          <w:rFonts w:hint="eastAsia" w:ascii="黑体" w:hAnsi="黑体" w:eastAsia="黑体"/>
          <w:color w:val="000000"/>
          <w:kern w:val="2"/>
          <w:sz w:val="32"/>
          <w:szCs w:val="24"/>
        </w:rPr>
      </w:pP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年度收、支总计均为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万元。与</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年度相比，收、支总计各</w:t>
      </w:r>
      <w:bookmarkStart w:id="1" w:name="OLE_LINK1"/>
      <w:r>
        <w:rPr>
          <w:rFonts w:hint="eastAsia" w:ascii="仿宋_GB2312" w:hAnsi="仿宋_GB2312" w:eastAsia="仿宋_GB2312"/>
          <w:color w:val="000000"/>
          <w:kern w:val="2"/>
          <w:sz w:val="32"/>
          <w:szCs w:val="24"/>
        </w:rPr>
        <w:t>增加</w:t>
      </w:r>
      <w:r>
        <w:rPr>
          <w:rFonts w:hint="eastAsia" w:ascii="Times New Roman" w:eastAsia="仿宋_GB2312"/>
          <w:color w:val="000000"/>
          <w:kern w:val="2"/>
          <w:sz w:val="32"/>
          <w:szCs w:val="24"/>
        </w:rPr>
        <w:t>110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81</w:t>
      </w:r>
      <w:r>
        <w:rPr>
          <w:rFonts w:hint="eastAsia" w:ascii="仿宋_GB2312" w:hAnsi="仿宋_GB2312" w:eastAsia="仿宋_GB2312"/>
          <w:color w:val="000000"/>
          <w:kern w:val="2"/>
          <w:sz w:val="32"/>
          <w:szCs w:val="24"/>
        </w:rPr>
        <w:t>万元，增长</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%。主要变动原因是增加了司法救助、平安建设微电影拍摄及政法智能化建设经费。</w:t>
      </w:r>
      <w:bookmarkEnd w:id="1"/>
    </w:p>
    <w:p>
      <w:pPr>
        <w:overflowPunct w:val="0"/>
        <w:topLinePunct/>
        <w:spacing w:line="576" w:lineRule="exact"/>
        <w:ind w:firstLine="640" w:firstLineChars="200"/>
        <w:jc w:val="both"/>
        <w:rPr>
          <w:rFonts w:hint="eastAsia" w:ascii="黑体" w:hAnsi="黑体" w:eastAsia="黑体"/>
          <w:color w:val="000000"/>
          <w:kern w:val="2"/>
          <w:sz w:val="32"/>
          <w:szCs w:val="24"/>
        </w:rPr>
      </w:pPr>
      <w:r>
        <w:rPr>
          <w:rFonts w:hint="default" w:ascii="仿宋_GB2312" w:hAnsi="仿宋_GB2312" w:eastAsia="仿宋_GB2312"/>
          <w:color w:val="000000"/>
          <w:kern w:val="2"/>
          <w:sz w:val="32"/>
          <w:szCs w:val="24"/>
        </w:rPr>
        <w:pict>
          <v:shape id="Object 7" o:spid="_x0000_s2050" o:spt="75" type="#_x0000_t75" style="position:absolute;left:0pt;margin-left:112.3pt;margin-top:5.9pt;height:293.1pt;width:247.4pt;mso-wrap-distance-bottom:0pt;mso-wrap-distance-top:0pt;z-index:251659264;mso-width-relative:page;mso-height-relative:page;" o:ole="t" filled="f" o:preferrelative="t" stroked="f" coordsize="21600,21600">
            <v:path/>
            <v:fill on="f" focussize="0,0"/>
            <v:stroke on="f"/>
            <v:imagedata r:id="rId6" o:title=""/>
            <o:lock v:ext="edit" aspectratio="t"/>
            <w10:wrap type="topAndBottom"/>
          </v:shape>
          <o:OLEObject Type="Embed" ProgID="Excel.Chart.8" ShapeID="Object 7" DrawAspect="Content" ObjectID="_1468075725" r:id="rId5">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：收、支决算总计变动情况图）（柱状图）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年本年收入合计</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万元，其中：一般公共预算财政拨款收入</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default" w:ascii="仿宋_GB2312" w:hAnsi="仿宋_GB2312" w:eastAsia="仿宋_GB2312"/>
          <w:color w:val="000000"/>
          <w:kern w:val="2"/>
          <w:sz w:val="32"/>
          <w:szCs w:val="24"/>
          <w:highlight w:val="yellow"/>
        </w:rPr>
        <w:pict>
          <v:shape id="Object 8" o:spid="_x0000_s2051" o:spt="75" type="#_x0000_t75" style="position:absolute;left:0pt;margin-left:136.95pt;margin-top:-3.45pt;height:206.5pt;width:181.2pt;mso-wrap-distance-bottom:0pt;mso-wrap-distance-top:0pt;z-index:251660288;mso-width-relative:page;mso-height-relative:page;" o:ole="t" filled="f" o:preferrelative="t" stroked="f" coordsize="21600,21600">
            <v:path/>
            <v:fill on="f" focussize="0,0"/>
            <v:stroke on="f"/>
            <v:imagedata r:id="rId8" o:title=""/>
            <o:lock v:ext="edit" aspectratio="t"/>
            <w10:wrap type="topAndBottom"/>
          </v:shape>
          <o:OLEObject Type="Embed" ProgID="Excel.Chart.8" ShapeID="Object 8" DrawAspect="Content" ObjectID="_1468075726" r:id="rId7">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：收入决算结构图）（饼状图）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年本年支出合计</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万元，其中：基本支出</w:t>
      </w:r>
      <w:r>
        <w:rPr>
          <w:rFonts w:hint="eastAsia" w:ascii="Times New Roman" w:eastAsia="仿宋_GB2312"/>
          <w:color w:val="000000"/>
          <w:kern w:val="2"/>
          <w:sz w:val="32"/>
          <w:szCs w:val="24"/>
        </w:rPr>
        <w:t>699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53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%；项目支出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46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黑体" w:hAnsi="黑体" w:eastAsia="黑体"/>
          <w:color w:val="000000"/>
          <w:kern w:val="2"/>
          <w:sz w:val="32"/>
          <w:szCs w:val="24"/>
        </w:rPr>
      </w:pPr>
      <w:r>
        <w:rPr>
          <w:rFonts w:hint="default" w:ascii="仿宋_GB2312" w:hAnsi="仿宋_GB2312" w:eastAsia="仿宋_GB2312"/>
          <w:color w:val="000000"/>
          <w:kern w:val="2"/>
          <w:sz w:val="32"/>
          <w:szCs w:val="24"/>
          <w:highlight w:val="yellow"/>
        </w:rPr>
        <w:pict>
          <v:shape id="Object 9" o:spid="_x0000_s2052" o:spt="75" type="#_x0000_t75" style="position:absolute;left:0pt;margin-left:138.7pt;margin-top:13.3pt;height:222.1pt;width:187.4pt;mso-wrap-distance-bottom:0pt;mso-wrap-distance-top:0pt;z-index:251661312;mso-width-relative:page;mso-height-relative:page;" o:ole="t" filled="f" o:preferrelative="t" stroked="f" coordsize="21600,21600">
            <v:path/>
            <v:fill on="f" focussize="0,0"/>
            <v:stroke on="f"/>
            <v:imagedata r:id="rId10" o:title=""/>
            <o:lock v:ext="edit" aspectratio="t"/>
            <w10:wrap type="topAndBottom"/>
          </v:shape>
          <o:OLEObject Type="Embed" ProgID="Excel.Chart.8" ShapeID="Object 9" DrawAspect="Content" ObjectID="_1468075727" r:id="rId9">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：支出决算结构图（饼状图）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年度财政拨款收、支总计均为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万元。与</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年度相比，财政拨款收、支总计各增加</w:t>
      </w:r>
      <w:r>
        <w:rPr>
          <w:rFonts w:hint="eastAsia" w:ascii="Times New Roman" w:eastAsia="仿宋_GB2312"/>
          <w:color w:val="000000"/>
          <w:kern w:val="2"/>
          <w:sz w:val="32"/>
          <w:szCs w:val="24"/>
        </w:rPr>
        <w:t>110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81</w:t>
      </w:r>
      <w:r>
        <w:rPr>
          <w:rFonts w:hint="eastAsia" w:ascii="仿宋_GB2312" w:hAnsi="仿宋_GB2312" w:eastAsia="仿宋_GB2312"/>
          <w:color w:val="000000"/>
          <w:kern w:val="2"/>
          <w:sz w:val="32"/>
          <w:szCs w:val="24"/>
        </w:rPr>
        <w:t>万元，增长</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%。主要变动原因是</w:t>
      </w:r>
      <w:bookmarkStart w:id="2" w:name="OLE_LINK2"/>
      <w:r>
        <w:rPr>
          <w:rFonts w:hint="eastAsia" w:ascii="仿宋_GB2312" w:hAnsi="仿宋_GB2312" w:eastAsia="仿宋_GB2312"/>
          <w:color w:val="000000"/>
          <w:kern w:val="2"/>
          <w:sz w:val="32"/>
          <w:szCs w:val="24"/>
        </w:rPr>
        <w:t>增加了司法救助、平安建设微电影拍摄及政法智能化建设经费。</w:t>
      </w:r>
    </w:p>
    <w:bookmarkEnd w:id="2"/>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default" w:ascii="仿宋_GB2312" w:hAnsi="仿宋_GB2312" w:eastAsia="仿宋_GB2312"/>
          <w:color w:val="000000"/>
          <w:kern w:val="2"/>
          <w:sz w:val="32"/>
          <w:szCs w:val="24"/>
          <w:highlight w:val="yellow"/>
        </w:rPr>
        <w:pict>
          <v:shape id="Object 14" o:spid="_x0000_s2053" o:spt="75" type="#_x0000_t75" style="position:absolute;left:0pt;margin-left:92.7pt;margin-top:5pt;height:225.6pt;width:249.05pt;mso-wrap-distance-bottom:0pt;mso-wrap-distance-top:0pt;z-index:251662336;mso-width-relative:page;mso-height-relative:page;" o:ole="t" filled="f" o:preferrelative="t" stroked="f" coordsize="21600,21600">
            <v:path/>
            <v:fill on="f" focussize="0,0"/>
            <v:stroke on="f"/>
            <v:imagedata r:id="rId12" o:title=""/>
            <o:lock v:ext="edit" aspectratio="t"/>
            <w10:wrap type="topAndBottom"/>
          </v:shape>
          <o:OLEObject Type="Embed" ProgID="Excel.Chart.8" ShapeID="Object 14" DrawAspect="Content" ObjectID="_1468075728" r:id="rId11">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：财政拨款收、支决算总计变动情况（柱状图）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五、一</w:t>
      </w:r>
      <w:r>
        <w:rPr>
          <w:rFonts w:hint="eastAsia" w:ascii="黑体" w:hAnsi="黑体" w:eastAsia="黑体"/>
          <w:kern w:val="2"/>
          <w:sz w:val="32"/>
          <w:szCs w:val="24"/>
        </w:rPr>
        <w:t>般公共预算财政拨款支出决算情况说明</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（一）一般公共预算财政拨款支出决算总体情况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年度一般公共预算财政拨款支出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万元，占本年支出合计的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%。与</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年度相比，一般公共预算财政拨款支出增加</w:t>
      </w:r>
      <w:r>
        <w:rPr>
          <w:rFonts w:hint="eastAsia" w:ascii="Times New Roman" w:eastAsia="仿宋_GB2312"/>
          <w:color w:val="000000"/>
          <w:kern w:val="2"/>
          <w:sz w:val="32"/>
          <w:szCs w:val="24"/>
        </w:rPr>
        <w:t>110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81</w:t>
      </w:r>
      <w:r>
        <w:rPr>
          <w:rFonts w:hint="eastAsia" w:ascii="仿宋_GB2312" w:hAnsi="仿宋_GB2312" w:eastAsia="仿宋_GB2312"/>
          <w:color w:val="000000"/>
          <w:kern w:val="2"/>
          <w:sz w:val="32"/>
          <w:szCs w:val="24"/>
        </w:rPr>
        <w:t>万元，增长</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%。主要变动原因是增加了司法救助、平安建设微电影拍摄及政法智能化建设项目支出。</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default" w:ascii="仿宋_GB2312" w:hAnsi="仿宋_GB2312" w:eastAsia="仿宋_GB2312"/>
          <w:color w:val="000000"/>
          <w:kern w:val="2"/>
          <w:sz w:val="32"/>
          <w:szCs w:val="24"/>
          <w:highlight w:val="yellow"/>
        </w:rPr>
        <w:pict>
          <v:shape id="Object 15" o:spid="_x0000_s2054" o:spt="75" type="#_x0000_t75" style="position:absolute;left:0pt;margin-left:121.75pt;margin-top:2.45pt;height:199pt;width:243.1pt;mso-wrap-distance-bottom:0pt;mso-wrap-distance-top:0pt;z-index:251663360;mso-width-relative:page;mso-height-relative:page;" o:ole="t" filled="f" o:preferrelative="t" stroked="f" coordsize="21600,21600">
            <v:path/>
            <v:fill on="f" focussize="0,0"/>
            <v:stroke on="f"/>
            <v:imagedata r:id="rId14" o:title=""/>
            <o:lock v:ext="edit" aspectratio="t"/>
            <w10:wrap type="topAndBottom"/>
          </v:shape>
          <o:OLEObject Type="Embed" ProgID="Excel.Chart.8" ShapeID="Object 15" DrawAspect="Content" ObjectID="_1468075729" r:id="rId13">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5</w:t>
      </w:r>
      <w:r>
        <w:rPr>
          <w:rFonts w:hint="eastAsia" w:ascii="仿宋_GB2312" w:hAnsi="仿宋_GB2312" w:eastAsia="仿宋_GB2312"/>
          <w:color w:val="000000"/>
          <w:kern w:val="2"/>
          <w:sz w:val="32"/>
          <w:szCs w:val="24"/>
        </w:rPr>
        <w:t>：一般公共预算财政拨款支出决算变动情况（柱状图）</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（二）一般公共预算财政拨款支出决算结构情况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年度一般公共预算财政拨款支出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万元，主要用于以下方面:一般公共服务支出</w:t>
      </w:r>
      <w:r>
        <w:rPr>
          <w:rFonts w:hint="eastAsia" w:ascii="Times New Roman" w:eastAsia="仿宋_GB2312"/>
          <w:color w:val="000000"/>
          <w:kern w:val="2"/>
          <w:sz w:val="32"/>
          <w:szCs w:val="24"/>
        </w:rPr>
        <w:t>634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32</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48</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%；公共安全支出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46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%；社会保障和就业支出</w:t>
      </w:r>
      <w:r>
        <w:rPr>
          <w:rFonts w:hint="eastAsia" w:ascii="Times New Roman" w:eastAsia="仿宋_GB2312"/>
          <w:color w:val="000000"/>
          <w:kern w:val="2"/>
          <w:sz w:val="32"/>
          <w:szCs w:val="24"/>
        </w:rPr>
        <w:t>30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45</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%；卫生健康支出</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%；住房保障支出</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default" w:hAnsi="仿宋_GB2312"/>
          <w:color w:val="000000"/>
          <w:kern w:val="2"/>
          <w:sz w:val="32"/>
          <w:szCs w:val="24"/>
          <w:highlight w:val="yellow"/>
        </w:rPr>
        <w:pict>
          <v:shape id="_x0000_s2055" o:spid="_x0000_s2055" o:spt="75" type="#_x0000_t75" style="position:absolute;left:0pt;margin-left:93.6pt;margin-top:3.1pt;height:179.3pt;width:283.6pt;mso-wrap-distance-bottom:0pt;mso-wrap-distance-top:0pt;z-index:251664384;mso-width-relative:page;mso-height-relative:page;" o:ole="t" filled="f" o:preferrelative="t" stroked="f" coordsize="21600,21600">
            <v:path/>
            <v:fill on="f" focussize="0,0"/>
            <v:stroke on="f"/>
            <v:imagedata r:id="rId16" o:title=""/>
            <o:lock v:ext="edit" aspectratio="t"/>
            <w10:wrap type="topAndBottom"/>
          </v:shape>
          <o:OLEObject Type="Embed" ProgID="Excel.Chart.8" ShapeID="_x0000_s2055" DrawAspect="Content" ObjectID="_1468075730" r:id="rId15">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：一般公共预算财政拨款支出决算结构（饼状图）</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（三）一般公共预算财政拨款支出决算具体情况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年度一般公共预算支出全年预算数为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万元，支出决算数为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万元，完成全年预算数的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%。其中：</w:t>
      </w:r>
    </w:p>
    <w:p>
      <w:pPr>
        <w:numPr>
          <w:ilvl w:val="0"/>
          <w:numId w:val="0"/>
        </w:num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w:t>
      </w:r>
      <w:r>
        <w:rPr>
          <w:rStyle w:val="12"/>
          <w:rFonts w:hint="eastAsia" w:ascii="仿宋" w:hAnsi="仿宋" w:eastAsia="仿宋_GB2312"/>
          <w:b w:val="0"/>
          <w:color w:val="auto"/>
          <w:sz w:val="32"/>
          <w:szCs w:val="24"/>
        </w:rPr>
        <w:t>一般公共服务（类）党委办公厅（室）及相关机构事务（款）事业运行（项）</w:t>
      </w:r>
      <w:r>
        <w:rPr>
          <w:rFonts w:hint="eastAsia" w:ascii="仿宋_GB2312" w:hAnsi="仿宋_GB2312" w:eastAsia="仿宋_GB2312"/>
          <w:color w:val="000000"/>
          <w:kern w:val="2"/>
          <w:sz w:val="32"/>
          <w:szCs w:val="24"/>
        </w:rPr>
        <w:t>:</w:t>
      </w:r>
      <w:bookmarkStart w:id="3" w:name="OLE_LINK3"/>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634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32</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634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32</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bookmarkEnd w:id="3"/>
    </w:p>
    <w:p>
      <w:pPr>
        <w:numPr>
          <w:ilvl w:val="0"/>
          <w:numId w:val="0"/>
        </w:numPr>
        <w:autoSpaceDE/>
        <w:autoSpaceDN/>
        <w:adjustRightInd/>
        <w:spacing w:line="576" w:lineRule="exact"/>
        <w:ind w:firstLine="640" w:firstLineChars="200"/>
        <w:rPr>
          <w:rFonts w:hint="eastAsia"/>
          <w:sz w:val="24"/>
          <w:szCs w:val="24"/>
        </w:rPr>
      </w:pPr>
      <w:r>
        <w:rPr>
          <w:rFonts w:hint="eastAsia" w:ascii="Times New Roman" w:eastAsia="仿宋_GB2312"/>
          <w:color w:val="auto"/>
          <w:sz w:val="32"/>
          <w:szCs w:val="32"/>
        </w:rPr>
        <w:t>2</w:t>
      </w:r>
      <w:r>
        <w:rPr>
          <w:rFonts w:hint="eastAsia" w:ascii="仿宋" w:hAnsi="仿宋" w:eastAsia="仿宋_GB2312"/>
          <w:color w:val="auto"/>
          <w:sz w:val="32"/>
          <w:szCs w:val="32"/>
        </w:rPr>
        <w:t>.公共安全：</w:t>
      </w: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Style w:val="12"/>
          <w:rFonts w:hint="eastAsia" w:ascii="仿宋" w:hAnsi="仿宋" w:eastAsia="仿宋_GB2312"/>
          <w:b w:val="0"/>
          <w:color w:val="auto"/>
          <w:sz w:val="32"/>
          <w:szCs w:val="24"/>
        </w:rPr>
        <w:t>社会保障和就业支出（类）行政事业单位养老支出（款）机关事业单位基本养老保险缴费支出及其他社会保障和就业支出（项）</w:t>
      </w: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30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45</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30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45</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w:t>
      </w:r>
      <w:r>
        <w:rPr>
          <w:rFonts w:hint="eastAsia" w:ascii="仿宋" w:hAnsi="仿宋" w:eastAsia="仿宋_GB2312"/>
          <w:color w:val="auto"/>
          <w:sz w:val="32"/>
          <w:szCs w:val="32"/>
        </w:rPr>
        <w:t>卫生健康</w:t>
      </w:r>
      <w:r>
        <w:rPr>
          <w:rStyle w:val="12"/>
          <w:rFonts w:hint="eastAsia" w:ascii="仿宋" w:hAnsi="仿宋" w:eastAsia="仿宋_GB2312"/>
          <w:b w:val="0"/>
          <w:color w:val="auto"/>
          <w:sz w:val="32"/>
          <w:szCs w:val="24"/>
        </w:rPr>
        <w:t>（类）行政事业单位医疗（款）行政行政单位医疗（项）</w:t>
      </w: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sz w:val="30"/>
          <w:szCs w:val="24"/>
        </w:rPr>
      </w:pPr>
      <w:r>
        <w:rPr>
          <w:rFonts w:hint="eastAsia" w:ascii="Times New Roman"/>
          <w:color w:val="000000"/>
          <w:kern w:val="2"/>
          <w:sz w:val="32"/>
          <w:szCs w:val="24"/>
        </w:rPr>
        <w:t>5</w:t>
      </w:r>
      <w:r>
        <w:rPr>
          <w:rFonts w:hint="eastAsia" w:hAnsi="仿宋_GB2312"/>
          <w:color w:val="000000"/>
          <w:kern w:val="2"/>
          <w:sz w:val="32"/>
          <w:szCs w:val="24"/>
        </w:rPr>
        <w:t>.</w:t>
      </w:r>
      <w:r>
        <w:rPr>
          <w:rFonts w:hint="eastAsia" w:ascii="仿宋" w:hAnsi="仿宋" w:eastAsia="仿宋_GB2312"/>
          <w:color w:val="auto"/>
          <w:sz w:val="32"/>
          <w:szCs w:val="32"/>
        </w:rPr>
        <w:t>住房保障（类）住房改革支出（款）住房公积金（项）：</w:t>
      </w:r>
    </w:p>
    <w:p>
      <w:pPr>
        <w:overflowPunct w:val="0"/>
        <w:topLinePunct/>
        <w:spacing w:line="576" w:lineRule="exact"/>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tabs>
          <w:tab w:val="right" w:pos="8306"/>
        </w:tabs>
        <w:overflowPunct w:val="0"/>
        <w:topLinePunct/>
        <w:spacing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六、一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年度一般公共预算财政拨款基本支出</w:t>
      </w:r>
      <w:r>
        <w:rPr>
          <w:rFonts w:hint="eastAsia" w:ascii="Times New Roman" w:eastAsia="仿宋_GB2312"/>
          <w:color w:val="000000"/>
          <w:kern w:val="2"/>
          <w:sz w:val="32"/>
          <w:szCs w:val="24"/>
        </w:rPr>
        <w:t>699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万元，其中：</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人员经费</w:t>
      </w:r>
      <w:r>
        <w:rPr>
          <w:rFonts w:hint="eastAsia" w:ascii="Times New Roman" w:eastAsia="仿宋_GB2312"/>
          <w:color w:val="000000"/>
          <w:kern w:val="2"/>
          <w:sz w:val="32"/>
          <w:szCs w:val="24"/>
        </w:rPr>
        <w:t>310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09</w:t>
      </w:r>
      <w:r>
        <w:rPr>
          <w:rFonts w:hint="eastAsia" w:ascii="仿宋_GB2312" w:hAnsi="仿宋_GB2312" w:eastAsia="仿宋_GB2312"/>
          <w:color w:val="000000"/>
          <w:kern w:val="2"/>
          <w:sz w:val="32"/>
          <w:szCs w:val="24"/>
        </w:rPr>
        <w:t>万元，主要包括：基本工资</w:t>
      </w:r>
      <w:r>
        <w:rPr>
          <w:rFonts w:hint="eastAsia" w:ascii="Times New Roman" w:eastAsia="仿宋_GB2312"/>
          <w:color w:val="000000"/>
          <w:kern w:val="2"/>
          <w:sz w:val="32"/>
          <w:szCs w:val="24"/>
        </w:rPr>
        <w:t>97</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19</w:t>
      </w:r>
      <w:r>
        <w:rPr>
          <w:rFonts w:hint="eastAsia" w:ascii="仿宋_GB2312" w:hAnsi="仿宋_GB2312" w:eastAsia="仿宋_GB2312"/>
          <w:color w:val="000000"/>
          <w:kern w:val="2"/>
          <w:sz w:val="32"/>
          <w:szCs w:val="24"/>
        </w:rPr>
        <w:t>万元、津贴补贴</w:t>
      </w:r>
      <w:r>
        <w:rPr>
          <w:rFonts w:hint="eastAsia" w:ascii="Times New Roman" w:eastAsia="仿宋_GB2312"/>
          <w:color w:val="000000"/>
          <w:kern w:val="2"/>
          <w:sz w:val="32"/>
          <w:szCs w:val="24"/>
        </w:rPr>
        <w:t>35</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77</w:t>
      </w:r>
      <w:r>
        <w:rPr>
          <w:rFonts w:hint="eastAsia" w:ascii="仿宋_GB2312" w:hAnsi="仿宋_GB2312" w:eastAsia="仿宋_GB2312"/>
          <w:color w:val="000000"/>
          <w:kern w:val="2"/>
          <w:sz w:val="32"/>
          <w:szCs w:val="24"/>
        </w:rPr>
        <w:t>万元、奖金</w:t>
      </w:r>
      <w:r>
        <w:rPr>
          <w:rFonts w:hint="eastAsia" w:ascii="Times New Roman" w:eastAsia="仿宋_GB2312"/>
          <w:color w:val="000000"/>
          <w:kern w:val="2"/>
          <w:sz w:val="32"/>
          <w:szCs w:val="24"/>
        </w:rPr>
        <w:t>73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56</w:t>
      </w:r>
      <w:r>
        <w:rPr>
          <w:rFonts w:hint="eastAsia" w:ascii="仿宋_GB2312" w:hAnsi="仿宋_GB2312" w:eastAsia="仿宋_GB2312"/>
          <w:color w:val="000000"/>
          <w:kern w:val="2"/>
          <w:sz w:val="32"/>
          <w:szCs w:val="24"/>
        </w:rPr>
        <w:t>万元、绩效工资</w:t>
      </w:r>
      <w:r>
        <w:rPr>
          <w:rFonts w:hint="eastAsia" w:ascii="Times New Roman" w:eastAsia="仿宋_GB2312"/>
          <w:color w:val="000000"/>
          <w:kern w:val="2"/>
          <w:sz w:val="32"/>
          <w:szCs w:val="24"/>
        </w:rPr>
        <w:t>28</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65</w:t>
      </w:r>
      <w:r>
        <w:rPr>
          <w:rFonts w:hint="eastAsia" w:ascii="仿宋_GB2312" w:hAnsi="仿宋_GB2312" w:eastAsia="仿宋_GB2312"/>
          <w:color w:val="000000"/>
          <w:kern w:val="2"/>
          <w:sz w:val="32"/>
          <w:szCs w:val="24"/>
        </w:rPr>
        <w:t>万元、机关事业单位基本养老保险缴费</w:t>
      </w:r>
      <w:r>
        <w:rPr>
          <w:rFonts w:hint="eastAsia" w:ascii="Times New Roman" w:eastAsia="仿宋_GB2312"/>
          <w:color w:val="000000"/>
          <w:kern w:val="2"/>
          <w:sz w:val="32"/>
          <w:szCs w:val="24"/>
        </w:rPr>
        <w:t>29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36</w:t>
      </w:r>
      <w:r>
        <w:rPr>
          <w:rFonts w:hint="eastAsia" w:ascii="仿宋_GB2312" w:hAnsi="仿宋_GB2312" w:eastAsia="仿宋_GB2312"/>
          <w:color w:val="000000"/>
          <w:kern w:val="2"/>
          <w:sz w:val="32"/>
          <w:szCs w:val="24"/>
        </w:rPr>
        <w:t>万元、职工基本医疗保险缴费</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万元、其他社会保障缴费</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09</w:t>
      </w:r>
      <w:r>
        <w:rPr>
          <w:rFonts w:hint="eastAsia" w:ascii="仿宋_GB2312" w:hAnsi="仿宋_GB2312" w:eastAsia="仿宋_GB2312"/>
          <w:color w:val="000000"/>
          <w:kern w:val="2"/>
          <w:sz w:val="32"/>
          <w:szCs w:val="24"/>
        </w:rPr>
        <w:t>万元、住房公积金</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万元、生活补助</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15</w:t>
      </w:r>
      <w:r>
        <w:rPr>
          <w:rFonts w:hint="eastAsia" w:ascii="仿宋_GB2312" w:hAnsi="仿宋_GB2312" w:eastAsia="仿宋_GB2312"/>
          <w:color w:val="000000"/>
          <w:kern w:val="2"/>
          <w:sz w:val="32"/>
          <w:szCs w:val="24"/>
        </w:rPr>
        <w:t>万元、奖励金</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89</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公用经费</w:t>
      </w:r>
      <w:r>
        <w:rPr>
          <w:rFonts w:hint="eastAsia" w:ascii="Times New Roman" w:eastAsia="仿宋_GB2312"/>
          <w:color w:val="000000"/>
          <w:kern w:val="2"/>
          <w:sz w:val="32"/>
          <w:szCs w:val="24"/>
        </w:rPr>
        <w:t>389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万元，主要包括：办公费</w:t>
      </w:r>
      <w:r>
        <w:rPr>
          <w:rFonts w:hint="eastAsia" w:ascii="Times New Roman" w:eastAsia="仿宋_GB2312"/>
          <w:color w:val="000000"/>
          <w:kern w:val="2"/>
          <w:sz w:val="32"/>
          <w:szCs w:val="24"/>
        </w:rPr>
        <w:t>26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85</w:t>
      </w:r>
      <w:r>
        <w:rPr>
          <w:rFonts w:hint="eastAsia" w:ascii="仿宋_GB2312" w:hAnsi="仿宋_GB2312" w:eastAsia="仿宋_GB2312"/>
          <w:color w:val="000000"/>
          <w:kern w:val="2"/>
          <w:sz w:val="32"/>
          <w:szCs w:val="24"/>
        </w:rPr>
        <w:t>万元、印刷费</w:t>
      </w:r>
      <w:r>
        <w:rPr>
          <w:rFonts w:hint="eastAsia" w:ascii="Times New Roman" w:eastAsia="仿宋_GB2312"/>
          <w:color w:val="000000"/>
          <w:kern w:val="2"/>
          <w:sz w:val="32"/>
          <w:szCs w:val="24"/>
        </w:rPr>
        <w:t>26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16</w:t>
      </w:r>
      <w:r>
        <w:rPr>
          <w:rFonts w:hint="eastAsia" w:ascii="仿宋_GB2312" w:hAnsi="仿宋_GB2312" w:eastAsia="仿宋_GB2312"/>
          <w:color w:val="000000"/>
          <w:kern w:val="2"/>
          <w:sz w:val="32"/>
          <w:szCs w:val="24"/>
        </w:rPr>
        <w:t>万元、水费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24</w:t>
      </w:r>
      <w:r>
        <w:rPr>
          <w:rFonts w:hint="eastAsia" w:ascii="仿宋_GB2312" w:hAnsi="仿宋_GB2312" w:eastAsia="仿宋_GB2312"/>
          <w:color w:val="000000"/>
          <w:kern w:val="2"/>
          <w:sz w:val="32"/>
          <w:szCs w:val="24"/>
        </w:rPr>
        <w:t>万元、电费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万元、邮电费</w:t>
      </w:r>
      <w:r>
        <w:rPr>
          <w:rFonts w:hint="eastAsia" w:ascii="Times New Roman" w:eastAsia="仿宋_GB2312"/>
          <w:color w:val="000000"/>
          <w:kern w:val="2"/>
          <w:sz w:val="32"/>
          <w:szCs w:val="24"/>
        </w:rPr>
        <w:t>66</w:t>
      </w:r>
      <w:r>
        <w:rPr>
          <w:rFonts w:hint="eastAsia" w:ascii="仿宋_GB2312" w:hAnsi="仿宋_GB2312" w:eastAsia="仿宋_GB2312"/>
          <w:color w:val="000000"/>
          <w:kern w:val="2"/>
          <w:sz w:val="32"/>
          <w:szCs w:val="24"/>
        </w:rPr>
        <w:t>万元、差旅费</w:t>
      </w:r>
      <w:r>
        <w:rPr>
          <w:rFonts w:hint="eastAsia" w:ascii="Times New Roman" w:eastAsia="仿宋_GB2312"/>
          <w:color w:val="000000"/>
          <w:kern w:val="2"/>
          <w:sz w:val="32"/>
          <w:szCs w:val="24"/>
        </w:rPr>
        <w:t>39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47</w:t>
      </w:r>
      <w:r>
        <w:rPr>
          <w:rFonts w:hint="eastAsia" w:ascii="仿宋_GB2312" w:hAnsi="仿宋_GB2312" w:eastAsia="仿宋_GB2312"/>
          <w:color w:val="000000"/>
          <w:kern w:val="2"/>
          <w:sz w:val="32"/>
          <w:szCs w:val="24"/>
        </w:rPr>
        <w:t>万元、维修（护）费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67</w:t>
      </w:r>
      <w:r>
        <w:rPr>
          <w:rFonts w:hint="eastAsia" w:ascii="仿宋_GB2312" w:hAnsi="仿宋_GB2312" w:eastAsia="仿宋_GB2312"/>
          <w:color w:val="000000"/>
          <w:kern w:val="2"/>
          <w:sz w:val="32"/>
          <w:szCs w:val="24"/>
        </w:rPr>
        <w:t>万元、租赁费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95</w:t>
      </w:r>
      <w:r>
        <w:rPr>
          <w:rFonts w:hint="eastAsia" w:ascii="仿宋_GB2312" w:hAnsi="仿宋_GB2312" w:eastAsia="仿宋_GB2312"/>
          <w:color w:val="000000"/>
          <w:kern w:val="2"/>
          <w:sz w:val="32"/>
          <w:szCs w:val="24"/>
        </w:rPr>
        <w:t>万元、会议费</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04</w:t>
      </w:r>
      <w:r>
        <w:rPr>
          <w:rFonts w:hint="eastAsia" w:ascii="仿宋_GB2312" w:hAnsi="仿宋_GB2312" w:eastAsia="仿宋_GB2312"/>
          <w:color w:val="000000"/>
          <w:kern w:val="2"/>
          <w:sz w:val="32"/>
          <w:szCs w:val="24"/>
        </w:rPr>
        <w:t>万元、培训费</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万元、公务接待费</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万元、劳务费</w:t>
      </w:r>
      <w:r>
        <w:rPr>
          <w:rFonts w:hint="eastAsia" w:ascii="Times New Roman" w:eastAsia="仿宋_GB2312"/>
          <w:color w:val="000000"/>
          <w:kern w:val="2"/>
          <w:sz w:val="32"/>
          <w:szCs w:val="24"/>
        </w:rPr>
        <w:t>105</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07</w:t>
      </w:r>
      <w:r>
        <w:rPr>
          <w:rFonts w:hint="eastAsia" w:ascii="仿宋_GB2312" w:hAnsi="仿宋_GB2312" w:eastAsia="仿宋_GB2312"/>
          <w:color w:val="000000"/>
          <w:kern w:val="2"/>
          <w:sz w:val="32"/>
          <w:szCs w:val="24"/>
        </w:rPr>
        <w:t>万元、委托业务费</w:t>
      </w:r>
      <w:r>
        <w:rPr>
          <w:rFonts w:hint="eastAsia" w:ascii="Times New Roman" w:eastAsia="仿宋_GB2312"/>
          <w:color w:val="000000"/>
          <w:kern w:val="2"/>
          <w:sz w:val="32"/>
          <w:szCs w:val="24"/>
        </w:rPr>
        <w:t>47</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98</w:t>
      </w:r>
      <w:r>
        <w:rPr>
          <w:rFonts w:hint="eastAsia" w:ascii="仿宋_GB2312" w:hAnsi="仿宋_GB2312" w:eastAsia="仿宋_GB2312"/>
          <w:color w:val="000000"/>
          <w:kern w:val="2"/>
          <w:sz w:val="32"/>
          <w:szCs w:val="24"/>
        </w:rPr>
        <w:t>万元、工会经费</w:t>
      </w:r>
      <w:r>
        <w:rPr>
          <w:rFonts w:hint="eastAsia" w:ascii="Times New Roman" w:eastAsia="仿宋_GB2312"/>
          <w:color w:val="000000"/>
          <w:kern w:val="2"/>
          <w:sz w:val="32"/>
          <w:szCs w:val="24"/>
        </w:rPr>
        <w:t>5</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67</w:t>
      </w:r>
      <w:r>
        <w:rPr>
          <w:rFonts w:hint="eastAsia" w:ascii="仿宋_GB2312" w:hAnsi="仿宋_GB2312" w:eastAsia="仿宋_GB2312"/>
          <w:color w:val="000000"/>
          <w:kern w:val="2"/>
          <w:sz w:val="32"/>
          <w:szCs w:val="24"/>
        </w:rPr>
        <w:t>万元、福利费</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万元、其他交通费</w:t>
      </w:r>
      <w:r>
        <w:rPr>
          <w:rFonts w:hint="eastAsia" w:ascii="Times New Roman" w:eastAsia="仿宋_GB2312"/>
          <w:color w:val="000000"/>
          <w:kern w:val="2"/>
          <w:sz w:val="32"/>
          <w:szCs w:val="24"/>
        </w:rPr>
        <w:t>31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78</w:t>
      </w:r>
      <w:r>
        <w:rPr>
          <w:rFonts w:hint="eastAsia" w:ascii="仿宋_GB2312" w:hAnsi="仿宋_GB2312" w:eastAsia="仿宋_GB2312"/>
          <w:color w:val="000000"/>
          <w:kern w:val="2"/>
          <w:sz w:val="32"/>
          <w:szCs w:val="24"/>
        </w:rPr>
        <w:t>万元、其他商品和服务支出</w:t>
      </w:r>
      <w:r>
        <w:rPr>
          <w:rFonts w:hint="eastAsia" w:ascii="Times New Roman" w:eastAsia="仿宋_GB2312"/>
          <w:color w:val="000000"/>
          <w:kern w:val="2"/>
          <w:sz w:val="32"/>
          <w:szCs w:val="24"/>
        </w:rPr>
        <w:t>26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14</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七、财政拨款</w:t>
      </w:r>
      <w:r>
        <w:rPr>
          <w:rFonts w:hint="eastAsia" w:ascii="黑体" w:hAnsi="黑体" w:eastAsia="黑体"/>
          <w:kern w:val="2"/>
          <w:sz w:val="32"/>
          <w:szCs w:val="24"/>
        </w:rPr>
        <w:t>“三公”经费支出决算情况说明</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（一）“三公”经费财政拨款支出决算总体情况说明</w:t>
      </w:r>
    </w:p>
    <w:p>
      <w:pPr>
        <w:overflowPunct w:val="0"/>
        <w:spacing w:line="576" w:lineRule="exact"/>
        <w:ind w:firstLine="640"/>
        <w:jc w:val="both"/>
        <w:rPr>
          <w:rFonts w:hint="eastAsia" w:ascii="仿宋_GB2312" w:hAnsi="仿宋_GB2312" w:eastAsia="仿宋_GB2312"/>
          <w:color w:val="FF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年度“三公”经费财政拨款支出预算为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%；较上年减少</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21</w:t>
      </w:r>
      <w:r>
        <w:rPr>
          <w:rFonts w:hint="eastAsia" w:ascii="仿宋_GB2312" w:hAnsi="仿宋_GB2312" w:eastAsia="仿宋_GB2312"/>
          <w:color w:val="000000"/>
          <w:kern w:val="2"/>
          <w:sz w:val="32"/>
          <w:szCs w:val="24"/>
        </w:rPr>
        <w:t>元，下降</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%。三公经费下降原因为</w:t>
      </w:r>
      <w:bookmarkStart w:id="4" w:name="OLE_LINK4"/>
      <w:r>
        <w:rPr>
          <w:rFonts w:hint="eastAsia" w:ascii="仿宋_GB2312" w:hAnsi="仿宋_GB2312" w:eastAsia="仿宋_GB2312"/>
          <w:color w:val="000000"/>
          <w:kern w:val="2"/>
          <w:sz w:val="32"/>
          <w:szCs w:val="24"/>
        </w:rPr>
        <w:t>严控接待次数和标准。</w:t>
      </w:r>
      <w:bookmarkEnd w:id="4"/>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（二）“三公”经费财政拨款支出决算具体情况说明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年度“三公”经费财政拨款支出决算中，因公出国（境）费支出决算</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%；公务用车购置及运行维护费支出决算</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%；公务接待费支出决算</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%。具体情况如下：</w:t>
      </w:r>
    </w:p>
    <w:p>
      <w:pPr>
        <w:pStyle w:val="2"/>
        <w:overflowPunct w:val="0"/>
        <w:ind w:firstLine="640" w:firstLineChars="200"/>
        <w:jc w:val="both"/>
        <w:rPr>
          <w:rFonts w:hint="eastAsia" w:hAnsi="仿宋_GB2312"/>
          <w:color w:val="000000"/>
          <w:kern w:val="2"/>
          <w:sz w:val="32"/>
          <w:szCs w:val="24"/>
        </w:rPr>
      </w:pPr>
      <w:r>
        <w:rPr>
          <w:rFonts w:hint="default" w:hAnsi="仿宋_GB2312"/>
          <w:color w:val="000000"/>
          <w:kern w:val="2"/>
          <w:sz w:val="32"/>
          <w:szCs w:val="24"/>
          <w:highlight w:val="yellow"/>
        </w:rPr>
        <w:pict>
          <v:shape id="Object 13" o:spid="_x0000_s2056" o:spt="75" type="#_x0000_t75" style="position:absolute;left:0pt;margin-left:61.75pt;margin-top:-17.3pt;height:184.25pt;width:327.65pt;mso-wrap-distance-bottom:0pt;mso-wrap-distance-top:0pt;z-index:251665408;mso-width-relative:page;mso-height-relative:page;" o:ole="t" filled="f" o:preferrelative="t" stroked="f" coordsize="21600,21600">
            <v:path/>
            <v:fill on="f" focussize="0,0"/>
            <v:stroke on="f"/>
            <v:imagedata r:id="rId18" o:title=""/>
            <o:lock v:ext="edit" aspectratio="t"/>
            <w10:wrap type="topAndBottom"/>
          </v:shape>
          <o:OLEObject Type="Embed" ProgID="Excel.Chart.8" ShapeID="Object 13" DrawAspect="Content" ObjectID="_1468075731" r:id="rId17">
            <o:LockedField>false</o:LockedField>
          </o:OLEObject>
        </w:pict>
      </w:r>
      <w:r>
        <w:rPr>
          <w:rFonts w:hint="eastAsia" w:hAnsi="仿宋_GB2312"/>
          <w:color w:val="000000"/>
          <w:kern w:val="2"/>
          <w:sz w:val="32"/>
          <w:szCs w:val="24"/>
        </w:rPr>
        <w:t>图</w:t>
      </w:r>
      <w:r>
        <w:rPr>
          <w:rFonts w:hint="eastAsia" w:ascii="Times New Roman"/>
          <w:color w:val="000000"/>
          <w:kern w:val="2"/>
          <w:sz w:val="32"/>
          <w:szCs w:val="24"/>
        </w:rPr>
        <w:t>7</w:t>
      </w:r>
      <w:r>
        <w:rPr>
          <w:rFonts w:hint="eastAsia" w:hAnsi="仿宋_GB2312"/>
          <w:color w:val="000000"/>
          <w:kern w:val="2"/>
          <w:sz w:val="32"/>
          <w:szCs w:val="24"/>
        </w:rPr>
        <w:t>：“三公”经费财政拨款支出结构（饼状图）</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.因公出国（境）经费预算为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%。全年安排因公出国（境）团组</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个，出国（境）</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人。</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.公务用车购置及运行维护费预算为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其中：公务用车购置费支出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万元。全年按规定更新购置公务用车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辆，其中：轿车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万元，越野车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万元，小型客车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万元，中型客车和大型客车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万元，其他车型</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万元。截至</w: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w:t>
      </w:r>
      <w:r>
        <w:rPr>
          <w:rFonts w:hint="eastAsia" w:ascii="Times New Roman" w:eastAsia="仿宋_GB2312"/>
          <w:color w:val="000000"/>
          <w:kern w:val="2"/>
          <w:sz w:val="32"/>
          <w:szCs w:val="24"/>
        </w:rPr>
        <w:t>12</w:t>
      </w:r>
      <w:r>
        <w:rPr>
          <w:rFonts w:hint="eastAsia" w:ascii="仿宋_GB2312" w:hAnsi="仿宋_GB2312" w:eastAsia="仿宋_GB2312"/>
          <w:color w:val="000000"/>
          <w:kern w:val="2"/>
          <w:sz w:val="32"/>
          <w:szCs w:val="24"/>
        </w:rPr>
        <w:t>月</w:t>
      </w:r>
      <w:r>
        <w:rPr>
          <w:rFonts w:hint="eastAsia" w:ascii="Times New Roman" w:eastAsia="仿宋_GB2312"/>
          <w:color w:val="000000"/>
          <w:kern w:val="2"/>
          <w:sz w:val="32"/>
          <w:szCs w:val="24"/>
        </w:rPr>
        <w:t>31</w:t>
      </w:r>
      <w:r>
        <w:rPr>
          <w:rFonts w:hint="eastAsia" w:ascii="仿宋_GB2312" w:hAnsi="仿宋_GB2312" w:eastAsia="仿宋_GB2312"/>
          <w:color w:val="000000"/>
          <w:kern w:val="2"/>
          <w:sz w:val="32"/>
          <w:szCs w:val="24"/>
        </w:rPr>
        <w:t>日，本部门共有公务用车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辆，其中：轿车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辆、越野车</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辆、小型客车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辆、中型客车和大型客车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辆、其他车型</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公务用车运行维护费支出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.公务接待费预算为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%。公务接待费支出决算比</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年度减少</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21</w:t>
      </w:r>
      <w:r>
        <w:rPr>
          <w:rFonts w:hint="eastAsia" w:ascii="仿宋_GB2312" w:hAnsi="仿宋_GB2312" w:eastAsia="仿宋_GB2312"/>
          <w:color w:val="000000"/>
          <w:kern w:val="2"/>
          <w:sz w:val="32"/>
          <w:szCs w:val="24"/>
        </w:rPr>
        <w:t>万元，下降</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%。主要原因是严控接待次数和标准。。其中：</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国内公务接待支出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万元。主要用于执行公务、开展业务活动开支用餐费等。国内公务接待</w:t>
      </w:r>
      <w:r>
        <w:rPr>
          <w:rFonts w:hint="eastAsia" w:ascii="Times New Roman" w:eastAsia="仿宋_GB2312"/>
          <w:color w:val="000000"/>
          <w:kern w:val="2"/>
          <w:sz w:val="32"/>
          <w:szCs w:val="24"/>
        </w:rPr>
        <w:t>35</w:t>
      </w:r>
      <w:r>
        <w:rPr>
          <w:rFonts w:hint="eastAsia" w:ascii="仿宋_GB2312" w:hAnsi="仿宋_GB2312" w:eastAsia="仿宋_GB2312"/>
          <w:color w:val="000000"/>
          <w:kern w:val="2"/>
          <w:sz w:val="32"/>
          <w:szCs w:val="24"/>
        </w:rPr>
        <w:t>批次，</w:t>
      </w:r>
      <w:r>
        <w:rPr>
          <w:rFonts w:hint="eastAsia" w:ascii="Times New Roman" w:eastAsia="仿宋_GB2312"/>
          <w:color w:val="000000"/>
          <w:kern w:val="2"/>
          <w:sz w:val="32"/>
          <w:szCs w:val="24"/>
        </w:rPr>
        <w:t>385</w:t>
      </w:r>
      <w:r>
        <w:rPr>
          <w:rFonts w:hint="eastAsia" w:ascii="仿宋_GB2312" w:hAnsi="仿宋_GB2312" w:eastAsia="仿宋_GB2312"/>
          <w:color w:val="000000"/>
          <w:kern w:val="2"/>
          <w:sz w:val="32"/>
          <w:szCs w:val="24"/>
        </w:rPr>
        <w:t>人次，共计支出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万元，具体内容包括：省市领导来昭调研指导平安建设工作、兄弟县区来昭交流学习政法工作等餐费。</w:t>
      </w:r>
    </w:p>
    <w:p>
      <w:pPr>
        <w:overflowPunct w:val="0"/>
        <w:topLinePunct/>
        <w:spacing w:line="576" w:lineRule="exact"/>
        <w:ind w:firstLine="640" w:firstLineChars="200"/>
        <w:jc w:val="both"/>
        <w:rPr>
          <w:rFonts w:hint="eastAsia" w:ascii="黑体" w:eastAsia="黑体"/>
          <w:sz w:val="32"/>
          <w:szCs w:val="24"/>
        </w:rPr>
      </w:pPr>
      <w:r>
        <w:rPr>
          <w:rFonts w:hint="eastAsia" w:ascii="仿宋_GB2312" w:hAnsi="仿宋_GB2312" w:eastAsia="仿宋_GB2312"/>
          <w:color w:val="000000"/>
          <w:kern w:val="2"/>
          <w:sz w:val="32"/>
          <w:szCs w:val="24"/>
        </w:rPr>
        <w:t>外事接待支出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万元，外事接待</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批次，</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人，共计支出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年度政府性基金预算拨款支出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年度国有资本经营预算拨款支出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十</w:t>
      </w:r>
      <w:r>
        <w:rPr>
          <w:rFonts w:hint="eastAsia" w:ascii="黑体" w:hAnsi="黑体" w:eastAsia="黑体"/>
          <w:kern w:val="2"/>
          <w:sz w:val="32"/>
          <w:szCs w:val="24"/>
        </w:rPr>
        <w:t>、其他重要事项的情况说明</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（一）机关运行经费支出情况</w:t>
      </w:r>
    </w:p>
    <w:p>
      <w:pPr>
        <w:spacing w:line="600" w:lineRule="exact"/>
        <w:ind w:firstLine="640" w:firstLineChars="200"/>
        <w:rPr>
          <w:rFonts w:hint="eastAsia" w:ascii="仿宋_GB2312" w:eastAsia="仿宋_GB2312"/>
          <w:color w:val="auto"/>
          <w:sz w:val="32"/>
          <w:szCs w:val="32"/>
        </w:rPr>
      </w:pPr>
      <w:r>
        <w:rPr>
          <w:rFonts w:hint="eastAsia" w:ascii="Times New Roman" w:eastAsia="仿宋_GB2312"/>
          <w:color w:val="auto"/>
          <w:sz w:val="32"/>
          <w:szCs w:val="32"/>
        </w:rPr>
        <w:t>2023</w:t>
      </w:r>
      <w:r>
        <w:rPr>
          <w:rFonts w:hint="eastAsia" w:ascii="仿宋_GB2312" w:eastAsia="仿宋_GB2312"/>
          <w:color w:val="auto"/>
          <w:sz w:val="32"/>
          <w:szCs w:val="32"/>
        </w:rPr>
        <w:t>年度，区委政法委机关运行经费支出</w:t>
      </w:r>
      <w:r>
        <w:rPr>
          <w:rFonts w:hint="eastAsia" w:ascii="Times New Roman" w:eastAsia="仿宋_GB2312"/>
          <w:color w:val="auto"/>
          <w:sz w:val="32"/>
          <w:szCs w:val="32"/>
        </w:rPr>
        <w:t>389</w:t>
      </w:r>
      <w:r>
        <w:rPr>
          <w:rFonts w:hint="eastAsia" w:ascii="仿宋_GB2312" w:eastAsia="仿宋_GB2312"/>
          <w:color w:val="auto"/>
          <w:sz w:val="32"/>
          <w:szCs w:val="32"/>
        </w:rPr>
        <w:t>.</w:t>
      </w:r>
      <w:r>
        <w:rPr>
          <w:rFonts w:hint="eastAsia" w:ascii="Times New Roman" w:eastAsia="仿宋_GB2312"/>
          <w:color w:val="auto"/>
          <w:sz w:val="32"/>
          <w:szCs w:val="32"/>
        </w:rPr>
        <w:t>11</w:t>
      </w:r>
      <w:r>
        <w:rPr>
          <w:rFonts w:hint="eastAsia" w:ascii="仿宋_GB2312" w:eastAsia="仿宋_GB2312"/>
          <w:color w:val="auto"/>
          <w:sz w:val="32"/>
          <w:szCs w:val="32"/>
        </w:rPr>
        <w:t>万元，比</w:t>
      </w:r>
      <w:r>
        <w:rPr>
          <w:rFonts w:hint="eastAsia" w:ascii="Times New Roman" w:eastAsia="仿宋_GB2312"/>
          <w:color w:val="auto"/>
          <w:sz w:val="32"/>
          <w:szCs w:val="32"/>
        </w:rPr>
        <w:t>2022</w:t>
      </w:r>
      <w:r>
        <w:rPr>
          <w:rFonts w:hint="eastAsia" w:ascii="仿宋_GB2312" w:eastAsia="仿宋_GB2312"/>
          <w:color w:val="auto"/>
          <w:sz w:val="32"/>
          <w:szCs w:val="32"/>
        </w:rPr>
        <w:t>年度增加</w:t>
      </w:r>
      <w:r>
        <w:rPr>
          <w:rFonts w:hint="eastAsia" w:ascii="Times New Roman" w:eastAsia="仿宋_GB2312"/>
          <w:color w:val="auto"/>
          <w:sz w:val="32"/>
          <w:szCs w:val="32"/>
        </w:rPr>
        <w:t>27</w:t>
      </w:r>
      <w:r>
        <w:rPr>
          <w:rFonts w:hint="eastAsia" w:ascii="仿宋_GB2312" w:eastAsia="仿宋_GB2312"/>
          <w:color w:val="auto"/>
          <w:sz w:val="32"/>
          <w:szCs w:val="32"/>
        </w:rPr>
        <w:t>.</w:t>
      </w:r>
      <w:r>
        <w:rPr>
          <w:rFonts w:hint="eastAsia" w:ascii="Times New Roman" w:eastAsia="仿宋_GB2312"/>
          <w:color w:val="auto"/>
          <w:sz w:val="32"/>
          <w:szCs w:val="32"/>
        </w:rPr>
        <w:t>46</w:t>
      </w:r>
      <w:r>
        <w:rPr>
          <w:rFonts w:hint="eastAsia" w:ascii="仿宋_GB2312" w:eastAsia="仿宋_GB2312"/>
          <w:color w:val="auto"/>
          <w:sz w:val="32"/>
          <w:szCs w:val="32"/>
        </w:rPr>
        <w:t>万元，增长</w:t>
      </w:r>
      <w:r>
        <w:rPr>
          <w:rFonts w:hint="eastAsia" w:ascii="Times New Roman" w:eastAsia="仿宋_GB2312"/>
          <w:color w:val="auto"/>
          <w:sz w:val="32"/>
          <w:szCs w:val="32"/>
        </w:rPr>
        <w:t>7</w:t>
      </w:r>
      <w:r>
        <w:rPr>
          <w:rFonts w:hint="eastAsia" w:ascii="仿宋_GB2312" w:eastAsia="仿宋_GB2312"/>
          <w:color w:val="auto"/>
          <w:sz w:val="32"/>
          <w:szCs w:val="32"/>
        </w:rPr>
        <w:t>.</w:t>
      </w:r>
      <w:r>
        <w:rPr>
          <w:rFonts w:hint="eastAsia" w:ascii="Times New Roman" w:eastAsia="仿宋_GB2312"/>
          <w:color w:val="auto"/>
          <w:sz w:val="32"/>
          <w:szCs w:val="32"/>
        </w:rPr>
        <w:t>6</w:t>
      </w:r>
      <w:r>
        <w:rPr>
          <w:rFonts w:hint="eastAsia" w:ascii="仿宋_GB2312" w:eastAsia="仿宋_GB2312"/>
          <w:color w:val="auto"/>
          <w:sz w:val="32"/>
          <w:szCs w:val="32"/>
        </w:rPr>
        <w:t>%。主要日常维稳及常态化工作经费增加。</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（二）政府采购支出情况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w: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年，区委政法委未发生政府采购支出。</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（三）国有资产占有使用情况</w:t>
      </w:r>
    </w:p>
    <w:p>
      <w:pPr>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color w:val="000000"/>
          <w:kern w:val="2"/>
          <w:sz w:val="32"/>
          <w:szCs w:val="24"/>
        </w:rPr>
        <w:t>截至</w: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w:t>
      </w:r>
      <w:r>
        <w:rPr>
          <w:rFonts w:hint="eastAsia" w:ascii="Times New Roman" w:eastAsia="仿宋_GB2312"/>
          <w:color w:val="000000"/>
          <w:kern w:val="2"/>
          <w:sz w:val="32"/>
          <w:szCs w:val="24"/>
        </w:rPr>
        <w:t>12</w:t>
      </w:r>
      <w:r>
        <w:rPr>
          <w:rFonts w:hint="eastAsia" w:ascii="仿宋_GB2312" w:hAnsi="仿宋_GB2312" w:eastAsia="仿宋_GB2312"/>
          <w:color w:val="000000"/>
          <w:kern w:val="2"/>
          <w:sz w:val="32"/>
          <w:szCs w:val="24"/>
        </w:rPr>
        <w:t>月</w:t>
      </w:r>
      <w:r>
        <w:rPr>
          <w:rFonts w:hint="eastAsia" w:ascii="Times New Roman" w:eastAsia="仿宋_GB2312"/>
          <w:color w:val="000000"/>
          <w:kern w:val="2"/>
          <w:sz w:val="32"/>
          <w:szCs w:val="24"/>
        </w:rPr>
        <w:t>31</w:t>
      </w:r>
      <w:r>
        <w:rPr>
          <w:rFonts w:hint="eastAsia" w:ascii="仿宋_GB2312" w:hAnsi="仿宋_GB2312" w:eastAsia="仿宋_GB2312"/>
          <w:color w:val="000000"/>
          <w:kern w:val="2"/>
          <w:sz w:val="32"/>
          <w:szCs w:val="24"/>
        </w:rPr>
        <w:t>日，</w:t>
      </w:r>
      <w:r>
        <w:rPr>
          <w:rFonts w:hint="eastAsia" w:ascii="仿宋_GB2312" w:hAnsi="仿宋_GB2312" w:eastAsia="仿宋_GB2312"/>
          <w:kern w:val="2"/>
          <w:sz w:val="32"/>
          <w:szCs w:val="24"/>
        </w:rPr>
        <w:t>本单位无公务用车辆。</w:t>
      </w:r>
    </w:p>
    <w:p>
      <w:pPr>
        <w:overflowPunct w:val="0"/>
        <w:topLinePunct/>
        <w:spacing w:line="576" w:lineRule="exact"/>
        <w:ind w:firstLine="640" w:firstLineChars="200"/>
        <w:jc w:val="both"/>
        <w:rPr>
          <w:rFonts w:hint="eastAsia" w:ascii="仿宋_GB2312" w:hAnsi="仿宋_GB2312" w:eastAsia="仿宋_GB2312"/>
          <w:color w:val="FF0000"/>
          <w:kern w:val="2"/>
          <w:sz w:val="32"/>
          <w:szCs w:val="24"/>
        </w:rPr>
      </w:pPr>
      <w:r>
        <w:rPr>
          <w:rFonts w:hint="eastAsia" w:ascii="仿宋_GB2312" w:hAnsi="仿宋_GB2312" w:eastAsia="仿宋_GB2312"/>
          <w:color w:val="000000"/>
          <w:kern w:val="2"/>
          <w:sz w:val="32"/>
          <w:szCs w:val="24"/>
        </w:rPr>
        <w:t>单价</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万元（含）以上设备</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台（套）。</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 xml:space="preserve">（四）预算绩效管理情况。 </w:t>
      </w:r>
    </w:p>
    <w:p>
      <w:pPr>
        <w:numPr>
          <w:ilvl w:val="0"/>
          <w:numId w:val="0"/>
        </w:numPr>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根据预算绩效管理要求，本单位在</w:t>
      </w:r>
      <w:r>
        <w:rPr>
          <w:rFonts w:hint="eastAsia" w:ascii="Times New Roman" w:eastAsia="仿宋_GB2312"/>
          <w:kern w:val="2"/>
          <w:sz w:val="32"/>
          <w:szCs w:val="24"/>
        </w:rPr>
        <w:t>2023</w:t>
      </w:r>
      <w:r>
        <w:rPr>
          <w:rFonts w:hint="eastAsia" w:ascii="仿宋_GB2312" w:hAnsi="仿宋_GB2312" w:eastAsia="仿宋_GB2312"/>
          <w:kern w:val="2"/>
          <w:sz w:val="32"/>
          <w:szCs w:val="24"/>
        </w:rPr>
        <w:t>年度预算编制阶段，组织对平安昭化建设工作经费及微电影摄制费用项目等</w:t>
      </w:r>
      <w:r>
        <w:rPr>
          <w:rFonts w:hint="eastAsia" w:ascii="Times New Roman" w:eastAsia="仿宋_GB2312"/>
          <w:kern w:val="2"/>
          <w:sz w:val="32"/>
          <w:szCs w:val="24"/>
        </w:rPr>
        <w:t>13</w:t>
      </w:r>
      <w:r>
        <w:rPr>
          <w:rFonts w:hint="eastAsia" w:ascii="仿宋_GB2312" w:hAnsi="仿宋_GB2312" w:eastAsia="仿宋_GB2312"/>
          <w:kern w:val="2"/>
          <w:sz w:val="32"/>
          <w:szCs w:val="24"/>
        </w:rPr>
        <w:t>个项目开展了预算事前绩效评估，对</w:t>
      </w:r>
      <w:r>
        <w:rPr>
          <w:rFonts w:hint="eastAsia" w:ascii="Times New Roman" w:eastAsia="仿宋_GB2312"/>
          <w:kern w:val="2"/>
          <w:sz w:val="32"/>
          <w:szCs w:val="24"/>
        </w:rPr>
        <w:t>13</w:t>
      </w:r>
      <w:r>
        <w:rPr>
          <w:rFonts w:hint="eastAsia" w:ascii="仿宋_GB2312" w:hAnsi="仿宋_GB2312" w:eastAsia="仿宋_GB2312"/>
          <w:kern w:val="2"/>
          <w:sz w:val="32"/>
          <w:szCs w:val="24"/>
        </w:rPr>
        <w:t>个项目编制了绩效目标，预算执行过程中，选取</w:t>
      </w:r>
      <w:r>
        <w:rPr>
          <w:rFonts w:hint="eastAsia" w:ascii="Times New Roman" w:eastAsia="仿宋_GB2312"/>
          <w:kern w:val="2"/>
          <w:sz w:val="32"/>
          <w:szCs w:val="24"/>
        </w:rPr>
        <w:t>13</w:t>
      </w:r>
      <w:r>
        <w:rPr>
          <w:rFonts w:hint="eastAsia" w:ascii="仿宋_GB2312" w:hAnsi="仿宋_GB2312" w:eastAsia="仿宋_GB2312"/>
          <w:kern w:val="2"/>
          <w:sz w:val="32"/>
          <w:szCs w:val="24"/>
        </w:rPr>
        <w:t>个项目开展绩效监控，组织对</w:t>
      </w:r>
      <w:r>
        <w:rPr>
          <w:rFonts w:hint="eastAsia" w:ascii="Times New Roman" w:eastAsia="仿宋_GB2312"/>
          <w:kern w:val="2"/>
          <w:sz w:val="32"/>
          <w:szCs w:val="24"/>
        </w:rPr>
        <w:t>13</w:t>
      </w:r>
      <w:r>
        <w:rPr>
          <w:rFonts w:hint="eastAsia" w:ascii="仿宋_GB2312" w:hAnsi="仿宋_GB2312" w:eastAsia="仿宋_GB2312"/>
          <w:kern w:val="2"/>
          <w:sz w:val="32"/>
          <w:szCs w:val="24"/>
        </w:rPr>
        <w:t>个项目开展绩效评价，绩效自评报表见第四部分附件。</w:t>
      </w:r>
    </w:p>
    <w:p>
      <w:pPr>
        <w:pStyle w:val="2"/>
        <w:numPr>
          <w:ilvl w:val="0"/>
          <w:numId w:val="0"/>
        </w:numPr>
        <w:rPr>
          <w:rFonts w:hint="eastAsia"/>
          <w:sz w:val="30"/>
          <w:szCs w:val="24"/>
        </w:rPr>
      </w:pPr>
    </w:p>
    <w:p>
      <w:pPr>
        <w:overflowPunct w:val="0"/>
        <w:spacing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br w:type="page"/>
      </w:r>
      <w:r>
        <w:rPr>
          <w:rFonts w:hint="eastAsia" w:ascii="方正小标宋简体" w:hAnsi="方正小标宋简体" w:eastAsia="方正小标宋简体" w:cs="方正小标宋简体"/>
          <w:color w:val="000000"/>
          <w:kern w:val="2"/>
          <w:sz w:val="44"/>
          <w:szCs w:val="24"/>
        </w:rPr>
        <w:t>第三部分  名</w:t>
      </w:r>
      <w:r>
        <w:rPr>
          <w:rFonts w:hint="eastAsia" w:ascii="方正小标宋简体" w:hAnsi="方正小标宋简体" w:eastAsia="方正小标宋简体" w:cs="方正小标宋简体"/>
          <w:kern w:val="44"/>
          <w:sz w:val="44"/>
          <w:szCs w:val="24"/>
        </w:rPr>
        <w:t>词解释</w:t>
      </w:r>
    </w:p>
    <w:p>
      <w:pPr>
        <w:spacing w:line="576" w:lineRule="exact"/>
        <w:ind w:firstLine="640"/>
        <w:rPr>
          <w:rFonts w:hint="eastAsia" w:ascii="仿宋_GB2312" w:hAnsi="仿宋_GB2312" w:eastAsia="仿宋_GB2312"/>
          <w:color w:val="000000"/>
          <w:sz w:val="32"/>
          <w:szCs w:val="24"/>
        </w:rPr>
      </w:pPr>
      <w:bookmarkStart w:id="5" w:name="OLE_LINK19"/>
      <w:r>
        <w:rPr>
          <w:rFonts w:hint="eastAsia" w:ascii="仿宋_GB2312" w:hAnsi="仿宋_GB2312" w:eastAsia="仿宋_GB2312"/>
          <w:color w:val="000000"/>
          <w:sz w:val="32"/>
          <w:szCs w:val="24"/>
        </w:rPr>
        <w:t>一、财政拨款收入：指单位从同级财政部门取得的财政预算资金。</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pPr>
        <w:pStyle w:val="13"/>
        <w:spacing w:beforeLines="0" w:afterLines="0" w:line="560" w:lineRule="exact"/>
        <w:ind w:firstLine="640" w:firstLineChars="200"/>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pPr>
        <w:spacing w:line="576" w:lineRule="exact"/>
        <w:ind w:firstLine="640"/>
        <w:rPr>
          <w:rFonts w:hint="eastAsia" w:ascii="Times New Roman" w:eastAsia="黑体" w:cs="黑体"/>
          <w:color w:val="auto"/>
          <w:sz w:val="32"/>
          <w:szCs w:val="32"/>
        </w:rPr>
      </w:pPr>
      <w:r>
        <w:rPr>
          <w:rFonts w:hint="eastAsia" w:ascii="仿宋_GB2312" w:hAnsi="仿宋_GB2312" w:eastAsia="仿宋_GB2312"/>
          <w:color w:val="000000"/>
          <w:sz w:val="32"/>
          <w:szCs w:val="24"/>
        </w:rPr>
        <w:t>八、年末结转和结余：指单位按有关规定结转到下年或以后年度继续使用的资金。</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九.一般公共服务（类）党委办公厅（室）及相关机构事务（款）事业运行（项）：事业人员基本工资、津贴补贴等人员经费。</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十.公共安全（类）公安（款）一般行政管理事务（项）：反映行政单位（包括实行公务员管理的事业单位）未单独设置项级科目的其他项目支出。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十一.社会保障和就业（类）行政事业单位养老支出（款）机关事业单位基本养老保险缴费支出（项）：指部门实施养老保险制度由单位缴纳的养老保险费的支出。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十二.社会保障和就业支出（类）其他社会保障和就业支出（款）其他社会保障和就业支出（项）：行政事业单位失业、工伤等保险方面的支出。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十三.卫生健康支出（类）行政事业单位医疗（款）行政单位医疗（项）：公务员按规定由单位缴纳的基本医疗保险支出。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十四.卫生健康支出（类）行政事业单位医疗（款）事业单位医疗（项）：事业人员按规定由单位缴纳的基本医疗保险支出。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十五.住房保障（类）住房改革支出（款）住房公积金（项）：部门按人力资源和社会保障部、财政部规定的基本工资和津贴补贴以及规定比例为职工缴纳的住房公积金支出。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十六.基本支出：指为保障机构正常运转、完成日常工作任务而发生的人员支出和公用支出。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十七．项目支出：指在基本支出之外为完成特定行政任务和事业发展目标所发生的支出。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八.“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九.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bookmarkEnd w:id="5"/>
    </w:p>
    <w:p>
      <w:pPr>
        <w:numPr>
          <w:ilvl w:val="0"/>
          <w:numId w:val="1"/>
        </w:numPr>
        <w:overflowPunct w:val="0"/>
        <w:spacing w:line="576" w:lineRule="exact"/>
        <w:jc w:val="center"/>
        <w:rPr>
          <w:rFonts w:hint="eastAsia" w:ascii="方正小标宋简体" w:hAnsi="方正小标宋简体" w:eastAsia="方正小标宋简体" w:cs="方正小标宋简体"/>
          <w:kern w:val="44"/>
          <w:sz w:val="44"/>
          <w:szCs w:val="44"/>
        </w:rPr>
      </w:pPr>
      <w:r>
        <w:rPr>
          <w:rFonts w:hint="eastAsia" w:ascii="仿宋_GB2312" w:eastAsia="仿宋_GB2312"/>
          <w:color w:val="auto"/>
          <w:sz w:val="32"/>
          <w:szCs w:val="32"/>
        </w:rPr>
        <w:br w:type="page"/>
      </w:r>
      <w:r>
        <w:rPr>
          <w:rFonts w:hint="eastAsia" w:ascii="方正小标宋简体" w:hAnsi="方正小标宋简体" w:eastAsia="方正小标宋简体" w:cs="方正小标宋简体"/>
          <w:kern w:val="44"/>
          <w:sz w:val="44"/>
          <w:szCs w:val="44"/>
        </w:rPr>
        <w:t xml:space="preserve"> 附件</w:t>
      </w:r>
    </w:p>
    <w:p>
      <w:pPr>
        <w:pStyle w:val="13"/>
        <w:numPr>
          <w:ilvl w:val="0"/>
          <w:numId w:val="0"/>
        </w:numPr>
        <w:overflowPunct w:val="0"/>
        <w:spacing w:beforeLines="0" w:afterLines="0" w:line="576" w:lineRule="exact"/>
        <w:ind w:firstLine="880" w:firstLineChars="200"/>
        <w:jc w:val="both"/>
        <w:rPr>
          <w:rFonts w:hint="eastAsia" w:ascii="方正小标宋简体" w:hAnsi="方正小标宋简体" w:eastAsia="方正小标宋简体" w:cs="方正小标宋简体"/>
          <w:sz w:val="44"/>
          <w:szCs w:val="44"/>
        </w:rPr>
      </w:pPr>
    </w:p>
    <w:p>
      <w:pPr>
        <w:overflowPunct w:val="0"/>
        <w:autoSpaceDE/>
        <w:autoSpaceDN/>
        <w:spacing w:line="576"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中共广元市昭化区委政法委员会</w:t>
      </w:r>
    </w:p>
    <w:p>
      <w:pPr>
        <w:overflowPunct w:val="0"/>
        <w:spacing w:line="576" w:lineRule="exact"/>
        <w:ind w:firstLine="880" w:firstLineChars="20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rPr>
        <w:t>关于</w:t>
      </w:r>
      <w:r>
        <w:rPr>
          <w:rFonts w:hint="eastAsia" w:ascii="Times New Roman" w:eastAsia="方正小标宋简体" w:cs="方正小标宋简体"/>
          <w:sz w:val="44"/>
          <w:szCs w:val="44"/>
        </w:rPr>
        <w:t>2023</w:t>
      </w:r>
      <w:r>
        <w:rPr>
          <w:rFonts w:hint="eastAsia" w:ascii="方正小标宋简体" w:hAnsi="方正小标宋简体" w:eastAsia="方正小标宋简体" w:cs="方正小标宋简体"/>
          <w:sz w:val="44"/>
          <w:szCs w:val="44"/>
        </w:rPr>
        <w:t>年部门整体支出绩效自评报告</w:t>
      </w:r>
    </w:p>
    <w:p>
      <w:pPr>
        <w:overflowPunct w:val="0"/>
        <w:autoSpaceDE/>
        <w:autoSpaceDN/>
        <w:adjustRightInd/>
        <w:spacing w:line="576" w:lineRule="exact"/>
        <w:ind w:firstLine="480" w:firstLineChars="200"/>
        <w:jc w:val="both"/>
        <w:rPr>
          <w:rFonts w:hint="eastAsia" w:ascii="Times New Roman" w:eastAsia="Times New Roman"/>
          <w:color w:val="auto"/>
          <w:sz w:val="24"/>
          <w:szCs w:val="24"/>
        </w:rPr>
      </w:pPr>
    </w:p>
    <w:p>
      <w:pPr>
        <w:numPr>
          <w:ilvl w:val="0"/>
          <w:numId w:val="2"/>
        </w:numPr>
        <w:overflowPunct w:val="0"/>
        <w:autoSpaceDE/>
        <w:autoSpaceDN/>
        <w:adjustRightInd/>
        <w:spacing w:line="576" w:lineRule="exact"/>
        <w:ind w:firstLine="640" w:firstLineChars="200"/>
        <w:jc w:val="both"/>
        <w:rPr>
          <w:rFonts w:hint="eastAsia" w:ascii="Times New Roman" w:eastAsia="Times New Roman"/>
          <w:color w:val="auto"/>
          <w:sz w:val="32"/>
          <w:szCs w:val="32"/>
        </w:rPr>
      </w:pPr>
      <w:r>
        <w:rPr>
          <w:rFonts w:hint="eastAsia" w:ascii="Times New Roman" w:eastAsia="黑体"/>
          <w:color w:val="auto"/>
          <w:sz w:val="32"/>
          <w:szCs w:val="32"/>
        </w:rPr>
        <w:t>单位概况</w:t>
      </w:r>
    </w:p>
    <w:p>
      <w:pPr>
        <w:overflowPunct w:val="0"/>
        <w:spacing w:line="576" w:lineRule="exact"/>
        <w:ind w:firstLine="64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（一）机构职能</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仿宋_GB2312" w:cs="仿宋"/>
          <w:sz w:val="32"/>
          <w:szCs w:val="32"/>
        </w:rPr>
        <w:t>1</w:t>
      </w:r>
      <w:r>
        <w:rPr>
          <w:rFonts w:hint="eastAsia" w:ascii="仿宋" w:hAnsi="仿宋" w:eastAsia="仿宋_GB2312" w:cs="仿宋"/>
          <w:sz w:val="32"/>
          <w:szCs w:val="32"/>
        </w:rPr>
        <w:t>.</w:t>
      </w:r>
      <w:r>
        <w:rPr>
          <w:rFonts w:hint="eastAsia" w:ascii="仿宋_GB2312" w:eastAsia="仿宋_GB2312"/>
          <w:color w:val="000000"/>
          <w:sz w:val="32"/>
          <w:szCs w:val="32"/>
        </w:rPr>
        <w:t>深入贯彻执行党的路线方针政策和决策部署，统一政法单位思想和行动，坚持党对政法工作的绝对领导，坚决维护党中央权威和集中统一领导。</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Times New Roman"/>
          <w:color w:val="000000"/>
          <w:sz w:val="32"/>
          <w:szCs w:val="32"/>
        </w:rPr>
        <w:t>2</w:t>
      </w:r>
      <w:r>
        <w:rPr>
          <w:rFonts w:hint="eastAsia"/>
          <w:color w:val="000000"/>
          <w:sz w:val="32"/>
          <w:szCs w:val="32"/>
        </w:rPr>
        <w:t>.</w:t>
      </w:r>
      <w:r>
        <w:rPr>
          <w:rFonts w:hint="eastAsia" w:ascii="Times New Roman" w:eastAsia="仿宋_GB2312"/>
          <w:color w:val="000000"/>
          <w:sz w:val="32"/>
          <w:szCs w:val="32"/>
        </w:rPr>
        <w:t>深入贯彻党中央、省委、市委和区委决定，对政法工作研究提出全局性部署，推进平安昭化、法治昭化建设，加强过硬队伍建设，深化智能化建设，坚决维护国家政治安全、确保社会大局稳定、促进社会公平正义、保障人民安居乐业、护航经济社会发展。完善和落实政治督察、执法监督、纪律作风督查等工作制度机制。</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Times New Roman"/>
          <w:color w:val="000000"/>
          <w:sz w:val="32"/>
          <w:szCs w:val="32"/>
        </w:rPr>
        <w:t>3</w:t>
      </w:r>
      <w:r>
        <w:rPr>
          <w:rFonts w:hint="eastAsia"/>
          <w:color w:val="000000"/>
          <w:sz w:val="32"/>
          <w:szCs w:val="32"/>
        </w:rPr>
        <w:t>.</w:t>
      </w:r>
      <w:r>
        <w:rPr>
          <w:rFonts w:hint="eastAsia" w:ascii="Times New Roman" w:eastAsia="仿宋_GB2312"/>
          <w:color w:val="000000"/>
          <w:sz w:val="32"/>
          <w:szCs w:val="32"/>
        </w:rPr>
        <w:t>了解掌握和分析研判全区政治安全、反邪教形势动态，协调和指导政法单位、相关部门和乡镇（街道）做好政治安全、反邪教工作。</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Times New Roman"/>
          <w:color w:val="000000"/>
          <w:sz w:val="32"/>
          <w:szCs w:val="32"/>
        </w:rPr>
        <w:t>4</w:t>
      </w:r>
      <w:r>
        <w:rPr>
          <w:rFonts w:hint="eastAsia"/>
          <w:color w:val="000000"/>
          <w:sz w:val="32"/>
          <w:szCs w:val="32"/>
        </w:rPr>
        <w:t>.</w:t>
      </w:r>
      <w:r>
        <w:rPr>
          <w:rFonts w:hint="eastAsia" w:ascii="Times New Roman" w:eastAsia="仿宋_GB2312"/>
          <w:color w:val="000000"/>
          <w:sz w:val="32"/>
          <w:szCs w:val="32"/>
        </w:rPr>
        <w:t>了解掌握和分析研判全区社会稳定形势，协调指导政法单位、相关部门和乡镇（街道）开展社会稳定风险评估，协调推动预防、化解影响稳定的各类风险，协调应对和完善处置重大突发事件。</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Times New Roman"/>
          <w:color w:val="000000"/>
          <w:sz w:val="32"/>
          <w:szCs w:val="32"/>
        </w:rPr>
        <w:t>5</w:t>
      </w:r>
      <w:r>
        <w:rPr>
          <w:rFonts w:hint="eastAsia"/>
          <w:color w:val="000000"/>
          <w:sz w:val="32"/>
          <w:szCs w:val="32"/>
        </w:rPr>
        <w:t>.</w:t>
      </w:r>
      <w:r>
        <w:rPr>
          <w:rFonts w:hint="eastAsia" w:ascii="Times New Roman" w:eastAsia="仿宋_GB2312"/>
          <w:color w:val="000000"/>
          <w:sz w:val="32"/>
          <w:szCs w:val="32"/>
        </w:rPr>
        <w:t>了解掌握和分析研判全区社会治安形势、社会治理情况动态，创新完善多部门参与平安建设工作机制，推动开展基层平安创建、基层社会治理和网格化服务管理工作，统筹指导区、乡镇（街道）、村（社区）三级综治中心建设；构建矛盾纠纷多元化解体系和机制，指导推动预防、化解各类社会矛盾；负责见义勇为宣传、表彰、奖励等工作；负责指导辖区内铁路护路联防工作。</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Times New Roman"/>
          <w:color w:val="000000"/>
          <w:sz w:val="32"/>
          <w:szCs w:val="32"/>
        </w:rPr>
        <w:t>6</w:t>
      </w:r>
      <w:r>
        <w:rPr>
          <w:rFonts w:hint="eastAsia"/>
          <w:color w:val="000000"/>
          <w:sz w:val="32"/>
          <w:szCs w:val="32"/>
        </w:rPr>
        <w:t>.</w:t>
      </w:r>
      <w:r>
        <w:rPr>
          <w:rFonts w:hint="eastAsia" w:ascii="仿宋_GB2312" w:eastAsia="仿宋_GB2312"/>
          <w:color w:val="000000"/>
          <w:sz w:val="32"/>
          <w:szCs w:val="32"/>
        </w:rPr>
        <w:t>加强对政法工作的督查，统筹协调全区维护政治安全、社会治安综合治理、维护社会稳定、反邪教有关法律法规政策的实施工作。</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Times New Roman"/>
          <w:color w:val="000000"/>
          <w:sz w:val="32"/>
          <w:szCs w:val="32"/>
        </w:rPr>
        <w:t>7</w:t>
      </w:r>
      <w:r>
        <w:rPr>
          <w:rFonts w:hint="eastAsia"/>
          <w:color w:val="000000"/>
          <w:sz w:val="32"/>
          <w:szCs w:val="32"/>
        </w:rPr>
        <w:t>.</w:t>
      </w:r>
      <w:r>
        <w:rPr>
          <w:rFonts w:hint="eastAsia" w:ascii="仿宋_GB2312" w:eastAsia="仿宋_GB2312"/>
          <w:color w:val="000000"/>
          <w:sz w:val="32"/>
          <w:szCs w:val="32"/>
        </w:rPr>
        <w:t>支持和监督政法单位依法行使职权，检查政法单位执行党的路线方针政策、重大决策部署等情况，指导和协调政法单位密切配合，研究和协调重大、疑难案件，完善与纪检监察机关工作衔接和协作配合机制，推进严格执法、公正司法。</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Times New Roman"/>
          <w:color w:val="000000"/>
          <w:sz w:val="32"/>
          <w:szCs w:val="32"/>
        </w:rPr>
        <w:t>8</w:t>
      </w:r>
      <w:r>
        <w:rPr>
          <w:rFonts w:hint="eastAsia"/>
          <w:color w:val="000000"/>
          <w:sz w:val="32"/>
          <w:szCs w:val="32"/>
        </w:rPr>
        <w:t>.</w:t>
      </w:r>
      <w:r>
        <w:rPr>
          <w:rFonts w:hint="eastAsia" w:ascii="Times New Roman" w:eastAsia="仿宋_GB2312"/>
          <w:color w:val="000000"/>
          <w:sz w:val="32"/>
          <w:szCs w:val="32"/>
        </w:rPr>
        <w:t>掌握分析政法舆情动态，指导协调政法单位媒体网络宣传工作，指导政法单位做好涉及政法工作的重大宣传和舆论引导工作，指导政法单位网络安全和智能化建设工作，统筹政法宣传和舆情引导工作。</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Times New Roman"/>
          <w:color w:val="000000"/>
          <w:sz w:val="32"/>
          <w:szCs w:val="32"/>
        </w:rPr>
        <w:t>9</w:t>
      </w:r>
      <w:r>
        <w:rPr>
          <w:rFonts w:hint="eastAsia"/>
          <w:color w:val="000000"/>
          <w:sz w:val="32"/>
          <w:szCs w:val="32"/>
        </w:rPr>
        <w:t>.</w:t>
      </w:r>
      <w:r>
        <w:rPr>
          <w:rFonts w:hint="eastAsia" w:ascii="仿宋_GB2312" w:eastAsia="仿宋_GB2312"/>
          <w:color w:val="000000"/>
          <w:sz w:val="32"/>
          <w:szCs w:val="32"/>
        </w:rPr>
        <w:t>组织开展政法领域调查研究，研究拟定全区政法工作的政策措施，及时向区委提出建议；组织研究政法改革中带有方向性、倾向性和普遍性的重大问题，深化政法改革。</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Times New Roman"/>
          <w:color w:val="000000"/>
          <w:sz w:val="32"/>
          <w:szCs w:val="32"/>
        </w:rPr>
        <w:t>10</w:t>
      </w:r>
      <w:r>
        <w:rPr>
          <w:rFonts w:hint="eastAsia"/>
          <w:color w:val="000000"/>
          <w:sz w:val="32"/>
          <w:szCs w:val="32"/>
        </w:rPr>
        <w:t>.</w:t>
      </w:r>
      <w:r>
        <w:rPr>
          <w:rFonts w:hint="eastAsia" w:ascii="Times New Roman" w:eastAsia="仿宋_GB2312"/>
          <w:color w:val="000000"/>
          <w:sz w:val="32"/>
          <w:szCs w:val="32"/>
        </w:rPr>
        <w:t>指导推动政法系统党的建设和政法队伍建设，协助区级有关职能部门管理监督政法领导干部，代管广元市昭化区法学会。</w:t>
      </w:r>
    </w:p>
    <w:p>
      <w:pPr>
        <w:overflowPunct w:val="0"/>
        <w:spacing w:line="576" w:lineRule="exact"/>
        <w:ind w:firstLine="640" w:firstLineChars="200"/>
        <w:jc w:val="both"/>
        <w:rPr>
          <w:rFonts w:hint="eastAsia" w:ascii="Times New Roman" w:eastAsia="Times New Roman"/>
          <w:sz w:val="24"/>
          <w:szCs w:val="24"/>
        </w:rPr>
      </w:pPr>
      <w:r>
        <w:rPr>
          <w:rFonts w:hint="eastAsia" w:ascii="Times New Roman" w:eastAsia="Times New Roman"/>
          <w:color w:val="000000"/>
          <w:sz w:val="32"/>
          <w:szCs w:val="32"/>
        </w:rPr>
        <w:t>11</w:t>
      </w:r>
      <w:r>
        <w:rPr>
          <w:rFonts w:hint="eastAsia"/>
          <w:color w:val="000000"/>
          <w:sz w:val="32"/>
          <w:szCs w:val="32"/>
        </w:rPr>
        <w:t>.</w:t>
      </w:r>
      <w:r>
        <w:rPr>
          <w:rFonts w:hint="eastAsia" w:ascii="仿宋_GB2312" w:eastAsia="仿宋_GB2312"/>
          <w:color w:val="000000"/>
          <w:sz w:val="32"/>
          <w:szCs w:val="32"/>
        </w:rPr>
        <w:t>完成区委交办的其他任务。</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仿宋_GB2312"/>
          <w:color w:val="000000"/>
          <w:sz w:val="32"/>
          <w:szCs w:val="32"/>
        </w:rPr>
        <w:t>机构组成：中共广元市昭化区委政法委员会（简称区委政法委）为一级预算单位，内设机构有办公室（统筹督导股）、政治安全维稳和反邪教指导股、综治督导股。设立有政法宣传指导中心、综治中心、政治处，综治督导股加挂区矛盾纠纷多元化解协调中心。</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楷体_GB2312" w:hAnsi="楷体_GB2312" w:eastAsia="楷体_GB2312" w:cs="楷体_GB2312"/>
          <w:kern w:val="2"/>
          <w:sz w:val="32"/>
          <w:szCs w:val="24"/>
        </w:rPr>
        <w:t>（三）人员概况：</w:t>
      </w:r>
      <w:r>
        <w:rPr>
          <w:rFonts w:hint="eastAsia" w:ascii="Times New Roman" w:eastAsia="仿宋_GB2312"/>
          <w:color w:val="000000"/>
          <w:sz w:val="32"/>
          <w:szCs w:val="32"/>
        </w:rPr>
        <w:t>区委政法委共有编制15名，其中：行政编制8人，事业编制7人。20</w:t>
      </w:r>
      <w:r>
        <w:rPr>
          <w:rFonts w:hint="eastAsia" w:ascii="Times New Roman" w:eastAsia="Times New Roman"/>
          <w:color w:val="000000"/>
          <w:sz w:val="32"/>
          <w:szCs w:val="32"/>
        </w:rPr>
        <w:t>23</w:t>
      </w:r>
      <w:r>
        <w:rPr>
          <w:rFonts w:hint="eastAsia" w:ascii="Times New Roman" w:eastAsia="仿宋_GB2312"/>
          <w:color w:val="000000"/>
          <w:sz w:val="32"/>
          <w:szCs w:val="32"/>
        </w:rPr>
        <w:t>年决算实有在职在编人员</w:t>
      </w:r>
      <w:r>
        <w:rPr>
          <w:rFonts w:hint="eastAsia" w:ascii="Times New Roman" w:eastAsia="Times New Roman"/>
          <w:color w:val="000000"/>
          <w:sz w:val="32"/>
          <w:szCs w:val="32"/>
        </w:rPr>
        <w:t>19</w:t>
      </w:r>
      <w:r>
        <w:rPr>
          <w:rFonts w:hint="eastAsia" w:ascii="Times New Roman" w:eastAsia="仿宋_GB2312"/>
          <w:color w:val="000000"/>
          <w:sz w:val="32"/>
          <w:szCs w:val="32"/>
        </w:rPr>
        <w:t>人，比去年增加</w:t>
      </w:r>
      <w:r>
        <w:rPr>
          <w:rFonts w:hint="eastAsia" w:ascii="Times New Roman" w:eastAsia="Times New Roman"/>
          <w:color w:val="000000"/>
          <w:sz w:val="32"/>
          <w:szCs w:val="32"/>
        </w:rPr>
        <w:t>1</w:t>
      </w:r>
      <w:r>
        <w:rPr>
          <w:rFonts w:hint="eastAsia" w:ascii="Times New Roman" w:eastAsia="仿宋_GB2312"/>
          <w:color w:val="000000"/>
          <w:sz w:val="32"/>
          <w:szCs w:val="32"/>
        </w:rPr>
        <w:t>人（引进研究生</w:t>
      </w:r>
      <w:r>
        <w:rPr>
          <w:rFonts w:hint="eastAsia" w:ascii="Times New Roman" w:eastAsia="Times New Roman"/>
          <w:color w:val="000000"/>
          <w:sz w:val="32"/>
          <w:szCs w:val="32"/>
        </w:rPr>
        <w:t>1</w:t>
      </w:r>
      <w:r>
        <w:rPr>
          <w:rFonts w:hint="eastAsia" w:ascii="Times New Roman" w:eastAsia="仿宋_GB2312"/>
          <w:color w:val="000000"/>
          <w:sz w:val="32"/>
          <w:szCs w:val="32"/>
        </w:rPr>
        <w:t>人），其中：行政人员</w:t>
      </w:r>
      <w:r>
        <w:rPr>
          <w:rFonts w:hint="eastAsia" w:ascii="Times New Roman" w:eastAsia="Times New Roman"/>
          <w:color w:val="000000"/>
          <w:sz w:val="32"/>
          <w:szCs w:val="32"/>
        </w:rPr>
        <w:t>8</w:t>
      </w:r>
      <w:r>
        <w:rPr>
          <w:rFonts w:hint="eastAsia" w:ascii="Times New Roman" w:eastAsia="仿宋_GB2312"/>
          <w:color w:val="000000"/>
          <w:sz w:val="32"/>
          <w:szCs w:val="32"/>
        </w:rPr>
        <w:t>人，事业人员</w:t>
      </w:r>
      <w:r>
        <w:rPr>
          <w:rFonts w:hint="eastAsia" w:ascii="Times New Roman" w:eastAsia="Times New Roman"/>
          <w:color w:val="000000"/>
          <w:sz w:val="32"/>
          <w:szCs w:val="32"/>
        </w:rPr>
        <w:t>11</w:t>
      </w:r>
      <w:r>
        <w:rPr>
          <w:rFonts w:hint="eastAsia" w:ascii="Times New Roman" w:eastAsia="仿宋_GB2312"/>
          <w:color w:val="000000"/>
          <w:sz w:val="32"/>
          <w:szCs w:val="32"/>
        </w:rPr>
        <w:t>人。按财政供给率分，财政全额供给</w:t>
      </w:r>
      <w:r>
        <w:rPr>
          <w:rFonts w:hint="eastAsia" w:ascii="Times New Roman" w:eastAsia="Times New Roman"/>
          <w:color w:val="000000"/>
          <w:sz w:val="32"/>
          <w:szCs w:val="32"/>
        </w:rPr>
        <w:t>19</w:t>
      </w:r>
      <w:r>
        <w:rPr>
          <w:rFonts w:hint="eastAsia" w:ascii="Times New Roman" w:eastAsia="仿宋_GB2312"/>
          <w:color w:val="000000"/>
          <w:sz w:val="32"/>
          <w:szCs w:val="32"/>
        </w:rPr>
        <w:t>人。退休人员</w:t>
      </w:r>
      <w:r>
        <w:rPr>
          <w:rFonts w:hint="eastAsia" w:ascii="Times New Roman" w:eastAsia="Times New Roman"/>
          <w:color w:val="000000"/>
          <w:sz w:val="32"/>
          <w:szCs w:val="32"/>
        </w:rPr>
        <w:t>3</w:t>
      </w:r>
      <w:r>
        <w:rPr>
          <w:rFonts w:hint="eastAsia" w:ascii="Times New Roman" w:eastAsia="仿宋_GB2312"/>
          <w:color w:val="000000"/>
          <w:sz w:val="32"/>
          <w:szCs w:val="32"/>
        </w:rPr>
        <w:t>人。</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楷体_GB2312" w:hAnsi="楷体_GB2312" w:eastAsia="楷体_GB2312" w:cs="楷体_GB2312"/>
          <w:kern w:val="2"/>
          <w:sz w:val="32"/>
          <w:szCs w:val="24"/>
        </w:rPr>
        <w:t>（四）当年重点工作任务概述：</w:t>
      </w:r>
      <w:r>
        <w:rPr>
          <w:rFonts w:hint="eastAsia" w:ascii="Times New Roman" w:eastAsia="仿宋_GB2312"/>
          <w:color w:val="000000"/>
          <w:sz w:val="32"/>
          <w:szCs w:val="32"/>
        </w:rPr>
        <w:t>2023年，区委政法委坚持以习近平新时代中国特色社会主义思想为指引，深入贯彻落实党的二十大，省委十二届二次、三次、四次全会，市委八届五次、六次、七次全会和区委八届三次、四次、五次全会精神，深入开展学习贯彻习近平新时代中国特色社会主义思想主题教育，扎实推进“防风险、保安全、护稳定、促发展”各项工作，群众安全感、获得感、幸福感不断提升。昭化区成功创成首批省级法治政府建设示范区，连续13年无“民转刑”命案发生，平安建设群众满意度测评连续7年位居省市前列，连续6年被省委省政府表彰为平安建设先进县区。</w:t>
      </w:r>
    </w:p>
    <w:p>
      <w:pPr>
        <w:overflowPunct w:val="0"/>
        <w:autoSpaceDE/>
        <w:autoSpaceDN/>
        <w:adjustRightInd/>
        <w:spacing w:line="576" w:lineRule="exact"/>
        <w:ind w:firstLine="640" w:firstLineChars="200"/>
        <w:jc w:val="both"/>
        <w:rPr>
          <w:rFonts w:hint="eastAsia" w:ascii="Times New Roman" w:eastAsia="Times New Roman"/>
          <w:color w:val="auto"/>
          <w:sz w:val="32"/>
          <w:szCs w:val="32"/>
        </w:rPr>
      </w:pPr>
      <w:r>
        <w:rPr>
          <w:rFonts w:hint="eastAsia" w:ascii="Times New Roman" w:eastAsia="黑体"/>
          <w:color w:val="auto"/>
          <w:sz w:val="32"/>
          <w:szCs w:val="32"/>
        </w:rPr>
        <w:t>二、单位收支情况</w:t>
      </w:r>
    </w:p>
    <w:p>
      <w:pPr>
        <w:overflowPunct w:val="0"/>
        <w:autoSpaceDE/>
        <w:autoSpaceDN/>
        <w:adjustRightInd/>
        <w:spacing w:line="576" w:lineRule="exact"/>
        <w:ind w:firstLine="640" w:firstLineChars="200"/>
        <w:jc w:val="both"/>
        <w:rPr>
          <w:rFonts w:hint="eastAsia" w:ascii="仿宋_GB2312" w:hAnsi="仿宋" w:eastAsia="仿宋_GB2312"/>
          <w:sz w:val="32"/>
          <w:szCs w:val="32"/>
        </w:rPr>
      </w:pPr>
      <w:r>
        <w:rPr>
          <w:rFonts w:hint="eastAsia" w:ascii="楷体_GB2312" w:hAnsi="楷体_GB2312" w:eastAsia="楷体_GB2312" w:cs="楷体_GB2312"/>
          <w:kern w:val="2"/>
          <w:sz w:val="32"/>
          <w:szCs w:val="24"/>
        </w:rPr>
        <w:t>（一）收入情况。</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年度一般公共预算财政拨款收入</w:t>
      </w:r>
      <w:r>
        <w:rPr>
          <w:rFonts w:hint="eastAsia" w:ascii="Times New Roman" w:eastAsia="Times New Roman" w:cs="仿宋_GB2312"/>
          <w:sz w:val="32"/>
          <w:szCs w:val="32"/>
        </w:rPr>
        <w:t>1304</w:t>
      </w:r>
      <w:r>
        <w:rPr>
          <w:rFonts w:hint="eastAsia" w:hAnsi="仿宋_GB2312" w:cs="仿宋_GB2312"/>
          <w:sz w:val="32"/>
          <w:szCs w:val="32"/>
        </w:rPr>
        <w:t>.</w:t>
      </w:r>
      <w:r>
        <w:rPr>
          <w:rFonts w:hint="eastAsia" w:ascii="Times New Roman" w:eastAsia="Times New Roman" w:cs="仿宋_GB2312"/>
          <w:sz w:val="32"/>
          <w:szCs w:val="32"/>
        </w:rPr>
        <w:t>2</w:t>
      </w:r>
      <w:r>
        <w:rPr>
          <w:rFonts w:hint="eastAsia" w:ascii="仿宋_GB2312" w:hAnsi="仿宋_GB2312" w:eastAsia="仿宋_GB2312" w:cs="仿宋_GB2312"/>
          <w:sz w:val="32"/>
          <w:szCs w:val="32"/>
        </w:rPr>
        <w:t>万元，其中基本支出占</w:t>
      </w:r>
      <w:r>
        <w:rPr>
          <w:rFonts w:hint="eastAsia" w:ascii="Times New Roman" w:eastAsia="Times New Roman" w:cs="仿宋_GB2312"/>
          <w:sz w:val="32"/>
          <w:szCs w:val="32"/>
        </w:rPr>
        <w:t>53</w:t>
      </w:r>
      <w:r>
        <w:rPr>
          <w:rFonts w:hint="eastAsia" w:hAnsi="仿宋_GB2312" w:cs="仿宋_GB2312"/>
          <w:sz w:val="32"/>
          <w:szCs w:val="32"/>
        </w:rPr>
        <w:t>.</w:t>
      </w:r>
      <w:r>
        <w:rPr>
          <w:rFonts w:hint="eastAsia" w:ascii="Times New Roman" w:eastAsia="Times New Roman" w:cs="仿宋_GB2312"/>
          <w:sz w:val="32"/>
          <w:szCs w:val="32"/>
        </w:rPr>
        <w:t>6</w:t>
      </w:r>
      <w:r>
        <w:rPr>
          <w:rFonts w:hint="eastAsia" w:ascii="仿宋_GB2312" w:hAnsi="仿宋_GB2312" w:eastAsia="仿宋_GB2312" w:cs="仿宋_GB2312"/>
          <w:sz w:val="32"/>
          <w:szCs w:val="32"/>
        </w:rPr>
        <w:t>%，项目支出占比</w:t>
      </w:r>
      <w:r>
        <w:rPr>
          <w:rFonts w:hint="eastAsia" w:ascii="Times New Roman" w:eastAsia="Times New Roman" w:cs="仿宋_GB2312"/>
          <w:sz w:val="32"/>
          <w:szCs w:val="32"/>
        </w:rPr>
        <w:t>46</w:t>
      </w:r>
      <w:r>
        <w:rPr>
          <w:rFonts w:hint="eastAsia" w:hAnsi="仿宋_GB2312" w:cs="仿宋_GB2312"/>
          <w:sz w:val="32"/>
          <w:szCs w:val="32"/>
        </w:rPr>
        <w:t>.</w:t>
      </w:r>
      <w:r>
        <w:rPr>
          <w:rFonts w:hint="eastAsia" w:ascii="Times New Roman" w:eastAsia="Times New Roman" w:cs="仿宋_GB2312"/>
          <w:sz w:val="32"/>
          <w:szCs w:val="32"/>
        </w:rPr>
        <w:t>4</w:t>
      </w:r>
      <w:r>
        <w:rPr>
          <w:rFonts w:hint="eastAsia" w:ascii="仿宋_GB2312" w:hAnsi="仿宋_GB2312" w:eastAsia="仿宋_GB2312" w:cs="仿宋_GB2312"/>
          <w:sz w:val="32"/>
          <w:szCs w:val="32"/>
        </w:rPr>
        <w:t>%。</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rPr>
        <w:t>（二）支出情况。</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Times New Roman" w:eastAsia="Times New Roman" w:cs="仿宋_GB2312"/>
          <w:sz w:val="32"/>
          <w:szCs w:val="32"/>
        </w:rPr>
        <w:t>1304</w:t>
      </w:r>
      <w:r>
        <w:rPr>
          <w:rFonts w:hint="eastAsia" w:hAnsi="仿宋_GB2312" w:cs="仿宋_GB2312"/>
          <w:sz w:val="32"/>
          <w:szCs w:val="32"/>
        </w:rPr>
        <w:t>.</w:t>
      </w:r>
      <w:r>
        <w:rPr>
          <w:rFonts w:hint="eastAsia" w:ascii="Times New Roman" w:eastAsia="Times New Roman" w:cs="仿宋_GB2312"/>
          <w:sz w:val="32"/>
          <w:szCs w:val="32"/>
        </w:rPr>
        <w:t>2</w:t>
      </w:r>
      <w:r>
        <w:rPr>
          <w:rFonts w:hint="eastAsia" w:ascii="仿宋_GB2312" w:hAnsi="仿宋_GB2312" w:eastAsia="仿宋_GB2312" w:cs="仿宋_GB2312"/>
          <w:sz w:val="32"/>
          <w:szCs w:val="32"/>
        </w:rPr>
        <w:t>万元，其中基本支出占比</w:t>
      </w:r>
      <w:r>
        <w:rPr>
          <w:rFonts w:hint="eastAsia" w:ascii="Times New Roman" w:eastAsia="Times New Roman" w:cs="仿宋_GB2312"/>
          <w:sz w:val="32"/>
          <w:szCs w:val="32"/>
        </w:rPr>
        <w:t>53</w:t>
      </w:r>
      <w:r>
        <w:rPr>
          <w:rFonts w:hint="eastAsia" w:hAnsi="仿宋_GB2312" w:cs="仿宋_GB2312"/>
          <w:sz w:val="32"/>
          <w:szCs w:val="32"/>
        </w:rPr>
        <w:t>.</w:t>
      </w:r>
      <w:r>
        <w:rPr>
          <w:rFonts w:hint="eastAsia" w:ascii="Times New Roman" w:eastAsia="Times New Roman" w:cs="仿宋_GB2312"/>
          <w:sz w:val="32"/>
          <w:szCs w:val="32"/>
        </w:rPr>
        <w:t>6</w:t>
      </w:r>
      <w:r>
        <w:rPr>
          <w:rFonts w:hint="eastAsia" w:ascii="仿宋_GB2312" w:hAnsi="仿宋_GB2312" w:eastAsia="仿宋_GB2312" w:cs="仿宋_GB2312"/>
          <w:sz w:val="32"/>
          <w:szCs w:val="32"/>
        </w:rPr>
        <w:t>%，项目支出占比</w:t>
      </w:r>
      <w:r>
        <w:rPr>
          <w:rFonts w:hint="eastAsia" w:ascii="Times New Roman" w:eastAsia="Times New Roman" w:cs="仿宋_GB2312"/>
          <w:sz w:val="32"/>
          <w:szCs w:val="32"/>
        </w:rPr>
        <w:t>46</w:t>
      </w:r>
      <w:r>
        <w:rPr>
          <w:rFonts w:hint="eastAsia" w:hAnsi="仿宋_GB2312" w:cs="仿宋_GB2312"/>
          <w:sz w:val="32"/>
          <w:szCs w:val="32"/>
        </w:rPr>
        <w:t>.</w:t>
      </w:r>
      <w:r>
        <w:rPr>
          <w:rFonts w:hint="eastAsia" w:ascii="Times New Roman" w:eastAsia="Times New Roman" w:cs="仿宋_GB2312"/>
          <w:sz w:val="32"/>
          <w:szCs w:val="32"/>
        </w:rPr>
        <w:t>4</w:t>
      </w:r>
      <w:r>
        <w:rPr>
          <w:rFonts w:hint="eastAsia" w:ascii="仿宋_GB2312" w:hAnsi="仿宋_GB2312" w:eastAsia="仿宋_GB2312" w:cs="仿宋_GB2312"/>
          <w:sz w:val="32"/>
          <w:szCs w:val="32"/>
        </w:rPr>
        <w:t>%。</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rPr>
        <w:t>（三）结转和结余情况：</w:t>
      </w:r>
      <w:r>
        <w:rPr>
          <w:rFonts w:hint="eastAsia" w:ascii="仿宋_GB2312" w:hAnsi="仿宋_GB2312" w:eastAsia="仿宋_GB2312" w:cs="仿宋_GB2312"/>
          <w:sz w:val="32"/>
          <w:szCs w:val="32"/>
        </w:rPr>
        <w:t>无</w:t>
      </w:r>
    </w:p>
    <w:p>
      <w:pPr>
        <w:overflowPunct w:val="0"/>
        <w:autoSpaceDE/>
        <w:autoSpaceDN/>
        <w:adjustRightInd/>
        <w:spacing w:line="576"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三、部门整体预算绩效管理情况</w:t>
      </w:r>
    </w:p>
    <w:p>
      <w:pPr>
        <w:overflowPunct w:val="0"/>
        <w:autoSpaceDE/>
        <w:autoSpaceDN/>
        <w:adjustRightInd/>
        <w:spacing w:line="576" w:lineRule="exact"/>
        <w:ind w:firstLine="640" w:firstLineChars="20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（一）部门预算总体绩效</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1</w:t>
      </w:r>
      <w:r>
        <w:rPr>
          <w:rFonts w:hint="eastAsia" w:ascii="仿宋_GB2312" w:hAnsi="仿宋_GB2312" w:eastAsia="仿宋_GB2312" w:cs="仿宋_GB2312"/>
          <w:sz w:val="32"/>
          <w:szCs w:val="32"/>
        </w:rPr>
        <w:t>.目标管理。</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我单位严格按财政局的批复执行预算，“三公”经费、会议费等一般公共支出严格控制在预算标准内，增强了职能履行和重点工作经费的保障能力；加快预算执行进度，提高资金使用绩效；持续推进预决算和“三公”经费公开，按时按质完成预决算公开，规范财务管理；加强财务监督检查，财务管理水平稳步提高。</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2</w:t>
      </w:r>
      <w:r>
        <w:rPr>
          <w:rFonts w:hint="eastAsia" w:ascii="仿宋_GB2312" w:hAnsi="仿宋_GB2312" w:eastAsia="仿宋_GB2312" w:cs="仿宋_GB2312"/>
          <w:sz w:val="32"/>
          <w:szCs w:val="32"/>
        </w:rPr>
        <w:t>.过程管控。</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年，我单位全年一般公共预算财政拨款安排的基本支出</w:t>
      </w:r>
      <w:r>
        <w:rPr>
          <w:rFonts w:hint="eastAsia" w:ascii="Times New Roman" w:eastAsia="Times New Roman" w:cs="仿宋_GB2312"/>
          <w:sz w:val="32"/>
          <w:szCs w:val="32"/>
        </w:rPr>
        <w:t>699</w:t>
      </w:r>
      <w:r>
        <w:rPr>
          <w:rFonts w:hint="eastAsia" w:hAnsi="仿宋_GB2312" w:cs="仿宋_GB2312"/>
          <w:sz w:val="32"/>
          <w:szCs w:val="32"/>
        </w:rPr>
        <w:t>.</w:t>
      </w:r>
      <w:r>
        <w:rPr>
          <w:rFonts w:hint="eastAsia" w:ascii="Times New Roman" w:eastAsia="Times New Roman" w:cs="仿宋_GB2312"/>
          <w:sz w:val="32"/>
          <w:szCs w:val="32"/>
        </w:rPr>
        <w:t>2</w:t>
      </w:r>
      <w:r>
        <w:rPr>
          <w:rFonts w:hint="eastAsia" w:ascii="仿宋_GB2312" w:hAnsi="仿宋_GB2312" w:eastAsia="仿宋_GB2312" w:cs="仿宋_GB2312"/>
          <w:sz w:val="32"/>
          <w:szCs w:val="32"/>
        </w:rPr>
        <w:t>万元，其中，人员经费</w:t>
      </w:r>
      <w:r>
        <w:rPr>
          <w:rFonts w:hint="eastAsia" w:ascii="Times New Roman" w:eastAsia="Times New Roman" w:cs="仿宋_GB2312"/>
          <w:sz w:val="32"/>
          <w:szCs w:val="32"/>
        </w:rPr>
        <w:t>310</w:t>
      </w:r>
      <w:r>
        <w:rPr>
          <w:rFonts w:hint="eastAsia" w:hAnsi="仿宋_GB2312" w:cs="仿宋_GB2312"/>
          <w:sz w:val="32"/>
          <w:szCs w:val="32"/>
        </w:rPr>
        <w:t>.</w:t>
      </w:r>
      <w:r>
        <w:rPr>
          <w:rFonts w:hint="eastAsia" w:ascii="Times New Roman" w:eastAsia="Times New Roman" w:cs="仿宋_GB2312"/>
          <w:sz w:val="32"/>
          <w:szCs w:val="32"/>
        </w:rPr>
        <w:t>09</w:t>
      </w:r>
      <w:r>
        <w:rPr>
          <w:rFonts w:hint="eastAsia" w:ascii="仿宋_GB2312" w:hAnsi="仿宋_GB2312" w:eastAsia="仿宋_GB2312" w:cs="仿宋_GB2312"/>
          <w:sz w:val="32"/>
          <w:szCs w:val="32"/>
        </w:rPr>
        <w:t>万元，日常公用经费</w:t>
      </w:r>
      <w:r>
        <w:rPr>
          <w:rFonts w:hint="eastAsia" w:ascii="Times New Roman" w:eastAsia="Times New Roman" w:cs="仿宋_GB2312"/>
          <w:sz w:val="32"/>
          <w:szCs w:val="32"/>
        </w:rPr>
        <w:t>389</w:t>
      </w:r>
      <w:r>
        <w:rPr>
          <w:rFonts w:hint="eastAsia" w:hAnsi="仿宋_GB2312" w:cs="仿宋_GB2312"/>
          <w:sz w:val="32"/>
          <w:szCs w:val="32"/>
        </w:rPr>
        <w:t>.</w:t>
      </w:r>
      <w:r>
        <w:rPr>
          <w:rFonts w:hint="eastAsia" w:ascii="Times New Roman" w:eastAsia="Times New Roman" w:cs="仿宋_GB2312"/>
          <w:sz w:val="32"/>
          <w:szCs w:val="32"/>
        </w:rPr>
        <w:t>1</w:t>
      </w:r>
      <w:r>
        <w:rPr>
          <w:rFonts w:hint="eastAsia" w:ascii="仿宋_GB2312" w:hAnsi="仿宋_GB2312" w:eastAsia="仿宋_GB2312" w:cs="仿宋_GB2312"/>
          <w:sz w:val="32"/>
          <w:szCs w:val="32"/>
        </w:rPr>
        <w:t>万元</w:t>
      </w:r>
      <w:r>
        <w:rPr>
          <w:rFonts w:hint="eastAsia" w:hAnsi="仿宋_GB2312" w:cs="仿宋_GB2312"/>
          <w:sz w:val="32"/>
          <w:szCs w:val="32"/>
        </w:rPr>
        <w:t>（公务接待费</w:t>
      </w:r>
      <w:r>
        <w:rPr>
          <w:rFonts w:hint="eastAsia" w:ascii="Times New Roman" w:eastAsia="Times New Roman" w:cs="仿宋_GB2312"/>
          <w:sz w:val="32"/>
          <w:szCs w:val="32"/>
        </w:rPr>
        <w:t>3</w:t>
      </w:r>
      <w:r>
        <w:rPr>
          <w:rFonts w:hint="eastAsia" w:hAnsi="仿宋_GB2312" w:cs="仿宋_GB2312"/>
          <w:sz w:val="32"/>
          <w:szCs w:val="32"/>
        </w:rPr>
        <w:t>.</w:t>
      </w:r>
      <w:r>
        <w:rPr>
          <w:rFonts w:hint="eastAsia" w:ascii="Times New Roman" w:eastAsia="Times New Roman" w:cs="仿宋_GB2312"/>
          <w:sz w:val="32"/>
          <w:szCs w:val="32"/>
        </w:rPr>
        <w:t>6315</w:t>
      </w:r>
      <w:r>
        <w:rPr>
          <w:rFonts w:hint="eastAsia" w:hAnsi="仿宋_GB2312" w:cs="仿宋_GB2312"/>
          <w:sz w:val="32"/>
          <w:szCs w:val="32"/>
        </w:rPr>
        <w:t>万元、办公费</w:t>
      </w:r>
      <w:r>
        <w:rPr>
          <w:rFonts w:hint="eastAsia" w:ascii="Times New Roman" w:eastAsia="Times New Roman" w:cs="仿宋_GB2312"/>
          <w:sz w:val="32"/>
          <w:szCs w:val="32"/>
        </w:rPr>
        <w:t>26</w:t>
      </w:r>
      <w:r>
        <w:rPr>
          <w:rFonts w:hint="eastAsia" w:hAnsi="仿宋_GB2312" w:cs="仿宋_GB2312"/>
          <w:sz w:val="32"/>
          <w:szCs w:val="32"/>
        </w:rPr>
        <w:t>.</w:t>
      </w:r>
      <w:r>
        <w:rPr>
          <w:rFonts w:hint="eastAsia" w:ascii="Times New Roman" w:eastAsia="Times New Roman" w:cs="仿宋_GB2312"/>
          <w:sz w:val="32"/>
          <w:szCs w:val="32"/>
        </w:rPr>
        <w:t>85</w:t>
      </w:r>
      <w:r>
        <w:rPr>
          <w:rFonts w:hint="eastAsia" w:hAnsi="仿宋_GB2312" w:cs="仿宋_GB2312"/>
          <w:sz w:val="32"/>
          <w:szCs w:val="32"/>
        </w:rPr>
        <w:t>万元）</w:t>
      </w:r>
      <w:r>
        <w:rPr>
          <w:rFonts w:hint="eastAsia" w:ascii="仿宋_GB2312" w:hAnsi="仿宋_GB2312" w:eastAsia="仿宋_GB2312" w:cs="仿宋_GB2312"/>
          <w:sz w:val="32"/>
          <w:szCs w:val="32"/>
        </w:rPr>
        <w:t>。项目支出</w:t>
      </w:r>
      <w:r>
        <w:rPr>
          <w:rFonts w:hint="eastAsia" w:ascii="Times New Roman" w:eastAsia="Times New Roman" w:cs="仿宋_GB2312"/>
          <w:sz w:val="32"/>
          <w:szCs w:val="32"/>
        </w:rPr>
        <w:t>605</w:t>
      </w:r>
      <w:r>
        <w:rPr>
          <w:rFonts w:hint="eastAsia" w:ascii="仿宋_GB2312" w:hAnsi="仿宋_GB2312" w:eastAsia="仿宋_GB2312" w:cs="仿宋_GB2312"/>
          <w:sz w:val="32"/>
          <w:szCs w:val="32"/>
        </w:rPr>
        <w:t>万元。根据相关工资标准支出人员经费，不超范围不超标准；严格落实中央和省市区关于压减一般性支出相关规定，坚持厉行节约，遵守国家财务管理规定，重大重点支出坚持事前审批，严格执行一般性公务支出标准，加快预算执行进度。</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3</w:t>
      </w:r>
      <w:r>
        <w:rPr>
          <w:rFonts w:hint="eastAsia" w:ascii="仿宋_GB2312" w:hAnsi="仿宋_GB2312" w:eastAsia="仿宋_GB2312" w:cs="仿宋_GB2312"/>
          <w:sz w:val="32"/>
          <w:szCs w:val="32"/>
        </w:rPr>
        <w:t>.完成(效率）结果。</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年，本年财政拨款预算收入</w:t>
      </w:r>
      <w:r>
        <w:rPr>
          <w:rFonts w:hint="eastAsia" w:ascii="Times New Roman" w:eastAsia="Times New Roman" w:cs="仿宋_GB2312"/>
          <w:sz w:val="32"/>
          <w:szCs w:val="32"/>
        </w:rPr>
        <w:t>1304</w:t>
      </w:r>
      <w:r>
        <w:rPr>
          <w:rFonts w:hint="eastAsia" w:hAnsi="仿宋_GB2312" w:cs="仿宋_GB2312"/>
          <w:sz w:val="32"/>
          <w:szCs w:val="32"/>
        </w:rPr>
        <w:t>.</w:t>
      </w:r>
      <w:r>
        <w:rPr>
          <w:rFonts w:hint="eastAsia" w:ascii="Times New Roman" w:eastAsia="Times New Roman" w:cs="仿宋_GB2312"/>
          <w:sz w:val="32"/>
          <w:szCs w:val="32"/>
        </w:rPr>
        <w:t>2</w:t>
      </w:r>
      <w:r>
        <w:rPr>
          <w:rFonts w:hint="eastAsia" w:ascii="仿宋_GB2312" w:hAnsi="仿宋_GB2312" w:eastAsia="仿宋_GB2312" w:cs="仿宋_GB2312"/>
          <w:sz w:val="32"/>
          <w:szCs w:val="32"/>
        </w:rPr>
        <w:t>万元，支出</w:t>
      </w:r>
      <w:r>
        <w:rPr>
          <w:rFonts w:hint="eastAsia" w:ascii="Times New Roman" w:eastAsia="Times New Roman" w:cs="仿宋_GB2312"/>
          <w:sz w:val="32"/>
          <w:szCs w:val="32"/>
        </w:rPr>
        <w:t>1304</w:t>
      </w:r>
      <w:r>
        <w:rPr>
          <w:rFonts w:hint="eastAsia" w:hAnsi="仿宋_GB2312" w:cs="仿宋_GB2312"/>
          <w:sz w:val="32"/>
          <w:szCs w:val="32"/>
        </w:rPr>
        <w:t>.</w:t>
      </w:r>
      <w:r>
        <w:rPr>
          <w:rFonts w:hint="eastAsia" w:ascii="Times New Roman" w:eastAsia="Times New Roman" w:cs="仿宋_GB2312"/>
          <w:sz w:val="32"/>
          <w:szCs w:val="32"/>
        </w:rPr>
        <w:t>2</w:t>
      </w:r>
      <w:r>
        <w:rPr>
          <w:rFonts w:hint="eastAsia" w:ascii="仿宋_GB2312" w:hAnsi="仿宋_GB2312" w:eastAsia="仿宋_GB2312" w:cs="仿宋_GB2312"/>
          <w:sz w:val="32"/>
          <w:szCs w:val="32"/>
        </w:rPr>
        <w:t>万元，无年末结余，预算执行率为</w:t>
      </w:r>
      <w:r>
        <w:rPr>
          <w:rFonts w:hint="eastAsia" w:ascii="Times New Roman" w:eastAsia="仿宋_GB2312" w:cs="仿宋_GB2312"/>
          <w:sz w:val="32"/>
          <w:szCs w:val="32"/>
        </w:rPr>
        <w:t>100</w:t>
      </w:r>
      <w:r>
        <w:rPr>
          <w:rFonts w:hint="eastAsia" w:ascii="仿宋_GB2312" w:hAnsi="仿宋_GB2312" w:eastAsia="仿宋_GB2312" w:cs="仿宋_GB2312"/>
          <w:sz w:val="32"/>
          <w:szCs w:val="32"/>
        </w:rPr>
        <w:t>%。</w:t>
      </w:r>
    </w:p>
    <w:p>
      <w:pPr>
        <w:overflowPunct w:val="0"/>
        <w:autoSpaceDE/>
        <w:autoSpaceDN/>
        <w:adjustRightInd/>
        <w:spacing w:line="576" w:lineRule="exact"/>
        <w:ind w:firstLine="640" w:firstLineChars="20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（二）项目预算绩效管理情况</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1</w:t>
      </w:r>
      <w:r>
        <w:rPr>
          <w:rFonts w:hint="eastAsia" w:ascii="仿宋_GB2312" w:hAnsi="仿宋_GB2312" w:eastAsia="仿宋_GB2312" w:cs="仿宋_GB2312"/>
          <w:sz w:val="32"/>
          <w:szCs w:val="32"/>
        </w:rPr>
        <w:t>.部门预算项目绩效情况。</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年项目支出预算</w:t>
      </w:r>
      <w:r>
        <w:rPr>
          <w:rFonts w:hint="eastAsia" w:ascii="Times New Roman" w:eastAsia="Times New Roman" w:cs="仿宋_GB2312"/>
          <w:sz w:val="32"/>
          <w:szCs w:val="32"/>
        </w:rPr>
        <w:t>605</w:t>
      </w:r>
      <w:r>
        <w:rPr>
          <w:rFonts w:hint="eastAsia" w:ascii="仿宋_GB2312" w:hAnsi="仿宋_GB2312" w:eastAsia="仿宋_GB2312" w:cs="仿宋_GB2312"/>
          <w:sz w:val="32"/>
          <w:szCs w:val="32"/>
        </w:rPr>
        <w:t>万元，严格按照年初预算使用项目资金，年末无结余。</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2</w:t>
      </w:r>
      <w:r>
        <w:rPr>
          <w:rFonts w:hint="eastAsia" w:ascii="仿宋_GB2312" w:hAnsi="仿宋_GB2312" w:eastAsia="仿宋_GB2312" w:cs="仿宋_GB2312"/>
          <w:sz w:val="32"/>
          <w:szCs w:val="32"/>
        </w:rPr>
        <w:t>.专项预算绩效情况。无</w:t>
      </w:r>
    </w:p>
    <w:p>
      <w:pPr>
        <w:overflowPunct w:val="0"/>
        <w:autoSpaceDE/>
        <w:autoSpaceDN/>
        <w:adjustRightInd/>
        <w:spacing w:line="576" w:lineRule="exact"/>
        <w:ind w:firstLine="640" w:firstLineChars="20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（三）绩效结果应用</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财政资金使用效益，建立健全“预算编制有目标，预算执行有监控，预算完成有评价，评价结果有反馈，反馈结果有应用”的全过程预算绩效管理机制，坚持从实际出发，建立完善五项机制，多措并举强化绩效评价结果应用。</w:t>
      </w:r>
    </w:p>
    <w:p>
      <w:pPr>
        <w:numPr>
          <w:ilvl w:val="0"/>
          <w:numId w:val="3"/>
        </w:num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考核联动机制。积极与</w:t>
      </w:r>
      <w:r>
        <w:rPr>
          <w:rFonts w:hint="eastAsia" w:hAnsi="仿宋_GB2312" w:cs="仿宋_GB2312"/>
          <w:sz w:val="32"/>
          <w:szCs w:val="32"/>
        </w:rPr>
        <w:t>股室</w:t>
      </w:r>
      <w:r>
        <w:rPr>
          <w:rFonts w:hint="eastAsia" w:ascii="仿宋_GB2312" w:hAnsi="仿宋_GB2312" w:eastAsia="仿宋_GB2312" w:cs="仿宋_GB2312"/>
          <w:sz w:val="32"/>
          <w:szCs w:val="32"/>
        </w:rPr>
        <w:t>（</w:t>
      </w:r>
      <w:r>
        <w:rPr>
          <w:rFonts w:hint="eastAsia" w:hAnsi="仿宋_GB2312" w:cs="仿宋_GB2312"/>
          <w:sz w:val="32"/>
          <w:szCs w:val="32"/>
        </w:rPr>
        <w:t>中心</w:t>
      </w:r>
      <w:r>
        <w:rPr>
          <w:rFonts w:hint="eastAsia" w:ascii="仿宋_GB2312" w:hAnsi="仿宋_GB2312" w:eastAsia="仿宋_GB2312" w:cs="仿宋_GB2312"/>
          <w:sz w:val="32"/>
          <w:szCs w:val="32"/>
        </w:rPr>
        <w:t xml:space="preserve">）进行业务衔接，将财政资金使用效益作为对各部门单位年度工作绩效考核的重要内容，既强化委室（部）主体责任意识，增强其绩效工作的主动性，又能提高预算绩效管理质量。　　          </w:t>
      </w:r>
    </w:p>
    <w:p>
      <w:pPr>
        <w:numPr>
          <w:ilvl w:val="0"/>
          <w:numId w:val="0"/>
        </w:num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2</w:t>
      </w:r>
      <w:r>
        <w:rPr>
          <w:rFonts w:hint="eastAsia" w:ascii="仿宋_GB2312" w:hAnsi="仿宋_GB2312" w:eastAsia="仿宋_GB2312" w:cs="仿宋_GB2312"/>
          <w:sz w:val="32"/>
          <w:szCs w:val="32"/>
        </w:rPr>
        <w:t>.绩效公开机制。按照政府信息公开的有关规定，结合预算绩效管理工作实际，将整体绩效评价结果和项目支出绩效情况在规定范围内公开。</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3</w:t>
      </w:r>
      <w:r>
        <w:rPr>
          <w:rFonts w:hint="eastAsia" w:ascii="仿宋_GB2312" w:hAnsi="仿宋_GB2312" w:eastAsia="仿宋_GB2312" w:cs="仿宋_GB2312"/>
          <w:sz w:val="32"/>
          <w:szCs w:val="32"/>
        </w:rPr>
        <w:t>.是反馈整改机制。针对</w:t>
      </w:r>
      <w:r>
        <w:rPr>
          <w:rFonts w:hint="eastAsia" w:hAnsi="仿宋_GB2312" w:cs="仿宋_GB2312"/>
          <w:sz w:val="32"/>
          <w:szCs w:val="32"/>
        </w:rPr>
        <w:t>股室</w:t>
      </w:r>
      <w:r>
        <w:rPr>
          <w:rFonts w:hint="eastAsia" w:ascii="仿宋_GB2312" w:hAnsi="仿宋_GB2312" w:eastAsia="仿宋_GB2312" w:cs="仿宋_GB2312"/>
          <w:sz w:val="32"/>
          <w:szCs w:val="32"/>
        </w:rPr>
        <w:t>（</w:t>
      </w:r>
      <w:r>
        <w:rPr>
          <w:rFonts w:hint="eastAsia" w:hAnsi="仿宋_GB2312" w:cs="仿宋_GB2312"/>
          <w:sz w:val="32"/>
          <w:szCs w:val="32"/>
        </w:rPr>
        <w:t>中心</w:t>
      </w:r>
      <w:r>
        <w:rPr>
          <w:rFonts w:hint="eastAsia" w:ascii="仿宋_GB2312" w:hAnsi="仿宋_GB2312" w:eastAsia="仿宋_GB2312" w:cs="仿宋_GB2312"/>
          <w:sz w:val="32"/>
          <w:szCs w:val="32"/>
        </w:rPr>
        <w:t>）在绩效评价中发现存在的问题，及时将绩效评价结果反馈办公室，要求办公室和与</w:t>
      </w:r>
      <w:r>
        <w:rPr>
          <w:rFonts w:hint="eastAsia" w:hAnsi="仿宋_GB2312" w:cs="仿宋_GB2312"/>
          <w:sz w:val="32"/>
          <w:szCs w:val="32"/>
        </w:rPr>
        <w:t>股室</w:t>
      </w:r>
      <w:r>
        <w:rPr>
          <w:rFonts w:hint="eastAsia" w:ascii="仿宋_GB2312" w:hAnsi="仿宋_GB2312" w:eastAsia="仿宋_GB2312" w:cs="仿宋_GB2312"/>
          <w:sz w:val="32"/>
          <w:szCs w:val="32"/>
        </w:rPr>
        <w:t>（</w:t>
      </w:r>
      <w:r>
        <w:rPr>
          <w:rFonts w:hint="eastAsia" w:hAnsi="仿宋_GB2312" w:cs="仿宋_GB2312"/>
          <w:sz w:val="32"/>
          <w:szCs w:val="32"/>
        </w:rPr>
        <w:t>中心</w:t>
      </w:r>
      <w:r>
        <w:rPr>
          <w:rFonts w:hint="eastAsia" w:ascii="仿宋_GB2312" w:hAnsi="仿宋_GB2312" w:eastAsia="仿宋_GB2312" w:cs="仿宋_GB2312"/>
          <w:sz w:val="32"/>
          <w:szCs w:val="32"/>
        </w:rPr>
        <w:t>）按规定的时间反馈整改措施和意见，并对整改情况进行跟踪落实。</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4</w:t>
      </w:r>
      <w:r>
        <w:rPr>
          <w:rFonts w:hint="eastAsia" w:ascii="仿宋_GB2312" w:hAnsi="仿宋_GB2312" w:eastAsia="仿宋_GB2312" w:cs="仿宋_GB2312"/>
          <w:sz w:val="32"/>
          <w:szCs w:val="32"/>
        </w:rPr>
        <w:t>.绩效问责机制。按照“花钱必问效，无效要问责”原则，加强与干部监督室的协作，探索建立健全问责机制，对低效、无效甚至违法违规的项目责任人员实施问责，或提交</w:t>
      </w:r>
      <w:r>
        <w:rPr>
          <w:rFonts w:hint="eastAsia" w:hAnsi="仿宋_GB2312" w:cs="仿宋_GB2312"/>
          <w:sz w:val="32"/>
          <w:szCs w:val="32"/>
        </w:rPr>
        <w:t>委务</w:t>
      </w:r>
      <w:r>
        <w:rPr>
          <w:rFonts w:hint="eastAsia" w:ascii="仿宋_GB2312" w:hAnsi="仿宋_GB2312" w:eastAsia="仿宋_GB2312" w:cs="仿宋_GB2312"/>
          <w:sz w:val="32"/>
          <w:szCs w:val="32"/>
        </w:rPr>
        <w:t>会研究处理。将单位财政资金绩效评价中发现问题的整改落实情况纳入年度工作要点，并进行督促检查。</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5</w:t>
      </w:r>
      <w:r>
        <w:rPr>
          <w:rFonts w:hint="eastAsia" w:ascii="仿宋_GB2312" w:hAnsi="仿宋_GB2312" w:eastAsia="仿宋_GB2312" w:cs="仿宋_GB2312"/>
          <w:sz w:val="32"/>
          <w:szCs w:val="32"/>
        </w:rPr>
        <w:t>.预算安排结合机制。将绩效评价结果作为以后年度预算安排的重要依据。绩效评价结果为优的，重点或优先保障；绩效评价结果为“差”的，下年度不再安排项目资金；连续两年为“中”或“低”的，项目资金减半安排；连续三年为“中”或“低”的，取消项目资金安排。</w:t>
      </w:r>
    </w:p>
    <w:p>
      <w:pPr>
        <w:overflowPunct w:val="0"/>
        <w:autoSpaceDE/>
        <w:autoSpaceDN/>
        <w:adjustRightInd/>
        <w:spacing w:line="576" w:lineRule="exact"/>
        <w:ind w:firstLine="640" w:firstLineChars="20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（四）自评质量</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本单位认真对照预算绩效管理办法开展绩效自评，自评得分</w:t>
      </w:r>
      <w:r>
        <w:rPr>
          <w:rFonts w:hint="eastAsia" w:ascii="Times New Roman" w:eastAsia="仿宋_GB2312" w:cs="仿宋_GB2312"/>
          <w:sz w:val="32"/>
          <w:szCs w:val="32"/>
        </w:rPr>
        <w:t>9</w:t>
      </w:r>
      <w:r>
        <w:rPr>
          <w:rFonts w:hint="eastAsia" w:ascii="Times New Roman" w:eastAsia="Times New Roman" w:cs="仿宋_GB2312"/>
          <w:sz w:val="32"/>
          <w:szCs w:val="32"/>
        </w:rPr>
        <w:t>6</w:t>
      </w:r>
      <w:r>
        <w:rPr>
          <w:rFonts w:hint="eastAsia" w:ascii="仿宋_GB2312" w:hAnsi="仿宋_GB2312" w:eastAsia="仿宋_GB2312" w:cs="仿宋_GB2312"/>
          <w:sz w:val="32"/>
          <w:szCs w:val="32"/>
        </w:rPr>
        <w:t>。整体支出执行率</w:t>
      </w:r>
      <w:r>
        <w:rPr>
          <w:rFonts w:hint="eastAsia" w:ascii="Times New Roman" w:eastAsia="仿宋_GB2312" w:cs="仿宋_GB2312"/>
          <w:sz w:val="32"/>
          <w:szCs w:val="32"/>
        </w:rPr>
        <w:t>100</w:t>
      </w:r>
      <w:r>
        <w:rPr>
          <w:rFonts w:hint="eastAsia" w:ascii="仿宋_GB2312" w:hAnsi="仿宋_GB2312" w:eastAsia="仿宋_GB2312" w:cs="仿宋_GB2312"/>
          <w:sz w:val="32"/>
          <w:szCs w:val="32"/>
        </w:rPr>
        <w:t>%。自评质量：优。</w:t>
      </w:r>
    </w:p>
    <w:p>
      <w:pPr>
        <w:overflowPunct w:val="0"/>
        <w:autoSpaceDE/>
        <w:autoSpaceDN/>
        <w:adjustRightInd/>
        <w:spacing w:line="576" w:lineRule="exact"/>
        <w:ind w:firstLine="640" w:firstLineChars="200"/>
        <w:jc w:val="both"/>
        <w:rPr>
          <w:rFonts w:hint="eastAsia"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（五）根据审计监督、财会监督和决算审查结果反映部门上一年度预算管理符合相关财政财务管理规定，无违反规定。</w:t>
      </w:r>
    </w:p>
    <w:p>
      <w:pPr>
        <w:overflowPunct w:val="0"/>
        <w:autoSpaceDE/>
        <w:autoSpaceDN/>
        <w:adjustRightInd/>
        <w:spacing w:line="576"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四、存在的问题及建议（措施）</w:t>
      </w:r>
    </w:p>
    <w:p>
      <w:pPr>
        <w:pStyle w:val="6"/>
        <w:numPr>
          <w:ilvl w:val="0"/>
          <w:numId w:val="0"/>
        </w:numPr>
        <w:overflowPunct w:val="0"/>
        <w:spacing w:after="0" w:line="576" w:lineRule="exact"/>
        <w:ind w:left="0" w:firstLine="640" w:firstLineChars="200"/>
        <w:jc w:val="both"/>
        <w:rPr>
          <w:rFonts w:hint="eastAsia" w:ascii="仿宋_GB2312" w:hAnsi="仿宋_GB2312" w:cs="仿宋_GB2312"/>
          <w:sz w:val="32"/>
          <w:szCs w:val="32"/>
        </w:rPr>
      </w:pPr>
      <w:r>
        <w:rPr>
          <w:rFonts w:hint="eastAsia" w:ascii="楷体_GB2312" w:hAnsi="楷体_GB2312" w:eastAsia="楷体_GB2312" w:cs="楷体_GB2312"/>
          <w:kern w:val="2"/>
          <w:sz w:val="32"/>
          <w:szCs w:val="24"/>
        </w:rPr>
        <w:t>（一）存在问题：</w:t>
      </w:r>
      <w:r>
        <w:rPr>
          <w:rFonts w:hint="eastAsia" w:eastAsia="仿宋_GB2312"/>
          <w:sz w:val="32"/>
          <w:szCs w:val="32"/>
        </w:rPr>
        <w:t>预算编制精准性还有待进一步提高。在预算编制过程中与业务股室沟通不够，造成在开展过程中应急性时间较多，造成预算与实际支出费用存在偏差，在支出时也还存在申报计划是功能科目与实际支出不一致的情况，从而造成预算编制不够精确。</w:t>
      </w:r>
    </w:p>
    <w:p>
      <w:pPr>
        <w:pStyle w:val="6"/>
        <w:numPr>
          <w:ilvl w:val="0"/>
          <w:numId w:val="0"/>
        </w:numPr>
        <w:overflowPunct w:val="0"/>
        <w:spacing w:after="0" w:line="576" w:lineRule="exact"/>
        <w:ind w:left="0" w:firstLine="640" w:firstLineChars="200"/>
        <w:jc w:val="both"/>
        <w:rPr>
          <w:rFonts w:hint="eastAsia" w:eastAsia="仿宋_GB2312"/>
          <w:sz w:val="32"/>
          <w:szCs w:val="32"/>
        </w:rPr>
      </w:pPr>
      <w:r>
        <w:rPr>
          <w:rFonts w:hint="eastAsia" w:ascii="楷体_GB2312" w:hAnsi="楷体_GB2312" w:eastAsia="楷体_GB2312" w:cs="楷体_GB2312"/>
          <w:kern w:val="2"/>
          <w:sz w:val="32"/>
          <w:szCs w:val="24"/>
        </w:rPr>
        <w:t>（二）改进建议：</w:t>
      </w:r>
      <w:r>
        <w:rPr>
          <w:rFonts w:hint="eastAsia" w:eastAsia="仿宋_GB2312"/>
          <w:sz w:val="32"/>
          <w:szCs w:val="32"/>
        </w:rPr>
        <w:t>精准编制预算。严格按照政策标准，优化支出结构，加快工作进度，提高预算编制的科学化精细化水平。</w:t>
      </w: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p>
    <w:p>
      <w:pPr>
        <w:overflowPunct w:val="0"/>
        <w:autoSpaceDE/>
        <w:autoSpaceDN/>
        <w:adjustRightInd/>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eastAsia="仿宋_GB2312" w:cs="仿宋_GB2312"/>
          <w:sz w:val="32"/>
          <w:szCs w:val="32"/>
        </w:rPr>
        <w:t>1</w:t>
      </w:r>
      <w:r>
        <w:rPr>
          <w:rFonts w:hint="eastAsia" w:ascii="仿宋_GB2312" w:hAnsi="仿宋_GB2312" w:eastAsia="仿宋_GB2312" w:cs="仿宋_GB2312"/>
          <w:sz w:val="32"/>
          <w:szCs w:val="32"/>
        </w:rPr>
        <w:t>.中共广元市昭化区</w:t>
      </w:r>
      <w:r>
        <w:rPr>
          <w:rFonts w:hint="eastAsia" w:hAnsi="仿宋_GB2312" w:cs="仿宋_GB2312"/>
          <w:sz w:val="32"/>
          <w:szCs w:val="32"/>
        </w:rPr>
        <w:t>委政法委</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年部门整体支出绩</w:t>
      </w:r>
    </w:p>
    <w:p>
      <w:pPr>
        <w:overflowPunct w:val="0"/>
        <w:autoSpaceDE/>
        <w:autoSpaceDN/>
        <w:adjustRightInd/>
        <w:spacing w:line="576"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效目标自评表</w:t>
      </w:r>
    </w:p>
    <w:p>
      <w:pPr>
        <w:numPr>
          <w:ilvl w:val="0"/>
          <w:numId w:val="0"/>
        </w:numPr>
        <w:overflowPunct w:val="0"/>
        <w:autoSpaceDE/>
        <w:autoSpaceDN/>
        <w:adjustRightInd/>
        <w:spacing w:line="576" w:lineRule="exact"/>
        <w:ind w:firstLine="1600" w:firstLineChars="500"/>
        <w:jc w:val="both"/>
        <w:rPr>
          <w:rFonts w:hint="eastAsia" w:ascii="仿宋_GB2312" w:hAnsi="仿宋_GB2312" w:eastAsia="仿宋_GB2312" w:cs="仿宋_GB2312"/>
          <w:sz w:val="32"/>
          <w:szCs w:val="32"/>
        </w:rPr>
      </w:pPr>
      <w:r>
        <w:rPr>
          <w:rFonts w:hint="eastAsia" w:ascii="Times New Roman" w:eastAsia="仿宋_GB2312" w:cs="仿宋_GB2312"/>
          <w:sz w:val="32"/>
          <w:szCs w:val="32"/>
        </w:rPr>
        <w:t>2</w:t>
      </w:r>
      <w:r>
        <w:rPr>
          <w:rFonts w:hint="eastAsia" w:ascii="仿宋_GB2312" w:hAnsi="仿宋_GB2312" w:eastAsia="仿宋_GB2312" w:cs="仿宋_GB2312"/>
          <w:sz w:val="32"/>
          <w:szCs w:val="32"/>
        </w:rPr>
        <w:t>.中共广元市昭化区</w:t>
      </w:r>
      <w:r>
        <w:rPr>
          <w:rFonts w:hint="eastAsia" w:hAnsi="仿宋_GB2312" w:cs="仿宋_GB2312"/>
          <w:sz w:val="32"/>
          <w:szCs w:val="32"/>
        </w:rPr>
        <w:t>委政法委</w:t>
      </w:r>
      <w:r>
        <w:rPr>
          <w:rFonts w:hint="eastAsia" w:ascii="Times New Roman" w:eastAsia="仿宋_GB2312" w:cs="仿宋_GB2312"/>
          <w:sz w:val="32"/>
          <w:szCs w:val="32"/>
        </w:rPr>
        <w:t>2023</w:t>
      </w:r>
      <w:r>
        <w:rPr>
          <w:rFonts w:hint="eastAsia" w:ascii="仿宋_GB2312" w:hAnsi="仿宋_GB2312" w:eastAsia="仿宋_GB2312" w:cs="仿宋_GB2312"/>
          <w:sz w:val="32"/>
          <w:szCs w:val="32"/>
        </w:rPr>
        <w:t>年部门整体支出绩</w:t>
      </w:r>
    </w:p>
    <w:p>
      <w:pPr>
        <w:numPr>
          <w:ilvl w:val="0"/>
          <w:numId w:val="0"/>
        </w:numPr>
        <w:overflowPunct w:val="0"/>
        <w:autoSpaceDE/>
        <w:autoSpaceDN/>
        <w:adjustRightInd/>
        <w:spacing w:line="576"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效自评评分表</w:t>
      </w:r>
    </w:p>
    <w:p>
      <w:pPr>
        <w:overflowPunct w:val="0"/>
        <w:spacing w:line="576" w:lineRule="exact"/>
        <w:ind w:firstLine="640" w:firstLineChars="200"/>
        <w:jc w:val="both"/>
        <w:rPr>
          <w:rFonts w:hint="eastAsia" w:ascii="仿宋_GB2312" w:hAnsi="仿宋_GB2312" w:eastAsia="仿宋_GB2312"/>
          <w:kern w:val="2"/>
          <w:sz w:val="32"/>
          <w:szCs w:val="24"/>
        </w:rPr>
      </w:pPr>
    </w:p>
    <w:p>
      <w:pPr>
        <w:pStyle w:val="13"/>
        <w:overflowPunct w:val="0"/>
        <w:spacing w:beforeLines="0" w:afterLines="0" w:line="576" w:lineRule="exact"/>
        <w:ind w:firstLine="640" w:firstLineChars="200"/>
        <w:jc w:val="both"/>
        <w:rPr>
          <w:rFonts w:hint="eastAsia" w:ascii="仿宋_GB2312" w:hAnsi="仿宋_GB2312" w:eastAsia="仿宋_GB2312"/>
          <w:kern w:val="2"/>
          <w:sz w:val="32"/>
          <w:szCs w:val="24"/>
        </w:rPr>
      </w:pPr>
    </w:p>
    <w:p>
      <w:pPr>
        <w:pStyle w:val="13"/>
        <w:spacing w:beforeLines="0" w:afterLines="0"/>
        <w:rPr>
          <w:rFonts w:hint="eastAsia" w:ascii="仿宋_GB2312" w:hAnsi="仿宋_GB2312" w:eastAsia="仿宋_GB2312"/>
          <w:kern w:val="2"/>
          <w:sz w:val="32"/>
          <w:szCs w:val="24"/>
        </w:rPr>
      </w:pPr>
    </w:p>
    <w:p>
      <w:pPr>
        <w:pStyle w:val="13"/>
        <w:spacing w:beforeLines="0" w:afterLines="0"/>
        <w:rPr>
          <w:rFonts w:hint="eastAsia" w:ascii="仿宋_GB2312" w:hAnsi="仿宋_GB2312" w:eastAsia="仿宋_GB2312"/>
          <w:kern w:val="2"/>
          <w:sz w:val="32"/>
          <w:szCs w:val="24"/>
        </w:rPr>
      </w:pPr>
    </w:p>
    <w:p>
      <w:pPr>
        <w:pStyle w:val="13"/>
        <w:spacing w:beforeLines="0" w:afterLines="0"/>
        <w:rPr>
          <w:rFonts w:hint="eastAsia" w:ascii="仿宋_GB2312" w:hAnsi="仿宋_GB2312" w:eastAsia="仿宋_GB2312"/>
          <w:kern w:val="2"/>
          <w:sz w:val="32"/>
          <w:szCs w:val="24"/>
        </w:rPr>
      </w:pPr>
    </w:p>
    <w:p>
      <w:pPr>
        <w:pStyle w:val="13"/>
        <w:spacing w:beforeLines="0" w:afterLines="0"/>
        <w:rPr>
          <w:rFonts w:hint="eastAsia" w:ascii="仿宋_GB2312" w:hAnsi="仿宋_GB2312" w:eastAsia="仿宋_GB2312"/>
          <w:kern w:val="2"/>
          <w:sz w:val="32"/>
          <w:szCs w:val="24"/>
        </w:rPr>
      </w:pPr>
    </w:p>
    <w:p>
      <w:pPr>
        <w:pStyle w:val="13"/>
        <w:spacing w:beforeLines="0" w:afterLines="0"/>
        <w:rPr>
          <w:rFonts w:hint="eastAsia" w:ascii="仿宋_GB2312" w:hAnsi="仿宋_GB2312" w:eastAsia="仿宋_GB2312"/>
          <w:kern w:val="2"/>
          <w:sz w:val="32"/>
          <w:szCs w:val="24"/>
        </w:rPr>
      </w:pPr>
    </w:p>
    <w:p>
      <w:pPr>
        <w:pStyle w:val="13"/>
        <w:spacing w:beforeLines="0" w:afterLines="0"/>
        <w:rPr>
          <w:rFonts w:hint="eastAsia" w:ascii="仿宋_GB2312" w:hAnsi="仿宋_GB2312" w:eastAsia="仿宋_GB2312"/>
          <w:kern w:val="2"/>
          <w:sz w:val="32"/>
          <w:szCs w:val="24"/>
        </w:rPr>
      </w:pPr>
    </w:p>
    <w:p>
      <w:pPr>
        <w:pStyle w:val="13"/>
        <w:spacing w:beforeLines="0" w:afterLines="0"/>
        <w:rPr>
          <w:rFonts w:hint="eastAsia" w:ascii="仿宋_GB2312" w:hAnsi="仿宋_GB2312" w:eastAsia="仿宋_GB2312"/>
          <w:kern w:val="2"/>
          <w:sz w:val="32"/>
          <w:szCs w:val="24"/>
        </w:rPr>
      </w:pPr>
    </w:p>
    <w:tbl>
      <w:tblPr>
        <w:tblStyle w:val="10"/>
        <w:tblW w:w="9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
        <w:gridCol w:w="2"/>
        <w:gridCol w:w="349"/>
        <w:gridCol w:w="126"/>
        <w:gridCol w:w="91"/>
        <w:gridCol w:w="16"/>
        <w:gridCol w:w="14"/>
        <w:gridCol w:w="29"/>
        <w:gridCol w:w="167"/>
        <w:gridCol w:w="144"/>
        <w:gridCol w:w="400"/>
        <w:gridCol w:w="19"/>
        <w:gridCol w:w="1"/>
        <w:gridCol w:w="148"/>
        <w:gridCol w:w="59"/>
        <w:gridCol w:w="81"/>
        <w:gridCol w:w="128"/>
        <w:gridCol w:w="1"/>
        <w:gridCol w:w="420"/>
        <w:gridCol w:w="229"/>
        <w:gridCol w:w="99"/>
        <w:gridCol w:w="9"/>
        <w:gridCol w:w="254"/>
        <w:gridCol w:w="103"/>
        <w:gridCol w:w="1"/>
        <w:gridCol w:w="1"/>
        <w:gridCol w:w="1"/>
        <w:gridCol w:w="295"/>
        <w:gridCol w:w="95"/>
        <w:gridCol w:w="8"/>
        <w:gridCol w:w="142"/>
        <w:gridCol w:w="54"/>
        <w:gridCol w:w="43"/>
        <w:gridCol w:w="118"/>
        <w:gridCol w:w="205"/>
        <w:gridCol w:w="1"/>
        <w:gridCol w:w="2"/>
        <w:gridCol w:w="2"/>
        <w:gridCol w:w="955"/>
        <w:gridCol w:w="88"/>
        <w:gridCol w:w="29"/>
        <w:gridCol w:w="154"/>
        <w:gridCol w:w="1"/>
        <w:gridCol w:w="34"/>
        <w:gridCol w:w="52"/>
        <w:gridCol w:w="66"/>
        <w:gridCol w:w="50"/>
        <w:gridCol w:w="53"/>
        <w:gridCol w:w="2"/>
        <w:gridCol w:w="171"/>
        <w:gridCol w:w="464"/>
        <w:gridCol w:w="73"/>
        <w:gridCol w:w="203"/>
        <w:gridCol w:w="8"/>
        <w:gridCol w:w="140"/>
        <w:gridCol w:w="149"/>
        <w:gridCol w:w="75"/>
        <w:gridCol w:w="132"/>
        <w:gridCol w:w="21"/>
        <w:gridCol w:w="1"/>
        <w:gridCol w:w="698"/>
        <w:gridCol w:w="99"/>
        <w:gridCol w:w="87"/>
        <w:gridCol w:w="81"/>
        <w:gridCol w:w="64"/>
        <w:gridCol w:w="64"/>
        <w:gridCol w:w="29"/>
        <w:gridCol w:w="20"/>
        <w:gridCol w:w="99"/>
        <w:gridCol w:w="13"/>
        <w:gridCol w:w="7"/>
        <w:gridCol w:w="51"/>
        <w:gridCol w:w="28"/>
        <w:gridCol w:w="190"/>
        <w:gridCol w:w="915"/>
        <w:gridCol w:w="10"/>
        <w:gridCol w:w="19"/>
        <w:gridCol w:w="40"/>
        <w:gridCol w:w="89"/>
        <w:gridCol w:w="2"/>
        <w:gridCol w:w="17"/>
        <w:gridCol w:w="115"/>
        <w:gridCol w:w="52"/>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501" w:hRule="atLeast"/>
        </w:trPr>
        <w:tc>
          <w:tcPr>
            <w:tcW w:w="9233" w:type="dxa"/>
            <w:gridSpan w:val="75"/>
            <w:tcBorders>
              <w:top w:val="nil"/>
              <w:left w:val="nil"/>
              <w:bottom w:val="nil"/>
              <w:right w:val="nil"/>
              <w:tl2br w:val="nil"/>
              <w:tr2bl w:val="nil"/>
            </w:tcBorders>
            <w:noWrap w:val="0"/>
            <w:vAlign w:val="center"/>
          </w:tcPr>
          <w:p>
            <w:pPr>
              <w:widowControl/>
              <w:spacing w:line="576" w:lineRule="exact"/>
              <w:jc w:val="center"/>
              <w:textAlignment w:val="center"/>
              <w:rPr>
                <w:rFonts w:hint="eastAsia" w:ascii="方正小标宋简体" w:hAnsi="方正小标宋简体" w:eastAsia="方正小标宋简体" w:cs="方正小标宋简体"/>
                <w:color w:val="000000"/>
                <w:sz w:val="44"/>
                <w:szCs w:val="44"/>
                <w:lang w:bidi="ar"/>
              </w:rPr>
            </w:pPr>
          </w:p>
          <w:p>
            <w:pPr>
              <w:widowControl/>
              <w:spacing w:line="500" w:lineRule="exact"/>
              <w:jc w:val="center"/>
              <w:textAlignment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bidi="ar"/>
              </w:rPr>
              <w:t>广元市昭化区部门整体支出绩效目标自评表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3543" w:type="dxa"/>
            <w:gridSpan w:val="2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广元市昭化区委政法委</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实施单位</w:t>
            </w:r>
          </w:p>
        </w:tc>
        <w:tc>
          <w:tcPr>
            <w:tcW w:w="3257"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933" w:type="dxa"/>
            <w:gridSpan w:val="18"/>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610"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107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1831" w:type="dxa"/>
            <w:gridSpan w:val="1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42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933"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161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42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933"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161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1304</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1304</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1304</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142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933"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161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1304</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1304</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1304</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142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933"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161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42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933"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161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42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933"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161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42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1357" w:type="dxa"/>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933" w:type="dxa"/>
            <w:gridSpan w:val="18"/>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1610" w:type="dxa"/>
            <w:gridSpan w:val="10"/>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1076" w:type="dxa"/>
            <w:gridSpan w:val="11"/>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831" w:type="dxa"/>
            <w:gridSpan w:val="14"/>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426" w:type="dxa"/>
            <w:gridSpan w:val="11"/>
            <w:tcBorders>
              <w:top w:val="nil"/>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40" w:hRule="atLeast"/>
        </w:trPr>
        <w:tc>
          <w:tcPr>
            <w:tcW w:w="47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整体</w:t>
            </w:r>
            <w:r>
              <w:rPr>
                <w:rFonts w:hint="eastAsia" w:hAnsi="宋体" w:cs="宋体"/>
                <w:color w:val="000000"/>
                <w:sz w:val="18"/>
                <w:szCs w:val="18"/>
                <w:lang w:bidi="ar"/>
              </w:rPr>
              <w:br w:type="textWrapping"/>
            </w:r>
            <w:r>
              <w:rPr>
                <w:rFonts w:hint="eastAsia" w:hAnsi="宋体" w:cs="宋体"/>
                <w:color w:val="000000"/>
                <w:sz w:val="18"/>
                <w:szCs w:val="18"/>
                <w:lang w:bidi="ar"/>
              </w:rPr>
              <w:t>目标</w:t>
            </w:r>
          </w:p>
        </w:tc>
        <w:tc>
          <w:tcPr>
            <w:tcW w:w="5499" w:type="dxa"/>
            <w:gridSpan w:val="4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年度目标</w:t>
            </w:r>
          </w:p>
        </w:tc>
        <w:tc>
          <w:tcPr>
            <w:tcW w:w="3257"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244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5499" w:type="dxa"/>
            <w:gridSpan w:val="4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对政法工作研究提出全局性部署，推进平安昭化、法治昭化建设，加强过硬队伍建设，深化智能化建设，坚决维护国家政治安全、确保社会大局稳定、促进社会公平正义、保障人民安居乐业、护航经济社会发展。一是保障单位正常运转，按时支付人员工资，按时缴纳保险，按时支付保障单位正常运转所产生的水、电、维修、办公等费用；二是完成区委区政府下达的</w:t>
            </w:r>
            <w:r>
              <w:rPr>
                <w:rFonts w:hint="eastAsia" w:ascii="Times New Roman" w:eastAsia="Times New Roman" w:cs="宋体"/>
                <w:color w:val="000000"/>
                <w:sz w:val="18"/>
                <w:szCs w:val="18"/>
                <w:lang w:bidi="ar"/>
              </w:rPr>
              <w:t>2023</w:t>
            </w:r>
            <w:r>
              <w:rPr>
                <w:rFonts w:hint="eastAsia" w:hAnsi="宋体" w:cs="宋体"/>
                <w:color w:val="000000"/>
                <w:sz w:val="18"/>
                <w:szCs w:val="18"/>
                <w:lang w:bidi="ar"/>
              </w:rPr>
              <w:t>年目标任务；三是做好维护国家政治安全、推进防邪反邪，深化平安昭化建设、维护社会稳定、强化执法监督和案件评查质量监督活动、强化涉法涉诉信访问题化解处置、推进政法智能化建设、加强政法宣传工作、建强忠诚干净担当的昭化政法铁军等工作；四是完成区委区政府安排的其他工作。</w:t>
            </w:r>
          </w:p>
        </w:tc>
        <w:tc>
          <w:tcPr>
            <w:tcW w:w="3257"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2023</w:t>
            </w:r>
            <w:r>
              <w:rPr>
                <w:rFonts w:hint="eastAsia" w:hAnsi="宋体" w:cs="宋体"/>
                <w:color w:val="000000"/>
                <w:sz w:val="18"/>
                <w:szCs w:val="18"/>
                <w:lang w:bidi="ar"/>
              </w:rPr>
              <w:t>年，区委政法委坚持以习近平新时代中国特色社会主义思想为指引，深入贯彻落实党的二十大，省委十二届二次、三次、四次全会，市委八届五次、六次、七次全会和区委八届三次、四次、五次全会精神，深入开展学习贯彻习近平新时代中国特色社会主义思想主题教育，扎实推进“防风险、保安全、护稳定、促发展”各项工作，群众安全感、获得感、幸福感不断提升。昭化区成功创成首批省级法治政府建设示范区，连续</w:t>
            </w:r>
            <w:r>
              <w:rPr>
                <w:rFonts w:hint="eastAsia" w:ascii="Times New Roman" w:eastAsia="Times New Roman" w:cs="宋体"/>
                <w:color w:val="000000"/>
                <w:sz w:val="18"/>
                <w:szCs w:val="18"/>
                <w:lang w:bidi="ar"/>
              </w:rPr>
              <w:t>13</w:t>
            </w:r>
            <w:r>
              <w:rPr>
                <w:rFonts w:hint="eastAsia" w:hAnsi="宋体" w:cs="宋体"/>
                <w:color w:val="000000"/>
                <w:sz w:val="18"/>
                <w:szCs w:val="18"/>
                <w:lang w:bidi="ar"/>
              </w:rPr>
              <w:t>年无“民转刑”命案发生，平安建设群众满意度测评连续</w:t>
            </w:r>
            <w:r>
              <w:rPr>
                <w:rFonts w:hint="eastAsia" w:ascii="Times New Roman" w:eastAsia="Times New Roman" w:cs="宋体"/>
                <w:color w:val="000000"/>
                <w:sz w:val="18"/>
                <w:szCs w:val="18"/>
                <w:lang w:bidi="ar"/>
              </w:rPr>
              <w:t>7</w:t>
            </w:r>
            <w:r>
              <w:rPr>
                <w:rFonts w:hint="eastAsia" w:hAnsi="宋体" w:cs="宋体"/>
                <w:color w:val="000000"/>
                <w:sz w:val="18"/>
                <w:szCs w:val="18"/>
                <w:lang w:bidi="ar"/>
              </w:rPr>
              <w:t>年位居省市前列，连续</w:t>
            </w:r>
            <w:r>
              <w:rPr>
                <w:rFonts w:hint="eastAsia" w:ascii="Times New Roman" w:eastAsia="Times New Roman" w:cs="宋体"/>
                <w:color w:val="000000"/>
                <w:sz w:val="18"/>
                <w:szCs w:val="18"/>
                <w:lang w:bidi="ar"/>
              </w:rPr>
              <w:t>6</w:t>
            </w:r>
            <w:r>
              <w:rPr>
                <w:rFonts w:hint="eastAsia" w:hAnsi="宋体" w:cs="宋体"/>
                <w:color w:val="000000"/>
                <w:sz w:val="18"/>
                <w:szCs w:val="18"/>
                <w:lang w:bidi="ar"/>
              </w:rPr>
              <w:t>年被省委省政府表彰为平安建设先进县区。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部门整体绩效指标</w:t>
            </w:r>
          </w:p>
        </w:tc>
        <w:tc>
          <w:tcPr>
            <w:tcW w:w="88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83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2705"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1426" w:type="dxa"/>
            <w:gridSpan w:val="11"/>
            <w:tcBorders>
              <w:top w:val="nil"/>
              <w:left w:val="nil"/>
              <w:bottom w:val="nil"/>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838"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1095" w:type="dxa"/>
            <w:gridSpan w:val="11"/>
            <w:tcBorders>
              <w:top w:val="single" w:color="000000" w:sz="4" w:space="0"/>
              <w:left w:val="single" w:color="000000" w:sz="4" w:space="0"/>
              <w:bottom w:val="single" w:color="000000" w:sz="4" w:space="0"/>
              <w:right w:val="nil"/>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10" w:type="dxa"/>
            <w:gridSpan w:val="10"/>
            <w:tcBorders>
              <w:top w:val="single" w:color="000000" w:sz="4" w:space="0"/>
              <w:left w:val="nil"/>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创建全省平安建设先进县区</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1095" w:type="dxa"/>
            <w:gridSpan w:val="11"/>
            <w:tcBorders>
              <w:top w:val="single" w:color="000000" w:sz="4" w:space="0"/>
              <w:left w:val="single" w:color="000000" w:sz="4" w:space="0"/>
              <w:bottom w:val="single" w:color="000000" w:sz="4" w:space="0"/>
              <w:right w:val="nil"/>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610" w:type="dxa"/>
            <w:gridSpan w:val="10"/>
            <w:tcBorders>
              <w:top w:val="single" w:color="000000" w:sz="4" w:space="0"/>
              <w:left w:val="nil"/>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在编人员数</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38"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1095" w:type="dxa"/>
            <w:gridSpan w:val="11"/>
            <w:tcBorders>
              <w:top w:val="single" w:color="000000" w:sz="4" w:space="0"/>
              <w:left w:val="single" w:color="000000" w:sz="4" w:space="0"/>
              <w:bottom w:val="single" w:color="000000" w:sz="4" w:space="0"/>
              <w:right w:val="nil"/>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10" w:type="dxa"/>
            <w:gridSpan w:val="10"/>
            <w:tcBorders>
              <w:top w:val="single" w:color="000000" w:sz="4" w:space="0"/>
              <w:left w:val="nil"/>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坚决守住“六个不发生”维稳底线</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件/人</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0</w:t>
            </w:r>
            <w:r>
              <w:rPr>
                <w:rFonts w:hint="eastAsia" w:hAnsi="宋体" w:cs="宋体"/>
                <w:color w:val="000000"/>
                <w:sz w:val="18"/>
                <w:szCs w:val="18"/>
                <w:lang w:bidi="ar"/>
              </w:rPr>
              <w:t>件/人</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1095" w:type="dxa"/>
            <w:gridSpan w:val="11"/>
            <w:tcBorders>
              <w:top w:val="single" w:color="000000" w:sz="4" w:space="0"/>
              <w:left w:val="single" w:color="000000" w:sz="4" w:space="0"/>
              <w:bottom w:val="single" w:color="000000" w:sz="4" w:space="0"/>
              <w:right w:val="nil"/>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610" w:type="dxa"/>
            <w:gridSpan w:val="10"/>
            <w:tcBorders>
              <w:top w:val="single" w:color="000000" w:sz="4" w:space="0"/>
              <w:left w:val="nil"/>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全省平安建设先进县区创建成功率</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3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2705"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38"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2705"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：机关运行经费</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350</w:t>
            </w:r>
            <w:r>
              <w:rPr>
                <w:rFonts w:hint="eastAsia" w:hAnsi="宋体" w:cs="宋体"/>
                <w:color w:val="000000"/>
                <w:sz w:val="18"/>
                <w:szCs w:val="18"/>
                <w:lang w:bidi="ar"/>
              </w:rPr>
              <w:t>.</w:t>
            </w:r>
            <w:r>
              <w:rPr>
                <w:rFonts w:hint="eastAsia" w:ascii="Times New Roman" w:eastAsia="Times New Roman" w:cs="宋体"/>
                <w:color w:val="000000"/>
                <w:sz w:val="18"/>
                <w:szCs w:val="18"/>
                <w:lang w:bidi="ar"/>
              </w:rPr>
              <w:t>9</w:t>
            </w:r>
            <w:r>
              <w:rPr>
                <w:rFonts w:hint="eastAsia" w:hAnsi="宋体" w:cs="宋体"/>
                <w:color w:val="000000"/>
                <w:sz w:val="18"/>
                <w:szCs w:val="18"/>
                <w:lang w:bidi="ar"/>
              </w:rPr>
              <w:t>万元</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2705"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：平安昭化建设、雪亮工程建设等运转类经费</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891</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r>
              <w:rPr>
                <w:rFonts w:hint="eastAsia" w:hAnsi="宋体" w:cs="宋体"/>
                <w:color w:val="000000"/>
                <w:sz w:val="18"/>
                <w:szCs w:val="18"/>
                <w:lang w:bidi="ar"/>
              </w:rPr>
              <w:t>万元</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935</w:t>
            </w:r>
            <w:r>
              <w:rPr>
                <w:rFonts w:hint="eastAsia" w:hAnsi="宋体" w:cs="宋体"/>
                <w:color w:val="000000"/>
                <w:sz w:val="18"/>
                <w:szCs w:val="18"/>
                <w:lang w:bidi="ar"/>
              </w:rPr>
              <w:t>.</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万元</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82" w:leftChars="-34" w:right="-82" w:rightChars="-34"/>
              <w:jc w:val="center"/>
              <w:textAlignment w:val="center"/>
              <w:rPr>
                <w:rFonts w:hint="eastAsia" w:hAnsi="宋体" w:cs="宋体"/>
                <w:color w:val="000000"/>
                <w:sz w:val="18"/>
                <w:szCs w:val="18"/>
              </w:rPr>
            </w:pPr>
            <w:r>
              <w:rPr>
                <w:rFonts w:hint="eastAsia" w:hAnsi="宋体" w:cs="宋体"/>
                <w:color w:val="000000"/>
                <w:spacing w:val="-6"/>
                <w:sz w:val="18"/>
                <w:szCs w:val="18"/>
                <w:lang w:bidi="ar"/>
              </w:rPr>
              <w:t>增加司法救助资金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83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2705"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建设更高水平的平安昭化，确保社会大局稳定</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91" w:type="dxa"/>
          <w:wAfter w:w="339" w:type="dxa"/>
          <w:trHeight w:val="397" w:hRule="atLeast"/>
        </w:trPr>
        <w:tc>
          <w:tcPr>
            <w:tcW w:w="47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c>
          <w:tcPr>
            <w:tcW w:w="88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83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095" w:type="dxa"/>
            <w:gridSpan w:val="11"/>
            <w:tcBorders>
              <w:top w:val="single" w:color="000000" w:sz="4" w:space="0"/>
              <w:left w:val="single" w:color="000000" w:sz="4" w:space="0"/>
              <w:bottom w:val="single" w:color="000000" w:sz="4" w:space="0"/>
              <w:right w:val="nil"/>
              <w:tl2br w:val="nil"/>
              <w:tr2bl w:val="nil"/>
            </w:tcBorders>
            <w:noWrap w:val="0"/>
            <w:vAlign w:val="center"/>
          </w:tcPr>
          <w:p>
            <w:pPr>
              <w:widowControl/>
              <w:spacing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10" w:type="dxa"/>
            <w:gridSpan w:val="10"/>
            <w:tcBorders>
              <w:top w:val="single" w:color="000000" w:sz="4" w:space="0"/>
              <w:left w:val="nil"/>
              <w:bottom w:val="single" w:color="000000" w:sz="4" w:space="0"/>
              <w:right w:val="single" w:color="000000" w:sz="4" w:space="0"/>
              <w:tl2br w:val="nil"/>
              <w:tr2bl w:val="nil"/>
            </w:tcBorders>
            <w:noWrap w:val="0"/>
            <w:vAlign w:val="center"/>
          </w:tcPr>
          <w:p>
            <w:pPr>
              <w:widowControl/>
              <w:spacing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平安建设群众满意度测评</w:t>
            </w:r>
          </w:p>
        </w:tc>
        <w:tc>
          <w:tcPr>
            <w:tcW w:w="10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183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r>
              <w:rPr>
                <w:rFonts w:hint="eastAsia" w:ascii="Times New Roman" w:eastAsia="Times New Roman" w:cs="宋体"/>
                <w:color w:val="000000"/>
                <w:sz w:val="18"/>
                <w:szCs w:val="18"/>
                <w:lang w:bidi="ar"/>
              </w:rPr>
              <w:t>26</w:t>
            </w:r>
            <w:r>
              <w:rPr>
                <w:rFonts w:hint="eastAsia" w:hAnsi="宋体" w:cs="宋体"/>
                <w:color w:val="000000"/>
                <w:sz w:val="18"/>
                <w:szCs w:val="18"/>
                <w:lang w:bidi="ar"/>
              </w:rPr>
              <w:t>%</w:t>
            </w:r>
          </w:p>
        </w:tc>
        <w:tc>
          <w:tcPr>
            <w:tcW w:w="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508" w:hRule="atLeast"/>
        </w:trPr>
        <w:tc>
          <w:tcPr>
            <w:tcW w:w="9343" w:type="dxa"/>
            <w:gridSpan w:val="77"/>
            <w:tcBorders>
              <w:top w:val="nil"/>
              <w:left w:val="nil"/>
              <w:bottom w:val="nil"/>
              <w:right w:val="nil"/>
              <w:tl2br w:val="nil"/>
              <w:tr2bl w:val="nil"/>
            </w:tcBorders>
            <w:noWrap w:val="0"/>
            <w:vAlign w:val="center"/>
          </w:tcPr>
          <w:p>
            <w:pPr>
              <w:overflowPunct w:val="0"/>
              <w:spacing w:line="44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“雪亮工程”建设和运维费项目支出绩效自评表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9343" w:type="dxa"/>
            <w:gridSpan w:val="7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22"/>
                <w:szCs w:val="22"/>
              </w:rPr>
            </w:pPr>
            <w:r>
              <w:rPr>
                <w:rFonts w:hint="eastAsia" w:hAnsi="宋体" w:cs="宋体"/>
                <w:color w:val="000000"/>
                <w:sz w:val="18"/>
                <w:szCs w:val="18"/>
                <w:lang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20"/>
                <w:szCs w:val="20"/>
                <w:lang w:bidi="ar"/>
              </w:rPr>
              <w:t>主管部门</w:t>
            </w:r>
          </w:p>
        </w:tc>
        <w:tc>
          <w:tcPr>
            <w:tcW w:w="7894" w:type="dxa"/>
            <w:gridSpan w:val="6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雪亮工程”建设和运维费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18"/>
                <w:szCs w:val="18"/>
                <w:lang w:bidi="ar"/>
              </w:rPr>
              <w:t>项目资金（万元）</w:t>
            </w:r>
          </w:p>
        </w:tc>
        <w:tc>
          <w:tcPr>
            <w:tcW w:w="3454" w:type="dxa"/>
            <w:gridSpan w:val="2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3276" w:type="dxa"/>
            <w:gridSpan w:val="26"/>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2171" w:type="dxa"/>
            <w:gridSpan w:val="20"/>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283" w:type="dxa"/>
            <w:gridSpan w:val="6"/>
            <w:tcBorders>
              <w:top w:val="nil"/>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164" w:type="dxa"/>
            <w:gridSpan w:val="12"/>
            <w:tcBorders>
              <w:top w:val="nil"/>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686" w:type="dxa"/>
            <w:gridSpan w:val="12"/>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590" w:type="dxa"/>
            <w:gridSpan w:val="14"/>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217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28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590" w:type="dxa"/>
            <w:gridSpan w:val="14"/>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217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28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217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28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560</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217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28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rPr>
                <w:rFonts w:hint="eastAsia" w:ascii="Times New Roman" w:hAnsi="宋体" w:eastAsia="Times New Roman" w:cs="宋体"/>
                <w:color w:val="000000"/>
                <w:sz w:val="18"/>
                <w:szCs w:val="18"/>
              </w:rPr>
            </w:pP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217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28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rPr>
                <w:rFonts w:hint="eastAsia" w:ascii="Times New Roman" w:hAnsi="宋体" w:eastAsia="Times New Roman" w:cs="宋体"/>
                <w:color w:val="000000"/>
                <w:sz w:val="18"/>
                <w:szCs w:val="18"/>
              </w:rPr>
            </w:pP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217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28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rPr>
                <w:rFonts w:hint="eastAsia" w:ascii="Times New Roman" w:hAnsi="宋体" w:eastAsia="Times New Roman" w:cs="宋体"/>
                <w:color w:val="000000"/>
                <w:sz w:val="18"/>
                <w:szCs w:val="18"/>
              </w:rPr>
            </w:pP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1449" w:type="dxa"/>
            <w:gridSpan w:val="13"/>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p>
        </w:tc>
        <w:tc>
          <w:tcPr>
            <w:tcW w:w="217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28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line="200" w:lineRule="exact"/>
              <w:ind w:left="-82" w:leftChars="-34" w:right="-82" w:rightChars="-34"/>
              <w:rPr>
                <w:rFonts w:hint="eastAsia" w:ascii="Times New Roman" w:hAnsi="宋体" w:eastAsia="Times New Roman" w:cs="宋体"/>
                <w:color w:val="000000"/>
                <w:sz w:val="18"/>
                <w:szCs w:val="18"/>
              </w:rPr>
            </w:pPr>
          </w:p>
        </w:tc>
        <w:tc>
          <w:tcPr>
            <w:tcW w:w="1164" w:type="dxa"/>
            <w:gridSpan w:val="12"/>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686" w:type="dxa"/>
            <w:gridSpan w:val="12"/>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590" w:type="dxa"/>
            <w:gridSpan w:val="14"/>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5625" w:type="dxa"/>
            <w:gridSpan w:val="4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276"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1773"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p>
        </w:tc>
        <w:tc>
          <w:tcPr>
            <w:tcW w:w="5625" w:type="dxa"/>
            <w:gridSpan w:val="4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加强公共安全视频监控系统建设，推动系统联网和各类视频监控资源整合，确保</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个区监控中心、</w:t>
            </w:r>
            <w:r>
              <w:rPr>
                <w:rFonts w:hint="eastAsia" w:ascii="Times New Roman" w:eastAsia="Times New Roman" w:cs="宋体"/>
                <w:color w:val="000000"/>
                <w:sz w:val="18"/>
                <w:szCs w:val="18"/>
                <w:lang w:bidi="ar"/>
              </w:rPr>
              <w:t>8</w:t>
            </w:r>
            <w:r>
              <w:rPr>
                <w:rFonts w:hint="eastAsia" w:hAnsi="宋体" w:cs="宋体"/>
                <w:color w:val="000000"/>
                <w:sz w:val="18"/>
                <w:szCs w:val="18"/>
                <w:lang w:bidi="ar"/>
              </w:rPr>
              <w:t>个分中心和镇、村（社区）应用平台，前端监控摄像机</w:t>
            </w:r>
            <w:r>
              <w:rPr>
                <w:rFonts w:hint="eastAsia" w:ascii="Times New Roman" w:eastAsia="Times New Roman" w:cs="宋体"/>
                <w:color w:val="000000"/>
                <w:sz w:val="18"/>
                <w:szCs w:val="18"/>
                <w:lang w:bidi="ar"/>
              </w:rPr>
              <w:t>1282</w:t>
            </w:r>
            <w:r>
              <w:rPr>
                <w:rFonts w:hint="eastAsia" w:hAnsi="宋体" w:cs="宋体"/>
                <w:color w:val="000000"/>
                <w:sz w:val="18"/>
                <w:szCs w:val="18"/>
                <w:lang w:bidi="ar"/>
              </w:rPr>
              <w:t>台（点位）以及链路链接、软件开发、前端供电设备等安全平稳运行。推进和保障各镇各部门对视频图像资源的共享应用。不断提升基层社会治理现代化水平，不断增强人民群众安全感。</w:t>
            </w:r>
          </w:p>
        </w:tc>
        <w:tc>
          <w:tcPr>
            <w:tcW w:w="3276"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覆盖建强区镇村（社区）三级综治中心和“一站式”矛调中心并实体化实战化运行，充分运用“雪亮工程”进行实时指挥调度、监控视频数据自动存储、事件轨迹自动留痕和全时段视频巡查，科学优化三级微网格</w:t>
            </w:r>
            <w:r>
              <w:rPr>
                <w:rFonts w:hint="eastAsia" w:ascii="Times New Roman" w:eastAsia="Times New Roman" w:cs="宋体"/>
                <w:color w:val="000000"/>
                <w:sz w:val="18"/>
                <w:szCs w:val="18"/>
                <w:lang w:bidi="ar"/>
              </w:rPr>
              <w:t>2100</w:t>
            </w:r>
            <w:r>
              <w:rPr>
                <w:rFonts w:hint="eastAsia" w:hAnsi="宋体" w:cs="宋体"/>
                <w:color w:val="000000"/>
                <w:sz w:val="18"/>
                <w:szCs w:val="18"/>
                <w:lang w:bidi="ar"/>
              </w:rPr>
              <w:t>个，整合组织、政法、公安等</w:t>
            </w:r>
            <w:r>
              <w:rPr>
                <w:rFonts w:hint="eastAsia" w:ascii="Times New Roman" w:eastAsia="Times New Roman" w:cs="宋体"/>
                <w:color w:val="000000"/>
                <w:sz w:val="18"/>
                <w:szCs w:val="18"/>
                <w:lang w:bidi="ar"/>
              </w:rPr>
              <w:t>16</w:t>
            </w:r>
            <w:r>
              <w:rPr>
                <w:rFonts w:hint="eastAsia" w:hAnsi="宋体" w:cs="宋体"/>
                <w:color w:val="000000"/>
                <w:sz w:val="18"/>
                <w:szCs w:val="18"/>
                <w:lang w:bidi="ar"/>
              </w:rPr>
              <w:t>个部门的</w:t>
            </w:r>
            <w:r>
              <w:rPr>
                <w:rFonts w:hint="eastAsia" w:ascii="Times New Roman" w:eastAsia="Times New Roman" w:cs="宋体"/>
                <w:color w:val="000000"/>
                <w:sz w:val="18"/>
                <w:szCs w:val="18"/>
                <w:lang w:bidi="ar"/>
              </w:rPr>
              <w:t>19</w:t>
            </w:r>
            <w:r>
              <w:rPr>
                <w:rFonts w:hint="eastAsia" w:hAnsi="宋体" w:cs="宋体"/>
                <w:color w:val="000000"/>
                <w:sz w:val="18"/>
                <w:szCs w:val="18"/>
                <w:lang w:bidi="ar"/>
              </w:rPr>
              <w:t>类基层服务管理事项，建立“一格一长三员”管理体系，形成群防群治、协同共治工作格局。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425" w:hRule="atLeast"/>
        </w:trPr>
        <w:tc>
          <w:tcPr>
            <w:tcW w:w="442" w:type="dxa"/>
            <w:gridSpan w:val="3"/>
            <w:vMerge w:val="restart"/>
            <w:tcBorders>
              <w:top w:val="single" w:color="000000" w:sz="4" w:space="0"/>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388"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066"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pacing w:val="-6"/>
                <w:sz w:val="18"/>
                <w:szCs w:val="18"/>
                <w:lang w:bidi="ar"/>
              </w:rPr>
              <w:t>前端监控摄像机</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1282</w:t>
            </w:r>
            <w:r>
              <w:rPr>
                <w:rFonts w:hint="eastAsia" w:hAnsi="宋体" w:cs="宋体"/>
                <w:color w:val="000000"/>
                <w:sz w:val="18"/>
                <w:szCs w:val="18"/>
                <w:lang w:bidi="ar"/>
              </w:rPr>
              <w:t>个</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1307</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平台建设</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171</w:t>
            </w:r>
            <w:r>
              <w:rPr>
                <w:rFonts w:hint="eastAsia" w:hAnsi="宋体" w:cs="宋体"/>
                <w:color w:val="000000"/>
                <w:sz w:val="18"/>
                <w:szCs w:val="18"/>
                <w:lang w:bidi="ar"/>
              </w:rPr>
              <w:t>个</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174</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会议系统</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171</w:t>
            </w:r>
            <w:r>
              <w:rPr>
                <w:rFonts w:hint="eastAsia" w:hAnsi="宋体" w:cs="宋体"/>
                <w:color w:val="000000"/>
                <w:sz w:val="18"/>
                <w:szCs w:val="18"/>
                <w:lang w:bidi="ar"/>
              </w:rPr>
              <w:t>套</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174</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前端视频监控在线率</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85</w:t>
            </w:r>
            <w:r>
              <w:rPr>
                <w:rFonts w:hint="eastAsia" w:ascii="Times New Roman" w:hAnsi="宋体" w:eastAsia="Times New Roman" w:cs="宋体"/>
                <w:color w:val="000000"/>
                <w:sz w:val="18"/>
                <w:szCs w:val="18"/>
                <w:lang w:bidi="ar"/>
              </w:rPr>
              <w:t>%</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pacing w:val="-6"/>
                <w:sz w:val="18"/>
                <w:szCs w:val="18"/>
                <w:lang w:bidi="ar"/>
              </w:rPr>
              <w:t>三级视频会议系统运行良好率</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80</w:t>
            </w:r>
            <w:r>
              <w:rPr>
                <w:rFonts w:hint="eastAsia" w:ascii="Times New Roman" w:hAnsi="宋体" w:eastAsia="Times New Roman" w:cs="宋体"/>
                <w:color w:val="000000"/>
                <w:sz w:val="18"/>
                <w:szCs w:val="18"/>
                <w:lang w:bidi="ar"/>
              </w:rPr>
              <w:t>%</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82</w:t>
            </w:r>
            <w:r>
              <w:rPr>
                <w:rFonts w:hint="eastAsia" w:ascii="Times New Roman" w:hAnsi="宋体" w:eastAsia="Times New Roman" w:cs="宋体"/>
                <w:color w:val="000000"/>
                <w:sz w:val="18"/>
                <w:szCs w:val="18"/>
                <w:lang w:bidi="ar"/>
              </w:rPr>
              <w:t>%</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平台及其设备维护完好率</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80</w:t>
            </w:r>
            <w:r>
              <w:rPr>
                <w:rFonts w:hint="eastAsia" w:ascii="Times New Roman" w:hAnsi="宋体" w:eastAsia="Times New Roman" w:cs="宋体"/>
                <w:color w:val="000000"/>
                <w:sz w:val="18"/>
                <w:szCs w:val="18"/>
                <w:lang w:bidi="ar"/>
              </w:rPr>
              <w:t>%</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雪亮工程建设费用</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343</w:t>
            </w:r>
            <w:r>
              <w:rPr>
                <w:rFonts w:hint="eastAsia" w:hAnsi="宋体" w:cs="宋体"/>
                <w:color w:val="000000"/>
                <w:sz w:val="18"/>
                <w:szCs w:val="18"/>
                <w:lang w:bidi="ar"/>
              </w:rPr>
              <w:t>万元</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343</w:t>
            </w:r>
            <w:r>
              <w:rPr>
                <w:rFonts w:hint="eastAsia" w:hAnsi="宋体" w:cs="宋体"/>
                <w:color w:val="000000"/>
                <w:sz w:val="18"/>
                <w:szCs w:val="18"/>
                <w:lang w:bidi="ar"/>
              </w:rPr>
              <w:t>万元</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pacing w:val="-6"/>
                <w:sz w:val="18"/>
                <w:szCs w:val="18"/>
                <w:lang w:bidi="ar"/>
              </w:rPr>
              <w:t>雪亮工程运维费</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60</w:t>
            </w:r>
            <w:r>
              <w:rPr>
                <w:rFonts w:hint="eastAsia" w:hAnsi="宋体" w:cs="宋体"/>
                <w:color w:val="000000"/>
                <w:sz w:val="18"/>
                <w:szCs w:val="18"/>
                <w:lang w:bidi="ar"/>
              </w:rPr>
              <w:t>万元</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60</w:t>
            </w:r>
            <w:r>
              <w:rPr>
                <w:rFonts w:hint="eastAsia" w:hAnsi="宋体" w:cs="宋体"/>
                <w:color w:val="000000"/>
                <w:sz w:val="18"/>
                <w:szCs w:val="18"/>
                <w:lang w:bidi="ar"/>
              </w:rPr>
              <w:t>万元</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雪亮工程资金占用费</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066"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构建立体防控体系</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6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协助破案</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5</w:t>
            </w:r>
            <w:r>
              <w:rPr>
                <w:rFonts w:hint="eastAsia" w:hAnsi="宋体" w:cs="宋体"/>
                <w:color w:val="000000"/>
                <w:sz w:val="18"/>
                <w:szCs w:val="18"/>
                <w:lang w:bidi="ar"/>
              </w:rPr>
              <w:t>件</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32</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Before w:w="0" w:type="dxa"/>
          <w:wAfter w:w="320" w:type="dxa"/>
          <w:trHeight w:val="312" w:hRule="atLeast"/>
        </w:trPr>
        <w:tc>
          <w:tcPr>
            <w:tcW w:w="442"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c>
          <w:tcPr>
            <w:tcW w:w="100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110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1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68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59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600" w:hRule="atLeast"/>
        </w:trPr>
        <w:tc>
          <w:tcPr>
            <w:tcW w:w="9250" w:type="dxa"/>
            <w:gridSpan w:val="75"/>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网格化管理经费项目支出绩效自评表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895" w:type="dxa"/>
            <w:gridSpan w:val="6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网格化管理经费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879" w:type="dxa"/>
            <w:gridSpan w:val="3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2852" w:type="dxa"/>
            <w:gridSpan w:val="2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1925" w:type="dxa"/>
            <w:gridSpan w:val="17"/>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54" w:type="dxa"/>
            <w:gridSpan w:val="17"/>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164" w:type="dxa"/>
            <w:gridSpan w:val="9"/>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343" w:type="dxa"/>
            <w:gridSpan w:val="9"/>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509"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2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509"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2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2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162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13</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2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rPr>
                <w:rFonts w:hint="eastAsia" w:ascii="Times New Roman" w:hAnsi="宋体" w:eastAsia="Times New Roman" w:cs="宋体"/>
                <w:color w:val="000000"/>
                <w:sz w:val="18"/>
                <w:szCs w:val="18"/>
              </w:rPr>
            </w:pP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2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rPr>
                <w:rFonts w:hint="eastAsia" w:ascii="Times New Roman" w:hAnsi="宋体" w:eastAsia="Times New Roman" w:cs="宋体"/>
                <w:color w:val="000000"/>
                <w:sz w:val="18"/>
                <w:szCs w:val="18"/>
              </w:rPr>
            </w:pP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2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rPr>
                <w:rFonts w:hint="eastAsia" w:ascii="Times New Roman" w:hAnsi="宋体" w:eastAsia="Times New Roman" w:cs="宋体"/>
                <w:color w:val="000000"/>
                <w:sz w:val="18"/>
                <w:szCs w:val="18"/>
              </w:rPr>
            </w:pP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92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rPr>
                <w:rFonts w:hint="eastAsia" w:ascii="Times New Roman" w:hAnsi="宋体" w:eastAsia="Times New Roman" w:cs="宋体"/>
                <w:color w:val="000000"/>
                <w:sz w:val="18"/>
                <w:szCs w:val="18"/>
              </w:rPr>
            </w:pP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343" w:type="dxa"/>
            <w:gridSpan w:val="9"/>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509" w:type="dxa"/>
            <w:gridSpan w:val="13"/>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12" w:hRule="atLeast"/>
        </w:trPr>
        <w:tc>
          <w:tcPr>
            <w:tcW w:w="4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923" w:type="dxa"/>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852"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1685"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5923" w:type="dxa"/>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 xml:space="preserve">. </w:t>
            </w:r>
            <w:r>
              <w:rPr>
                <w:rFonts w:hint="eastAsia" w:hAnsi="宋体" w:cs="宋体"/>
                <w:color w:val="000000"/>
                <w:sz w:val="18"/>
                <w:szCs w:val="18"/>
                <w:lang w:bidi="ar"/>
              </w:rPr>
              <w:t>加强专兼职网格员队伍建设，强化科技支撑，进一步健全完善“全域覆盖、全网整合、规范高效、常态运行”的网格化服务管理体系；</w:t>
            </w:r>
            <w:r>
              <w:rPr>
                <w:rFonts w:hint="eastAsia" w:ascii="Times New Roman" w:hAnsi="宋体" w:eastAsia="Times New Roman" w:cs="宋体"/>
                <w:color w:val="000000"/>
                <w:sz w:val="18"/>
                <w:szCs w:val="18"/>
                <w:lang w:bidi="ar"/>
              </w:rPr>
              <w:br w:type="textWrapping"/>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不断提升基层社会治理现代化水平，不断增强人民群众安全感和满意度。</w:t>
            </w:r>
          </w:p>
        </w:tc>
        <w:tc>
          <w:tcPr>
            <w:tcW w:w="2852"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建实“一格一长三员”网格化服务管理体系，推动网格管理权限下沉，</w:t>
            </w:r>
            <w:r>
              <w:rPr>
                <w:rFonts w:hint="eastAsia" w:ascii="Times New Roman" w:eastAsia="Times New Roman" w:cs="宋体"/>
                <w:color w:val="000000"/>
                <w:sz w:val="18"/>
                <w:szCs w:val="18"/>
                <w:lang w:bidi="ar"/>
              </w:rPr>
              <w:t>12</w:t>
            </w:r>
            <w:r>
              <w:rPr>
                <w:rFonts w:hint="eastAsia" w:hAnsi="宋体" w:cs="宋体"/>
                <w:color w:val="000000"/>
                <w:sz w:val="18"/>
                <w:szCs w:val="18"/>
                <w:lang w:bidi="ar"/>
              </w:rPr>
              <w:t>名镇党委书记任总网格长，全面负责本镇网格化工作。全区共划分微网格约</w:t>
            </w:r>
            <w:r>
              <w:rPr>
                <w:rFonts w:hint="eastAsia" w:ascii="Times New Roman" w:eastAsia="Times New Roman" w:cs="宋体"/>
                <w:color w:val="000000"/>
                <w:sz w:val="18"/>
                <w:szCs w:val="18"/>
                <w:lang w:bidi="ar"/>
              </w:rPr>
              <w:t>2100</w:t>
            </w:r>
            <w:r>
              <w:rPr>
                <w:rFonts w:hint="eastAsia" w:hAnsi="宋体" w:cs="宋体"/>
                <w:color w:val="000000"/>
                <w:sz w:val="18"/>
                <w:szCs w:val="18"/>
                <w:lang w:bidi="ar"/>
              </w:rPr>
              <w:t>个，设专兼职网格员约</w:t>
            </w:r>
            <w:r>
              <w:rPr>
                <w:rFonts w:hint="eastAsia" w:ascii="Times New Roman" w:eastAsia="Times New Roman" w:cs="宋体"/>
                <w:color w:val="000000"/>
                <w:sz w:val="18"/>
                <w:szCs w:val="18"/>
                <w:lang w:bidi="ar"/>
              </w:rPr>
              <w:t>3128</w:t>
            </w:r>
            <w:r>
              <w:rPr>
                <w:rFonts w:hint="eastAsia" w:hAnsi="宋体" w:cs="宋体"/>
                <w:color w:val="000000"/>
                <w:sz w:val="18"/>
                <w:szCs w:val="18"/>
                <w:lang w:bidi="ar"/>
              </w:rPr>
              <w:t>名（其中一级网格员</w:t>
            </w:r>
            <w:r>
              <w:rPr>
                <w:rFonts w:hint="eastAsia" w:ascii="Times New Roman" w:eastAsia="Times New Roman" w:cs="宋体"/>
                <w:color w:val="000000"/>
                <w:sz w:val="18"/>
                <w:szCs w:val="18"/>
                <w:lang w:bidi="ar"/>
              </w:rPr>
              <w:t>181</w:t>
            </w:r>
            <w:r>
              <w:rPr>
                <w:rFonts w:hint="eastAsia" w:hAnsi="宋体" w:cs="宋体"/>
                <w:color w:val="000000"/>
                <w:sz w:val="18"/>
                <w:szCs w:val="18"/>
                <w:lang w:bidi="ar"/>
              </w:rPr>
              <w:t>名，二级网格员</w:t>
            </w:r>
            <w:r>
              <w:rPr>
                <w:rFonts w:hint="eastAsia" w:ascii="Times New Roman" w:eastAsia="Times New Roman" w:cs="宋体"/>
                <w:color w:val="000000"/>
                <w:sz w:val="18"/>
                <w:szCs w:val="18"/>
                <w:lang w:bidi="ar"/>
              </w:rPr>
              <w:t>1078</w:t>
            </w:r>
            <w:r>
              <w:rPr>
                <w:rFonts w:hint="eastAsia" w:hAnsi="宋体" w:cs="宋体"/>
                <w:color w:val="000000"/>
                <w:sz w:val="18"/>
                <w:szCs w:val="18"/>
                <w:lang w:bidi="ar"/>
              </w:rPr>
              <w:t>名，三级网格员</w:t>
            </w:r>
            <w:r>
              <w:rPr>
                <w:rFonts w:hint="eastAsia" w:ascii="Times New Roman" w:eastAsia="Times New Roman" w:cs="宋体"/>
                <w:color w:val="000000"/>
                <w:sz w:val="18"/>
                <w:szCs w:val="18"/>
                <w:lang w:bidi="ar"/>
              </w:rPr>
              <w:t>1869</w:t>
            </w:r>
            <w:r>
              <w:rPr>
                <w:rFonts w:hint="eastAsia" w:hAnsi="宋体" w:cs="宋体"/>
                <w:color w:val="000000"/>
                <w:sz w:val="18"/>
                <w:szCs w:val="18"/>
                <w:lang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88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06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812"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067"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专兼职网格员队伍</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181</w:t>
            </w:r>
            <w:r>
              <w:rPr>
                <w:rFonts w:hint="eastAsia" w:hAnsi="宋体" w:cs="宋体"/>
                <w:color w:val="000000"/>
                <w:sz w:val="18"/>
                <w:szCs w:val="18"/>
                <w:lang w:bidi="ar"/>
              </w:rPr>
              <w:t>人</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181</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网格员登录</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万件次</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特殊人群走访</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6000</w:t>
            </w:r>
            <w:r>
              <w:rPr>
                <w:rFonts w:hint="eastAsia" w:hAnsi="宋体" w:cs="宋体"/>
                <w:color w:val="000000"/>
                <w:sz w:val="18"/>
                <w:szCs w:val="18"/>
                <w:lang w:bidi="ar"/>
              </w:rPr>
              <w:t>件次</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7200</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参与协助流动人口管理服务</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200</w:t>
            </w:r>
            <w:r>
              <w:rPr>
                <w:rFonts w:hint="eastAsia" w:hAnsi="宋体" w:cs="宋体"/>
                <w:color w:val="000000"/>
                <w:sz w:val="18"/>
                <w:szCs w:val="18"/>
                <w:lang w:bidi="ar"/>
              </w:rPr>
              <w:t>人次</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300</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5</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参与排查调解矛盾纠纷</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600</w:t>
            </w:r>
            <w:r>
              <w:rPr>
                <w:rFonts w:hint="eastAsia" w:hAnsi="宋体" w:cs="宋体"/>
                <w:color w:val="000000"/>
                <w:sz w:val="18"/>
                <w:szCs w:val="18"/>
                <w:lang w:bidi="ar"/>
              </w:rPr>
              <w:t>件</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3026</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6</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参与公共服务</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0</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8</w:t>
            </w:r>
            <w:r>
              <w:rPr>
                <w:rFonts w:hint="eastAsia" w:hAnsi="宋体" w:cs="宋体"/>
                <w:color w:val="000000"/>
                <w:sz w:val="18"/>
                <w:szCs w:val="18"/>
                <w:lang w:bidi="ar"/>
              </w:rPr>
              <w:t>万件次</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56</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7</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排查各类安全隐患</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200</w:t>
            </w:r>
            <w:r>
              <w:rPr>
                <w:rFonts w:hint="eastAsia" w:hAnsi="宋体" w:cs="宋体"/>
                <w:color w:val="000000"/>
                <w:sz w:val="18"/>
                <w:szCs w:val="18"/>
                <w:lang w:bidi="ar"/>
              </w:rPr>
              <w:t>件</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200</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参与调解矛盾纠纷成功率</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确保网格化服务高质量</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网格员补助</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万元</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万元</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106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95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网格化服务管理电信服务费</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66</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73</w:t>
            </w:r>
            <w:r>
              <w:rPr>
                <w:rFonts w:hint="eastAsia" w:hAnsi="宋体" w:cs="宋体"/>
                <w:color w:val="000000"/>
                <w:sz w:val="18"/>
                <w:szCs w:val="18"/>
                <w:lang w:bidi="ar"/>
              </w:rPr>
              <w:t>万元</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66</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73</w:t>
            </w:r>
            <w:r>
              <w:rPr>
                <w:rFonts w:hint="eastAsia" w:hAnsi="宋体" w:cs="宋体"/>
                <w:color w:val="000000"/>
                <w:sz w:val="18"/>
                <w:szCs w:val="18"/>
                <w:lang w:bidi="ar"/>
              </w:rPr>
              <w:t>万元</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06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812"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提升社会治理水平，社会和谐稳定</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40" w:hRule="atLeast"/>
        </w:trPr>
        <w:tc>
          <w:tcPr>
            <w:tcW w:w="4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c>
          <w:tcPr>
            <w:tcW w:w="88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06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812"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16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80</w:t>
            </w:r>
            <w:r>
              <w:rPr>
                <w:rFonts w:hint="eastAsia" w:ascii="Times New Roman" w:hAnsi="宋体" w:eastAsia="Times New Roman" w:cs="宋体"/>
                <w:color w:val="000000"/>
                <w:sz w:val="18"/>
                <w:szCs w:val="18"/>
                <w:lang w:bidi="ar"/>
              </w:rPr>
              <w:t>%</w:t>
            </w:r>
          </w:p>
        </w:tc>
        <w:tc>
          <w:tcPr>
            <w:tcW w:w="134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50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600" w:hRule="atLeast"/>
        </w:trPr>
        <w:tc>
          <w:tcPr>
            <w:tcW w:w="9231" w:type="dxa"/>
            <w:gridSpan w:val="74"/>
            <w:tcBorders>
              <w:top w:val="nil"/>
              <w:left w:val="nil"/>
              <w:bottom w:val="nil"/>
              <w:right w:val="nil"/>
              <w:tl2br w:val="nil"/>
              <w:tr2bl w:val="nil"/>
            </w:tcBorders>
            <w:noWrap w:val="0"/>
            <w:vAlign w:val="center"/>
          </w:tcPr>
          <w:p>
            <w:pPr>
              <w:widowControl/>
              <w:spacing w:line="560"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平安昭化建设工作经费及微电影摄制费用项目</w:t>
            </w:r>
          </w:p>
          <w:p>
            <w:pPr>
              <w:widowControl/>
              <w:spacing w:line="56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876" w:type="dxa"/>
            <w:gridSpan w:val="6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平安昭化建设工作经费及微电影摄制费用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761" w:type="dxa"/>
            <w:gridSpan w:val="3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3257" w:type="dxa"/>
            <w:gridSpan w:val="2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290" w:type="dxa"/>
            <w:gridSpan w:val="22"/>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471"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858" w:type="dxa"/>
            <w:gridSpan w:val="7"/>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500"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757" w:type="dxa"/>
            <w:gridSpan w:val="15"/>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290"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4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1757" w:type="dxa"/>
            <w:gridSpan w:val="15"/>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290"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4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290"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4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290"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4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290"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4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290"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4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1355" w:type="dxa"/>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290"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4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500" w:type="dxa"/>
            <w:gridSpan w:val="10"/>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757" w:type="dxa"/>
            <w:gridSpan w:val="15"/>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408"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257"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1520" w:hRule="atLeast"/>
        </w:trPr>
        <w:tc>
          <w:tcPr>
            <w:tcW w:w="566" w:type="dxa"/>
            <w:gridSpan w:val="3"/>
            <w:vMerge w:val="continue"/>
            <w:tcBorders>
              <w:top w:val="nil"/>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5408"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 xml:space="preserve">防范和化解影响我国现代化进程的各种风险，筑牢国家安全屏障，确保人民安居乐业、社会安定有序、国家长治久安。把专项治理和系统治理、综合治理、依法治理、源头治理结合起来，正确处理维权和维稳、秩序和活力等关系，全面提升平安中国建设科学化、社会化、法治化、智能化水平。形成问题联治、工作联动、平安联创的良好局面。不断增强人民群众获得感、幸福感、安全感。 </w:t>
            </w:r>
          </w:p>
        </w:tc>
        <w:tc>
          <w:tcPr>
            <w:tcW w:w="3257"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昭化区成功创成首批省级法治政府建设示范区，连续</w:t>
            </w:r>
            <w:r>
              <w:rPr>
                <w:rFonts w:hint="eastAsia" w:ascii="Times New Roman" w:eastAsia="Times New Roman" w:cs="宋体"/>
                <w:color w:val="000000"/>
                <w:sz w:val="18"/>
                <w:szCs w:val="18"/>
                <w:lang w:bidi="ar"/>
              </w:rPr>
              <w:t>13</w:t>
            </w:r>
            <w:r>
              <w:rPr>
                <w:rFonts w:hint="eastAsia" w:hAnsi="宋体" w:cs="宋体"/>
                <w:color w:val="000000"/>
                <w:sz w:val="18"/>
                <w:szCs w:val="18"/>
                <w:lang w:bidi="ar"/>
              </w:rPr>
              <w:t>年无“民转刑”命案发生，平安建设群众满意度测评连续</w:t>
            </w:r>
            <w:r>
              <w:rPr>
                <w:rFonts w:hint="eastAsia" w:ascii="Times New Roman" w:eastAsia="Times New Roman" w:cs="宋体"/>
                <w:color w:val="000000"/>
                <w:sz w:val="18"/>
                <w:szCs w:val="18"/>
                <w:lang w:bidi="ar"/>
              </w:rPr>
              <w:t>7</w:t>
            </w:r>
            <w:r>
              <w:rPr>
                <w:rFonts w:hint="eastAsia" w:hAnsi="宋体" w:cs="宋体"/>
                <w:color w:val="000000"/>
                <w:sz w:val="18"/>
                <w:szCs w:val="18"/>
                <w:lang w:bidi="ar"/>
              </w:rPr>
              <w:t>年位居省市前列，连续</w:t>
            </w:r>
            <w:r>
              <w:rPr>
                <w:rFonts w:hint="eastAsia" w:ascii="Times New Roman" w:eastAsia="Times New Roman" w:cs="宋体"/>
                <w:color w:val="000000"/>
                <w:sz w:val="18"/>
                <w:szCs w:val="18"/>
                <w:lang w:bidi="ar"/>
              </w:rPr>
              <w:t>6</w:t>
            </w:r>
            <w:r>
              <w:rPr>
                <w:rFonts w:hint="eastAsia" w:hAnsi="宋体" w:cs="宋体"/>
                <w:color w:val="000000"/>
                <w:sz w:val="18"/>
                <w:szCs w:val="18"/>
                <w:lang w:bidi="ar"/>
              </w:rPr>
              <w:t>年被省委省政府表彰为平安建设先进县区。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79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694"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790"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2694"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平安建设工作督导、指导</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79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2694"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社会和谐稳定、人民幸福感获得感强</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79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2694"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完成项目及时率（计划完成时间-实际完成时间）/计划完成时间*</w:t>
            </w: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79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06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2694"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严控成本</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45</w:t>
            </w:r>
            <w:r>
              <w:rPr>
                <w:rFonts w:hint="eastAsia" w:hAnsi="宋体" w:cs="宋体"/>
                <w:color w:val="000000"/>
                <w:sz w:val="18"/>
                <w:szCs w:val="18"/>
                <w:lang w:bidi="ar"/>
              </w:rPr>
              <w:t>万元</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45</w:t>
            </w:r>
            <w:r>
              <w:rPr>
                <w:rFonts w:hint="eastAsia" w:hAnsi="宋体" w:cs="宋体"/>
                <w:color w:val="000000"/>
                <w:sz w:val="18"/>
                <w:szCs w:val="18"/>
                <w:lang w:bidi="ar"/>
              </w:rPr>
              <w:t>万元</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78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06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694"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维护社会和谐稳定，护航经济发展，提升群众获得感幸福感和安全感</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8"/>
          <w:wBefore w:w="93" w:type="dxa"/>
          <w:wAfter w:w="339" w:type="dxa"/>
          <w:trHeight w:val="454" w:hRule="atLeast"/>
        </w:trPr>
        <w:tc>
          <w:tcPr>
            <w:tcW w:w="5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78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06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694"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80</w:t>
            </w:r>
            <w:r>
              <w:rPr>
                <w:rFonts w:hint="eastAsia" w:ascii="Times New Roman" w:hAnsi="宋体" w:eastAsia="Times New Roman" w:cs="宋体"/>
                <w:color w:val="000000"/>
                <w:sz w:val="18"/>
                <w:szCs w:val="18"/>
                <w:lang w:bidi="ar"/>
              </w:rPr>
              <w:t>%</w:t>
            </w:r>
          </w:p>
        </w:tc>
        <w:tc>
          <w:tcPr>
            <w:tcW w:w="150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75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600" w:hRule="atLeast"/>
        </w:trPr>
        <w:tc>
          <w:tcPr>
            <w:tcW w:w="9570" w:type="dxa"/>
            <w:gridSpan w:val="82"/>
            <w:tcBorders>
              <w:top w:val="nil"/>
              <w:left w:val="nil"/>
              <w:bottom w:val="nil"/>
              <w:right w:val="nil"/>
              <w:tl2br w:val="nil"/>
              <w:tr2bl w:val="nil"/>
            </w:tcBorders>
            <w:noWrap w:val="0"/>
            <w:vAlign w:val="center"/>
          </w:tcPr>
          <w:p>
            <w:pPr>
              <w:widowControl/>
              <w:spacing w:line="52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pacing w:val="-11"/>
                <w:sz w:val="44"/>
                <w:szCs w:val="44"/>
                <w:lang w:bidi="ar"/>
              </w:rPr>
              <w:t>扫黑除恶斗争常态化工作经费项目支出绩效自评表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8066" w:type="dxa"/>
            <w:gridSpan w:val="7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扫黑除恶斗争常态化工作经费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4006" w:type="dxa"/>
            <w:gridSpan w:val="3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2948" w:type="dxa"/>
            <w:gridSpan w:val="27"/>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1980" w:type="dxa"/>
            <w:gridSpan w:val="18"/>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26" w:type="dxa"/>
            <w:gridSpan w:val="18"/>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112" w:type="dxa"/>
            <w:gridSpan w:val="7"/>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466" w:type="dxa"/>
            <w:gridSpan w:val="15"/>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482" w:type="dxa"/>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98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2026"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82" w:type="dxa"/>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98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2026"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98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2026"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98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2026"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98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2026"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98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2026"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980"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2026"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1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66" w:type="dxa"/>
            <w:gridSpan w:val="15"/>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482" w:type="dxa"/>
            <w:gridSpan w:val="12"/>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40" w:hRule="atLeast"/>
        </w:trPr>
        <w:tc>
          <w:tcPr>
            <w:tcW w:w="596"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6026" w:type="dxa"/>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948"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1683"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6026" w:type="dxa"/>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开展督导、指导不少于</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次，推进扫黑除恶长效常态化开展，巩固扫黑除恶专项斗争成果；整治各行业社会问题乱象；提高社会治理水平；保障社会经济健康有序发展；资金使用规范。</w:t>
            </w:r>
          </w:p>
        </w:tc>
        <w:tc>
          <w:tcPr>
            <w:tcW w:w="2948"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常态化开展扫黑除恶斗争和打击整治养老诈骗行动，严厉打击电信网络诈骗犯罪</w:t>
            </w:r>
            <w:r>
              <w:rPr>
                <w:rFonts w:hint="eastAsia" w:ascii="Times New Roman" w:eastAsia="Times New Roman" w:cs="宋体"/>
                <w:color w:val="000000"/>
                <w:sz w:val="18"/>
                <w:szCs w:val="18"/>
                <w:lang w:bidi="ar"/>
              </w:rPr>
              <w:t>34</w:t>
            </w:r>
            <w:r>
              <w:rPr>
                <w:rFonts w:hint="eastAsia" w:hAnsi="宋体" w:cs="宋体"/>
                <w:color w:val="000000"/>
                <w:sz w:val="18"/>
                <w:szCs w:val="18"/>
                <w:lang w:bidi="ar"/>
              </w:rPr>
              <w:t>件</w:t>
            </w:r>
            <w:r>
              <w:rPr>
                <w:rFonts w:hint="eastAsia" w:ascii="Times New Roman" w:eastAsia="Times New Roman" w:cs="宋体"/>
                <w:color w:val="000000"/>
                <w:sz w:val="18"/>
                <w:szCs w:val="18"/>
                <w:lang w:bidi="ar"/>
              </w:rPr>
              <w:t>91</w:t>
            </w:r>
            <w:r>
              <w:rPr>
                <w:rFonts w:hint="eastAsia" w:hAnsi="宋体" w:cs="宋体"/>
                <w:color w:val="000000"/>
                <w:sz w:val="18"/>
                <w:szCs w:val="18"/>
                <w:lang w:bidi="ar"/>
              </w:rPr>
              <w:t>人、毒品犯罪</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件</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人，开展线索排查工作</w:t>
            </w:r>
            <w:r>
              <w:rPr>
                <w:rFonts w:hint="eastAsia" w:ascii="Times New Roman" w:eastAsia="Times New Roman" w:cs="宋体"/>
                <w:color w:val="000000"/>
                <w:sz w:val="18"/>
                <w:szCs w:val="18"/>
                <w:lang w:bidi="ar"/>
              </w:rPr>
              <w:t>220</w:t>
            </w:r>
            <w:r>
              <w:rPr>
                <w:rFonts w:hint="eastAsia" w:hAnsi="宋体" w:cs="宋体"/>
                <w:color w:val="000000"/>
                <w:sz w:val="18"/>
                <w:szCs w:val="18"/>
                <w:lang w:bidi="ar"/>
              </w:rPr>
              <w:t>余次，受理各类投诉举报</w:t>
            </w:r>
            <w:r>
              <w:rPr>
                <w:rFonts w:hint="eastAsia" w:ascii="Times New Roman" w:eastAsia="Times New Roman" w:cs="宋体"/>
                <w:color w:val="000000"/>
                <w:sz w:val="18"/>
                <w:szCs w:val="18"/>
                <w:lang w:bidi="ar"/>
              </w:rPr>
              <w:t>238</w:t>
            </w:r>
            <w:r>
              <w:rPr>
                <w:rFonts w:hint="eastAsia" w:hAnsi="宋体" w:cs="宋体"/>
                <w:color w:val="000000"/>
                <w:sz w:val="18"/>
                <w:szCs w:val="18"/>
                <w:lang w:bidi="ar"/>
              </w:rPr>
              <w:t>件，出动执法人员</w:t>
            </w:r>
            <w:r>
              <w:rPr>
                <w:rFonts w:hint="eastAsia" w:ascii="Times New Roman" w:eastAsia="Times New Roman" w:cs="宋体"/>
                <w:color w:val="000000"/>
                <w:sz w:val="18"/>
                <w:szCs w:val="18"/>
                <w:lang w:bidi="ar"/>
              </w:rPr>
              <w:t>2480</w:t>
            </w:r>
            <w:r>
              <w:rPr>
                <w:rFonts w:hint="eastAsia" w:hAnsi="宋体" w:cs="宋体"/>
                <w:color w:val="000000"/>
                <w:sz w:val="18"/>
                <w:szCs w:val="18"/>
                <w:lang w:bidi="ar"/>
              </w:rPr>
              <w:t>人次，立案查处各类违法案件</w:t>
            </w:r>
            <w:r>
              <w:rPr>
                <w:rFonts w:hint="eastAsia" w:ascii="Times New Roman" w:eastAsia="Times New Roman" w:cs="宋体"/>
                <w:color w:val="000000"/>
                <w:sz w:val="18"/>
                <w:szCs w:val="18"/>
                <w:lang w:bidi="ar"/>
              </w:rPr>
              <w:t>198</w:t>
            </w:r>
            <w:r>
              <w:rPr>
                <w:rFonts w:hint="eastAsia" w:hAnsi="宋体" w:cs="宋体"/>
                <w:color w:val="000000"/>
                <w:sz w:val="18"/>
                <w:szCs w:val="18"/>
                <w:lang w:bidi="ar"/>
              </w:rPr>
              <w:t>件，专项打击成效得到全面巩固提升。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90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55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02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落实“一案三查”问题线索</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件</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开展督导指导</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次/年</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6</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召开扫黑除恶斗争常态化会议</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场次</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开展扫黑除恶斗争常态化培训</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场次</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5</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印制宣传资料</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5</w:t>
            </w:r>
            <w:r>
              <w:rPr>
                <w:rFonts w:hint="eastAsia" w:hAnsi="宋体" w:cs="宋体"/>
                <w:color w:val="000000"/>
                <w:sz w:val="18"/>
                <w:szCs w:val="18"/>
                <w:lang w:bidi="ar"/>
              </w:rPr>
              <w:t>万份</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6</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培训达标率</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群众反映涉黑涉恶、行业乱象问题线索明显下降</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10</w:t>
            </w:r>
            <w:r>
              <w:rPr>
                <w:rFonts w:hint="eastAsia" w:ascii="Times New Roman" w:hAnsi="宋体" w:eastAsia="Times New Roman" w:cs="宋体"/>
                <w:color w:val="000000"/>
                <w:sz w:val="18"/>
                <w:szCs w:val="18"/>
                <w:lang w:bidi="ar"/>
              </w:rPr>
              <w:t>%</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896"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严控成本</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55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清除行业涉黑恶势力，行业乱象根本遏制，经济持续健康发展，社会大局稳定。</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wAfter w:w="0" w:type="dxa"/>
          <w:trHeight w:val="369" w:hRule="atLeast"/>
        </w:trPr>
        <w:tc>
          <w:tcPr>
            <w:tcW w:w="596"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c>
          <w:tcPr>
            <w:tcW w:w="90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551"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541"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466"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48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600" w:hRule="atLeast"/>
        </w:trPr>
        <w:tc>
          <w:tcPr>
            <w:tcW w:w="9250" w:type="dxa"/>
            <w:gridSpan w:val="75"/>
            <w:tcBorders>
              <w:top w:val="nil"/>
              <w:left w:val="nil"/>
              <w:bottom w:val="nil"/>
              <w:right w:val="nil"/>
              <w:tl2br w:val="nil"/>
              <w:tr2bl w:val="nil"/>
            </w:tcBorders>
            <w:noWrap w:val="0"/>
            <w:vAlign w:val="center"/>
          </w:tcPr>
          <w:p>
            <w:pPr>
              <w:widowControl/>
              <w:spacing w:line="560"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综治维稳、矛盾纠纷多元化解及反邪教工作经费</w:t>
            </w:r>
          </w:p>
          <w:p>
            <w:pPr>
              <w:widowControl/>
              <w:spacing w:line="56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60" w:hRule="atLeast"/>
        </w:trPr>
        <w:tc>
          <w:tcPr>
            <w:tcW w:w="150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746" w:type="dxa"/>
            <w:gridSpan w:val="6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bookmarkStart w:id="6" w:name="OLE_LINK21"/>
            <w:r>
              <w:rPr>
                <w:rFonts w:hint="eastAsia" w:hAnsi="宋体" w:cs="宋体"/>
                <w:color w:val="000000"/>
                <w:sz w:val="18"/>
                <w:szCs w:val="18"/>
                <w:lang w:bidi="ar"/>
              </w:rPr>
              <w:t>综治维稳、矛盾纠纷多元化解及反邪教工作经费</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60" w:hRule="atLeast"/>
        </w:trPr>
        <w:tc>
          <w:tcPr>
            <w:tcW w:w="150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423"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3203" w:type="dxa"/>
            <w:gridSpan w:val="2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25" w:hRule="atLeast"/>
        </w:trPr>
        <w:tc>
          <w:tcPr>
            <w:tcW w:w="1504" w:type="dxa"/>
            <w:gridSpan w:val="12"/>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1681" w:type="dxa"/>
            <w:gridSpan w:val="14"/>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742"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120"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526"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677" w:type="dxa"/>
            <w:gridSpan w:val="15"/>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74"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8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677" w:type="dxa"/>
            <w:gridSpan w:val="15"/>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09"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8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91"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8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08"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8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06"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8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26"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8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26" w:hRule="atLeast"/>
        </w:trPr>
        <w:tc>
          <w:tcPr>
            <w:tcW w:w="1504" w:type="dxa"/>
            <w:gridSpan w:val="12"/>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81"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526" w:type="dxa"/>
            <w:gridSpan w:val="10"/>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77" w:type="dxa"/>
            <w:gridSpan w:val="15"/>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383" w:hRule="atLeast"/>
        </w:trPr>
        <w:tc>
          <w:tcPr>
            <w:tcW w:w="582"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465"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203"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086"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5465"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开展督导、指导不少于</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次，推进扫黑除恶长效常态化开展，巩固扫黑除恶专项斗争成果；整治各行业社会问题乱象；提高社会治理水平；保障社会经济健康有序发展；资金使用规范。</w:t>
            </w:r>
          </w:p>
        </w:tc>
        <w:tc>
          <w:tcPr>
            <w:tcW w:w="3203"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覆盖建强区镇村（社区）三级综治中心和“一站式”矛调中心并实体化实战化运行。坚持和发展新时代“枫桥经验”，深入开展矛盾纠纷“大起底大排查大化解”专项行动，分类健全“发现问题、流转交办、协调联动、研判预警、督查考核”的综合指挥工作机制，共排查矛盾纠纷</w:t>
            </w:r>
            <w:r>
              <w:rPr>
                <w:rFonts w:hint="eastAsia" w:ascii="Times New Roman" w:eastAsia="Times New Roman" w:cs="宋体"/>
                <w:color w:val="000000"/>
                <w:sz w:val="18"/>
                <w:szCs w:val="18"/>
                <w:lang w:bidi="ar"/>
              </w:rPr>
              <w:t>5022</w:t>
            </w:r>
            <w:r>
              <w:rPr>
                <w:rFonts w:hint="eastAsia" w:hAnsi="宋体" w:cs="宋体"/>
                <w:color w:val="000000"/>
                <w:sz w:val="18"/>
                <w:szCs w:val="18"/>
                <w:lang w:bidi="ar"/>
              </w:rPr>
              <w:t>件、化解</w:t>
            </w:r>
            <w:r>
              <w:rPr>
                <w:rFonts w:hint="eastAsia" w:ascii="Times New Roman" w:eastAsia="Times New Roman" w:cs="宋体"/>
                <w:color w:val="000000"/>
                <w:sz w:val="18"/>
                <w:szCs w:val="18"/>
                <w:lang w:bidi="ar"/>
              </w:rPr>
              <w:t>4993</w:t>
            </w:r>
            <w:r>
              <w:rPr>
                <w:rFonts w:hint="eastAsia" w:hAnsi="宋体" w:cs="宋体"/>
                <w:color w:val="000000"/>
                <w:sz w:val="18"/>
                <w:szCs w:val="18"/>
                <w:lang w:bidi="ar"/>
              </w:rPr>
              <w:t>件，化解率</w:t>
            </w:r>
            <w:r>
              <w:rPr>
                <w:rFonts w:hint="eastAsia" w:ascii="Times New Roman" w:eastAsia="Times New Roman" w:cs="宋体"/>
                <w:color w:val="000000"/>
                <w:sz w:val="18"/>
                <w:szCs w:val="18"/>
                <w:lang w:bidi="ar"/>
              </w:rPr>
              <w:t>99</w:t>
            </w:r>
            <w:r>
              <w:rPr>
                <w:rFonts w:hint="eastAsia" w:hAnsi="宋体" w:cs="宋体"/>
                <w:color w:val="000000"/>
                <w:sz w:val="18"/>
                <w:szCs w:val="18"/>
                <w:lang w:bidi="ar"/>
              </w:rPr>
              <w:t>.</w:t>
            </w:r>
            <w:r>
              <w:rPr>
                <w:rFonts w:hint="eastAsia" w:ascii="Times New Roman" w:eastAsia="Times New Roman" w:cs="宋体"/>
                <w:color w:val="000000"/>
                <w:sz w:val="18"/>
                <w:szCs w:val="18"/>
                <w:lang w:bidi="ar"/>
              </w:rPr>
              <w:t>42</w:t>
            </w:r>
            <w:r>
              <w:rPr>
                <w:rFonts w:hint="eastAsia" w:hAnsi="宋体" w:cs="宋体"/>
                <w:color w:val="000000"/>
                <w:sz w:val="18"/>
                <w:szCs w:val="18"/>
                <w:lang w:bidi="ar"/>
              </w:rPr>
              <w:t>%。依法查处涉邪案件</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件</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人，对全区</w:t>
            </w:r>
            <w:r>
              <w:rPr>
                <w:rFonts w:hint="eastAsia" w:ascii="Times New Roman" w:eastAsia="Times New Roman" w:cs="宋体"/>
                <w:color w:val="000000"/>
                <w:sz w:val="18"/>
                <w:szCs w:val="18"/>
                <w:lang w:bidi="ar"/>
              </w:rPr>
              <w:t>40</w:t>
            </w:r>
            <w:r>
              <w:rPr>
                <w:rFonts w:hint="eastAsia" w:hAnsi="宋体" w:cs="宋体"/>
                <w:color w:val="000000"/>
                <w:sz w:val="18"/>
                <w:szCs w:val="18"/>
                <w:lang w:bidi="ar"/>
              </w:rPr>
              <w:t>名在册邪教人员严格落实“双线三级”管控机制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07" w:hRule="atLeast"/>
        </w:trPr>
        <w:tc>
          <w:tcPr>
            <w:tcW w:w="582"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92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397"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85"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02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印制各类宣传资料</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万份</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0"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开展特殊人群走访服务</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年</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12</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675"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召开工作协调会、工作推进会、开展综治工作宣传</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场次</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85"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矛盾纠纷联调</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12</w:t>
            </w:r>
            <w:r>
              <w:rPr>
                <w:rFonts w:hint="eastAsia" w:hAnsi="宋体" w:cs="宋体"/>
                <w:color w:val="000000"/>
                <w:sz w:val="18"/>
                <w:szCs w:val="18"/>
                <w:lang w:bidi="ar"/>
              </w:rPr>
              <w:t>批次</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12</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85"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5</w:t>
            </w:r>
            <w:r>
              <w:rPr>
                <w:rFonts w:hint="eastAsia" w:hAnsi="宋体" w:cs="宋体"/>
                <w:color w:val="000000"/>
                <w:sz w:val="18"/>
                <w:szCs w:val="18"/>
                <w:lang w:bidi="ar"/>
              </w:rPr>
              <w:t>：</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示范点规范化建设</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个（套）</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80"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397"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调解成功率、社会稳定风险评估准确率</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85"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285"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6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742"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严控成本</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90"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397"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群众对当地社会认可，满意度幸福感增加</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522" w:hRule="atLeast"/>
        </w:trPr>
        <w:tc>
          <w:tcPr>
            <w:tcW w:w="58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2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397"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1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677"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600" w:hRule="atLeast"/>
        </w:trPr>
        <w:tc>
          <w:tcPr>
            <w:tcW w:w="9398" w:type="dxa"/>
            <w:gridSpan w:val="79"/>
            <w:tcBorders>
              <w:top w:val="nil"/>
              <w:left w:val="nil"/>
              <w:bottom w:val="nil"/>
              <w:right w:val="nil"/>
              <w:tl2br w:val="nil"/>
              <w:tr2bl w:val="nil"/>
            </w:tcBorders>
            <w:noWrap w:val="0"/>
            <w:vAlign w:val="center"/>
          </w:tcPr>
          <w:p>
            <w:pPr>
              <w:widowControl/>
              <w:spacing w:line="576"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政治安全和国家安全人民防线工作经费项目</w:t>
            </w:r>
          </w:p>
          <w:p>
            <w:pPr>
              <w:widowControl/>
              <w:spacing w:line="576"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835" w:type="dxa"/>
            <w:gridSpan w:val="6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政治安全和国家安全人民防线工作经费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518"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2623" w:type="dxa"/>
            <w:gridSpan w:val="2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1867" w:type="dxa"/>
            <w:gridSpan w:val="16"/>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651"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694" w:type="dxa"/>
            <w:gridSpan w:val="17"/>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262" w:type="dxa"/>
            <w:gridSpan w:val="12"/>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361"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867"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361"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867"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867"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867"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Times New Roman" w:hAnsi="宋体" w:eastAsia="Times New Roman" w:cs="宋体"/>
                <w:color w:val="000000"/>
                <w:sz w:val="18"/>
                <w:szCs w:val="18"/>
              </w:rPr>
            </w:pP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867"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Times New Roman" w:hAnsi="宋体" w:eastAsia="Times New Roman" w:cs="宋体"/>
                <w:color w:val="000000"/>
                <w:sz w:val="18"/>
                <w:szCs w:val="18"/>
              </w:rPr>
            </w:pP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867"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Times New Roman" w:hAnsi="宋体" w:eastAsia="Times New Roman" w:cs="宋体"/>
                <w:color w:val="000000"/>
                <w:sz w:val="18"/>
                <w:szCs w:val="18"/>
              </w:rPr>
            </w:pP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1563" w:type="dxa"/>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867"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Times New Roman" w:hAnsi="宋体" w:eastAsia="Times New Roman" w:cs="宋体"/>
                <w:color w:val="000000"/>
                <w:sz w:val="18"/>
                <w:szCs w:val="18"/>
              </w:rPr>
            </w:pP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262" w:type="dxa"/>
            <w:gridSpan w:val="12"/>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1361" w:type="dxa"/>
            <w:gridSpan w:val="10"/>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25" w:hRule="atLeast"/>
        </w:trPr>
        <w:tc>
          <w:tcPr>
            <w:tcW w:w="625"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6150" w:type="dxa"/>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623"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1168"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6150" w:type="dxa"/>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贯彻落实中央、省、市、区维护国家安全工作的指示和部署，召开国家安全人民防线建设工作会议</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次，开展排查防范不少于</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次，掌握全区政治安全动态，推动各镇、各部门落实主体责任，做好政治安全各项工作，开展业务培训</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次，培训达标率</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%以上，积极上报涉及政治安全事件。</w:t>
            </w:r>
          </w:p>
        </w:tc>
        <w:tc>
          <w:tcPr>
            <w:tcW w:w="2623"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更新国家安全人民防线建设小组</w:t>
            </w:r>
            <w:r>
              <w:rPr>
                <w:rFonts w:hint="eastAsia" w:ascii="Times New Roman" w:eastAsia="Times New Roman" w:cs="宋体"/>
                <w:color w:val="000000"/>
                <w:sz w:val="18"/>
                <w:szCs w:val="18"/>
                <w:lang w:bidi="ar"/>
              </w:rPr>
              <w:t>65</w:t>
            </w:r>
            <w:r>
              <w:rPr>
                <w:rFonts w:hint="eastAsia" w:hAnsi="宋体" w:cs="宋体"/>
                <w:color w:val="000000"/>
                <w:sz w:val="18"/>
                <w:szCs w:val="18"/>
                <w:lang w:bidi="ar"/>
              </w:rPr>
              <w:t>个，扎实开展“</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r>
              <w:rPr>
                <w:rFonts w:hint="eastAsia" w:ascii="Times New Roman" w:eastAsia="Times New Roman" w:cs="宋体"/>
                <w:color w:val="000000"/>
                <w:sz w:val="18"/>
                <w:szCs w:val="18"/>
                <w:lang w:bidi="ar"/>
              </w:rPr>
              <w:t>15</w:t>
            </w:r>
            <w:r>
              <w:rPr>
                <w:rFonts w:hint="eastAsia" w:hAnsi="宋体" w:cs="宋体"/>
                <w:color w:val="000000"/>
                <w:sz w:val="18"/>
                <w:szCs w:val="18"/>
                <w:lang w:bidi="ar"/>
              </w:rPr>
              <w:t>”第八个全民国家安全教育日和国家安全宣传教育月活动。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93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560"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958"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国家安全人民防线建设工作会议</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1</w:t>
            </w:r>
            <w:r>
              <w:rPr>
                <w:rFonts w:hint="eastAsia" w:ascii="微软雅黑" w:hAnsi="微软雅黑" w:eastAsia="微软雅黑" w:cs="微软雅黑"/>
                <w:color w:val="000000"/>
                <w:sz w:val="18"/>
                <w:szCs w:val="18"/>
                <w:lang w:bidi="ar"/>
              </w:rPr>
              <w:t>次/年</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958"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业务培训</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次/年</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958"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日常排查防范</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突发事件处置</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c>
          <w:tcPr>
            <w:tcW w:w="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严控成本</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5</w:t>
            </w:r>
            <w:r>
              <w:rPr>
                <w:rFonts w:hint="eastAsia" w:hAnsi="宋体" w:cs="宋体"/>
                <w:color w:val="000000"/>
                <w:sz w:val="18"/>
                <w:szCs w:val="18"/>
                <w:lang w:bidi="ar"/>
              </w:rPr>
              <w:t>万元</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5</w:t>
            </w:r>
            <w:r>
              <w:rPr>
                <w:rFonts w:hint="eastAsia" w:hAnsi="宋体" w:cs="宋体"/>
                <w:color w:val="000000"/>
                <w:sz w:val="18"/>
                <w:szCs w:val="18"/>
                <w:lang w:bidi="ar"/>
              </w:rPr>
              <w:t>万元</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560"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不发生影响国家安全、政治安全事件，社会稳定</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93" w:type="dxa"/>
          <w:wAfter w:w="172" w:type="dxa"/>
          <w:trHeight w:val="454"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Times New Roman" w:hAnsi="宋体" w:eastAsia="Times New Roman" w:cs="宋体"/>
                <w:color w:val="000000"/>
                <w:sz w:val="18"/>
                <w:szCs w:val="18"/>
              </w:rPr>
            </w:pPr>
          </w:p>
        </w:tc>
        <w:tc>
          <w:tcPr>
            <w:tcW w:w="93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560"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694"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262"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36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600" w:hRule="atLeast"/>
        </w:trPr>
        <w:tc>
          <w:tcPr>
            <w:tcW w:w="9290" w:type="dxa"/>
            <w:gridSpan w:val="76"/>
            <w:tcBorders>
              <w:top w:val="nil"/>
              <w:left w:val="nil"/>
              <w:bottom w:val="nil"/>
              <w:right w:val="nil"/>
              <w:tl2br w:val="nil"/>
              <w:tr2bl w:val="nil"/>
            </w:tcBorders>
            <w:noWrap w:val="0"/>
            <w:vAlign w:val="center"/>
          </w:tcPr>
          <w:p>
            <w:pPr>
              <w:widowControl/>
              <w:spacing w:line="576"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社会治理体制创新项目支出绩效自评表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954" w:type="dxa"/>
            <w:gridSpan w:val="6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社会治理体制创新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745" w:type="dxa"/>
            <w:gridSpan w:val="3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3040" w:type="dxa"/>
            <w:gridSpan w:val="2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094" w:type="dxa"/>
            <w:gridSpan w:val="20"/>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651"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169"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2056" w:type="dxa"/>
            <w:gridSpan w:val="21"/>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984" w:type="dxa"/>
            <w:gridSpan w:val="4"/>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94"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984" w:type="dxa"/>
            <w:gridSpan w:val="4"/>
            <w:tcBorders>
              <w:top w:val="nil"/>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94"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94"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94"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94"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94"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1336" w:type="dxa"/>
            <w:gridSpan w:val="9"/>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94"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rPr>
                <w:rFonts w:hint="eastAsia" w:ascii="Times New Roman" w:hAnsi="宋体" w:eastAsia="Times New Roman" w:cs="宋体"/>
                <w:color w:val="000000"/>
                <w:sz w:val="18"/>
                <w:szCs w:val="18"/>
              </w:rPr>
            </w:pP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2056" w:type="dxa"/>
            <w:gridSpan w:val="21"/>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84" w:type="dxa"/>
            <w:gridSpan w:val="4"/>
            <w:tcBorders>
              <w:top w:val="single" w:color="000000" w:sz="4" w:space="0"/>
              <w:left w:val="single" w:color="000000" w:sz="4" w:space="0"/>
              <w:bottom w:val="nil"/>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25" w:hRule="atLeast"/>
        </w:trPr>
        <w:tc>
          <w:tcPr>
            <w:tcW w:w="625"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625" w:type="dxa"/>
            <w:gridSpan w:val="4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040"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2229"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5625" w:type="dxa"/>
            <w:gridSpan w:val="4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坚定不移推进社会治理现代化试点工作，持续维护社会大局安全稳定。深化系统治理、依法治理、综合治理、源头治理，确保全区更安宁、群众更安乐。坚持和发展新时代“枫桥经验”，源头防范化解矛盾风险。着力解决影响人民群众安全感的突出问题，不断提升基层社会治理效能。</w:t>
            </w:r>
          </w:p>
        </w:tc>
        <w:tc>
          <w:tcPr>
            <w:tcW w:w="3040"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深入开展学习贯彻习近平新时代中国特色社会主义思想主题教育，扎实推进“防风险、保安全、护稳定、促发展”各项工作，群众安全感、获得感、幸福感不断提升。昭化区成功创成首批省级法治政府建设示范区，连续</w:t>
            </w:r>
            <w:r>
              <w:rPr>
                <w:rFonts w:hint="eastAsia" w:ascii="Times New Roman" w:eastAsia="Times New Roman" w:cs="宋体"/>
                <w:color w:val="000000"/>
                <w:sz w:val="18"/>
                <w:szCs w:val="18"/>
                <w:lang w:bidi="ar"/>
              </w:rPr>
              <w:t>13</w:t>
            </w:r>
            <w:r>
              <w:rPr>
                <w:rFonts w:hint="eastAsia" w:hAnsi="宋体" w:cs="宋体"/>
                <w:color w:val="000000"/>
                <w:sz w:val="18"/>
                <w:szCs w:val="18"/>
                <w:lang w:bidi="ar"/>
              </w:rPr>
              <w:t>年无“民转刑”命案发生，平安建设群众满意度测评连续</w:t>
            </w:r>
            <w:r>
              <w:rPr>
                <w:rFonts w:hint="eastAsia" w:ascii="Times New Roman" w:eastAsia="Times New Roman" w:cs="宋体"/>
                <w:color w:val="000000"/>
                <w:sz w:val="18"/>
                <w:szCs w:val="18"/>
                <w:lang w:bidi="ar"/>
              </w:rPr>
              <w:t>7</w:t>
            </w:r>
            <w:r>
              <w:rPr>
                <w:rFonts w:hint="eastAsia" w:hAnsi="宋体" w:cs="宋体"/>
                <w:color w:val="000000"/>
                <w:sz w:val="18"/>
                <w:szCs w:val="18"/>
                <w:lang w:bidi="ar"/>
              </w:rPr>
              <w:t>年位居省市前列，连续</w:t>
            </w:r>
            <w:r>
              <w:rPr>
                <w:rFonts w:hint="eastAsia" w:ascii="Times New Roman" w:eastAsia="Times New Roman" w:cs="宋体"/>
                <w:color w:val="000000"/>
                <w:sz w:val="18"/>
                <w:szCs w:val="18"/>
                <w:lang w:bidi="ar"/>
              </w:rPr>
              <w:t>6</w:t>
            </w:r>
            <w:r>
              <w:rPr>
                <w:rFonts w:hint="eastAsia" w:hAnsi="宋体" w:cs="宋体"/>
                <w:color w:val="000000"/>
                <w:sz w:val="18"/>
                <w:szCs w:val="18"/>
                <w:lang w:bidi="ar"/>
              </w:rPr>
              <w:t>年被省委省政府表彰为平安建设先进县区。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520" w:hRule="atLeast"/>
        </w:trPr>
        <w:tc>
          <w:tcPr>
            <w:tcW w:w="625"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7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560"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50"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85" w:type="dxa"/>
            <w:gridSpan w:val="10"/>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深入基层创新开展平安创建</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2</w:t>
            </w:r>
            <w:r>
              <w:rPr>
                <w:rFonts w:hint="eastAsia" w:ascii="微软雅黑" w:hAnsi="微软雅黑" w:eastAsia="微软雅黑" w:cs="微软雅黑"/>
                <w:color w:val="000000"/>
                <w:sz w:val="18"/>
                <w:szCs w:val="18"/>
                <w:lang w:bidi="ar"/>
              </w:rPr>
              <w:t>次/年</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50"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185"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工作协调会、工作推进会</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285"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185"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日常排查防范</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285"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1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依法依规规范</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285"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1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285"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11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90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5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严控成本</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20</w:t>
            </w:r>
            <w:r>
              <w:rPr>
                <w:rFonts w:hint="eastAsia" w:hAnsi="宋体" w:cs="宋体"/>
                <w:color w:val="000000"/>
                <w:sz w:val="18"/>
                <w:szCs w:val="18"/>
                <w:lang w:bidi="ar"/>
              </w:rPr>
              <w:t>万元</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r>
              <w:rPr>
                <w:rFonts w:hint="eastAsia" w:hAnsi="宋体" w:cs="宋体"/>
                <w:color w:val="000000"/>
                <w:sz w:val="18"/>
                <w:szCs w:val="18"/>
                <w:lang w:bidi="ar"/>
              </w:rPr>
              <w:t>万元</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700"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560"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维护社会和谐稳定，护航经济发展，提升群众获得感幸福感和安全感</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93" w:type="dxa"/>
          <w:wAfter w:w="280" w:type="dxa"/>
          <w:trHeight w:val="483" w:hRule="atLeast"/>
        </w:trPr>
        <w:tc>
          <w:tcPr>
            <w:tcW w:w="62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c>
          <w:tcPr>
            <w:tcW w:w="7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560"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16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2056"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600" w:hRule="atLeast"/>
        </w:trPr>
        <w:tc>
          <w:tcPr>
            <w:tcW w:w="9379" w:type="dxa"/>
            <w:gridSpan w:val="77"/>
            <w:tcBorders>
              <w:top w:val="nil"/>
              <w:left w:val="nil"/>
              <w:bottom w:val="nil"/>
              <w:right w:val="nil"/>
              <w:tl2br w:val="nil"/>
              <w:tr2bl w:val="nil"/>
            </w:tcBorders>
            <w:noWrap w:val="0"/>
            <w:vAlign w:val="center"/>
          </w:tcPr>
          <w:p>
            <w:pPr>
              <w:widowControl/>
              <w:spacing w:line="576"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见义勇为基金项目支出绩效自评表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606" w:type="dxa"/>
            <w:gridSpan w:val="6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见义勇为基金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566" w:type="dxa"/>
            <w:gridSpan w:val="3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2603" w:type="dxa"/>
            <w:gridSpan w:val="19"/>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078" w:type="dxa"/>
            <w:gridSpan w:val="18"/>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488"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437"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241" w:type="dxa"/>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362"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362" w:type="dxa"/>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4</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241" w:type="dxa"/>
            <w:gridSpan w:val="9"/>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362" w:type="dxa"/>
            <w:gridSpan w:val="10"/>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840" w:type="dxa"/>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603"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1262"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5840" w:type="dxa"/>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及时排查发现并认定表彰见义勇为行为，对生活、就医困难见义勇为人员及时慰问，弘扬社会正气，让人民群众面对畏难，奋勇当先，营造浓厚的社会正能量。群众的安全感不断提高。</w:t>
            </w:r>
          </w:p>
        </w:tc>
        <w:tc>
          <w:tcPr>
            <w:tcW w:w="2603"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全年表彰见义勇为人员</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人，慰问已表彰人员</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451"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15"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表彰奖励见义勇为人员</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1</w:t>
            </w:r>
            <w:r>
              <w:rPr>
                <w:rFonts w:hint="eastAsia" w:ascii="微软雅黑" w:hAnsi="微软雅黑" w:eastAsia="微软雅黑" w:cs="微软雅黑"/>
                <w:color w:val="000000"/>
                <w:sz w:val="18"/>
                <w:szCs w:val="18"/>
                <w:lang w:bidi="ar"/>
              </w:rPr>
              <w:t>次/年</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115"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慰问已表彰慰问人员</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次/年</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115"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召开联席会议</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确保见义勇为调查核实准确</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115"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开展见义勇为工作，召开联席会议</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1115"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表彰奖励、慰问见义勇为行为</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451"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传承见义勇为精神，弘扬社会正气福感和安全感</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5"/>
          <w:wBefore w:w="93" w:type="dxa"/>
          <w:wAfter w:w="191"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451"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24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36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600" w:hRule="atLeast"/>
        </w:trPr>
        <w:tc>
          <w:tcPr>
            <w:tcW w:w="9565" w:type="dxa"/>
            <w:gridSpan w:val="81"/>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法学会工作经费项目支出绩效自评表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921" w:type="dxa"/>
            <w:gridSpan w:val="6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法学会工作经费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640" w:type="dxa"/>
            <w:gridSpan w:val="3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2811" w:type="dxa"/>
            <w:gridSpan w:val="2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001" w:type="dxa"/>
            <w:gridSpan w:val="18"/>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39"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470"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276" w:type="dxa"/>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535"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0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535"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0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0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0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0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0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1644" w:type="dxa"/>
            <w:gridSpan w:val="14"/>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0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276" w:type="dxa"/>
            <w:gridSpan w:val="12"/>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35" w:type="dxa"/>
            <w:gridSpan w:val="13"/>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482" w:hRule="atLeast"/>
        </w:trPr>
        <w:tc>
          <w:tcPr>
            <w:tcW w:w="792"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962" w:type="dxa"/>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811"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1600"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5962" w:type="dxa"/>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积极引导法律工作者坚定理想信念；积极参与各类法学研究活动；全力做好“全面依法治区”工作，开展法治宣传教育</w:t>
            </w:r>
            <w:r>
              <w:rPr>
                <w:rFonts w:hint="eastAsia" w:ascii="Times New Roman" w:eastAsia="Times New Roman" w:cs="宋体"/>
                <w:color w:val="000000"/>
                <w:sz w:val="18"/>
                <w:szCs w:val="18"/>
                <w:lang w:bidi="ar"/>
              </w:rPr>
              <w:t>100</w:t>
            </w:r>
            <w:r>
              <w:rPr>
                <w:rFonts w:hint="eastAsia" w:hAnsi="宋体" w:cs="宋体"/>
                <w:color w:val="000000"/>
                <w:sz w:val="18"/>
                <w:szCs w:val="18"/>
                <w:lang w:bidi="ar"/>
              </w:rPr>
              <w:t>场次以上；扎实推进法学会正规化发展。</w:t>
            </w:r>
          </w:p>
        </w:tc>
        <w:tc>
          <w:tcPr>
            <w:tcW w:w="2811"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扎实开展“大学习大练兵大比武”“法律七进+”“一月一主题”等法治宣传活动</w:t>
            </w:r>
            <w:r>
              <w:rPr>
                <w:rFonts w:hint="eastAsia" w:ascii="Times New Roman" w:eastAsia="Times New Roman" w:cs="宋体"/>
                <w:color w:val="000000"/>
                <w:sz w:val="18"/>
                <w:szCs w:val="18"/>
                <w:lang w:bidi="ar"/>
              </w:rPr>
              <w:t>800</w:t>
            </w:r>
            <w:r>
              <w:rPr>
                <w:rFonts w:hint="eastAsia" w:hAnsi="宋体" w:cs="宋体"/>
                <w:color w:val="000000"/>
                <w:sz w:val="18"/>
                <w:szCs w:val="18"/>
                <w:lang w:bidi="ar"/>
              </w:rPr>
              <w:t>余场次，深入实施“法律明白人”培养工程，建立法律援助区镇村三级联办、异地协作办案和“容缺受理”机制。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8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500"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40"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86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征集法治论坛论文</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20</w:t>
            </w:r>
            <w:r>
              <w:rPr>
                <w:rFonts w:hint="eastAsia" w:ascii="微软雅黑" w:hAnsi="微软雅黑" w:eastAsia="微软雅黑" w:cs="微软雅黑"/>
                <w:color w:val="000000"/>
                <w:sz w:val="18"/>
                <w:szCs w:val="18"/>
                <w:lang w:bidi="ar"/>
              </w:rPr>
              <w:t>篇</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20</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40"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6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开展法治宣传教育</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100</w:t>
            </w:r>
            <w:r>
              <w:rPr>
                <w:rFonts w:hint="eastAsia" w:hAnsi="宋体" w:cs="宋体"/>
                <w:color w:val="000000"/>
                <w:sz w:val="18"/>
                <w:szCs w:val="18"/>
                <w:lang w:bidi="ar"/>
              </w:rPr>
              <w:t>场次</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40"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6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矛盾纠纷化解数量</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300</w:t>
            </w:r>
            <w:r>
              <w:rPr>
                <w:rFonts w:hint="eastAsia" w:hAnsi="宋体" w:cs="宋体"/>
                <w:color w:val="000000"/>
                <w:sz w:val="18"/>
                <w:szCs w:val="18"/>
                <w:lang w:bidi="ar"/>
              </w:rPr>
              <w:t>件</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362</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86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法治宣传覆盖面</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86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40" w:type="dxa"/>
            <w:gridSpan w:val="7"/>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86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639"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开展培训、会议宣传等费用</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万元</w:t>
            </w:r>
          </w:p>
        </w:tc>
        <w:tc>
          <w:tcPr>
            <w:tcW w:w="127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3</w:t>
            </w:r>
            <w:r>
              <w:rPr>
                <w:rFonts w:hint="eastAsia" w:hAnsi="宋体" w:cs="宋体"/>
                <w:color w:val="000000"/>
                <w:sz w:val="18"/>
                <w:szCs w:val="18"/>
                <w:lang w:bidi="ar"/>
              </w:rPr>
              <w:t>万元</w:t>
            </w:r>
          </w:p>
        </w:tc>
        <w:tc>
          <w:tcPr>
            <w:tcW w:w="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500"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创造良好营商环境，促进社会和经济持续健康发展。</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2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548"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93" w:type="dxa"/>
          <w:wAfter w:w="5" w:type="dxa"/>
          <w:trHeight w:val="397" w:hRule="atLeast"/>
        </w:trPr>
        <w:tc>
          <w:tcPr>
            <w:tcW w:w="792"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500"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4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2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548"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600" w:hRule="atLeast"/>
        </w:trPr>
        <w:tc>
          <w:tcPr>
            <w:tcW w:w="9381" w:type="dxa"/>
            <w:gridSpan w:val="78"/>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司法救助项目支出绩效自评表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608" w:type="dxa"/>
            <w:gridSpan w:val="6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司法救助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564" w:type="dxa"/>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3123" w:type="dxa"/>
            <w:gridSpan w:val="26"/>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080" w:type="dxa"/>
            <w:gridSpan w:val="19"/>
            <w:tcBorders>
              <w:top w:val="nil"/>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484"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921" w:type="dxa"/>
            <w:gridSpan w:val="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640"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483"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80"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83"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80"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80"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80"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80"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80"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80"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640" w:type="dxa"/>
            <w:gridSpan w:val="13"/>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483" w:type="dxa"/>
            <w:gridSpan w:val="13"/>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482"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322" w:type="dxa"/>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123"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206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5322" w:type="dxa"/>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有效维护当事人合法权益，保障社会公平正义，促进社会和谐稳定。</w:t>
            </w:r>
          </w:p>
        </w:tc>
        <w:tc>
          <w:tcPr>
            <w:tcW w:w="3123"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将司法救助机制和涉法涉诉信访问题处理机制有机结合，同思想疏导、宣传教育、法律援助、诉讼救济配套运行，实施国家司法救助案件</w:t>
            </w:r>
            <w:r>
              <w:rPr>
                <w:rFonts w:hint="eastAsia" w:ascii="Times New Roman" w:eastAsia="Times New Roman" w:cs="宋体"/>
                <w:color w:val="000000"/>
                <w:sz w:val="18"/>
                <w:szCs w:val="18"/>
                <w:lang w:bidi="ar"/>
              </w:rPr>
              <w:t>44</w:t>
            </w:r>
            <w:r>
              <w:rPr>
                <w:rFonts w:hint="eastAsia" w:hAnsi="宋体" w:cs="宋体"/>
                <w:color w:val="000000"/>
                <w:sz w:val="18"/>
                <w:szCs w:val="18"/>
                <w:lang w:bidi="ar"/>
              </w:rPr>
              <w:t xml:space="preserve">件 </w:t>
            </w:r>
            <w:r>
              <w:rPr>
                <w:rFonts w:hint="eastAsia" w:ascii="Times New Roman" w:eastAsia="Times New Roman" w:cs="宋体"/>
                <w:color w:val="000000"/>
                <w:sz w:val="18"/>
                <w:szCs w:val="18"/>
                <w:lang w:bidi="ar"/>
              </w:rPr>
              <w:t>44</w:t>
            </w:r>
            <w:r>
              <w:rPr>
                <w:rFonts w:hint="eastAsia" w:hAnsi="宋体" w:cs="宋体"/>
                <w:color w:val="000000"/>
                <w:sz w:val="18"/>
                <w:szCs w:val="18"/>
                <w:lang w:bidi="ar"/>
              </w:rPr>
              <w:t>人，有力维护了人民群众的合法权益。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720"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1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448"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54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1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9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54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16" w:type="dxa"/>
            <w:gridSpan w:val="8"/>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9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救助资金</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70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1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448"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保障社会公平正义，促进社会和谐稳定</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93" w:type="dxa"/>
          <w:wAfter w:w="189" w:type="dxa"/>
          <w:trHeight w:val="68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1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448"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92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64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4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600" w:hRule="atLeast"/>
        </w:trPr>
        <w:tc>
          <w:tcPr>
            <w:tcW w:w="9513" w:type="dxa"/>
            <w:gridSpan w:val="80"/>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政法智能化建设项目支出绩效自评表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741" w:type="dxa"/>
            <w:gridSpan w:val="6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政法智能化建设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310" w:type="dxa"/>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3255" w:type="dxa"/>
            <w:gridSpan w:val="28"/>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078" w:type="dxa"/>
            <w:gridSpan w:val="18"/>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232" w:type="dxa"/>
            <w:gridSpan w:val="8"/>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176"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611" w:type="dxa"/>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644" w:type="dxa"/>
            <w:gridSpan w:val="1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644" w:type="dxa"/>
            <w:gridSpan w:val="1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1772" w:type="dxa"/>
            <w:gridSpan w:val="15"/>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11" w:type="dxa"/>
            <w:gridSpan w:val="12"/>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644" w:type="dxa"/>
            <w:gridSpan w:val="16"/>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454"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322" w:type="dxa"/>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3255" w:type="dxa"/>
            <w:gridSpan w:val="2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264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5322" w:type="dxa"/>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有效维护当事人合法权益，保障社会公平正义，促进社会和谐稳定。</w:t>
            </w:r>
          </w:p>
        </w:tc>
        <w:tc>
          <w:tcPr>
            <w:tcW w:w="3255" w:type="dxa"/>
            <w:gridSpan w:val="2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化治安防控体系。全覆盖建强区镇村（社区）三级综治中心和“一站式”矛调中心并实体化实战化运行，充分运用“雪亮工程”进行实时指挥调度、监控视频数据自动存储、事件轨迹自动留痕和全时段视频巡查，建立“一格一长三员”管理体系，形成群防群治、协同共治工作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567"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83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195"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567"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6" w:type="dxa"/>
            <w:gridSpan w:val="7"/>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567"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6" w:type="dxa"/>
            <w:gridSpan w:val="7"/>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15" w:type="dxa"/>
            <w:gridSpan w:val="7"/>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2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建设成本</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27</w:t>
            </w: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567"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195"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保障社会公平正义，促进社会和谐稳定</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93" w:type="dxa"/>
          <w:wAfter w:w="57" w:type="dxa"/>
          <w:trHeight w:val="567"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195"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1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61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644"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600" w:hRule="atLeast"/>
        </w:trPr>
        <w:tc>
          <w:tcPr>
            <w:tcW w:w="9221" w:type="dxa"/>
            <w:gridSpan w:val="73"/>
            <w:tcBorders>
              <w:top w:val="nil"/>
              <w:left w:val="nil"/>
              <w:bottom w:val="nil"/>
              <w:right w:val="nil"/>
              <w:tl2br w:val="nil"/>
              <w:tr2bl w:val="nil"/>
            </w:tcBorders>
            <w:noWrap w:val="0"/>
            <w:vAlign w:val="center"/>
          </w:tcPr>
          <w:p>
            <w:pPr>
              <w:widowControl/>
              <w:spacing w:line="576"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政法三级网络链路租赁和运行维护费用项目</w:t>
            </w:r>
          </w:p>
          <w:p>
            <w:pPr>
              <w:widowControl/>
              <w:spacing w:line="576"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448" w:type="dxa"/>
            <w:gridSpan w:val="5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bookmarkStart w:id="7" w:name="OLE_LINK22"/>
            <w:r>
              <w:rPr>
                <w:rFonts w:hint="eastAsia" w:hAnsi="宋体" w:cs="宋体"/>
                <w:color w:val="000000"/>
                <w:sz w:val="18"/>
                <w:szCs w:val="18"/>
                <w:lang w:bidi="ar"/>
              </w:rPr>
              <w:t>政法三级网络链路租赁和运行维护费用</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566" w:type="dxa"/>
            <w:gridSpan w:val="3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2445" w:type="dxa"/>
            <w:gridSpan w:val="1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078" w:type="dxa"/>
            <w:gridSpan w:val="18"/>
            <w:tcBorders>
              <w:top w:val="nil"/>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488" w:type="dxa"/>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437"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142" w:type="dxa"/>
            <w:gridSpan w:val="8"/>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303" w:type="dxa"/>
            <w:gridSpan w:val="7"/>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303" w:type="dxa"/>
            <w:gridSpan w:val="7"/>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20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ascii="Times New Roman" w:hAnsi="宋体" w:eastAsia="Times New Roman" w:cs="宋体"/>
                <w:color w:val="000000"/>
                <w:sz w:val="18"/>
                <w:szCs w:val="18"/>
              </w:rPr>
            </w:pP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42" w:type="dxa"/>
            <w:gridSpan w:val="8"/>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303" w:type="dxa"/>
            <w:gridSpan w:val="7"/>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54"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840" w:type="dxa"/>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445"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998"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5840" w:type="dxa"/>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hAnsi="宋体" w:cs="宋体"/>
                <w:color w:val="000000"/>
                <w:sz w:val="18"/>
                <w:szCs w:val="18"/>
                <w:lang w:bidi="ar"/>
              </w:rPr>
              <w:t>每年巡检不少于</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次，确保区级政法三级专网、高清视频会议等系统运行良好。</w:t>
            </w:r>
          </w:p>
        </w:tc>
        <w:tc>
          <w:tcPr>
            <w:tcW w:w="2445"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定时巡查，全年三级网络正常运行。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82"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451"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61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每年专网现场巡检、调试</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6</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67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确保政法三级专网网络畅通</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482"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659"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c>
          <w:tcPr>
            <w:tcW w:w="1115" w:type="dxa"/>
            <w:gridSpan w:val="7"/>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96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48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每年政法三级专网运维费</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default" w:ascii="Arial" w:hAnsi="Arial" w:cs="Arial"/>
                <w:color w:val="000000"/>
                <w:sz w:val="18"/>
                <w:szCs w:val="18"/>
              </w:rPr>
            </w:pPr>
            <w:r>
              <w:rPr>
                <w:rFonts w:hint="default" w:ascii="Arial" w:hAnsi="Arial" w:cs="Arial"/>
                <w:color w:val="000000"/>
                <w:sz w:val="18"/>
                <w:szCs w:val="18"/>
                <w:lang w:bidi="ar"/>
              </w:rPr>
              <w:t>≤</w:t>
            </w:r>
            <w:r>
              <w:rPr>
                <w:rStyle w:val="14"/>
                <w:rFonts w:hint="eastAsia" w:ascii="Times New Roman" w:hAnsi="Times New Roman" w:eastAsia="Times New Roman"/>
                <w:sz w:val="18"/>
                <w:szCs w:val="18"/>
                <w:lang w:bidi="ar"/>
              </w:rPr>
              <w:t>17</w:t>
            </w:r>
            <w:r>
              <w:rPr>
                <w:rStyle w:val="14"/>
                <w:rFonts w:hint="eastAsia"/>
                <w:sz w:val="18"/>
                <w:szCs w:val="18"/>
                <w:lang w:bidi="ar"/>
              </w:rPr>
              <w:t>万元</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17</w:t>
            </w:r>
            <w:r>
              <w:rPr>
                <w:rFonts w:hint="eastAsia" w:hAnsi="宋体" w:cs="宋体"/>
                <w:color w:val="000000"/>
                <w:sz w:val="18"/>
                <w:szCs w:val="18"/>
                <w:lang w:bidi="ar"/>
              </w:rPr>
              <w:t>万元</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59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451"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提升政法工作效率，节约政法工作成本</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9"/>
          <w:wBefore w:w="93" w:type="dxa"/>
          <w:wAfter w:w="349" w:type="dxa"/>
          <w:trHeight w:val="64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1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451"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43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1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600" w:hRule="atLeast"/>
        </w:trPr>
        <w:tc>
          <w:tcPr>
            <w:tcW w:w="9250" w:type="dxa"/>
            <w:gridSpan w:val="75"/>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争取资金工作经费项目支出绩效自评表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项目）名称</w:t>
            </w:r>
          </w:p>
        </w:tc>
        <w:tc>
          <w:tcPr>
            <w:tcW w:w="7477" w:type="dxa"/>
            <w:gridSpan w:val="5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bookmarkStart w:id="8" w:name="OLE_LINK23"/>
            <w:r>
              <w:rPr>
                <w:rFonts w:hint="eastAsia" w:hAnsi="宋体" w:cs="宋体"/>
                <w:color w:val="000000"/>
                <w:sz w:val="18"/>
                <w:szCs w:val="18"/>
                <w:lang w:bidi="ar"/>
              </w:rPr>
              <w:t>争取资金工作经费</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主管部门</w:t>
            </w:r>
          </w:p>
        </w:tc>
        <w:tc>
          <w:tcPr>
            <w:tcW w:w="3395"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实施单位</w:t>
            </w:r>
          </w:p>
        </w:tc>
        <w:tc>
          <w:tcPr>
            <w:tcW w:w="2703" w:type="dxa"/>
            <w:gridSpan w:val="21"/>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项目（政策）资金（万元）</w:t>
            </w:r>
          </w:p>
        </w:tc>
        <w:tc>
          <w:tcPr>
            <w:tcW w:w="2082" w:type="dxa"/>
            <w:gridSpan w:val="20"/>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313" w:type="dxa"/>
            <w:gridSpan w:val="7"/>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年初预算数</w:t>
            </w:r>
          </w:p>
        </w:tc>
        <w:tc>
          <w:tcPr>
            <w:tcW w:w="1379" w:type="dxa"/>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全年预算数</w:t>
            </w:r>
          </w:p>
        </w:tc>
        <w:tc>
          <w:tcPr>
            <w:tcW w:w="1569" w:type="dxa"/>
            <w:gridSpan w:val="17"/>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全年执行数</w:t>
            </w:r>
          </w:p>
        </w:tc>
        <w:tc>
          <w:tcPr>
            <w:tcW w:w="1134" w:type="dxa"/>
            <w:gridSpan w:val="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8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年度资金总额</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134" w:type="dxa"/>
            <w:gridSpan w:val="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8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（一）财政拨款小计</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8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一般公共预算</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100</w:t>
            </w:r>
            <w:r>
              <w:rPr>
                <w:rFonts w:hint="eastAsia" w:ascii="Times New Roman" w:hAnsi="宋体" w:eastAsia="Times New Roman"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8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政府性基金</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8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国有资本经营预算</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8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ascii="Times New Roman" w:hAnsi="宋体" w:eastAsia="Times New Roman" w:cs="宋体"/>
                <w:color w:val="000000"/>
                <w:sz w:val="18"/>
                <w:szCs w:val="18"/>
                <w:lang w:bidi="ar"/>
              </w:rPr>
              <w:t>.</w:t>
            </w:r>
            <w:r>
              <w:rPr>
                <w:rFonts w:hint="eastAsia" w:hAnsi="宋体" w:cs="宋体"/>
                <w:color w:val="000000"/>
                <w:sz w:val="18"/>
                <w:szCs w:val="18"/>
                <w:lang w:bidi="ar"/>
              </w:rPr>
              <w:t>社保基金</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1773" w:type="dxa"/>
            <w:gridSpan w:val="16"/>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208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（二）其他资金</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ascii="Times New Roman" w:hAnsi="宋体" w:eastAsia="Times New Roman" w:cs="宋体"/>
                <w:color w:val="000000"/>
                <w:sz w:val="18"/>
                <w:szCs w:val="18"/>
              </w:rPr>
            </w:pP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569" w:type="dxa"/>
            <w:gridSpan w:val="17"/>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34" w:type="dxa"/>
            <w:gridSpan w:val="4"/>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年度总体目标</w:t>
            </w:r>
          </w:p>
        </w:tc>
        <w:tc>
          <w:tcPr>
            <w:tcW w:w="5611"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预期目标</w:t>
            </w:r>
          </w:p>
        </w:tc>
        <w:tc>
          <w:tcPr>
            <w:tcW w:w="2703"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1600"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5611"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通过积极向上级申报，按照要求向上级申报资料，争取维稳专项经费等，全面完成争取资金任务</w:t>
            </w:r>
          </w:p>
        </w:tc>
        <w:tc>
          <w:tcPr>
            <w:tcW w:w="2703"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争取省级维稳专项经费</w:t>
            </w:r>
            <w:r>
              <w:rPr>
                <w:rFonts w:hint="eastAsia" w:ascii="Times New Roman" w:eastAsia="Times New Roman" w:cs="宋体"/>
                <w:color w:val="000000"/>
                <w:sz w:val="18"/>
                <w:szCs w:val="18"/>
                <w:lang w:bidi="ar"/>
              </w:rPr>
              <w:t>10</w:t>
            </w:r>
            <w:r>
              <w:rPr>
                <w:rFonts w:hint="eastAsia" w:hAnsi="宋体" w:cs="宋体"/>
                <w:color w:val="000000"/>
                <w:sz w:val="18"/>
                <w:szCs w:val="18"/>
                <w:lang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绩效指标</w:t>
            </w: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一级指标</w:t>
            </w:r>
          </w:p>
        </w:tc>
        <w:tc>
          <w:tcPr>
            <w:tcW w:w="111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二级指标</w:t>
            </w:r>
          </w:p>
        </w:tc>
        <w:tc>
          <w:tcPr>
            <w:tcW w:w="22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三级指标</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年度指标值</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实际完成值</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1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数量指标</w:t>
            </w:r>
          </w:p>
        </w:tc>
        <w:tc>
          <w:tcPr>
            <w:tcW w:w="96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每年到省市相关部门汇报工作</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10</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1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质量指标</w:t>
            </w:r>
          </w:p>
        </w:tc>
        <w:tc>
          <w:tcPr>
            <w:tcW w:w="96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争取到位专项资金</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7"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产出指标</w:t>
            </w:r>
          </w:p>
        </w:tc>
        <w:tc>
          <w:tcPr>
            <w:tcW w:w="111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时效指标</w:t>
            </w:r>
          </w:p>
        </w:tc>
        <w:tc>
          <w:tcPr>
            <w:tcW w:w="96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完成时限</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7"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1117" w:type="dxa"/>
            <w:gridSpan w:val="9"/>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成本指标</w:t>
            </w:r>
          </w:p>
        </w:tc>
        <w:tc>
          <w:tcPr>
            <w:tcW w:w="96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1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争取资金差旅等支出</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default" w:ascii="Arial" w:hAnsi="Arial" w:cs="Arial"/>
                <w:color w:val="000000"/>
                <w:sz w:val="18"/>
                <w:szCs w:val="18"/>
              </w:rPr>
            </w:pPr>
            <w:r>
              <w:rPr>
                <w:rFonts w:hint="default" w:ascii="Arial" w:hAnsi="Arial" w:cs="Arial"/>
                <w:color w:val="000000"/>
                <w:sz w:val="18"/>
                <w:szCs w:val="18"/>
                <w:lang w:bidi="ar"/>
              </w:rPr>
              <w:t>≤</w:t>
            </w:r>
            <w:r>
              <w:rPr>
                <w:rFonts w:hint="eastAsia" w:ascii="Times New Roman" w:eastAsia="Times New Roman" w:cs="Arial"/>
                <w:color w:val="000000"/>
                <w:sz w:val="18"/>
                <w:szCs w:val="18"/>
                <w:lang w:bidi="ar"/>
              </w:rPr>
              <w:t>2</w:t>
            </w:r>
            <w:r>
              <w:rPr>
                <w:rStyle w:val="20"/>
                <w:rFonts w:hint="eastAsia"/>
                <w:sz w:val="18"/>
                <w:szCs w:val="18"/>
                <w:lang w:bidi="ar"/>
              </w:rPr>
              <w:t>万元</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效益指标</w:t>
            </w:r>
          </w:p>
        </w:tc>
        <w:tc>
          <w:tcPr>
            <w:tcW w:w="111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社会效益</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22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争取专项资金，确保政法工作高质量完成，增强群众幸福感。</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优良中差</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优</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93" w:type="dxa"/>
          <w:wAfter w:w="320" w:type="dxa"/>
          <w:trHeight w:val="454" w:hRule="atLeast"/>
        </w:trPr>
        <w:tc>
          <w:tcPr>
            <w:tcW w:w="936"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ascii="Times New Roman" w:hAnsi="宋体" w:eastAsia="Times New Roman" w:cs="宋体"/>
                <w:color w:val="000000"/>
                <w:sz w:val="18"/>
                <w:szCs w:val="18"/>
              </w:rPr>
            </w:pPr>
          </w:p>
        </w:tc>
        <w:tc>
          <w:tcPr>
            <w:tcW w:w="8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满意度</w:t>
            </w:r>
            <w:r>
              <w:rPr>
                <w:rFonts w:hint="eastAsia" w:ascii="Times New Roman" w:hAnsi="宋体" w:eastAsia="Times New Roman" w:cs="宋体"/>
                <w:color w:val="000000"/>
                <w:sz w:val="18"/>
                <w:szCs w:val="18"/>
                <w:lang w:bidi="ar"/>
              </w:rPr>
              <w:br w:type="textWrapping"/>
            </w:r>
            <w:r>
              <w:rPr>
                <w:rFonts w:hint="eastAsia" w:hAnsi="宋体" w:cs="宋体"/>
                <w:color w:val="000000"/>
                <w:sz w:val="18"/>
                <w:szCs w:val="18"/>
                <w:lang w:bidi="ar"/>
              </w:rPr>
              <w:t>指标</w:t>
            </w:r>
          </w:p>
        </w:tc>
        <w:tc>
          <w:tcPr>
            <w:tcW w:w="111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服务对象满意度指标</w:t>
            </w:r>
          </w:p>
        </w:tc>
        <w:tc>
          <w:tcPr>
            <w:tcW w:w="2278"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hAnsi="宋体" w:cs="宋体"/>
                <w:color w:val="000000"/>
                <w:sz w:val="18"/>
                <w:szCs w:val="18"/>
                <w:lang w:bidi="ar"/>
              </w:rPr>
              <w:t>群众满意度</w:t>
            </w:r>
          </w:p>
        </w:tc>
        <w:tc>
          <w:tcPr>
            <w:tcW w:w="137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ascii="Times New Roman" w:hAnsi="宋体" w:eastAsia="Times New Roman" w:cs="宋体"/>
                <w:color w:val="000000"/>
                <w:sz w:val="18"/>
                <w:szCs w:val="18"/>
              </w:rPr>
            </w:pPr>
            <w:r>
              <w:rPr>
                <w:rFonts w:hint="eastAsia" w:ascii="Times New Roman" w:hAnsi="宋体" w:eastAsia="Times New Roman" w:cs="宋体"/>
                <w:color w:val="000000"/>
                <w:sz w:val="18"/>
                <w:szCs w:val="18"/>
                <w:lang w:bidi="ar"/>
              </w:rPr>
              <w:t>≥</w:t>
            </w:r>
            <w:r>
              <w:rPr>
                <w:rFonts w:hint="eastAsia" w:ascii="Times New Roman" w:eastAsia="Times New Roman" w:cs="宋体"/>
                <w:color w:val="000000"/>
                <w:sz w:val="18"/>
                <w:szCs w:val="18"/>
                <w:lang w:bidi="ar"/>
              </w:rPr>
              <w:t>90</w:t>
            </w:r>
            <w:r>
              <w:rPr>
                <w:rFonts w:hint="eastAsia" w:ascii="Times New Roman" w:hAnsi="宋体" w:eastAsia="Times New Roman" w:cs="宋体"/>
                <w:color w:val="000000"/>
                <w:sz w:val="18"/>
                <w:szCs w:val="18"/>
                <w:lang w:bidi="ar"/>
              </w:rPr>
              <w:t>%</w:t>
            </w:r>
          </w:p>
        </w:tc>
        <w:tc>
          <w:tcPr>
            <w:tcW w:w="156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Times New Roman" w:hAnsi="宋体" w:eastAsia="Times New Roman" w:cs="宋体"/>
                <w:color w:val="000000"/>
                <w:sz w:val="18"/>
                <w:szCs w:val="18"/>
              </w:rPr>
            </w:pPr>
            <w:r>
              <w:rPr>
                <w:rFonts w:hint="eastAsia" w:ascii="Times New Roman" w:eastAsia="Times New Roman" w:cs="宋体"/>
                <w:color w:val="000000"/>
                <w:sz w:val="18"/>
                <w:szCs w:val="18"/>
                <w:lang w:bidi="ar"/>
              </w:rPr>
              <w:t>95</w:t>
            </w:r>
            <w:r>
              <w:rPr>
                <w:rFonts w:hint="eastAsia" w:ascii="Times New Roman" w:hAnsi="宋体" w:eastAsia="Times New Roman" w:cs="宋体"/>
                <w:color w:val="000000"/>
                <w:sz w:val="18"/>
                <w:szCs w:val="18"/>
                <w:lang w:bidi="ar"/>
              </w:rPr>
              <w:t>%</w:t>
            </w:r>
          </w:p>
        </w:tc>
        <w:tc>
          <w:tcPr>
            <w:tcW w:w="11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ascii="Times New Roman" w:hAnsi="宋体" w:eastAsia="Times New Roman" w:cs="宋体"/>
                <w:color w:val="000000"/>
                <w:sz w:val="18"/>
                <w:szCs w:val="18"/>
              </w:rPr>
            </w:pPr>
          </w:p>
        </w:tc>
      </w:tr>
    </w:tbl>
    <w:p>
      <w:pPr>
        <w:overflowPunct w:val="0"/>
        <w:spacing w:line="576" w:lineRule="exact"/>
        <w:ind w:firstLine="2640" w:firstLineChars="600"/>
        <w:jc w:val="both"/>
        <w:rPr>
          <w:rFonts w:hint="eastAsia" w:ascii="黑体" w:hAnsi="黑体" w:eastAsia="黑体"/>
          <w:kern w:val="44"/>
          <w:sz w:val="44"/>
          <w:szCs w:val="24"/>
        </w:rPr>
      </w:pPr>
      <w:r>
        <w:rPr>
          <w:rFonts w:hint="eastAsia" w:ascii="黑体" w:hAnsi="黑体" w:eastAsia="黑体"/>
          <w:color w:val="000000"/>
          <w:kern w:val="2"/>
          <w:sz w:val="44"/>
          <w:szCs w:val="24"/>
        </w:rPr>
        <w:br w:type="page"/>
      </w:r>
      <w:r>
        <w:rPr>
          <w:rFonts w:hint="eastAsia" w:ascii="方正小标宋简体" w:hAnsi="方正小标宋简体" w:eastAsia="方正小标宋简体" w:cs="方正小标宋简体"/>
          <w:color w:val="000000"/>
          <w:kern w:val="2"/>
          <w:sz w:val="44"/>
          <w:szCs w:val="24"/>
        </w:rPr>
        <w:t>第</w:t>
      </w:r>
      <w:r>
        <w:rPr>
          <w:rFonts w:hint="eastAsia" w:ascii="方正小标宋简体" w:hAnsi="方正小标宋简体" w:eastAsia="方正小标宋简体" w:cs="方正小标宋简体"/>
          <w:kern w:val="44"/>
          <w:sz w:val="44"/>
          <w:szCs w:val="24"/>
        </w:rPr>
        <w:t>五部分  附表</w:t>
      </w:r>
    </w:p>
    <w:p>
      <w:pPr>
        <w:pStyle w:val="4"/>
        <w:overflowPunct w:val="0"/>
        <w:spacing w:line="576" w:lineRule="exact"/>
        <w:ind w:firstLine="640"/>
        <w:jc w:val="both"/>
        <w:rPr>
          <w:rFonts w:hint="eastAsia" w:ascii="仿宋_GB2312" w:hAnsi="仿宋_GB2312" w:eastAsia="仿宋_GB2312"/>
          <w:color w:val="000000"/>
          <w:kern w:val="2"/>
          <w:sz w:val="32"/>
          <w:szCs w:val="24"/>
        </w:rPr>
      </w:pP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pPr>
        <w:pStyle w:val="4"/>
        <w:overflowPunct w:val="0"/>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pPr>
        <w:pStyle w:val="4"/>
        <w:overflowPunct w:val="0"/>
        <w:spacing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pPr>
        <w:pStyle w:val="4"/>
        <w:overflowPunct w:val="0"/>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pPr>
        <w:pStyle w:val="4"/>
        <w:overflowPunct w:val="0"/>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pPr>
        <w:overflowPunct w:val="0"/>
        <w:spacing w:line="576" w:lineRule="exact"/>
        <w:rPr>
          <w:rFonts w:hint="eastAsia" w:ascii="方正小标宋简体" w:hAnsi="方正小标宋简体" w:eastAsia="方正小标宋简体"/>
          <w:color w:val="000000"/>
          <w:kern w:val="2"/>
          <w:sz w:val="30"/>
          <w:szCs w:val="24"/>
        </w:rPr>
      </w:pPr>
      <w:r>
        <w:rPr>
          <w:rFonts w:hint="eastAsia" w:ascii="仿宋_GB2312" w:hAnsi="仿宋_GB2312" w:eastAsia="仿宋_GB2312"/>
          <w:kern w:val="2"/>
          <w:sz w:val="32"/>
          <w:szCs w:val="24"/>
        </w:rPr>
        <w:t xml:space="preserve">    十三、财政拨款“三公”经费支出决算表</w:t>
      </w:r>
    </w:p>
    <w:sectPr>
      <w:pgSz w:w="12240" w:h="15840"/>
      <w:pgMar w:top="2098" w:right="1474" w:bottom="1984" w:left="1587" w:header="850" w:footer="1587"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240" w:leftChars="100" w:right="240" w:rightChars="100"/>
                            <w:jc w:val="both"/>
                            <w:rPr>
                              <w:rFonts w:hint="eastAsia"/>
                              <w:sz w:val="18"/>
                              <w:szCs w:val="1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7"/>
                      <w:ind w:left="240" w:leftChars="100" w:right="240" w:rightChars="100"/>
                      <w:jc w:val="both"/>
                      <w:rPr>
                        <w:rFonts w:hint="eastAsia"/>
                        <w:sz w:val="18"/>
                        <w:szCs w:val="1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4C1C8"/>
    <w:multiLevelType w:val="multilevel"/>
    <w:tmpl w:val="AD14C1C8"/>
    <w:lvl w:ilvl="0" w:tentative="0">
      <w:start w:val="4"/>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3E3475D1"/>
    <w:multiLevelType w:val="multilevel"/>
    <w:tmpl w:val="3E3475D1"/>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670C7D7E"/>
    <w:multiLevelType w:val="multilevel"/>
    <w:tmpl w:val="670C7D7E"/>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mU5YjE4NTZkNDZhZGJhYzYzNWFjYzQ3ZWQ2MjgifQ=="/>
  </w:docVars>
  <w:rsids>
    <w:rsidRoot w:val="00172A27"/>
    <w:rsid w:val="27311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qFormat/>
    <w:uiPriority w:val="0"/>
    <w:pPr>
      <w:widowControl w:val="0"/>
      <w:autoSpaceDE w:val="0"/>
      <w:autoSpaceDN w:val="0"/>
      <w:adjustRightInd w:val="0"/>
    </w:pPr>
    <w:rPr>
      <w:rFonts w:hint="eastAsia" w:ascii="宋体" w:hAnsi="Times New Roman" w:eastAsia="宋体" w:cs="Times New Roman"/>
      <w:sz w:val="24"/>
      <w:szCs w:val="24"/>
      <w:lang w:val="en-US" w:eastAsia="zh-CN" w:bidi="ar-SA"/>
    </w:rPr>
  </w:style>
  <w:style w:type="paragraph" w:styleId="3">
    <w:name w:val="heading 1"/>
    <w:basedOn w:val="1"/>
    <w:link w:val="19"/>
    <w:unhideWhenUsed/>
    <w:qFormat/>
    <w:uiPriority w:val="99"/>
    <w:pPr>
      <w:outlineLvl w:val="0"/>
    </w:pPr>
    <w:rPr>
      <w:rFonts w:hint="eastAsia"/>
      <w:sz w:val="24"/>
      <w:szCs w:val="24"/>
    </w:rPr>
  </w:style>
  <w:style w:type="paragraph" w:styleId="4">
    <w:name w:val="heading 2"/>
    <w:basedOn w:val="1"/>
    <w:link w:val="15"/>
    <w:unhideWhenUsed/>
    <w:qFormat/>
    <w:uiPriority w:val="99"/>
    <w:pPr>
      <w:outlineLvl w:val="1"/>
    </w:pPr>
    <w:rPr>
      <w:rFonts w:hint="eastAsia"/>
      <w:sz w:val="24"/>
      <w:szCs w:val="24"/>
    </w:rPr>
  </w:style>
  <w:style w:type="character" w:default="1" w:styleId="11">
    <w:name w:val="Default Paragraph Font"/>
    <w:unhideWhenUsed/>
    <w:uiPriority w:val="99"/>
    <w:rPr>
      <w:rFonts w:hint="default"/>
      <w:sz w:val="24"/>
      <w:szCs w:val="24"/>
    </w:rPr>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link w:val="17"/>
    <w:unhideWhenUsed/>
    <w:qFormat/>
    <w:uiPriority w:val="99"/>
    <w:pPr>
      <w:spacing w:beforeLines="30"/>
    </w:pPr>
    <w:rPr>
      <w:rFonts w:hint="eastAsia" w:ascii="仿宋_GB2312" w:eastAsia="仿宋_GB2312"/>
      <w:sz w:val="30"/>
      <w:szCs w:val="24"/>
    </w:rPr>
  </w:style>
  <w:style w:type="paragraph" w:styleId="5">
    <w:name w:val="Body Text Indent"/>
    <w:basedOn w:val="1"/>
    <w:next w:val="6"/>
    <w:unhideWhenUsed/>
    <w:qFormat/>
    <w:uiPriority w:val="99"/>
    <w:pPr>
      <w:ind w:firstLine="630"/>
    </w:pPr>
    <w:rPr>
      <w:rFonts w:hint="eastAsia" w:ascii="Times New Roman" w:eastAsia="黑体"/>
      <w:sz w:val="32"/>
      <w:szCs w:val="32"/>
    </w:rPr>
  </w:style>
  <w:style w:type="paragraph" w:styleId="6">
    <w:name w:val="Body Text First Indent 2"/>
    <w:basedOn w:val="5"/>
    <w:next w:val="1"/>
    <w:unhideWhenUsed/>
    <w:qFormat/>
    <w:uiPriority w:val="99"/>
    <w:pPr>
      <w:spacing w:after="120"/>
      <w:ind w:left="420" w:leftChars="200" w:firstLine="420"/>
    </w:pPr>
    <w:rPr>
      <w:rFonts w:hint="eastAsia"/>
      <w:sz w:val="32"/>
      <w:szCs w:val="32"/>
    </w:rPr>
  </w:style>
  <w:style w:type="paragraph" w:styleId="7">
    <w:name w:val="footer"/>
    <w:basedOn w:val="1"/>
    <w:link w:val="16"/>
    <w:unhideWhenUsed/>
    <w:qFormat/>
    <w:uiPriority w:val="99"/>
    <w:pPr>
      <w:tabs>
        <w:tab w:val="center" w:pos="4153"/>
        <w:tab w:val="right" w:pos="8306"/>
      </w:tabs>
      <w:snapToGrid w:val="0"/>
    </w:pPr>
    <w:rPr>
      <w:rFonts w:hint="eastAsia"/>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9">
    <w:name w:val="Normal (Web)"/>
    <w:basedOn w:val="1"/>
    <w:unhideWhenUsed/>
    <w:qFormat/>
    <w:uiPriority w:val="0"/>
    <w:rPr>
      <w:rFonts w:hint="eastAsia"/>
      <w:sz w:val="24"/>
      <w:szCs w:val="24"/>
      <w:lang w:bidi="ar"/>
    </w:rPr>
  </w:style>
  <w:style w:type="character" w:styleId="12">
    <w:name w:val="Strong"/>
    <w:basedOn w:val="11"/>
    <w:unhideWhenUsed/>
    <w:qFormat/>
    <w:uiPriority w:val="99"/>
    <w:rPr>
      <w:rFonts w:hint="default"/>
      <w:b/>
      <w:sz w:val="24"/>
      <w:szCs w:val="24"/>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4">
    <w:name w:val="font51"/>
    <w:basedOn w:val="11"/>
    <w:unhideWhenUsed/>
    <w:qFormat/>
    <w:uiPriority w:val="0"/>
    <w:rPr>
      <w:rFonts w:hint="eastAsia" w:ascii="宋体" w:hAnsi="宋体" w:eastAsia="宋体" w:cs="宋体"/>
      <w:color w:val="000000"/>
      <w:sz w:val="18"/>
      <w:szCs w:val="18"/>
    </w:rPr>
  </w:style>
  <w:style w:type="character" w:customStyle="1" w:styleId="15">
    <w:name w:val="标题 2 Char"/>
    <w:basedOn w:val="11"/>
    <w:link w:val="4"/>
    <w:unhideWhenUsed/>
    <w:locked/>
    <w:uiPriority w:val="9"/>
    <w:rPr>
      <w:rFonts w:hint="eastAsia" w:ascii="宋体" w:hAnsi="Cambria" w:eastAsia="宋体" w:cs="Times New Roman"/>
      <w:b/>
      <w:sz w:val="32"/>
      <w:szCs w:val="32"/>
    </w:rPr>
  </w:style>
  <w:style w:type="character" w:customStyle="1" w:styleId="16">
    <w:name w:val="页脚 Char"/>
    <w:basedOn w:val="11"/>
    <w:link w:val="7"/>
    <w:unhideWhenUsed/>
    <w:locked/>
    <w:uiPriority w:val="99"/>
    <w:rPr>
      <w:rFonts w:hint="default" w:cs="Times New Roman"/>
      <w:sz w:val="18"/>
      <w:szCs w:val="18"/>
    </w:rPr>
  </w:style>
  <w:style w:type="character" w:customStyle="1" w:styleId="17">
    <w:name w:val="正文文本 Char"/>
    <w:basedOn w:val="11"/>
    <w:link w:val="2"/>
    <w:unhideWhenUsed/>
    <w:locked/>
    <w:uiPriority w:val="99"/>
    <w:rPr>
      <w:rFonts w:hint="default" w:cs="Times New Roman"/>
      <w:sz w:val="24"/>
      <w:szCs w:val="24"/>
    </w:rPr>
  </w:style>
  <w:style w:type="character" w:customStyle="1" w:styleId="18">
    <w:name w:val="页眉 Char"/>
    <w:basedOn w:val="11"/>
    <w:link w:val="8"/>
    <w:unhideWhenUsed/>
    <w:locked/>
    <w:uiPriority w:val="99"/>
    <w:rPr>
      <w:rFonts w:hint="default" w:cs="Times New Roman"/>
      <w:sz w:val="18"/>
      <w:szCs w:val="18"/>
    </w:rPr>
  </w:style>
  <w:style w:type="character" w:customStyle="1" w:styleId="19">
    <w:name w:val="标题 1 Char"/>
    <w:basedOn w:val="11"/>
    <w:link w:val="3"/>
    <w:unhideWhenUsed/>
    <w:locked/>
    <w:uiPriority w:val="9"/>
    <w:rPr>
      <w:rFonts w:hint="default" w:cs="Times New Roman"/>
      <w:b/>
      <w:kern w:val="44"/>
      <w:sz w:val="44"/>
      <w:szCs w:val="44"/>
    </w:rPr>
  </w:style>
  <w:style w:type="character" w:customStyle="1" w:styleId="20">
    <w:name w:val="font91"/>
    <w:basedOn w:val="11"/>
    <w:unhideWhenUsed/>
    <w:qFormat/>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2024-09-26T09:54:38Z</dcterms:created>
  <dc:creator>ZHRM</dc:creator>
  <cp:lastModifiedBy>生生不息</cp:lastModifiedBy>
  <dcterms:modified xsi:type="dcterms:W3CDTF">2024-09-26T09:54:54Z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3FE74D7DF3D14DAFB17DD19EF1F77FA1</vt:lpwstr>
  </property>
</Properties>
</file>