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08FF7E">
      <w:pPr>
        <w:keepNext w:val="0"/>
        <w:keepLines w:val="0"/>
        <w:pageBreakBefore w:val="0"/>
        <w:widowControl w:val="0"/>
        <w:kinsoku/>
        <w:wordWrap/>
        <w:topLinePunct w:val="0"/>
        <w:bidi w:val="0"/>
        <w:adjustRightInd w:val="0"/>
        <w:snapToGrid w:val="0"/>
        <w:spacing w:beforeLines="0" w:afterLines="0" w:line="600" w:lineRule="exact"/>
        <w:jc w:val="center"/>
        <w:rPr>
          <w:rFonts w:hint="default" w:ascii="Times New Roman" w:hAnsi="Times New Roman" w:eastAsia="方正小标宋简体" w:cs="Times New Roman"/>
          <w:color w:val="000000" w:themeColor="text1"/>
          <w:spacing w:val="0"/>
          <w:kern w:val="2"/>
          <w:sz w:val="72"/>
          <w:szCs w:val="24"/>
          <w:lang w:val="zh-CN"/>
          <w14:textFill>
            <w14:solidFill>
              <w14:schemeClr w14:val="tx1"/>
            </w14:solidFill>
          </w14:textFill>
        </w:rPr>
      </w:pPr>
    </w:p>
    <w:p w14:paraId="667C1635">
      <w:pPr>
        <w:keepNext w:val="0"/>
        <w:keepLines w:val="0"/>
        <w:pageBreakBefore w:val="0"/>
        <w:widowControl w:val="0"/>
        <w:kinsoku/>
        <w:wordWrap/>
        <w:topLinePunct w:val="0"/>
        <w:bidi w:val="0"/>
        <w:adjustRightInd w:val="0"/>
        <w:snapToGrid w:val="0"/>
        <w:spacing w:beforeLines="0" w:afterLines="0" w:line="600" w:lineRule="exact"/>
        <w:jc w:val="center"/>
        <w:rPr>
          <w:rFonts w:hint="default" w:ascii="Times New Roman" w:hAnsi="Times New Roman" w:eastAsia="方正小标宋简体" w:cs="Times New Roman"/>
          <w:color w:val="000000" w:themeColor="text1"/>
          <w:spacing w:val="0"/>
          <w:kern w:val="2"/>
          <w:sz w:val="72"/>
          <w:szCs w:val="24"/>
          <w:lang w:val="zh-CN"/>
          <w14:textFill>
            <w14:solidFill>
              <w14:schemeClr w14:val="tx1"/>
            </w14:solidFill>
          </w14:textFill>
        </w:rPr>
      </w:pPr>
    </w:p>
    <w:p w14:paraId="508DD82F">
      <w:pPr>
        <w:keepNext w:val="0"/>
        <w:keepLines w:val="0"/>
        <w:pageBreakBefore w:val="0"/>
        <w:widowControl w:val="0"/>
        <w:kinsoku/>
        <w:wordWrap/>
        <w:topLinePunct w:val="0"/>
        <w:bidi w:val="0"/>
        <w:adjustRightInd w:val="0"/>
        <w:snapToGrid w:val="0"/>
        <w:spacing w:beforeLines="0" w:afterLines="0" w:line="600" w:lineRule="exact"/>
        <w:jc w:val="center"/>
        <w:rPr>
          <w:rFonts w:hint="default" w:ascii="Times New Roman" w:hAnsi="Times New Roman" w:eastAsia="方正小标宋简体" w:cs="Times New Roman"/>
          <w:color w:val="000000" w:themeColor="text1"/>
          <w:spacing w:val="0"/>
          <w:kern w:val="2"/>
          <w:sz w:val="72"/>
          <w:szCs w:val="24"/>
          <w:lang w:val="zh-CN"/>
          <w14:textFill>
            <w14:solidFill>
              <w14:schemeClr w14:val="tx1"/>
            </w14:solidFill>
          </w14:textFill>
        </w:rPr>
      </w:pPr>
    </w:p>
    <w:p w14:paraId="072B9EFF">
      <w:pPr>
        <w:keepNext w:val="0"/>
        <w:keepLines w:val="0"/>
        <w:pageBreakBefore w:val="0"/>
        <w:widowControl w:val="0"/>
        <w:kinsoku/>
        <w:wordWrap/>
        <w:topLinePunct w:val="0"/>
        <w:bidi w:val="0"/>
        <w:adjustRightInd w:val="0"/>
        <w:snapToGrid w:val="0"/>
        <w:spacing w:beforeLines="0" w:afterLines="0" w:line="1400" w:lineRule="exact"/>
        <w:jc w:val="center"/>
        <w:rPr>
          <w:rFonts w:hint="default" w:ascii="Times New Roman" w:hAnsi="Times New Roman" w:eastAsia="方正小标宋简体" w:cs="Times New Roman"/>
          <w:color w:val="000000" w:themeColor="text1"/>
          <w:spacing w:val="0"/>
          <w:kern w:val="2"/>
          <w:sz w:val="72"/>
          <w:szCs w:val="24"/>
          <w:lang w:val="zh-CN"/>
          <w14:textFill>
            <w14:solidFill>
              <w14:schemeClr w14:val="tx1"/>
            </w14:solidFill>
          </w14:textFill>
        </w:rPr>
      </w:pPr>
      <w:r>
        <w:rPr>
          <w:rFonts w:hint="default" w:ascii="Times New Roman" w:hAnsi="Times New Roman" w:eastAsia="方正小标宋简体" w:cs="Times New Roman"/>
          <w:color w:val="000000" w:themeColor="text1"/>
          <w:spacing w:val="0"/>
          <w:kern w:val="2"/>
          <w:sz w:val="72"/>
          <w:szCs w:val="24"/>
          <w:lang w:val="zh-CN"/>
          <w14:textFill>
            <w14:solidFill>
              <w14:schemeClr w14:val="tx1"/>
            </w14:solidFill>
          </w14:textFill>
        </w:rPr>
        <w:t>2023年度</w:t>
      </w:r>
    </w:p>
    <w:p w14:paraId="532BA44F">
      <w:pPr>
        <w:keepNext w:val="0"/>
        <w:keepLines w:val="0"/>
        <w:pageBreakBefore w:val="0"/>
        <w:widowControl w:val="0"/>
        <w:kinsoku/>
        <w:wordWrap/>
        <w:topLinePunct w:val="0"/>
        <w:bidi w:val="0"/>
        <w:adjustRightInd w:val="0"/>
        <w:snapToGrid w:val="0"/>
        <w:spacing w:beforeLines="0" w:afterLines="0" w:line="1400" w:lineRule="exact"/>
        <w:jc w:val="center"/>
        <w:outlineLvl w:val="0"/>
        <w:rPr>
          <w:rFonts w:hint="default" w:ascii="Times New Roman" w:hAnsi="Times New Roman" w:eastAsia="方正小标宋简体" w:cs="Times New Roman"/>
          <w:color w:val="000000" w:themeColor="text1"/>
          <w:spacing w:val="0"/>
          <w:sz w:val="72"/>
          <w:szCs w:val="72"/>
          <w14:textFill>
            <w14:solidFill>
              <w14:schemeClr w14:val="tx1"/>
            </w14:solidFill>
          </w14:textFill>
        </w:rPr>
      </w:pPr>
      <w:bookmarkStart w:id="0" w:name="_Toc22419"/>
      <w:r>
        <w:rPr>
          <w:rFonts w:hint="default" w:ascii="Times New Roman" w:hAnsi="Times New Roman" w:eastAsia="方正小标宋简体" w:cs="Times New Roman"/>
          <w:color w:val="000000" w:themeColor="text1"/>
          <w:spacing w:val="0"/>
          <w:sz w:val="72"/>
          <w:szCs w:val="72"/>
          <w14:textFill>
            <w14:solidFill>
              <w14:schemeClr w14:val="tx1"/>
            </w14:solidFill>
          </w14:textFill>
        </w:rPr>
        <w:t>广元市昭化区供销合作社</w:t>
      </w:r>
    </w:p>
    <w:p w14:paraId="1C8535BD">
      <w:pPr>
        <w:keepNext w:val="0"/>
        <w:keepLines w:val="0"/>
        <w:pageBreakBefore w:val="0"/>
        <w:widowControl w:val="0"/>
        <w:kinsoku/>
        <w:wordWrap/>
        <w:topLinePunct w:val="0"/>
        <w:bidi w:val="0"/>
        <w:adjustRightInd w:val="0"/>
        <w:snapToGrid w:val="0"/>
        <w:spacing w:beforeLines="0" w:afterLines="0" w:line="1400" w:lineRule="exact"/>
        <w:jc w:val="center"/>
        <w:outlineLvl w:val="0"/>
        <w:rPr>
          <w:rFonts w:hint="default" w:ascii="Times New Roman" w:hAnsi="Times New Roman" w:eastAsia="方正小标宋简体" w:cs="Times New Roman"/>
          <w:color w:val="000000" w:themeColor="text1"/>
          <w:spacing w:val="0"/>
          <w:kern w:val="2"/>
          <w:sz w:val="72"/>
          <w:szCs w:val="24"/>
          <w:lang w:val="zh-CN"/>
          <w14:textFill>
            <w14:solidFill>
              <w14:schemeClr w14:val="tx1"/>
            </w14:solidFill>
          </w14:textFill>
        </w:rPr>
      </w:pPr>
      <w:r>
        <w:rPr>
          <w:rFonts w:hint="default" w:ascii="Times New Roman" w:hAnsi="Times New Roman" w:eastAsia="方正小标宋简体" w:cs="Times New Roman"/>
          <w:color w:val="000000" w:themeColor="text1"/>
          <w:spacing w:val="0"/>
          <w:sz w:val="72"/>
          <w:szCs w:val="72"/>
          <w14:textFill>
            <w14:solidFill>
              <w14:schemeClr w14:val="tx1"/>
            </w14:solidFill>
          </w14:textFill>
        </w:rPr>
        <w:t>联合社</w:t>
      </w:r>
      <w:r>
        <w:rPr>
          <w:rFonts w:hint="default" w:ascii="Times New Roman" w:hAnsi="Times New Roman" w:eastAsia="方正小标宋简体" w:cs="Times New Roman"/>
          <w:color w:val="000000" w:themeColor="text1"/>
          <w:spacing w:val="0"/>
          <w:kern w:val="2"/>
          <w:sz w:val="72"/>
          <w:szCs w:val="24"/>
          <w:lang w:val="zh-CN"/>
          <w14:textFill>
            <w14:solidFill>
              <w14:schemeClr w14:val="tx1"/>
            </w14:solidFill>
          </w14:textFill>
        </w:rPr>
        <w:t>部门决算</w:t>
      </w:r>
      <w:bookmarkEnd w:id="0"/>
    </w:p>
    <w:p w14:paraId="2F38BF71">
      <w:pPr>
        <w:keepNext w:val="0"/>
        <w:keepLines w:val="0"/>
        <w:pageBreakBefore w:val="0"/>
        <w:widowControl w:val="0"/>
        <w:kinsoku/>
        <w:wordWrap/>
        <w:topLinePunct w:val="0"/>
        <w:bidi w:val="0"/>
        <w:adjustRightInd w:val="0"/>
        <w:snapToGrid w:val="0"/>
        <w:spacing w:beforeLines="0" w:afterLines="0" w:line="360" w:lineRule="auto"/>
        <w:jc w:val="center"/>
        <w:rPr>
          <w:rFonts w:hint="default" w:ascii="Times New Roman" w:hAnsi="Times New Roman" w:eastAsia="黑体" w:cs="Times New Roman"/>
          <w:color w:val="000000" w:themeColor="text1"/>
          <w:spacing w:val="0"/>
          <w:kern w:val="2"/>
          <w:sz w:val="72"/>
          <w:szCs w:val="24"/>
          <w:lang w:val="zh-CN"/>
          <w14:textFill>
            <w14:solidFill>
              <w14:schemeClr w14:val="tx1"/>
            </w14:solidFill>
          </w14:textFill>
        </w:rPr>
      </w:pPr>
    </w:p>
    <w:p w14:paraId="6AC617C4">
      <w:pPr>
        <w:keepNext w:val="0"/>
        <w:keepLines w:val="0"/>
        <w:pageBreakBefore w:val="0"/>
        <w:widowControl w:val="0"/>
        <w:kinsoku/>
        <w:wordWrap/>
        <w:topLinePunct w:val="0"/>
        <w:bidi w:val="0"/>
        <w:adjustRightInd w:val="0"/>
        <w:snapToGrid w:val="0"/>
        <w:spacing w:beforeLines="0" w:afterLines="0" w:line="360" w:lineRule="auto"/>
        <w:jc w:val="center"/>
        <w:outlineLvl w:val="9"/>
        <w:rPr>
          <w:rFonts w:hint="default" w:ascii="Times New Roman" w:hAnsi="Times New Roman" w:eastAsia="方正小标宋简体" w:cs="Times New Roman"/>
          <w:color w:val="000000" w:themeColor="text1"/>
          <w:spacing w:val="0"/>
          <w:sz w:val="52"/>
          <w:szCs w:val="24"/>
          <w14:textFill>
            <w14:solidFill>
              <w14:schemeClr w14:val="tx1"/>
            </w14:solidFill>
          </w14:textFill>
        </w:rPr>
      </w:pPr>
    </w:p>
    <w:p w14:paraId="7DB91B30">
      <w:pPr>
        <w:keepNext w:val="0"/>
        <w:keepLines w:val="0"/>
        <w:pageBreakBefore w:val="0"/>
        <w:widowControl w:val="0"/>
        <w:kinsoku/>
        <w:wordWrap/>
        <w:overflowPunct/>
        <w:topLinePunct w:val="0"/>
        <w:bidi w:val="0"/>
        <w:adjustRightInd w:val="0"/>
        <w:snapToGrid w:val="0"/>
        <w:spacing w:beforeLines="0" w:afterLines="0" w:line="576" w:lineRule="exact"/>
        <w:jc w:val="center"/>
        <w:textAlignment w:val="auto"/>
        <w:rPr>
          <w:rFonts w:hint="default" w:ascii="Times New Roman" w:hAnsi="Times New Roman" w:cs="Times New Roman"/>
          <w:color w:val="000000" w:themeColor="text1"/>
          <w:spacing w:val="0"/>
          <w:sz w:val="30"/>
          <w:szCs w:val="24"/>
          <w:lang w:val="zh-CN"/>
          <w14:textFill>
            <w14:solidFill>
              <w14:schemeClr w14:val="tx1"/>
            </w14:solidFill>
          </w14:textFill>
        </w:rPr>
        <w:sectPr>
          <w:footerReference r:id="rId4" w:type="even"/>
          <w:pgSz w:w="11905" w:h="16838"/>
          <w:pgMar w:top="2098" w:right="1474" w:bottom="1984" w:left="1587" w:header="720" w:footer="1587" w:gutter="0"/>
          <w:lnNumType w:countBy="0" w:distance="360"/>
          <w:cols w:space="720" w:num="1"/>
          <w:rtlGutter w:val="0"/>
        </w:sectPr>
      </w:pPr>
    </w:p>
    <w:p w14:paraId="2798AD9B">
      <w:pPr>
        <w:pStyle w:val="2"/>
        <w:rPr>
          <w:rFonts w:hint="default"/>
          <w:lang w:val="zh-CN"/>
        </w:rPr>
      </w:pPr>
    </w:p>
    <w:p w14:paraId="39CC4783">
      <w:pPr>
        <w:keepNext w:val="0"/>
        <w:keepLines w:val="0"/>
        <w:pageBreakBefore w:val="0"/>
        <w:widowControl w:val="0"/>
        <w:kinsoku/>
        <w:wordWrap/>
        <w:overflowPunct/>
        <w:topLinePunct w:val="0"/>
        <w:bidi w:val="0"/>
        <w:adjustRightInd w:val="0"/>
        <w:snapToGrid w:val="0"/>
        <w:spacing w:beforeLines="0" w:afterLines="0" w:line="576" w:lineRule="exact"/>
        <w:jc w:val="center"/>
        <w:textAlignment w:val="auto"/>
        <w:rPr>
          <w:rFonts w:hint="eastAsia" w:ascii="方正小标宋简体" w:hAnsi="方正小标宋简体" w:eastAsia="方正小标宋简体" w:cs="方正小标宋简体"/>
          <w:color w:val="000000" w:themeColor="text1"/>
          <w:spacing w:val="0"/>
          <w:sz w:val="44"/>
          <w:szCs w:val="44"/>
          <w:lang w:val="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kern w:val="2"/>
          <w:sz w:val="44"/>
          <w:szCs w:val="44"/>
          <w:lang w:val="zh-CN"/>
          <w14:textFill>
            <w14:solidFill>
              <w14:schemeClr w14:val="tx1"/>
            </w14:solidFill>
          </w14:textFill>
        </w:rPr>
        <w:t>目   录</w:t>
      </w:r>
    </w:p>
    <w:p w14:paraId="78AB0F83">
      <w:pPr>
        <w:keepNext w:val="0"/>
        <w:keepLines w:val="0"/>
        <w:pageBreakBefore w:val="0"/>
        <w:widowControl w:val="0"/>
        <w:kinsoku/>
        <w:wordWrap/>
        <w:overflowPunct/>
        <w:topLinePunct w:val="0"/>
        <w:bidi w:val="0"/>
        <w:adjustRightInd w:val="0"/>
        <w:snapToGrid w:val="0"/>
        <w:spacing w:beforeLines="0" w:afterLines="0" w:line="576" w:lineRule="exact"/>
        <w:jc w:val="center"/>
        <w:textAlignment w:val="auto"/>
        <w:rPr>
          <w:rFonts w:hint="default" w:ascii="Times New Roman" w:hAnsi="Times New Roman" w:eastAsia="楷体_GB2312" w:cs="Times New Roman"/>
          <w:color w:val="000000" w:themeColor="text1"/>
          <w:spacing w:val="0"/>
          <w:sz w:val="32"/>
          <w:szCs w:val="32"/>
          <w:highlight w:val="yellow"/>
          <w14:textFill>
            <w14:solidFill>
              <w14:schemeClr w14:val="tx1"/>
            </w14:solidFill>
          </w14:textFill>
        </w:rPr>
      </w:pPr>
      <w:r>
        <w:rPr>
          <w:rFonts w:hint="default" w:ascii="Times New Roman" w:hAnsi="Times New Roman" w:eastAsia="楷体_GB2312" w:cs="Times New Roman"/>
          <w:color w:val="000000" w:themeColor="text1"/>
          <w:spacing w:val="0"/>
          <w:sz w:val="32"/>
          <w:szCs w:val="32"/>
          <w14:textFill>
            <w14:solidFill>
              <w14:schemeClr w14:val="tx1"/>
            </w14:solidFill>
          </w14:textFill>
        </w:rPr>
        <w:t>公开时间：2024年9月26日</w:t>
      </w:r>
    </w:p>
    <w:sdt>
      <w:sdtPr>
        <w:rPr>
          <w:rFonts w:hint="default" w:ascii="Times New Roman" w:hAnsi="Times New Roman" w:eastAsia="宋体" w:cs="Times New Roman"/>
          <w:color w:val="000000" w:themeColor="text1"/>
          <w:spacing w:val="0"/>
          <w:sz w:val="21"/>
          <w:szCs w:val="24"/>
          <w:lang w:val="en-US" w:eastAsia="zh-CN" w:bidi="ar-SA"/>
          <w14:textFill>
            <w14:solidFill>
              <w14:schemeClr w14:val="tx1"/>
            </w14:solidFill>
          </w14:textFill>
        </w:rPr>
        <w:id w:val="147464465"/>
        <w15:color w:val="DBDBDB"/>
        <w:docPartObj>
          <w:docPartGallery w:val="Table of Contents"/>
          <w:docPartUnique/>
        </w:docPartObj>
      </w:sdtPr>
      <w:sdtEndPr>
        <w:rPr>
          <w:rFonts w:hint="default" w:ascii="Times New Roman" w:hAnsi="Times New Roman" w:eastAsia="仿宋_GB2312" w:cs="Times New Roman"/>
          <w:b/>
          <w:color w:val="000000" w:themeColor="text1"/>
          <w:spacing w:val="0"/>
          <w:sz w:val="32"/>
          <w:szCs w:val="32"/>
          <w:lang w:val="en-US" w:eastAsia="zh-CN" w:bidi="ar-SA"/>
          <w14:textFill>
            <w14:solidFill>
              <w14:schemeClr w14:val="tx1"/>
            </w14:solidFill>
          </w14:textFill>
        </w:rPr>
      </w:sdtEndPr>
      <w:sdtContent>
        <w:p w14:paraId="13740412">
          <w:pPr>
            <w:keepNext w:val="0"/>
            <w:keepLines w:val="0"/>
            <w:pageBreakBefore w:val="0"/>
            <w:widowControl w:val="0"/>
            <w:kinsoku/>
            <w:wordWrap/>
            <w:overflowPunct/>
            <w:topLinePunct w:val="0"/>
            <w:bidi w:val="0"/>
            <w:adjustRightInd w:val="0"/>
            <w:snapToGrid w:val="0"/>
            <w:spacing w:beforeLines="0" w:afterLines="0" w:line="576" w:lineRule="exact"/>
            <w:ind w:left="0" w:leftChars="0" w:right="0" w:rightChars="0" w:firstLine="0" w:firstLineChars="0"/>
            <w:jc w:val="center"/>
            <w:textAlignment w:val="auto"/>
            <w:rPr>
              <w:rFonts w:hint="default" w:ascii="Times New Roman" w:hAnsi="Times New Roman" w:cs="Times New Roman"/>
              <w:color w:val="000000" w:themeColor="text1"/>
              <w:spacing w:val="0"/>
              <w14:textFill>
                <w14:solidFill>
                  <w14:schemeClr w14:val="tx1"/>
                </w14:solidFill>
              </w14:textFill>
            </w:rPr>
          </w:pPr>
        </w:p>
        <w:p w14:paraId="2DA1FB06">
          <w:pPr>
            <w:pStyle w:val="20"/>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14:textFill>
                <w14:solidFill>
                  <w14:schemeClr w14:val="tx1"/>
                </w14:solidFill>
              </w14:textFill>
            </w:rPr>
            <w:instrText xml:space="preserve">TOC \o "1-2" \h \u </w:instrText>
          </w:r>
          <w:r>
            <w:rPr>
              <w:rFonts w:hint="default" w:ascii="Times New Roman" w:hAnsi="Times New Roman" w:eastAsia="仿宋_GB2312" w:cs="Times New Roman"/>
              <w:color w:val="000000" w:themeColor="text1"/>
              <w:spacing w:val="0"/>
              <w:sz w:val="32"/>
              <w:szCs w:val="32"/>
              <w14:textFill>
                <w14:solidFill>
                  <w14:schemeClr w14:val="tx1"/>
                </w14:solidFill>
              </w14:textFill>
            </w:rPr>
            <w:fldChar w:fldCharType="separate"/>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begin"/>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instrText xml:space="preserve"> HYPERLINK \l _Toc23223 </w:instrTex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separate"/>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第一部分 部门概况</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ab/>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begin"/>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instrText xml:space="preserve"> PAGEREF _Toc23223 \h </w:instrTex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separate"/>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1</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end"/>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end"/>
          </w:r>
        </w:p>
        <w:p w14:paraId="54837B75">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_Toc30839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一、部门职责</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_Toc30839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1</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392D9504">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_Toc23647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二、机构设置</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_Toc23647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3</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1DCF74F1">
          <w:pPr>
            <w:pStyle w:val="20"/>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begin"/>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instrText xml:space="preserve"> HYPERLINK \l _Toc8475 </w:instrTex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separate"/>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第二部分  2023年度部门决算情况说明</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ab/>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begin"/>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instrText xml:space="preserve"> PAGEREF _Toc8475 \h </w:instrTex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separate"/>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4</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end"/>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end"/>
          </w:r>
        </w:p>
        <w:p w14:paraId="51207F70">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_Toc18874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一、收入支出决算总体情况说明</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_Toc18874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4</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4275EE38">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_Toc21204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二、收入决算情况说明</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_Toc21204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4</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165F4876">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_Toc14420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三、支出决算情况说明</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_Toc14420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5</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341A6264">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_Toc10336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四、财政拨款收入支出决算总体情况说明</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_Toc10336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5</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26C0F68B">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_Toc19910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五、一般公共预算财政拨款支出决算情况说明</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_Toc19910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6</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762767BE">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_Toc14178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六、一般公共预算财政拨款基本支出决算情况说明</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_Toc14178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8</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2E7FA6B6">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_Toc32215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七、财政拨款“三公”经费支出决算情况说明</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_Toc32215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9</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3AF93901">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_Toc11911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八、政府性基金预算支出决算情况说明</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_Toc11911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11</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6F7C7659">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_Toc9848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九、国有资本经营预算支出决算情况说明</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_Toc9848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11</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768E77B7">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_Toc7700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十、其他重要事项的情况说明</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_Toc7700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11</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21C50C40">
          <w:pPr>
            <w:pStyle w:val="20"/>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begin"/>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instrText xml:space="preserve"> HYPERLINK \l _Toc24742 </w:instrTex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separate"/>
          </w:r>
          <w:r>
            <w:rPr>
              <w:rFonts w:hint="default" w:ascii="Times New Roman" w:hAnsi="Times New Roman" w:eastAsia="仿宋_GB2312" w:cs="Times New Roman"/>
              <w:b w:val="0"/>
              <w:bCs/>
              <w:color w:val="000000" w:themeColor="text1"/>
              <w:spacing w:val="0"/>
              <w:kern w:val="2"/>
              <w:sz w:val="32"/>
              <w:szCs w:val="32"/>
              <w14:textFill>
                <w14:solidFill>
                  <w14:schemeClr w14:val="tx1"/>
                </w14:solidFill>
              </w14:textFill>
            </w:rPr>
            <w:t>第三部分  名</w:t>
          </w:r>
          <w:r>
            <w:rPr>
              <w:rFonts w:hint="default" w:ascii="Times New Roman" w:hAnsi="Times New Roman" w:eastAsia="仿宋_GB2312" w:cs="Times New Roman"/>
              <w:b w:val="0"/>
              <w:bCs/>
              <w:color w:val="000000" w:themeColor="text1"/>
              <w:spacing w:val="0"/>
              <w:kern w:val="44"/>
              <w:sz w:val="32"/>
              <w:szCs w:val="32"/>
              <w14:textFill>
                <w14:solidFill>
                  <w14:schemeClr w14:val="tx1"/>
                </w14:solidFill>
              </w14:textFill>
            </w:rPr>
            <w:t>词解释</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ab/>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begin"/>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instrText xml:space="preserve"> PAGEREF _Toc24742 \h </w:instrTex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separate"/>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13</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end"/>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end"/>
          </w:r>
        </w:p>
        <w:p w14:paraId="4F9B54AD">
          <w:pPr>
            <w:pStyle w:val="20"/>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b/>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begin"/>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instrText xml:space="preserve"> HYPERLINK \l _Toc22942 </w:instrTex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separate"/>
          </w:r>
          <w:r>
            <w:rPr>
              <w:rFonts w:hint="default" w:ascii="Times New Roman" w:hAnsi="Times New Roman" w:eastAsia="仿宋_GB2312" w:cs="Times New Roman"/>
              <w:b w:val="0"/>
              <w:bCs/>
              <w:color w:val="000000" w:themeColor="text1"/>
              <w:spacing w:val="0"/>
              <w:kern w:val="2"/>
              <w:sz w:val="32"/>
              <w:szCs w:val="32"/>
              <w14:textFill>
                <w14:solidFill>
                  <w14:schemeClr w14:val="tx1"/>
                </w14:solidFill>
              </w14:textFill>
            </w:rPr>
            <w:t>第</w:t>
          </w:r>
          <w:r>
            <w:rPr>
              <w:rFonts w:hint="default" w:ascii="Times New Roman" w:hAnsi="Times New Roman" w:eastAsia="仿宋_GB2312" w:cs="Times New Roman"/>
              <w:b w:val="0"/>
              <w:bCs/>
              <w:color w:val="000000" w:themeColor="text1"/>
              <w:spacing w:val="0"/>
              <w:kern w:val="44"/>
              <w:sz w:val="32"/>
              <w:szCs w:val="32"/>
              <w14:textFill>
                <w14:solidFill>
                  <w14:schemeClr w14:val="tx1"/>
                </w14:solidFill>
              </w14:textFill>
            </w:rPr>
            <w:t>四部分  附件</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ab/>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begin"/>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instrText xml:space="preserve"> PAGEREF _Toc22942 \h </w:instrTex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separate"/>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16</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end"/>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end"/>
          </w:r>
        </w:p>
        <w:p w14:paraId="10CFB8CC">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_Toc8497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附件1</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_Toc8497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16</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11C44A77">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_Toc18162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附件2</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_Toc18162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29</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33F54CD0">
          <w:pPr>
            <w:pStyle w:val="20"/>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sectPr>
              <w:footerReference r:id="rId5" w:type="default"/>
              <w:footerReference r:id="rId6" w:type="even"/>
              <w:pgSz w:w="11905" w:h="16838"/>
              <w:pgMar w:top="2098" w:right="1474" w:bottom="1984" w:left="1587" w:header="720" w:footer="1587" w:gutter="0"/>
              <w:lnNumType w:countBy="0" w:distance="360"/>
              <w:pgNumType w:start="1"/>
              <w:cols w:space="720" w:num="1"/>
              <w:rtlGutter w:val="0"/>
            </w:sectPr>
          </w:pPr>
        </w:p>
        <w:p w14:paraId="251F51CF">
          <w:pPr>
            <w:pStyle w:val="20"/>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begin"/>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instrText xml:space="preserve"> HYPERLINK \l _Toc7543 </w:instrTex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separate"/>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第五部分  附表</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ab/>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begin"/>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instrText xml:space="preserve"> PAGEREF _Toc7543 \h </w:instrTex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separate"/>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t>42</w:t>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end"/>
          </w:r>
          <w:r>
            <w:rPr>
              <w:rFonts w:hint="default" w:ascii="Times New Roman" w:hAnsi="Times New Roman" w:eastAsia="仿宋_GB2312" w:cs="Times New Roman"/>
              <w:b w:val="0"/>
              <w:bCs/>
              <w:color w:val="000000" w:themeColor="text1"/>
              <w:spacing w:val="0"/>
              <w:sz w:val="32"/>
              <w:szCs w:val="32"/>
              <w14:textFill>
                <w14:solidFill>
                  <w14:schemeClr w14:val="tx1"/>
                </w14:solidFill>
              </w14:textFill>
            </w:rPr>
            <w:fldChar w:fldCharType="end"/>
          </w:r>
        </w:p>
        <w:p w14:paraId="7C59A8EC">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_Toc29421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一、收入支出决算总表</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_Toc29421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42</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5226B567">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_Toc7898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二、收入决算表</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_Toc7898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42</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0CC821D2">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_Toc22036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三、支出决算表</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_Toc22036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42</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32CA42AC">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_Toc32655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四、财政拨款收入支出决算总表</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_Toc32655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42</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5C3EE137">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_Toc21780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五、财政拨款支出决算明细表</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_Toc21780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42</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44037FAE">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_Toc24664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六、一般公共预算财政拨款支出决算表</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_Toc24664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42</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466F871C">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_Toc22020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七、一般公共预算财政拨款支出决算明细表</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_Toc22020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42</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119786BD">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_Toc15810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八、一般公共预算财政拨款基本支出决算表</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_Toc15810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42</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19EDFC5E">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_Toc16052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九、一般公共预算财政拨款项目支出决算表</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_Toc16052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42</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76EF8CB5">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_Toc7182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十、政府性基金预算财政拨款收入支出决算表</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_Toc7182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42</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76C19675">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_Toc2400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十一、国有资本经营预算财政拨款收入支出决算表</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_Toc2400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42</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247367E6">
          <w:pPr>
            <w:pStyle w:val="21"/>
            <w:keepNext w:val="0"/>
            <w:keepLines w:val="0"/>
            <w:pageBreakBefore w:val="0"/>
            <w:widowControl w:val="0"/>
            <w:tabs>
              <w:tab w:val="right" w:leader="dot" w:pos="8640"/>
            </w:tabs>
            <w:kinsoku/>
            <w:wordWrap/>
            <w:overflowPunct/>
            <w:topLinePunct w:val="0"/>
            <w:bidi w:val="0"/>
            <w:adjustRightInd w:val="0"/>
            <w:snapToGrid w:val="0"/>
            <w:spacing w:line="576" w:lineRule="exact"/>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HYPERLINK \l _Toc32640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十二、国有资本经营预算财政拨款支出决算表</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ab/>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begin"/>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instrText xml:space="preserve"> PAGEREF _Toc32640 \h </w:instrTex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separate"/>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t>42</w:t>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r>
            <w:rPr>
              <w:rFonts w:hint="default" w:ascii="Times New Roman" w:hAnsi="Times New Roman" w:eastAsia="仿宋_GB2312" w:cs="Times New Roman"/>
              <w:color w:val="000000" w:themeColor="text1"/>
              <w:spacing w:val="0"/>
              <w:sz w:val="32"/>
              <w:szCs w:val="32"/>
              <w:lang w:val="zh-CN" w:eastAsia="zh-CN" w:bidi="ar-SA"/>
              <w14:textFill>
                <w14:solidFill>
                  <w14:schemeClr w14:val="tx1"/>
                </w14:solidFill>
              </w14:textFill>
            </w:rPr>
            <w:fldChar w:fldCharType="end"/>
          </w:r>
        </w:p>
        <w:p w14:paraId="551E83C2">
          <w:pPr>
            <w:keepNext w:val="0"/>
            <w:keepLines w:val="0"/>
            <w:pageBreakBefore w:val="0"/>
            <w:widowControl w:val="0"/>
            <w:kinsoku/>
            <w:wordWrap/>
            <w:overflowPunct/>
            <w:topLinePunct w:val="0"/>
            <w:bidi w:val="0"/>
            <w:adjustRightInd w:val="0"/>
            <w:snapToGrid w:val="0"/>
            <w:spacing w:beforeLines="0" w:afterLines="0" w:line="576" w:lineRule="exact"/>
            <w:textAlignment w:val="auto"/>
            <w:rPr>
              <w:rFonts w:hint="default" w:ascii="Times New Roman" w:hAnsi="Times New Roman" w:eastAsia="仿宋_GB2312" w:cs="Times New Roman"/>
              <w:b/>
              <w:color w:val="000000" w:themeColor="text1"/>
              <w:spacing w:val="0"/>
              <w:sz w:val="32"/>
              <w:szCs w:val="32"/>
              <w:lang w:val="en-US" w:eastAsia="zh-CN" w:bidi="ar-SA"/>
              <w14:textFill>
                <w14:solidFill>
                  <w14:schemeClr w14:val="tx1"/>
                </w14:solidFill>
              </w14:textFill>
            </w:rPr>
          </w:pPr>
          <w:r>
            <w:rPr>
              <w:rFonts w:hint="default" w:ascii="Times New Roman" w:hAnsi="Times New Roman" w:eastAsia="仿宋_GB2312" w:cs="Times New Roman"/>
              <w:b/>
              <w:color w:val="000000" w:themeColor="text1"/>
              <w:spacing w:val="0"/>
              <w:sz w:val="32"/>
              <w:szCs w:val="32"/>
              <w14:textFill>
                <w14:solidFill>
                  <w14:schemeClr w14:val="tx1"/>
                </w14:solidFill>
              </w14:textFill>
            </w:rPr>
            <w:fldChar w:fldCharType="end"/>
          </w:r>
        </w:p>
      </w:sdtContent>
    </w:sdt>
    <w:p w14:paraId="776C09C7">
      <w:pPr>
        <w:pStyle w:val="6"/>
        <w:keepNext w:val="0"/>
        <w:keepLines w:val="0"/>
        <w:pageBreakBefore w:val="0"/>
        <w:widowControl w:val="0"/>
        <w:kinsoku/>
        <w:wordWrap/>
        <w:topLinePunct w:val="0"/>
        <w:bidi w:val="0"/>
        <w:adjustRightInd w:val="0"/>
        <w:snapToGrid w:val="0"/>
        <w:rPr>
          <w:rFonts w:hint="default" w:ascii="Times New Roman" w:hAnsi="Times New Roman" w:cs="Times New Roman"/>
          <w:color w:val="000000" w:themeColor="text1"/>
          <w:spacing w:val="0"/>
          <w14:textFill>
            <w14:solidFill>
              <w14:schemeClr w14:val="tx1"/>
            </w14:solidFill>
          </w14:textFill>
        </w:rPr>
      </w:pPr>
    </w:p>
    <w:p w14:paraId="1ED924F7">
      <w:pPr>
        <w:pStyle w:val="6"/>
        <w:keepNext w:val="0"/>
        <w:keepLines w:val="0"/>
        <w:pageBreakBefore w:val="0"/>
        <w:widowControl w:val="0"/>
        <w:kinsoku/>
        <w:wordWrap/>
        <w:topLinePunct w:val="0"/>
        <w:bidi w:val="0"/>
        <w:adjustRightInd w:val="0"/>
        <w:snapToGrid w:val="0"/>
        <w:spacing w:before="72" w:afterLines="0"/>
        <w:rPr>
          <w:rFonts w:hint="default" w:ascii="Times New Roman" w:hAnsi="Times New Roman" w:cs="Times New Roman"/>
          <w:color w:val="000000" w:themeColor="text1"/>
          <w:spacing w:val="0"/>
          <w:sz w:val="30"/>
          <w:szCs w:val="24"/>
          <w14:textFill>
            <w14:solidFill>
              <w14:schemeClr w14:val="tx1"/>
            </w14:solidFill>
          </w14:textFill>
        </w:rPr>
        <w:sectPr>
          <w:footerReference r:id="rId7" w:type="default"/>
          <w:footerReference r:id="rId8" w:type="even"/>
          <w:pgSz w:w="11905" w:h="16838"/>
          <w:pgMar w:top="2098" w:right="1474" w:bottom="1984" w:left="1587" w:header="720" w:footer="1587" w:gutter="0"/>
          <w:lnNumType w:countBy="0" w:distance="360"/>
          <w:cols w:space="720" w:num="1"/>
          <w:rtlGutter w:val="0"/>
        </w:sectPr>
      </w:pPr>
    </w:p>
    <w:p w14:paraId="6FACCE9B">
      <w:pPr>
        <w:pStyle w:val="3"/>
        <w:keepNext w:val="0"/>
        <w:keepLines w:val="0"/>
        <w:pageBreakBefore w:val="0"/>
        <w:widowControl w:val="0"/>
        <w:kinsoku/>
        <w:wordWrap/>
        <w:topLinePunct w:val="0"/>
        <w:bidi w:val="0"/>
        <w:adjustRightInd w:val="0"/>
        <w:snapToGrid w:val="0"/>
        <w:spacing w:beforeLines="0" w:afterLines="0" w:line="576" w:lineRule="exact"/>
        <w:jc w:val="center"/>
        <w:textAlignment w:val="auto"/>
        <w:rPr>
          <w:rFonts w:hint="eastAsia" w:ascii="方正小标宋简体" w:hAnsi="方正小标宋简体" w:eastAsia="方正小标宋简体" w:cs="方正小标宋简体"/>
          <w:color w:val="000000" w:themeColor="text1"/>
          <w:spacing w:val="0"/>
          <w:kern w:val="44"/>
          <w:sz w:val="44"/>
          <w:szCs w:val="24"/>
          <w14:textFill>
            <w14:solidFill>
              <w14:schemeClr w14:val="tx1"/>
            </w14:solidFill>
          </w14:textFill>
        </w:rPr>
      </w:pPr>
      <w:bookmarkStart w:id="1" w:name="_Toc23223"/>
    </w:p>
    <w:p w14:paraId="18A73491">
      <w:pPr>
        <w:pStyle w:val="3"/>
        <w:keepNext w:val="0"/>
        <w:keepLines w:val="0"/>
        <w:pageBreakBefore w:val="0"/>
        <w:widowControl w:val="0"/>
        <w:kinsoku/>
        <w:wordWrap/>
        <w:topLinePunct w:val="0"/>
        <w:bidi w:val="0"/>
        <w:adjustRightInd w:val="0"/>
        <w:snapToGrid w:val="0"/>
        <w:spacing w:beforeLines="0" w:afterLines="0" w:line="576" w:lineRule="exact"/>
        <w:jc w:val="center"/>
        <w:textAlignment w:val="auto"/>
        <w:rPr>
          <w:rFonts w:hint="eastAsia" w:ascii="方正小标宋简体" w:hAnsi="方正小标宋简体" w:eastAsia="方正小标宋简体" w:cs="方正小标宋简体"/>
          <w:b/>
          <w:color w:val="000000" w:themeColor="text1"/>
          <w:spacing w:val="0"/>
          <w:kern w:val="44"/>
          <w:sz w:val="44"/>
          <w:szCs w:val="24"/>
          <w14:textFill>
            <w14:solidFill>
              <w14:schemeClr w14:val="tx1"/>
            </w14:solidFill>
          </w14:textFill>
        </w:rPr>
      </w:pPr>
      <w:r>
        <w:rPr>
          <w:rFonts w:hint="eastAsia" w:ascii="方正小标宋简体" w:hAnsi="方正小标宋简体" w:eastAsia="方正小标宋简体" w:cs="方正小标宋简体"/>
          <w:color w:val="000000" w:themeColor="text1"/>
          <w:spacing w:val="0"/>
          <w:kern w:val="44"/>
          <w:sz w:val="44"/>
          <w:szCs w:val="24"/>
          <w14:textFill>
            <w14:solidFill>
              <w14:schemeClr w14:val="tx1"/>
            </w14:solidFill>
          </w14:textFill>
        </w:rPr>
        <w:t>第一部分 部门概况</w:t>
      </w:r>
      <w:bookmarkEnd w:id="1"/>
    </w:p>
    <w:p w14:paraId="0F61E495">
      <w:pPr>
        <w:pStyle w:val="4"/>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rPr>
          <w:rFonts w:hint="default" w:ascii="Times New Roman" w:hAnsi="Times New Roman" w:eastAsia="黑体" w:cs="Times New Roman"/>
          <w:color w:val="000000" w:themeColor="text1"/>
          <w:spacing w:val="0"/>
          <w:kern w:val="2"/>
          <w:sz w:val="32"/>
          <w:szCs w:val="24"/>
          <w14:textFill>
            <w14:solidFill>
              <w14:schemeClr w14:val="tx1"/>
            </w14:solidFill>
          </w14:textFill>
        </w:rPr>
      </w:pPr>
      <w:bookmarkStart w:id="2" w:name="_Toc30839"/>
    </w:p>
    <w:p w14:paraId="6A945744">
      <w:pPr>
        <w:pStyle w:val="4"/>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rPr>
          <w:rFonts w:hint="default" w:ascii="Times New Roman" w:hAnsi="Times New Roman" w:eastAsia="黑体" w:cs="Times New Roman"/>
          <w:color w:val="000000" w:themeColor="text1"/>
          <w:spacing w:val="0"/>
          <w:kern w:val="2"/>
          <w:sz w:val="32"/>
          <w:szCs w:val="24"/>
          <w14:textFill>
            <w14:solidFill>
              <w14:schemeClr w14:val="tx1"/>
            </w14:solidFill>
          </w14:textFill>
        </w:rPr>
      </w:pPr>
      <w:r>
        <w:rPr>
          <w:rFonts w:hint="default" w:ascii="Times New Roman" w:hAnsi="Times New Roman" w:eastAsia="黑体" w:cs="Times New Roman"/>
          <w:color w:val="000000" w:themeColor="text1"/>
          <w:spacing w:val="0"/>
          <w:kern w:val="2"/>
          <w:sz w:val="32"/>
          <w:szCs w:val="24"/>
          <w14:textFill>
            <w14:solidFill>
              <w14:schemeClr w14:val="tx1"/>
            </w14:solidFill>
          </w14:textFill>
        </w:rPr>
        <w:t>一、部门职责</w:t>
      </w:r>
      <w:bookmarkEnd w:id="2"/>
    </w:p>
    <w:p w14:paraId="6B61B01D">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textAlignment w:val="auto"/>
        <w:rPr>
          <w:rFonts w:hint="default" w:ascii="Times New Roman" w:hAnsi="Times New Roman" w:eastAsia="楷体_GB2312" w:cs="Times New Roman"/>
          <w:color w:val="000000" w:themeColor="text1"/>
          <w:spacing w:val="0"/>
          <w:sz w:val="32"/>
          <w:szCs w:val="24"/>
          <w14:textFill>
            <w14:solidFill>
              <w14:schemeClr w14:val="tx1"/>
            </w14:solidFill>
          </w14:textFill>
        </w:rPr>
      </w:pPr>
      <w:r>
        <w:rPr>
          <w:rFonts w:hint="default" w:ascii="Times New Roman" w:hAnsi="Times New Roman" w:eastAsia="楷体_GB2312" w:cs="Times New Roman"/>
          <w:color w:val="000000" w:themeColor="text1"/>
          <w:spacing w:val="0"/>
          <w:sz w:val="32"/>
          <w:szCs w:val="24"/>
          <w14:textFill>
            <w14:solidFill>
              <w14:schemeClr w14:val="tx1"/>
            </w14:solidFill>
          </w14:textFill>
        </w:rPr>
        <w:t>（一）单位主要职能。</w:t>
      </w:r>
    </w:p>
    <w:p w14:paraId="73551A22">
      <w:pPr>
        <w:keepNext w:val="0"/>
        <w:keepLines w:val="0"/>
        <w:pageBreakBefore w:val="0"/>
        <w:widowControl w:val="0"/>
        <w:kinsoku/>
        <w:wordWrap/>
        <w:topLinePunct w:val="0"/>
        <w:autoSpaceDE/>
        <w:autoSpaceDN/>
        <w:bidi w:val="0"/>
        <w:adjustRightInd w:val="0"/>
        <w:snapToGrid w:val="0"/>
        <w:spacing w:beforeLines="0" w:afterLines="0" w:line="576" w:lineRule="exact"/>
        <w:ind w:firstLine="640" w:firstLineChars="200"/>
        <w:jc w:val="both"/>
        <w:textAlignment w:val="auto"/>
        <w:rPr>
          <w:rFonts w:hint="default" w:ascii="Times New Roman" w:hAnsi="Times New Roman" w:eastAsia="Times New Roman"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14:textFill>
            <w14:solidFill>
              <w14:schemeClr w14:val="tx1"/>
            </w14:solidFill>
          </w14:textFill>
        </w:rPr>
        <w:t>1.</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履行全区合作经济组织管理、指导、协调、监督、服务、教育培训职能；</w:t>
      </w:r>
    </w:p>
    <w:p w14:paraId="1C81B3AD">
      <w:pPr>
        <w:keepNext w:val="0"/>
        <w:keepLines w:val="0"/>
        <w:pageBreakBefore w:val="0"/>
        <w:widowControl w:val="0"/>
        <w:kinsoku/>
        <w:wordWrap/>
        <w:topLinePunct w:val="0"/>
        <w:autoSpaceDE/>
        <w:autoSpaceDN/>
        <w:bidi w:val="0"/>
        <w:adjustRightInd w:val="0"/>
        <w:snapToGrid w:val="0"/>
        <w:spacing w:beforeLines="0" w:afterLines="0" w:line="576" w:lineRule="exact"/>
        <w:ind w:firstLine="640" w:firstLineChars="200"/>
        <w:jc w:val="both"/>
        <w:textAlignment w:val="auto"/>
        <w:rPr>
          <w:rFonts w:hint="default" w:ascii="Times New Roman" w:hAnsi="Times New Roman" w:eastAsia="Times New Roman"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宣传贯彻党中央、国务院、省委、省政府和市委、市政府有关农村经济工作的方针政策以及区委、区政府的决策部署；</w:t>
      </w:r>
    </w:p>
    <w:p w14:paraId="21B6F457">
      <w:pPr>
        <w:keepNext w:val="0"/>
        <w:keepLines w:val="0"/>
        <w:pageBreakBefore w:val="0"/>
        <w:widowControl w:val="0"/>
        <w:kinsoku/>
        <w:wordWrap/>
        <w:topLinePunct w:val="0"/>
        <w:autoSpaceDE/>
        <w:autoSpaceDN/>
        <w:bidi w:val="0"/>
        <w:adjustRightInd w:val="0"/>
        <w:snapToGrid w:val="0"/>
        <w:spacing w:beforeLines="0" w:afterLines="0" w:line="576" w:lineRule="exact"/>
        <w:ind w:firstLine="640" w:firstLineChars="200"/>
        <w:jc w:val="both"/>
        <w:textAlignment w:val="auto"/>
        <w:rPr>
          <w:rFonts w:hint="default" w:ascii="Times New Roman" w:hAnsi="Times New Roman" w:eastAsia="Times New Roman"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负责研究制订全区合作经济的发展战略和发展规划，指导全区供销合作社的改革和发展；</w:t>
      </w:r>
    </w:p>
    <w:p w14:paraId="0E392F13">
      <w:pPr>
        <w:keepNext w:val="0"/>
        <w:keepLines w:val="0"/>
        <w:pageBreakBefore w:val="0"/>
        <w:widowControl w:val="0"/>
        <w:kinsoku/>
        <w:wordWrap/>
        <w:topLinePunct w:val="0"/>
        <w:autoSpaceDE/>
        <w:autoSpaceDN/>
        <w:bidi w:val="0"/>
        <w:adjustRightInd w:val="0"/>
        <w:snapToGrid w:val="0"/>
        <w:spacing w:beforeLines="0" w:afterLines="0" w:line="576" w:lineRule="exact"/>
        <w:ind w:firstLine="640" w:firstLineChars="200"/>
        <w:jc w:val="both"/>
        <w:textAlignment w:val="auto"/>
        <w:rPr>
          <w:rFonts w:hint="default" w:ascii="Times New Roman" w:hAnsi="Times New Roman" w:eastAsia="Times New Roman"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pacing w:val="0"/>
          <w:sz w:val="32"/>
          <w:szCs w:val="32"/>
          <w14:textFill>
            <w14:solidFill>
              <w14:schemeClr w14:val="tx1"/>
            </w14:solidFill>
          </w14:textFill>
        </w:rPr>
        <w:t>加强市场流通体系建设，推进传统供销与电子商务相融的农村流通现代化；</w:t>
      </w:r>
    </w:p>
    <w:p w14:paraId="2C1217D7">
      <w:pPr>
        <w:keepNext w:val="0"/>
        <w:keepLines w:val="0"/>
        <w:pageBreakBefore w:val="0"/>
        <w:widowControl w:val="0"/>
        <w:kinsoku/>
        <w:wordWrap/>
        <w:topLinePunct w:val="0"/>
        <w:autoSpaceDE/>
        <w:autoSpaceDN/>
        <w:bidi w:val="0"/>
        <w:adjustRightInd w:val="0"/>
        <w:snapToGrid w:val="0"/>
        <w:spacing w:beforeLines="0" w:afterLines="0" w:line="576" w:lineRule="exact"/>
        <w:ind w:firstLine="640" w:firstLineChars="200"/>
        <w:jc w:val="both"/>
        <w:textAlignment w:val="auto"/>
        <w:rPr>
          <w:rFonts w:hint="default" w:ascii="Times New Roman" w:hAnsi="Times New Roman" w:eastAsia="Times New Roman"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pacing w:val="0"/>
          <w:sz w:val="32"/>
          <w:szCs w:val="32"/>
          <w14:textFill>
            <w14:solidFill>
              <w14:schemeClr w14:val="tx1"/>
            </w14:solidFill>
          </w14:textFill>
        </w:rPr>
        <w:t>组织、引导、指导、扶持服务农民合作经济组织发展，强化合作经济组织属性；</w:t>
      </w:r>
    </w:p>
    <w:p w14:paraId="1E8BE8CC">
      <w:pPr>
        <w:keepNext w:val="0"/>
        <w:keepLines w:val="0"/>
        <w:pageBreakBefore w:val="0"/>
        <w:widowControl w:val="0"/>
        <w:kinsoku/>
        <w:wordWrap/>
        <w:topLinePunct w:val="0"/>
        <w:autoSpaceDE/>
        <w:autoSpaceDN/>
        <w:bidi w:val="0"/>
        <w:adjustRightInd w:val="0"/>
        <w:snapToGrid w:val="0"/>
        <w:spacing w:beforeLines="0" w:afterLines="0" w:line="576" w:lineRule="exact"/>
        <w:ind w:firstLine="640" w:firstLineChars="200"/>
        <w:jc w:val="both"/>
        <w:textAlignment w:val="auto"/>
        <w:rPr>
          <w:rFonts w:hint="default" w:ascii="Times New Roman" w:hAnsi="Times New Roman" w:eastAsia="Times New Roman"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pacing w:val="0"/>
          <w:sz w:val="32"/>
          <w:szCs w:val="32"/>
          <w14:textFill>
            <w14:solidFill>
              <w14:schemeClr w14:val="tx1"/>
            </w14:solidFill>
          </w14:textFill>
        </w:rPr>
        <w:t>加强农村和城镇社区社会化服务功能和体系建设；</w:t>
      </w:r>
    </w:p>
    <w:p w14:paraId="6F632286">
      <w:pPr>
        <w:keepNext w:val="0"/>
        <w:keepLines w:val="0"/>
        <w:pageBreakBefore w:val="0"/>
        <w:widowControl w:val="0"/>
        <w:kinsoku/>
        <w:wordWrap/>
        <w:topLinePunct w:val="0"/>
        <w:autoSpaceDE/>
        <w:autoSpaceDN/>
        <w:bidi w:val="0"/>
        <w:adjustRightInd w:val="0"/>
        <w:snapToGrid w:val="0"/>
        <w:spacing w:beforeLines="0" w:afterLines="0" w:line="576" w:lineRule="exact"/>
        <w:ind w:firstLine="640" w:firstLineChars="200"/>
        <w:jc w:val="both"/>
        <w:textAlignment w:val="auto"/>
        <w:rPr>
          <w:rFonts w:hint="default" w:ascii="Times New Roman" w:hAnsi="Times New Roman" w:eastAsia="Times New Roman"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7.</w:t>
      </w:r>
      <w:r>
        <w:rPr>
          <w:rFonts w:hint="default" w:ascii="Times New Roman" w:hAnsi="Times New Roman" w:eastAsia="仿宋_GB2312" w:cs="Times New Roman"/>
          <w:color w:val="000000" w:themeColor="text1"/>
          <w:spacing w:val="0"/>
          <w:sz w:val="32"/>
          <w:szCs w:val="32"/>
          <w14:textFill>
            <w14:solidFill>
              <w14:schemeClr w14:val="tx1"/>
            </w14:solidFill>
          </w14:textFill>
        </w:rPr>
        <w:t>按照政府授权对重要农业生产资料、农副产品、再生资源回收、烟花爆竹经营进行组织、协调、管理、储备；</w:t>
      </w:r>
    </w:p>
    <w:p w14:paraId="6225A24A">
      <w:pPr>
        <w:keepNext w:val="0"/>
        <w:keepLines w:val="0"/>
        <w:pageBreakBefore w:val="0"/>
        <w:widowControl w:val="0"/>
        <w:kinsoku/>
        <w:wordWrap/>
        <w:topLinePunct w:val="0"/>
        <w:autoSpaceDE/>
        <w:autoSpaceDN/>
        <w:bidi w:val="0"/>
        <w:adjustRightInd w:val="0"/>
        <w:snapToGrid w:val="0"/>
        <w:spacing w:beforeLines="0" w:afterLines="0" w:line="576" w:lineRule="exact"/>
        <w:ind w:firstLine="640" w:firstLineChars="200"/>
        <w:jc w:val="both"/>
        <w:textAlignment w:val="auto"/>
        <w:rPr>
          <w:rFonts w:hint="default" w:ascii="Times New Roman" w:hAnsi="Times New Roman" w:eastAsia="Times New Roman"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8.</w:t>
      </w:r>
      <w:r>
        <w:rPr>
          <w:rFonts w:hint="default" w:ascii="Times New Roman" w:hAnsi="Times New Roman" w:eastAsia="仿宋_GB2312" w:cs="Times New Roman"/>
          <w:color w:val="000000" w:themeColor="text1"/>
          <w:spacing w:val="0"/>
          <w:sz w:val="32"/>
          <w:szCs w:val="32"/>
          <w14:textFill>
            <w14:solidFill>
              <w14:schemeClr w14:val="tx1"/>
            </w14:solidFill>
          </w14:textFill>
        </w:rPr>
        <w:t>参与农业产业化经营、农业综合开发等工作；</w:t>
      </w:r>
    </w:p>
    <w:p w14:paraId="1B9BBDE7">
      <w:pPr>
        <w:keepNext w:val="0"/>
        <w:keepLines w:val="0"/>
        <w:pageBreakBefore w:val="0"/>
        <w:widowControl w:val="0"/>
        <w:kinsoku/>
        <w:wordWrap/>
        <w:topLinePunct w:val="0"/>
        <w:autoSpaceDE/>
        <w:autoSpaceDN/>
        <w:bidi w:val="0"/>
        <w:adjustRightInd w:val="0"/>
        <w:snapToGrid w:val="0"/>
        <w:spacing w:beforeLines="0" w:afterLines="0" w:line="576" w:lineRule="exact"/>
        <w:ind w:firstLine="640" w:firstLineChars="200"/>
        <w:jc w:val="both"/>
        <w:textAlignment w:val="auto"/>
        <w:rPr>
          <w:rFonts w:hint="default" w:ascii="Times New Roman" w:hAnsi="Times New Roman" w:eastAsia="Times New Roman" w:cs="Times New Roman"/>
          <w:color w:val="000000" w:themeColor="text1"/>
          <w:spacing w:val="0"/>
          <w:sz w:val="32"/>
          <w:szCs w:val="32"/>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9.</w:t>
      </w:r>
      <w:r>
        <w:rPr>
          <w:rFonts w:hint="default" w:ascii="Times New Roman" w:hAnsi="Times New Roman" w:eastAsia="仿宋_GB2312" w:cs="Times New Roman"/>
          <w:color w:val="000000" w:themeColor="text1"/>
          <w:spacing w:val="0"/>
          <w:sz w:val="32"/>
          <w:szCs w:val="32"/>
          <w14:textFill>
            <w14:solidFill>
              <w14:schemeClr w14:val="tx1"/>
            </w14:solidFill>
          </w14:textFill>
        </w:rPr>
        <w:t>行使本级供销合作社社有资产出资人代表职责，加强社有企业监管，确保社有资产保值增值；</w:t>
      </w:r>
    </w:p>
    <w:p w14:paraId="430D6555">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10.</w:t>
      </w:r>
      <w:r>
        <w:rPr>
          <w:rFonts w:hint="default" w:ascii="Times New Roman" w:hAnsi="Times New Roman" w:eastAsia="仿宋_GB2312" w:cs="Times New Roman"/>
          <w:color w:val="000000" w:themeColor="text1"/>
          <w:spacing w:val="0"/>
          <w:sz w:val="32"/>
          <w:szCs w:val="32"/>
          <w14:textFill>
            <w14:solidFill>
              <w14:schemeClr w14:val="tx1"/>
            </w14:solidFill>
          </w14:textFill>
        </w:rPr>
        <w:t>承办区委、区政府交办的其他事项。</w:t>
      </w:r>
    </w:p>
    <w:p w14:paraId="468FC9B4">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楷体_GB2312" w:cs="Times New Roman"/>
          <w:color w:val="000000" w:themeColor="text1"/>
          <w:spacing w:val="0"/>
          <w:sz w:val="32"/>
          <w:szCs w:val="24"/>
          <w14:textFill>
            <w14:solidFill>
              <w14:schemeClr w14:val="tx1"/>
            </w14:solidFill>
          </w14:textFill>
        </w:rPr>
        <w:t>（二）2023年重点工作完成情况。</w:t>
      </w:r>
      <w:r>
        <w:rPr>
          <w:rFonts w:hint="default" w:ascii="Times New Roman" w:hAnsi="Times New Roman" w:eastAsia="仿宋_GB2312" w:cs="Times New Roman"/>
          <w:b/>
          <w:color w:val="000000" w:themeColor="text1"/>
          <w:spacing w:val="0"/>
          <w:sz w:val="32"/>
          <w:szCs w:val="32"/>
          <w14:textFill>
            <w14:solidFill>
              <w14:schemeClr w14:val="tx1"/>
            </w14:solidFill>
          </w14:textFill>
        </w:rPr>
        <w:t>一是</w:t>
      </w:r>
      <w:r>
        <w:rPr>
          <w:rFonts w:hint="default" w:ascii="Times New Roman" w:hAnsi="Times New Roman" w:eastAsia="仿宋_GB2312" w:cs="Times New Roman"/>
          <w:color w:val="000000" w:themeColor="text1"/>
          <w:spacing w:val="0"/>
          <w:sz w:val="32"/>
          <w:szCs w:val="32"/>
          <w14:textFill>
            <w14:solidFill>
              <w14:schemeClr w14:val="tx1"/>
            </w14:solidFill>
          </w14:textFill>
        </w:rPr>
        <w:t>持续深化供销社综合改革，</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积极推进基层组织体系和为农服务中心建设。</w:t>
      </w:r>
      <w:r>
        <w:rPr>
          <w:rFonts w:hint="default" w:ascii="Times New Roman" w:hAnsi="Times New Roman" w:eastAsia="仿宋_GB2312" w:cs="Times New Roman"/>
          <w:color w:val="000000" w:themeColor="text1"/>
          <w:spacing w:val="0"/>
          <w:sz w:val="32"/>
          <w:szCs w:val="32"/>
          <w14:textFill>
            <w14:solidFill>
              <w14:schemeClr w14:val="tx1"/>
            </w14:solidFill>
          </w14:textFill>
        </w:rPr>
        <w:t>紧紧围绕“三社融合”发展的思路，积极对接镇党委政府，围绕为农服务这一主线，共同研究基层社建立</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的方向、办法和措施，新建镇级供销社1个、村级供销社12个，为农服务中心1个</w:t>
      </w:r>
      <w:r>
        <w:rPr>
          <w:rFonts w:hint="eastAsia" w:asci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有效增强了供销社的为农服务能力。</w:t>
      </w:r>
      <w:r>
        <w:rPr>
          <w:rFonts w:hint="default" w:ascii="Times New Roman" w:hAnsi="Times New Roman" w:eastAsia="仿宋_GB2312" w:cs="Times New Roman"/>
          <w:b/>
          <w:color w:val="000000" w:themeColor="text1"/>
          <w:spacing w:val="0"/>
          <w:sz w:val="32"/>
          <w:szCs w:val="32"/>
          <w14:textFill>
            <w14:solidFill>
              <w14:schemeClr w14:val="tx1"/>
            </w14:solidFill>
          </w14:textFill>
        </w:rPr>
        <w:t>二是</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着力推进供销网络建设。持续加强流通体系建设，积极探索建立以骨干企业为支撑，以区级所在地为枢纽，镇为重点，村为终端的区域流通服务网络，形成以社有企业为配送主体，镇村供销社为销售主体的小型商贸流通体系，初步实现了“一点多能、一网多用、双向流通、综合服务”的目标。</w:t>
      </w:r>
      <w:r>
        <w:rPr>
          <w:rFonts w:hint="default" w:ascii="Times New Roman" w:hAnsi="Times New Roman" w:eastAsia="仿宋_GB2312" w:cs="Times New Roman"/>
          <w:b/>
          <w:color w:val="000000" w:themeColor="text1"/>
          <w:spacing w:val="0"/>
          <w:sz w:val="32"/>
          <w:szCs w:val="32"/>
          <w14:textFill>
            <w14:solidFill>
              <w14:schemeClr w14:val="tx1"/>
            </w14:solidFill>
          </w14:textFill>
        </w:rPr>
        <w:t>三是</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加大基层供销社资产管理。在严格执行企业资产重大事项报告制度的基础上，积极筹措资金，先后完成了昭化古城闲置的怡心园、太守街溢香饭店等资产的修缮并成功对外招租，确保社有资产保值增值。</w:t>
      </w:r>
      <w:r>
        <w:rPr>
          <w:rFonts w:hint="default" w:ascii="Times New Roman" w:hAnsi="Times New Roman" w:eastAsia="仿宋_GB2312" w:cs="Times New Roman"/>
          <w:b/>
          <w:color w:val="000000" w:themeColor="text1"/>
          <w:spacing w:val="0"/>
          <w:kern w:val="2"/>
          <w:sz w:val="32"/>
          <w:szCs w:val="32"/>
          <w14:textFill>
            <w14:solidFill>
              <w14:schemeClr w14:val="tx1"/>
            </w14:solidFill>
          </w14:textFill>
        </w:rPr>
        <w:t>四是</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加快推进废弃农膜和农药包装物的回收利用工作。制定废弃农膜和农药包装废弃物回收处置实施方案，明确责任，细化措施，确保回收、处置工作无缝衔接；组织专业技术人员分赴各镇，开展《农药包装废弃物回收处理管理办法》等法律法规的宣传工作；在建制镇所在地及原撤并乡镇、人口集中区废弃农膜和农药包装废弃物回收处置归集站23个，确保应收尽收；联合区农业农村局，加大日常监督检查力度，确保卖出的所有农业投入品来源去向全程可追溯。截至11月底，共回收利用废弃农膜和农药包物74吨。</w:t>
      </w:r>
    </w:p>
    <w:p w14:paraId="5EE3EB17">
      <w:pPr>
        <w:pStyle w:val="4"/>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rPr>
          <w:rFonts w:hint="default" w:ascii="Times New Roman" w:hAnsi="Times New Roman" w:cs="Times New Roman"/>
          <w:color w:val="000000" w:themeColor="text1"/>
          <w:spacing w:val="0"/>
          <w:kern w:val="2"/>
          <w:sz w:val="32"/>
          <w:szCs w:val="24"/>
          <w14:textFill>
            <w14:solidFill>
              <w14:schemeClr w14:val="tx1"/>
            </w14:solidFill>
          </w14:textFill>
        </w:rPr>
      </w:pPr>
      <w:bookmarkStart w:id="3" w:name="_Toc23647"/>
      <w:r>
        <w:rPr>
          <w:rFonts w:hint="default" w:ascii="Times New Roman" w:hAnsi="Times New Roman" w:eastAsia="黑体" w:cs="Times New Roman"/>
          <w:color w:val="000000" w:themeColor="text1"/>
          <w:spacing w:val="0"/>
          <w:kern w:val="2"/>
          <w:sz w:val="32"/>
          <w:szCs w:val="24"/>
          <w14:textFill>
            <w14:solidFill>
              <w14:schemeClr w14:val="tx1"/>
            </w14:solidFill>
          </w14:textFill>
        </w:rPr>
        <w:t>二、机构设置</w:t>
      </w:r>
      <w:bookmarkEnd w:id="3"/>
    </w:p>
    <w:p w14:paraId="2226716B">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textAlignment w:val="auto"/>
        <w:rPr>
          <w:rFonts w:hint="default" w:ascii="Times New Roman" w:hAnsi="Times New Roman" w:eastAsia="仿宋_GB2312" w:cs="Times New Roman"/>
          <w:color w:val="000000" w:themeColor="text1"/>
          <w:spacing w:val="0"/>
          <w:sz w:val="32"/>
          <w:szCs w:val="24"/>
          <w:highlight w:val="yellow"/>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广元市昭化区供销合作社联合社部门属于一级预算单位，下属二级预算单位</w:t>
      </w:r>
      <w:r>
        <w:rPr>
          <w:rFonts w:hint="default" w:ascii="Times New Roman" w:hAnsi="Times New Roman" w:eastAsia="仿宋_GB2312" w:cs="Times New Roman"/>
          <w:color w:val="000000" w:themeColor="text1"/>
          <w:spacing w:val="0"/>
          <w:kern w:val="2"/>
          <w:sz w:val="32"/>
          <w:szCs w:val="24"/>
          <w:lang w:val="en-US" w:eastAsia="zh-CN"/>
          <w14:textFill>
            <w14:solidFill>
              <w14:schemeClr w14:val="tx1"/>
            </w14:solidFill>
          </w14:textFill>
        </w:rPr>
        <w:t>0</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个，其中行政单位</w:t>
      </w:r>
      <w:r>
        <w:rPr>
          <w:rFonts w:hint="default" w:ascii="Times New Roman" w:hAnsi="Times New Roman" w:eastAsia="仿宋_GB2312" w:cs="Times New Roman"/>
          <w:color w:val="000000" w:themeColor="text1"/>
          <w:spacing w:val="0"/>
          <w:kern w:val="2"/>
          <w:sz w:val="32"/>
          <w:szCs w:val="24"/>
          <w:lang w:val="en-US" w:eastAsia="zh-CN"/>
          <w14:textFill>
            <w14:solidFill>
              <w14:schemeClr w14:val="tx1"/>
            </w14:solidFill>
          </w14:textFill>
        </w:rPr>
        <w:t>0</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个，参照公务员法管理的事业单位</w:t>
      </w:r>
      <w:r>
        <w:rPr>
          <w:rFonts w:hint="default" w:ascii="Times New Roman" w:hAnsi="Times New Roman" w:eastAsia="仿宋_GB2312" w:cs="Times New Roman"/>
          <w:color w:val="000000" w:themeColor="text1"/>
          <w:spacing w:val="0"/>
          <w:kern w:val="2"/>
          <w:sz w:val="32"/>
          <w:szCs w:val="24"/>
          <w:lang w:val="en-US" w:eastAsia="zh-CN"/>
          <w14:textFill>
            <w14:solidFill>
              <w14:schemeClr w14:val="tx1"/>
            </w14:solidFill>
          </w14:textFill>
        </w:rPr>
        <w:t>0</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个，其他事业单位</w:t>
      </w:r>
      <w:r>
        <w:rPr>
          <w:rFonts w:hint="default" w:ascii="Times New Roman" w:hAnsi="Times New Roman" w:eastAsia="仿宋_GB2312" w:cs="Times New Roman"/>
          <w:color w:val="000000" w:themeColor="text1"/>
          <w:spacing w:val="0"/>
          <w:kern w:val="2"/>
          <w:sz w:val="32"/>
          <w:szCs w:val="24"/>
          <w:lang w:val="en-US" w:eastAsia="zh-CN"/>
          <w14:textFill>
            <w14:solidFill>
              <w14:schemeClr w14:val="tx1"/>
            </w14:solidFill>
          </w14:textFill>
        </w:rPr>
        <w:t>0</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个。</w:t>
      </w:r>
    </w:p>
    <w:p w14:paraId="57C6E4F1">
      <w:pPr>
        <w:pStyle w:val="6"/>
        <w:keepNext w:val="0"/>
        <w:keepLines w:val="0"/>
        <w:pageBreakBefore w:val="0"/>
        <w:widowControl w:val="0"/>
        <w:kinsoku/>
        <w:wordWrap/>
        <w:topLinePunct w:val="0"/>
        <w:bidi w:val="0"/>
        <w:adjustRightInd w:val="0"/>
        <w:snapToGrid w:val="0"/>
        <w:spacing w:before="72" w:afterLines="0"/>
        <w:rPr>
          <w:rFonts w:hint="default" w:ascii="Times New Roman" w:hAnsi="Times New Roman" w:cs="Times New Roman"/>
          <w:color w:val="000000" w:themeColor="text1"/>
          <w:spacing w:val="0"/>
          <w:sz w:val="30"/>
          <w:szCs w:val="24"/>
          <w14:textFill>
            <w14:solidFill>
              <w14:schemeClr w14:val="tx1"/>
            </w14:solidFill>
          </w14:textFill>
        </w:rPr>
      </w:pPr>
    </w:p>
    <w:p w14:paraId="29359820">
      <w:pPr>
        <w:pStyle w:val="6"/>
        <w:keepNext w:val="0"/>
        <w:keepLines w:val="0"/>
        <w:pageBreakBefore w:val="0"/>
        <w:widowControl w:val="0"/>
        <w:kinsoku/>
        <w:wordWrap/>
        <w:topLinePunct w:val="0"/>
        <w:bidi w:val="0"/>
        <w:adjustRightInd w:val="0"/>
        <w:snapToGrid w:val="0"/>
        <w:spacing w:before="72" w:afterLines="0"/>
        <w:rPr>
          <w:rFonts w:hint="default" w:ascii="Times New Roman" w:hAnsi="Times New Roman" w:cs="Times New Roman"/>
          <w:color w:val="000000" w:themeColor="text1"/>
          <w:spacing w:val="0"/>
          <w:sz w:val="30"/>
          <w:szCs w:val="24"/>
          <w14:textFill>
            <w14:solidFill>
              <w14:schemeClr w14:val="tx1"/>
            </w14:solidFill>
          </w14:textFill>
        </w:rPr>
        <w:sectPr>
          <w:footerReference r:id="rId9" w:type="default"/>
          <w:footerReference r:id="rId10" w:type="even"/>
          <w:pgSz w:w="11905" w:h="16838"/>
          <w:pgMar w:top="2098" w:right="1474" w:bottom="1984" w:left="1587" w:header="720" w:footer="1587" w:gutter="0"/>
          <w:lnNumType w:countBy="0" w:distance="360"/>
          <w:pgNumType w:fmt="decimal" w:start="1"/>
          <w:cols w:space="720" w:num="1"/>
          <w:rtlGutter w:val="0"/>
        </w:sectPr>
      </w:pPr>
    </w:p>
    <w:p w14:paraId="06818CC2">
      <w:pPr>
        <w:keepNext w:val="0"/>
        <w:keepLines w:val="0"/>
        <w:pageBreakBefore w:val="0"/>
        <w:widowControl w:val="0"/>
        <w:kinsoku/>
        <w:wordWrap/>
        <w:topLinePunct w:val="0"/>
        <w:autoSpaceDE w:val="0"/>
        <w:autoSpaceDN w:val="0"/>
        <w:bidi w:val="0"/>
        <w:adjustRightInd w:val="0"/>
        <w:snapToGrid w:val="0"/>
        <w:spacing w:beforeLines="0" w:afterLines="0" w:line="600" w:lineRule="exact"/>
        <w:jc w:val="center"/>
        <w:textAlignment w:val="auto"/>
        <w:outlineLvl w:val="0"/>
        <w:rPr>
          <w:rFonts w:hint="eastAsia" w:ascii="方正小标宋简体" w:hAnsi="方正小标宋简体" w:eastAsia="方正小标宋简体" w:cs="方正小标宋简体"/>
          <w:b w:val="0"/>
          <w:bCs/>
          <w:color w:val="000000" w:themeColor="text1"/>
          <w:spacing w:val="0"/>
          <w:kern w:val="44"/>
          <w:sz w:val="44"/>
          <w:szCs w:val="44"/>
          <w14:textFill>
            <w14:solidFill>
              <w14:schemeClr w14:val="tx1"/>
            </w14:solidFill>
          </w14:textFill>
        </w:rPr>
      </w:pPr>
      <w:bookmarkStart w:id="4" w:name="_Toc8475"/>
    </w:p>
    <w:p w14:paraId="7C74A193">
      <w:pPr>
        <w:keepNext w:val="0"/>
        <w:keepLines w:val="0"/>
        <w:pageBreakBefore w:val="0"/>
        <w:widowControl w:val="0"/>
        <w:kinsoku/>
        <w:wordWrap/>
        <w:topLinePunct w:val="0"/>
        <w:autoSpaceDE w:val="0"/>
        <w:autoSpaceDN w:val="0"/>
        <w:bidi w:val="0"/>
        <w:adjustRightInd w:val="0"/>
        <w:snapToGrid w:val="0"/>
        <w:spacing w:beforeLines="0" w:afterLines="0" w:line="600" w:lineRule="exact"/>
        <w:jc w:val="center"/>
        <w:textAlignment w:val="auto"/>
        <w:outlineLvl w:val="0"/>
        <w:rPr>
          <w:rFonts w:hint="eastAsia" w:ascii="方正小标宋简体" w:hAnsi="方正小标宋简体" w:eastAsia="方正小标宋简体" w:cs="方正小标宋简体"/>
          <w:b w:val="0"/>
          <w:bCs/>
          <w:color w:val="000000" w:themeColor="text1"/>
          <w:spacing w:val="0"/>
          <w:kern w:val="2"/>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pacing w:val="0"/>
          <w:kern w:val="44"/>
          <w:sz w:val="44"/>
          <w:szCs w:val="44"/>
          <w14:textFill>
            <w14:solidFill>
              <w14:schemeClr w14:val="tx1"/>
            </w14:solidFill>
          </w14:textFill>
        </w:rPr>
        <w:t>第二部分  2023年度部门决算情况说明</w:t>
      </w:r>
      <w:bookmarkEnd w:id="4"/>
    </w:p>
    <w:p w14:paraId="3CC687F0">
      <w:pPr>
        <w:keepNext w:val="0"/>
        <w:keepLines w:val="0"/>
        <w:pageBreakBefore w:val="0"/>
        <w:widowControl w:val="0"/>
        <w:kinsoku/>
        <w:wordWrap/>
        <w:overflowPunct w:val="0"/>
        <w:topLinePunct w:val="0"/>
        <w:autoSpaceDE w:val="0"/>
        <w:autoSpaceDN w:val="0"/>
        <w:bidi w:val="0"/>
        <w:adjustRightInd w:val="0"/>
        <w:snapToGrid w:val="0"/>
        <w:spacing w:beforeLines="0" w:afterLines="0" w:line="600" w:lineRule="exact"/>
        <w:ind w:firstLine="640" w:firstLineChars="200"/>
        <w:jc w:val="both"/>
        <w:textAlignment w:val="auto"/>
        <w:outlineLvl w:val="1"/>
        <w:rPr>
          <w:rFonts w:hint="default" w:ascii="Times New Roman" w:hAnsi="Times New Roman" w:eastAsia="黑体" w:cs="Times New Roman"/>
          <w:color w:val="000000" w:themeColor="text1"/>
          <w:spacing w:val="0"/>
          <w:kern w:val="2"/>
          <w:sz w:val="32"/>
          <w:szCs w:val="24"/>
          <w14:textFill>
            <w14:solidFill>
              <w14:schemeClr w14:val="tx1"/>
            </w14:solidFill>
          </w14:textFill>
        </w:rPr>
      </w:pPr>
      <w:bookmarkStart w:id="5" w:name="_Toc18874"/>
    </w:p>
    <w:p w14:paraId="00CC04C7">
      <w:pPr>
        <w:keepNext w:val="0"/>
        <w:keepLines w:val="0"/>
        <w:pageBreakBefore w:val="0"/>
        <w:widowControl w:val="0"/>
        <w:kinsoku/>
        <w:wordWrap/>
        <w:overflowPunct w:val="0"/>
        <w:topLinePunct w:val="0"/>
        <w:autoSpaceDE w:val="0"/>
        <w:autoSpaceDN w:val="0"/>
        <w:bidi w:val="0"/>
        <w:adjustRightInd w:val="0"/>
        <w:snapToGrid w:val="0"/>
        <w:spacing w:beforeLines="0" w:afterLines="0" w:line="600" w:lineRule="exact"/>
        <w:ind w:firstLine="640" w:firstLineChars="200"/>
        <w:jc w:val="both"/>
        <w:textAlignment w:val="auto"/>
        <w:outlineLvl w:val="1"/>
        <w:rPr>
          <w:rFonts w:hint="default" w:ascii="Times New Roman" w:hAnsi="Times New Roman" w:eastAsia="黑体" w:cs="Times New Roman"/>
          <w:color w:val="000000" w:themeColor="text1"/>
          <w:spacing w:val="0"/>
          <w:kern w:val="2"/>
          <w:sz w:val="32"/>
          <w:szCs w:val="24"/>
          <w14:textFill>
            <w14:solidFill>
              <w14:schemeClr w14:val="tx1"/>
            </w14:solidFill>
          </w14:textFill>
        </w:rPr>
      </w:pPr>
      <w:r>
        <w:rPr>
          <w:rFonts w:hint="default" w:ascii="Times New Roman" w:hAnsi="Times New Roman" w:eastAsia="黑体" w:cs="Times New Roman"/>
          <w:color w:val="000000" w:themeColor="text1"/>
          <w:spacing w:val="0"/>
          <w:kern w:val="2"/>
          <w:sz w:val="32"/>
          <w:szCs w:val="24"/>
          <w14:textFill>
            <w14:solidFill>
              <w14:schemeClr w14:val="tx1"/>
            </w14:solidFill>
          </w14:textFill>
        </w:rPr>
        <w:t>一、收入支出决算总体情况说明</w:t>
      </w:r>
      <w:bookmarkEnd w:id="5"/>
    </w:p>
    <w:p w14:paraId="66671753">
      <w:pPr>
        <w:keepNext w:val="0"/>
        <w:keepLines w:val="0"/>
        <w:pageBreakBefore w:val="0"/>
        <w:widowControl w:val="0"/>
        <w:kinsoku/>
        <w:wordWrap/>
        <w:overflowPunct w:val="0"/>
        <w:topLinePunct w:val="0"/>
        <w:autoSpaceDE w:val="0"/>
        <w:autoSpaceDN w:val="0"/>
        <w:bidi w:val="0"/>
        <w:adjustRightInd w:val="0"/>
        <w:snapToGrid w:val="0"/>
        <w:spacing w:beforeLines="0" w:afterLines="0" w:line="600" w:lineRule="exact"/>
        <w:ind w:firstLine="640" w:firstLineChars="200"/>
        <w:jc w:val="both"/>
        <w:textAlignment w:val="auto"/>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2023年度收、支总计均为665.15万元。与2022年度相比，收、支总计各增加421.58万元，增长173.1%。主要变动原因是省级供销综合改革及发展专项资金指标、中央财政农业经营主体能力提升资金指标及东西部协作资金指标纳入。</w:t>
      </w:r>
    </w:p>
    <w:p w14:paraId="2F1A70F3">
      <w:pPr>
        <w:pStyle w:val="2"/>
        <w:keepNext w:val="0"/>
        <w:keepLines w:val="0"/>
        <w:pageBreakBefore w:val="0"/>
        <w:widowControl w:val="0"/>
        <w:kinsoku/>
        <w:wordWrap/>
        <w:topLinePunct w:val="0"/>
        <w:bidi w:val="0"/>
        <w:adjustRightInd w:val="0"/>
        <w:snapToGrid w:val="0"/>
        <w:rPr>
          <w:rFonts w:hint="default"/>
        </w:rPr>
      </w:pPr>
    </w:p>
    <w:p w14:paraId="66CE1926">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ict>
          <v:shape id="Object 2" o:spid="_x0000_s1026" o:spt="75" type="#_x0000_t75" style="position:absolute;left:0pt;margin-left:42.6pt;margin-top:13.25pt;height:246.1pt;width:372.45pt;z-index:251659264;mso-width-relative:page;mso-height-relative:page;" o:ole="t" filled="f" o:preferrelative="t" stroked="f" coordsize="21600,21600">
            <v:path/>
            <v:fill on="f" focussize="0,0"/>
            <v:stroke on="f"/>
            <v:imagedata r:id="rId13" o:title=""/>
            <o:lock v:ext="edit" aspectratio="t"/>
          </v:shape>
          <o:OLEObject Type="Embed" ProgID="Excel.Chart.8" ShapeID="Object 2" DrawAspect="Content" ObjectID="_1468075725" r:id="rId12">
            <o:LockedField>false</o:LockedField>
          </o:OLEObject>
        </w:pict>
      </w:r>
    </w:p>
    <w:p w14:paraId="3FFB9EDA">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p>
    <w:p w14:paraId="7A20C72E">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p>
    <w:p w14:paraId="514B7A13">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p>
    <w:p w14:paraId="6925E364">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p>
    <w:p w14:paraId="51564E84">
      <w:pPr>
        <w:keepNext w:val="0"/>
        <w:keepLines w:val="0"/>
        <w:pageBreakBefore w:val="0"/>
        <w:widowControl w:val="0"/>
        <w:kinsoku/>
        <w:wordWrap/>
        <w:overflowPunct w:val="0"/>
        <w:topLinePunct w:val="0"/>
        <w:bidi w:val="0"/>
        <w:adjustRightInd w:val="0"/>
        <w:snapToGrid w:val="0"/>
        <w:spacing w:beforeLines="0" w:afterLines="0" w:line="576" w:lineRule="exact"/>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p>
    <w:p w14:paraId="5CE192F4">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center"/>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19E426CE">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center"/>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7196AF75">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center"/>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29C7879E">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center"/>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（图1：收、支决算总计变动情况图）</w:t>
      </w:r>
    </w:p>
    <w:p w14:paraId="32CFE0CE">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outlineLvl w:val="1"/>
        <w:rPr>
          <w:rFonts w:hint="default" w:ascii="Times New Roman" w:hAnsi="Times New Roman" w:eastAsia="黑体" w:cs="Times New Roman"/>
          <w:color w:val="000000" w:themeColor="text1"/>
          <w:spacing w:val="0"/>
          <w:kern w:val="2"/>
          <w:sz w:val="32"/>
          <w:szCs w:val="24"/>
          <w14:textFill>
            <w14:solidFill>
              <w14:schemeClr w14:val="tx1"/>
            </w14:solidFill>
          </w14:textFill>
        </w:rPr>
      </w:pPr>
      <w:bookmarkStart w:id="6" w:name="_Toc21204"/>
      <w:r>
        <w:rPr>
          <w:rFonts w:hint="default" w:ascii="Times New Roman" w:hAnsi="Times New Roman" w:eastAsia="黑体" w:cs="Times New Roman"/>
          <w:color w:val="000000" w:themeColor="text1"/>
          <w:spacing w:val="0"/>
          <w:kern w:val="2"/>
          <w:sz w:val="32"/>
          <w:szCs w:val="24"/>
          <w14:textFill>
            <w14:solidFill>
              <w14:schemeClr w14:val="tx1"/>
            </w14:solidFill>
          </w14:textFill>
        </w:rPr>
        <w:t>二、收入决算情况说明</w:t>
      </w:r>
      <w:bookmarkEnd w:id="6"/>
    </w:p>
    <w:p w14:paraId="47188F59">
      <w:pPr>
        <w:keepNext w:val="0"/>
        <w:keepLines w:val="0"/>
        <w:pageBreakBefore w:val="0"/>
        <w:widowControl w:val="0"/>
        <w:kinsoku/>
        <w:wordWrap/>
        <w:overflowPunct w:val="0"/>
        <w:topLinePunct w:val="0"/>
        <w:autoSpaceDE w:val="0"/>
        <w:autoSpaceDN w:val="0"/>
        <w:bidi w:val="0"/>
        <w:adjustRightInd w:val="0"/>
        <w:snapToGrid w:val="0"/>
        <w:spacing w:beforeLines="0" w:afterLines="0" w:line="600" w:lineRule="exact"/>
        <w:ind w:firstLine="640" w:firstLineChars="200"/>
        <w:jc w:val="both"/>
        <w:textAlignment w:val="auto"/>
        <w:rPr>
          <w:rFonts w:hint="default" w:ascii="Times New Roman" w:hAnsi="Times New Roman" w:eastAsia="仿宋_GB2312" w:cs="Times New Roman"/>
          <w:color w:val="000000" w:themeColor="text1"/>
          <w:spacing w:val="0"/>
          <w:kern w:val="2"/>
          <w:sz w:val="32"/>
          <w:szCs w:val="24"/>
          <w:lang w:eastAsia="zh-CN"/>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2023年本年收入合计665.15万元，其中：一般公共预算财政拨款收入665.15万元，占100%</w:t>
      </w:r>
      <w:r>
        <w:rPr>
          <w:rFonts w:hint="default" w:ascii="Times New Roman" w:hAnsi="Times New Roman" w:eastAsia="仿宋_GB2312" w:cs="Times New Roman"/>
          <w:color w:val="000000" w:themeColor="text1"/>
          <w:spacing w:val="0"/>
          <w:kern w:val="2"/>
          <w:sz w:val="32"/>
          <w:szCs w:val="24"/>
          <w:lang w:eastAsia="zh-CN"/>
          <w14:textFill>
            <w14:solidFill>
              <w14:schemeClr w14:val="tx1"/>
            </w14:solidFill>
          </w14:textFill>
        </w:rPr>
        <w:t>。</w:t>
      </w:r>
    </w:p>
    <w:p w14:paraId="01928B55">
      <w:pPr>
        <w:pStyle w:val="6"/>
        <w:keepNext w:val="0"/>
        <w:keepLines w:val="0"/>
        <w:pageBreakBefore w:val="0"/>
        <w:widowControl w:val="0"/>
        <w:kinsoku/>
        <w:wordWrap/>
        <w:topLinePunct w:val="0"/>
        <w:bidi w:val="0"/>
        <w:adjustRightInd w:val="0"/>
        <w:snapToGrid w:val="0"/>
        <w:spacing w:afterLines="0"/>
        <w:rPr>
          <w:rFonts w:hint="default" w:ascii="Times New Roman" w:hAnsi="Times New Roman" w:cs="Times New Roman"/>
          <w:color w:val="000000" w:themeColor="text1"/>
          <w:spacing w:val="0"/>
          <w:kern w:val="2"/>
          <w:sz w:val="32"/>
          <w:szCs w:val="24"/>
          <w14:textFill>
            <w14:solidFill>
              <w14:schemeClr w14:val="tx1"/>
            </w14:solidFill>
          </w14:textFill>
        </w:rPr>
      </w:pPr>
      <w:r>
        <w:rPr>
          <w:rFonts w:hint="default" w:ascii="Times New Roman" w:hAnsi="Times New Roman" w:cs="Times New Roman"/>
          <w:color w:val="000000" w:themeColor="text1"/>
          <w:spacing w:val="0"/>
          <w:kern w:val="2"/>
          <w:sz w:val="32"/>
          <w:szCs w:val="24"/>
          <w:highlight w:val="yellow"/>
          <w14:textFill>
            <w14:solidFill>
              <w14:schemeClr w14:val="tx1"/>
            </w14:solidFill>
          </w14:textFill>
        </w:rPr>
        <w:pict>
          <v:shape id="Object 5" o:spid="_x0000_s1027" o:spt="75" type="#_x0000_t75" style="position:absolute;left:0pt;margin-left:67.1pt;margin-top:4.6pt;height:167.35pt;width:329.2pt;z-index:251660288;mso-width-relative:page;mso-height-relative:page;" o:ole="t" filled="f" o:preferrelative="t" stroked="f" coordsize="21600,21600">
            <v:path/>
            <v:fill on="f" focussize="0,0"/>
            <v:stroke on="f"/>
            <v:imagedata r:id="rId15" o:title=""/>
            <o:lock v:ext="edit" aspectratio="t"/>
          </v:shape>
          <o:OLEObject Type="Embed" ProgID="Excel.Chart.8" ShapeID="Object 5" DrawAspect="Content" ObjectID="_1468075726" r:id="rId14">
            <o:LockedField>false</o:LockedField>
          </o:OLEObject>
        </w:pict>
      </w:r>
    </w:p>
    <w:p w14:paraId="36ABBC45">
      <w:pPr>
        <w:pStyle w:val="6"/>
        <w:keepNext w:val="0"/>
        <w:keepLines w:val="0"/>
        <w:pageBreakBefore w:val="0"/>
        <w:widowControl w:val="0"/>
        <w:kinsoku/>
        <w:wordWrap/>
        <w:topLinePunct w:val="0"/>
        <w:bidi w:val="0"/>
        <w:adjustRightInd w:val="0"/>
        <w:snapToGrid w:val="0"/>
        <w:spacing w:afterLines="0"/>
        <w:rPr>
          <w:rFonts w:hint="default" w:ascii="Times New Roman" w:hAnsi="Times New Roman" w:cs="Times New Roman"/>
          <w:color w:val="000000" w:themeColor="text1"/>
          <w:spacing w:val="0"/>
          <w:kern w:val="2"/>
          <w:sz w:val="32"/>
          <w:szCs w:val="24"/>
          <w14:textFill>
            <w14:solidFill>
              <w14:schemeClr w14:val="tx1"/>
            </w14:solidFill>
          </w14:textFill>
        </w:rPr>
      </w:pPr>
    </w:p>
    <w:p w14:paraId="0145677F">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p>
    <w:p w14:paraId="49AB329F">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p>
    <w:p w14:paraId="53A4DA5A">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center"/>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7F388EA5">
      <w:pPr>
        <w:keepNext w:val="0"/>
        <w:keepLines w:val="0"/>
        <w:pageBreakBefore w:val="0"/>
        <w:widowControl w:val="0"/>
        <w:kinsoku/>
        <w:wordWrap/>
        <w:overflowPunct w:val="0"/>
        <w:topLinePunct w:val="0"/>
        <w:bidi w:val="0"/>
        <w:adjustRightInd w:val="0"/>
        <w:snapToGrid w:val="0"/>
        <w:spacing w:beforeLines="0" w:afterLines="0" w:line="576" w:lineRule="exact"/>
        <w:jc w:val="both"/>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19B94074">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center"/>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3EFEF1BE">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center"/>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（图2：收入决算结构图）</w:t>
      </w:r>
    </w:p>
    <w:p w14:paraId="4E21CECC">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outlineLvl w:val="1"/>
        <w:rPr>
          <w:rFonts w:hint="default" w:ascii="Times New Roman" w:hAnsi="Times New Roman" w:eastAsia="黑体" w:cs="Times New Roman"/>
          <w:color w:val="000000" w:themeColor="text1"/>
          <w:spacing w:val="0"/>
          <w:kern w:val="2"/>
          <w:sz w:val="32"/>
          <w:szCs w:val="24"/>
          <w14:textFill>
            <w14:solidFill>
              <w14:schemeClr w14:val="tx1"/>
            </w14:solidFill>
          </w14:textFill>
        </w:rPr>
      </w:pPr>
      <w:bookmarkStart w:id="7" w:name="_Toc14420"/>
      <w:r>
        <w:rPr>
          <w:rFonts w:hint="default" w:ascii="Times New Roman" w:hAnsi="Times New Roman" w:eastAsia="黑体" w:cs="Times New Roman"/>
          <w:color w:val="000000" w:themeColor="text1"/>
          <w:spacing w:val="0"/>
          <w:kern w:val="2"/>
          <w:sz w:val="32"/>
          <w:szCs w:val="24"/>
          <w14:textFill>
            <w14:solidFill>
              <w14:schemeClr w14:val="tx1"/>
            </w14:solidFill>
          </w14:textFill>
        </w:rPr>
        <w:t>三、支出决算情况说明</w:t>
      </w:r>
      <w:bookmarkEnd w:id="7"/>
    </w:p>
    <w:p w14:paraId="006B85A5">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lang w:eastAsia="zh-CN"/>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2023年本年支出合计665.15万元，其中：基本支出216.15万元，占32.5%；项目支出449万元，占67.5%</w:t>
      </w:r>
      <w:r>
        <w:rPr>
          <w:rFonts w:hint="default" w:ascii="Times New Roman" w:hAnsi="Times New Roman" w:eastAsia="仿宋_GB2312" w:cs="Times New Roman"/>
          <w:color w:val="000000" w:themeColor="text1"/>
          <w:spacing w:val="0"/>
          <w:kern w:val="2"/>
          <w:sz w:val="32"/>
          <w:szCs w:val="24"/>
          <w:lang w:eastAsia="zh-CN"/>
          <w14:textFill>
            <w14:solidFill>
              <w14:schemeClr w14:val="tx1"/>
            </w14:solidFill>
          </w14:textFill>
        </w:rPr>
        <w:t>。</w:t>
      </w:r>
    </w:p>
    <w:p w14:paraId="1C532EBC">
      <w:pPr>
        <w:pStyle w:val="6"/>
        <w:keepNext w:val="0"/>
        <w:keepLines w:val="0"/>
        <w:pageBreakBefore w:val="0"/>
        <w:widowControl w:val="0"/>
        <w:kinsoku/>
        <w:wordWrap/>
        <w:topLinePunct w:val="0"/>
        <w:bidi w:val="0"/>
        <w:adjustRightInd w:val="0"/>
        <w:snapToGrid w:val="0"/>
        <w:spacing w:afterLines="0"/>
        <w:rPr>
          <w:rFonts w:hint="default" w:ascii="Times New Roman" w:hAnsi="Times New Roman" w:cs="Times New Roman"/>
          <w:color w:val="000000" w:themeColor="text1"/>
          <w:spacing w:val="0"/>
          <w:sz w:val="30"/>
          <w:szCs w:val="24"/>
          <w14:textFill>
            <w14:solidFill>
              <w14:schemeClr w14:val="tx1"/>
            </w14:solidFill>
          </w14:textFill>
        </w:rPr>
      </w:pPr>
      <w:r>
        <w:rPr>
          <w:rFonts w:hint="default" w:ascii="Times New Roman" w:hAnsi="Times New Roman" w:cs="Times New Roman"/>
          <w:color w:val="000000" w:themeColor="text1"/>
          <w:spacing w:val="0"/>
          <w:kern w:val="2"/>
          <w:sz w:val="32"/>
          <w:szCs w:val="24"/>
          <w:highlight w:val="yellow"/>
          <w14:textFill>
            <w14:solidFill>
              <w14:schemeClr w14:val="tx1"/>
            </w14:solidFill>
          </w14:textFill>
        </w:rPr>
        <w:pict>
          <v:shape id="Object 6" o:spid="_x0000_s1028" o:spt="75" type="#_x0000_t75" style="position:absolute;left:0pt;margin-left:88.7pt;margin-top:11.5pt;height:188.05pt;width:284.9pt;z-index:251661312;mso-width-relative:page;mso-height-relative:page;" o:ole="t" filled="f" o:preferrelative="t" stroked="f" coordsize="21600,21600">
            <v:path/>
            <v:fill on="f" focussize="0,0"/>
            <v:stroke on="f"/>
            <v:imagedata r:id="rId17" o:title=""/>
            <o:lock v:ext="edit" aspectratio="t"/>
          </v:shape>
          <o:OLEObject Type="Embed" ProgID="Excel.Chart.8" ShapeID="Object 6" DrawAspect="Content" ObjectID="_1468075727" r:id="rId16">
            <o:LockedField>false</o:LockedField>
          </o:OLEObject>
        </w:pict>
      </w:r>
    </w:p>
    <w:p w14:paraId="711E9959">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p>
    <w:p w14:paraId="07115AA4">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p>
    <w:p w14:paraId="459F4379">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p>
    <w:p w14:paraId="17F9E19E">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p>
    <w:p w14:paraId="5694863A">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center"/>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67C1BAA6">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center"/>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2DDBBD6E">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center"/>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（图3：支出决算结构图）</w:t>
      </w:r>
    </w:p>
    <w:p w14:paraId="2997D739">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outlineLvl w:val="1"/>
        <w:rPr>
          <w:rFonts w:hint="default" w:ascii="Times New Roman" w:hAnsi="Times New Roman" w:eastAsia="黑体" w:cs="Times New Roman"/>
          <w:color w:val="000000" w:themeColor="text1"/>
          <w:spacing w:val="0"/>
          <w:kern w:val="2"/>
          <w:sz w:val="32"/>
          <w:szCs w:val="24"/>
          <w14:textFill>
            <w14:solidFill>
              <w14:schemeClr w14:val="tx1"/>
            </w14:solidFill>
          </w14:textFill>
        </w:rPr>
      </w:pPr>
      <w:bookmarkStart w:id="8" w:name="_Toc10336"/>
      <w:r>
        <w:rPr>
          <w:rFonts w:hint="default" w:ascii="Times New Roman" w:hAnsi="Times New Roman" w:eastAsia="黑体" w:cs="Times New Roman"/>
          <w:color w:val="000000" w:themeColor="text1"/>
          <w:spacing w:val="0"/>
          <w:kern w:val="2"/>
          <w:sz w:val="32"/>
          <w:szCs w:val="24"/>
          <w14:textFill>
            <w14:solidFill>
              <w14:schemeClr w14:val="tx1"/>
            </w14:solidFill>
          </w14:textFill>
        </w:rPr>
        <w:t>四、财政拨款收入支出决算总体情况说明</w:t>
      </w:r>
      <w:bookmarkEnd w:id="8"/>
    </w:p>
    <w:p w14:paraId="052970E7">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2023年度财政拨款收、支总计均为665.15万元。与2022年度相比，财政拨款收、支总计各增加421.58万元，增长173.1%。主要变动原因是省级供销综合改革及发展专项资金指标、中央财政农业经营主体能力提升资金指标及东西部协作资金指标纳</w:t>
      </w:r>
      <w:r>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ict>
          <v:shape id="Object 7" o:spid="_x0000_s1029" o:spt="75" type="#_x0000_t75" style="position:absolute;left:0pt;margin-left:43.55pt;margin-top:23.8pt;height:182.2pt;width:368.35pt;z-index:251662336;mso-width-relative:page;mso-height-relative:page;" o:ole="t" filled="f" o:preferrelative="t" stroked="f" coordsize="21600,21600">
            <v:path/>
            <v:fill on="f" focussize="0,0"/>
            <v:stroke on="f"/>
            <v:imagedata r:id="rId19" o:title=""/>
            <o:lock v:ext="edit" aspectratio="t"/>
          </v:shape>
          <o:OLEObject Type="Embed" ProgID="Excel.Chart.8" ShapeID="Object 7" DrawAspect="Content" ObjectID="_1468075728" r:id="rId18">
            <o:LockedField>false</o:LockedField>
          </o:OLEObject>
        </w:pic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入。</w:t>
      </w:r>
    </w:p>
    <w:p w14:paraId="42052A23">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4EC5C221">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0D0D4C25">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3663EA0D">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5C03C12E">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center"/>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0A0B6433">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center"/>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6E3CC144">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center"/>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（图4：财政拨款收、支决算总计变动情况）</w:t>
      </w:r>
    </w:p>
    <w:p w14:paraId="62A40000">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outlineLvl w:val="1"/>
        <w:rPr>
          <w:rFonts w:hint="default" w:ascii="Times New Roman" w:hAnsi="Times New Roman" w:eastAsia="黑体" w:cs="Times New Roman"/>
          <w:color w:val="000000" w:themeColor="text1"/>
          <w:spacing w:val="0"/>
          <w:kern w:val="2"/>
          <w:sz w:val="32"/>
          <w:szCs w:val="24"/>
          <w14:textFill>
            <w14:solidFill>
              <w14:schemeClr w14:val="tx1"/>
            </w14:solidFill>
          </w14:textFill>
        </w:rPr>
      </w:pPr>
      <w:bookmarkStart w:id="9" w:name="_Toc19910"/>
      <w:r>
        <w:rPr>
          <w:rFonts w:hint="default" w:ascii="Times New Roman" w:hAnsi="Times New Roman" w:eastAsia="黑体" w:cs="Times New Roman"/>
          <w:color w:val="000000" w:themeColor="text1"/>
          <w:spacing w:val="0"/>
          <w:kern w:val="2"/>
          <w:sz w:val="32"/>
          <w:szCs w:val="24"/>
          <w14:textFill>
            <w14:solidFill>
              <w14:schemeClr w14:val="tx1"/>
            </w14:solidFill>
          </w14:textFill>
        </w:rPr>
        <w:t>五、</w:t>
      </w:r>
      <w:r>
        <w:rPr>
          <w:rFonts w:hint="default" w:ascii="Times New Roman" w:hAnsi="Times New Roman" w:eastAsia="黑体" w:cs="Times New Roman"/>
          <w:b/>
          <w:color w:val="000000" w:themeColor="text1"/>
          <w:spacing w:val="0"/>
          <w:kern w:val="2"/>
          <w:sz w:val="32"/>
          <w:szCs w:val="24"/>
          <w14:textFill>
            <w14:solidFill>
              <w14:schemeClr w14:val="tx1"/>
            </w14:solidFill>
          </w14:textFill>
        </w:rPr>
        <w:t>一</w:t>
      </w:r>
      <w:r>
        <w:rPr>
          <w:rFonts w:hint="default" w:ascii="Times New Roman" w:hAnsi="Times New Roman" w:eastAsia="黑体" w:cs="Times New Roman"/>
          <w:color w:val="000000" w:themeColor="text1"/>
          <w:spacing w:val="0"/>
          <w:kern w:val="2"/>
          <w:sz w:val="32"/>
          <w:szCs w:val="24"/>
          <w14:textFill>
            <w14:solidFill>
              <w14:schemeClr w14:val="tx1"/>
            </w14:solidFill>
          </w14:textFill>
        </w:rPr>
        <w:t>般公共预算财政拨款支出决算情况说明</w:t>
      </w:r>
      <w:bookmarkEnd w:id="9"/>
    </w:p>
    <w:p w14:paraId="2FBACE3D">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楷体_GB2312" w:cs="Times New Roman"/>
          <w:color w:val="000000" w:themeColor="text1"/>
          <w:spacing w:val="0"/>
          <w:sz w:val="32"/>
          <w:szCs w:val="24"/>
          <w14:textFill>
            <w14:solidFill>
              <w14:schemeClr w14:val="tx1"/>
            </w14:solidFill>
          </w14:textFill>
        </w:rPr>
      </w:pPr>
      <w:r>
        <w:rPr>
          <w:rFonts w:hint="default" w:ascii="Times New Roman" w:hAnsi="Times New Roman" w:eastAsia="楷体_GB2312" w:cs="Times New Roman"/>
          <w:color w:val="000000" w:themeColor="text1"/>
          <w:spacing w:val="0"/>
          <w:sz w:val="32"/>
          <w:szCs w:val="24"/>
          <w14:textFill>
            <w14:solidFill>
              <w14:schemeClr w14:val="tx1"/>
            </w14:solidFill>
          </w14:textFill>
        </w:rPr>
        <w:t>（一）一般公共预算财政拨款支出决算总体情况</w:t>
      </w:r>
    </w:p>
    <w:p w14:paraId="711D77EA">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2023年度一般公共预算财政拨款支出665.15万元，占本年支出合计的100%。与2022年度相比，一般公共预算财政拨款支出增加</w:t>
      </w:r>
      <w:r>
        <w:rPr>
          <w:rFonts w:hint="default" w:ascii="Times New Roman" w:hAnsi="Times New Roman" w:eastAsia="仿宋" w:cs="Times New Roman"/>
          <w:color w:val="000000" w:themeColor="text1"/>
          <w:spacing w:val="0"/>
          <w:sz w:val="32"/>
          <w:szCs w:val="32"/>
          <w14:textFill>
            <w14:solidFill>
              <w14:schemeClr w14:val="tx1"/>
            </w14:solidFill>
          </w14:textFill>
        </w:rPr>
        <w:t>421.58万元，增长173.08%。</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主要变动原因是省级供销综合改革及发展专项资金指标、中央财政农业经营主体能力提升资金指标及东西部协作资金指标纳入。</w:t>
      </w:r>
    </w:p>
    <w:p w14:paraId="77B73683">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 w:cs="Times New Roman"/>
          <w:color w:val="000000" w:themeColor="text1"/>
          <w:spacing w:val="0"/>
          <w:sz w:val="32"/>
          <w:szCs w:val="32"/>
          <w14:textFill>
            <w14:solidFill>
              <w14:schemeClr w14:val="tx1"/>
            </w14:solidFill>
          </w14:textFill>
        </w:rPr>
        <w:pict>
          <v:shape id="_x0000_s1030" o:spid="_x0000_s1030" o:spt="75" type="#_x0000_t75" style="position:absolute;left:0pt;margin-left:72.3pt;margin-top:11.85pt;height:164.1pt;width:281.05pt;z-index:-251653120;mso-width-relative:page;mso-height-relative:page;" o:ole="t" filled="f" o:preferrelative="t" stroked="f" coordsize="21600,21600">
            <v:path/>
            <v:fill on="f" focussize="0,0"/>
            <v:stroke on="f"/>
            <v:imagedata r:id="rId21" o:title=""/>
            <o:lock v:ext="edit" aspectratio="f"/>
          </v:shape>
          <o:OLEObject Type="Embed" ProgID="Excel.Sheet.8" ShapeID="_x0000_s1030" DrawAspect="Content" ObjectID="_1468075729" r:id="rId20">
            <o:LockedField>false</o:LockedField>
          </o:OLEObject>
        </w:pict>
      </w:r>
    </w:p>
    <w:p w14:paraId="2AC522C3">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p>
    <w:p w14:paraId="52A1FD4C">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p>
    <w:p w14:paraId="7017E8DA">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p>
    <w:p w14:paraId="0FB8BEDB">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p>
    <w:p w14:paraId="17A2A30D">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0F1EE028">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i/>
          <w:color w:val="000000" w:themeColor="text1"/>
          <w:spacing w:val="0"/>
          <w:kern w:val="2"/>
          <w:sz w:val="32"/>
          <w:szCs w:val="24"/>
          <w:highlight w:val="yellow"/>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（图5：一般公共预算财政拨款支出决算变动情况）</w:t>
      </w:r>
    </w:p>
    <w:p w14:paraId="497B6C84">
      <w:pPr>
        <w:keepNext w:val="0"/>
        <w:keepLines w:val="0"/>
        <w:pageBreakBefore w:val="0"/>
        <w:widowControl w:val="0"/>
        <w:kinsoku/>
        <w:wordWrap/>
        <w:overflowPunct w:val="0"/>
        <w:topLinePunct w:val="0"/>
        <w:autoSpaceDE w:val="0"/>
        <w:autoSpaceDN w:val="0"/>
        <w:bidi w:val="0"/>
        <w:adjustRightInd w:val="0"/>
        <w:snapToGrid w:val="0"/>
        <w:spacing w:beforeLines="0" w:afterLines="0" w:line="600" w:lineRule="exact"/>
        <w:ind w:firstLine="640" w:firstLineChars="200"/>
        <w:jc w:val="both"/>
        <w:textAlignment w:val="auto"/>
        <w:rPr>
          <w:rFonts w:hint="default" w:ascii="Times New Roman" w:hAnsi="Times New Roman" w:eastAsia="楷体_GB2312" w:cs="Times New Roman"/>
          <w:color w:val="000000" w:themeColor="text1"/>
          <w:spacing w:val="0"/>
          <w:sz w:val="32"/>
          <w:szCs w:val="24"/>
          <w14:textFill>
            <w14:solidFill>
              <w14:schemeClr w14:val="tx1"/>
            </w14:solidFill>
          </w14:textFill>
        </w:rPr>
      </w:pPr>
      <w:r>
        <w:rPr>
          <w:rFonts w:hint="default" w:ascii="Times New Roman" w:hAnsi="Times New Roman" w:eastAsia="楷体_GB2312" w:cs="Times New Roman"/>
          <w:color w:val="000000" w:themeColor="text1"/>
          <w:spacing w:val="0"/>
          <w:sz w:val="32"/>
          <w:szCs w:val="24"/>
          <w14:textFill>
            <w14:solidFill>
              <w14:schemeClr w14:val="tx1"/>
            </w14:solidFill>
          </w14:textFill>
        </w:rPr>
        <w:t>（二）一般公共预算财政拨款支出决算结构情况</w:t>
      </w:r>
    </w:p>
    <w:p w14:paraId="4592ABCC">
      <w:pPr>
        <w:keepNext w:val="0"/>
        <w:keepLines w:val="0"/>
        <w:pageBreakBefore w:val="0"/>
        <w:widowControl w:val="0"/>
        <w:kinsoku/>
        <w:wordWrap/>
        <w:overflowPunct w:val="0"/>
        <w:topLinePunct w:val="0"/>
        <w:autoSpaceDE w:val="0"/>
        <w:autoSpaceDN w:val="0"/>
        <w:bidi w:val="0"/>
        <w:adjustRightInd w:val="0"/>
        <w:snapToGrid w:val="0"/>
        <w:spacing w:beforeLines="0" w:afterLines="0" w:line="600" w:lineRule="exact"/>
        <w:ind w:firstLine="640" w:firstLineChars="200"/>
        <w:jc w:val="both"/>
        <w:textAlignment w:val="auto"/>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2023年度一般公共预算财政拨款支出665.15万元，主要用于以下方面</w:t>
      </w:r>
      <w:r>
        <w:rPr>
          <w:rFonts w:hint="eastAsia" w:ascii="Times New Roman" w:hAnsi="Times New Roman" w:eastAsia="仿宋_GB2312" w:cs="Times New Roman"/>
          <w:color w:val="000000" w:themeColor="text1"/>
          <w:spacing w:val="0"/>
          <w:kern w:val="2"/>
          <w:sz w:val="32"/>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社会保障和就业支出33.29万元，占5%；卫生健康支出6.13万元，占1%；农林水支出210万元，占31%；商业服务业等支出403.21万元，占61%；住房保障支出12.52万元，占2%；</w:t>
      </w:r>
    </w:p>
    <w:p w14:paraId="5D34E8DF">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ict>
          <v:shape id="_x0000_s1031" o:spid="_x0000_s1031" o:spt="75" type="#_x0000_t75" style="position:absolute;left:0pt;margin-left:91.7pt;margin-top:7.55pt;height:167.9pt;width:254.3pt;z-index:251664384;mso-width-relative:page;mso-height-relative:page;" o:ole="t" filled="f" o:preferrelative="t" stroked="f" coordsize="21600,21600">
            <v:path/>
            <v:fill on="f" focussize="0,0"/>
            <v:stroke on="f"/>
            <v:imagedata r:id="rId23" o:title=""/>
            <o:lock v:ext="edit" aspectratio="t"/>
          </v:shape>
          <o:OLEObject Type="Embed" ProgID="Excel.Chart.8" ShapeID="_x0000_s1031" DrawAspect="Content" ObjectID="_1468075730" r:id="rId22">
            <o:LockedField>false</o:LockedField>
          </o:OLEObject>
        </w:pict>
      </w:r>
    </w:p>
    <w:p w14:paraId="4650CDA7">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p>
    <w:p w14:paraId="57FBD3AA">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p>
    <w:p w14:paraId="2568079E">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p>
    <w:p w14:paraId="6D2E7D43">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center"/>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72C6B66B">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center"/>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19C09758">
      <w:pPr>
        <w:keepNext w:val="0"/>
        <w:keepLines w:val="0"/>
        <w:pageBreakBefore w:val="0"/>
        <w:widowControl w:val="0"/>
        <w:kinsoku/>
        <w:wordWrap/>
        <w:overflowPunct w:val="0"/>
        <w:topLinePunct w:val="0"/>
        <w:bidi w:val="0"/>
        <w:adjustRightInd w:val="0"/>
        <w:snapToGrid w:val="0"/>
        <w:spacing w:beforeLines="0" w:afterLines="0" w:line="576" w:lineRule="exact"/>
        <w:ind w:left="0" w:leftChars="0" w:firstLine="0" w:firstLineChars="0"/>
        <w:jc w:val="center"/>
        <w:rPr>
          <w:rFonts w:hint="default" w:ascii="Times New Roman" w:hAnsi="Times New Roman" w:eastAsia="仿宋_GB2312" w:cs="Times New Roman"/>
          <w:i/>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（图6：一般公共预算财政拨款支出决算结构）</w:t>
      </w:r>
    </w:p>
    <w:p w14:paraId="57AB16F9">
      <w:pPr>
        <w:keepNext w:val="0"/>
        <w:keepLines w:val="0"/>
        <w:pageBreakBefore w:val="0"/>
        <w:widowControl w:val="0"/>
        <w:kinsoku/>
        <w:wordWrap/>
        <w:overflowPunct w:val="0"/>
        <w:topLinePunct w:val="0"/>
        <w:bidi w:val="0"/>
        <w:adjustRightInd w:val="0"/>
        <w:snapToGrid w:val="0"/>
        <w:spacing w:beforeLines="0" w:afterLines="0" w:line="600" w:lineRule="exact"/>
        <w:ind w:firstLine="640" w:firstLineChars="200"/>
        <w:jc w:val="both"/>
        <w:textAlignment w:val="auto"/>
        <w:rPr>
          <w:rFonts w:hint="default" w:ascii="Times New Roman" w:hAnsi="Times New Roman" w:eastAsia="楷体_GB2312" w:cs="Times New Roman"/>
          <w:color w:val="000000" w:themeColor="text1"/>
          <w:spacing w:val="0"/>
          <w:sz w:val="32"/>
          <w:szCs w:val="24"/>
          <w14:textFill>
            <w14:solidFill>
              <w14:schemeClr w14:val="tx1"/>
            </w14:solidFill>
          </w14:textFill>
        </w:rPr>
      </w:pPr>
      <w:r>
        <w:rPr>
          <w:rFonts w:hint="default" w:ascii="Times New Roman" w:hAnsi="Times New Roman" w:eastAsia="楷体_GB2312" w:cs="Times New Roman"/>
          <w:color w:val="000000" w:themeColor="text1"/>
          <w:spacing w:val="0"/>
          <w:sz w:val="32"/>
          <w:szCs w:val="24"/>
          <w14:textFill>
            <w14:solidFill>
              <w14:schemeClr w14:val="tx1"/>
            </w14:solidFill>
          </w14:textFill>
        </w:rPr>
        <w:t>（三）一般公共预算财政拨款支出决算具体情况</w:t>
      </w:r>
    </w:p>
    <w:p w14:paraId="0189D086">
      <w:pPr>
        <w:keepNext w:val="0"/>
        <w:keepLines w:val="0"/>
        <w:pageBreakBefore w:val="0"/>
        <w:widowControl w:val="0"/>
        <w:kinsoku/>
        <w:wordWrap/>
        <w:overflowPunct w:val="0"/>
        <w:topLinePunct w:val="0"/>
        <w:bidi w:val="0"/>
        <w:adjustRightInd w:val="0"/>
        <w:snapToGrid w:val="0"/>
        <w:spacing w:beforeLines="0" w:afterLines="0" w:line="600" w:lineRule="exact"/>
        <w:ind w:firstLine="643" w:firstLineChars="200"/>
        <w:jc w:val="both"/>
        <w:textAlignment w:val="auto"/>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t>2023年度一般公共预算支出全年预算数665.15为万元，支出决算数为665.15万元，完成全年预算数的100%。其中：</w:t>
      </w:r>
    </w:p>
    <w:p w14:paraId="27440717">
      <w:pPr>
        <w:keepNext w:val="0"/>
        <w:keepLines w:val="0"/>
        <w:pageBreakBefore w:val="0"/>
        <w:widowControl w:val="0"/>
        <w:kinsoku/>
        <w:wordWrap/>
        <w:topLinePunct w:val="0"/>
        <w:autoSpaceDE/>
        <w:autoSpaceDN/>
        <w:bidi w:val="0"/>
        <w:adjustRightInd w:val="0"/>
        <w:snapToGrid w:val="0"/>
        <w:spacing w:beforeLines="0" w:afterLines="0" w:line="600" w:lineRule="exact"/>
        <w:ind w:firstLine="643" w:firstLineChars="200"/>
        <w:jc w:val="both"/>
        <w:textAlignment w:val="auto"/>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24"/>
          <w:lang w:val="en-US" w:eastAsia="zh-CN"/>
          <w14:textFill>
            <w14:solidFill>
              <w14:schemeClr w14:val="tx1"/>
            </w14:solidFill>
          </w14:textFill>
        </w:rPr>
        <w:t>1</w:t>
      </w:r>
      <w:r>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t>.社会保障和就业（208类）行政事业单位养老支出（05款）事业单位离退休（02项）:</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全年预算为16.00万元，支出决算为16.00万元，完成全年预算的100%。决算数等于全年预算数。</w:t>
      </w:r>
    </w:p>
    <w:p w14:paraId="36315252">
      <w:pPr>
        <w:keepNext w:val="0"/>
        <w:keepLines w:val="0"/>
        <w:pageBreakBefore w:val="0"/>
        <w:widowControl w:val="0"/>
        <w:kinsoku/>
        <w:wordWrap/>
        <w:overflowPunct w:val="0"/>
        <w:topLinePunct w:val="0"/>
        <w:bidi w:val="0"/>
        <w:adjustRightInd w:val="0"/>
        <w:snapToGrid w:val="0"/>
        <w:spacing w:beforeLines="0" w:afterLines="0" w:line="600" w:lineRule="exact"/>
        <w:ind w:firstLine="643" w:firstLineChars="200"/>
        <w:jc w:val="both"/>
        <w:textAlignment w:val="auto"/>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24"/>
          <w:lang w:val="en-US" w:eastAsia="zh-CN"/>
          <w14:textFill>
            <w14:solidFill>
              <w14:schemeClr w14:val="tx1"/>
            </w14:solidFill>
          </w14:textFill>
        </w:rPr>
        <w:t>2</w:t>
      </w:r>
      <w:r>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t>.社会保障和就业支出（208类）行政事业单位离退休（05款）机关事业单位基本养老保险缴费支出（05项）:</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全年预算为17.29万元，支出决算为17.29万元，完成全年预算的100%。决算数等于全年预算数。</w:t>
      </w:r>
    </w:p>
    <w:p w14:paraId="5D926EB2">
      <w:pPr>
        <w:keepNext w:val="0"/>
        <w:keepLines w:val="0"/>
        <w:pageBreakBefore w:val="0"/>
        <w:widowControl w:val="0"/>
        <w:kinsoku/>
        <w:wordWrap/>
        <w:overflowPunct w:val="0"/>
        <w:topLinePunct w:val="0"/>
        <w:bidi w:val="0"/>
        <w:adjustRightInd w:val="0"/>
        <w:snapToGrid w:val="0"/>
        <w:spacing w:beforeLines="0" w:afterLines="0" w:line="600" w:lineRule="exact"/>
        <w:ind w:firstLine="643" w:firstLineChars="200"/>
        <w:jc w:val="both"/>
        <w:textAlignment w:val="auto"/>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24"/>
          <w:lang w:val="en-US" w:eastAsia="zh-CN"/>
          <w14:textFill>
            <w14:solidFill>
              <w14:schemeClr w14:val="tx1"/>
            </w14:solidFill>
          </w14:textFill>
        </w:rPr>
        <w:t>3</w:t>
      </w:r>
      <w:r>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t>.卫生健康支出（210类）行政事业单位医疗（11款）事业单位医疗（02项）:</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全年预算为6.13万元，支出决算为6.13万元，完成全年预算的100%。决算数等于全年预算数。</w:t>
      </w:r>
    </w:p>
    <w:p w14:paraId="4E8BF2A3">
      <w:pPr>
        <w:keepNext w:val="0"/>
        <w:keepLines w:val="0"/>
        <w:pageBreakBefore w:val="0"/>
        <w:widowControl w:val="0"/>
        <w:kinsoku/>
        <w:wordWrap/>
        <w:overflowPunct w:val="0"/>
        <w:topLinePunct w:val="0"/>
        <w:bidi w:val="0"/>
        <w:adjustRightInd w:val="0"/>
        <w:snapToGrid w:val="0"/>
        <w:spacing w:beforeLines="0" w:afterLines="0" w:line="600" w:lineRule="exact"/>
        <w:ind w:firstLine="643" w:firstLineChars="200"/>
        <w:jc w:val="both"/>
        <w:textAlignment w:val="auto"/>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24"/>
          <w:lang w:val="en-US" w:eastAsia="zh-CN"/>
          <w14:textFill>
            <w14:solidFill>
              <w14:schemeClr w14:val="tx1"/>
            </w14:solidFill>
          </w14:textFill>
        </w:rPr>
        <w:t>4</w:t>
      </w:r>
      <w:r>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t>.农林水支出（213类）农业农村（01款）农村社会事业（26项）:</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全年预算为190万元，支出决算为190万元，完成全年预算的100%。决算数等于全年预算数。</w:t>
      </w:r>
    </w:p>
    <w:p w14:paraId="5506745B">
      <w:pPr>
        <w:pStyle w:val="6"/>
        <w:keepNext w:val="0"/>
        <w:keepLines w:val="0"/>
        <w:pageBreakBefore w:val="0"/>
        <w:widowControl w:val="0"/>
        <w:kinsoku/>
        <w:wordWrap/>
        <w:topLinePunct w:val="0"/>
        <w:bidi w:val="0"/>
        <w:adjustRightInd w:val="0"/>
        <w:snapToGrid w:val="0"/>
        <w:spacing w:beforeLines="0" w:afterLines="0" w:line="600" w:lineRule="exact"/>
        <w:ind w:firstLine="643" w:firstLineChars="200"/>
        <w:jc w:val="both"/>
        <w:textAlignment w:val="auto"/>
        <w:rPr>
          <w:rFonts w:hint="default" w:ascii="Times New Roman" w:hAnsi="Times New Roman" w:cs="Times New Roman"/>
          <w:color w:val="000000" w:themeColor="text1"/>
          <w:spacing w:val="0"/>
          <w:sz w:val="30"/>
          <w:szCs w:val="24"/>
          <w14:textFill>
            <w14:solidFill>
              <w14:schemeClr w14:val="tx1"/>
            </w14:solidFill>
          </w14:textFill>
        </w:rPr>
      </w:pPr>
      <w:r>
        <w:rPr>
          <w:rFonts w:hint="default" w:ascii="Times New Roman" w:hAnsi="Times New Roman" w:cs="Times New Roman"/>
          <w:b/>
          <w:color w:val="000000" w:themeColor="text1"/>
          <w:spacing w:val="0"/>
          <w:kern w:val="2"/>
          <w:sz w:val="32"/>
          <w:szCs w:val="24"/>
          <w:lang w:val="en-US" w:eastAsia="zh-CN"/>
          <w14:textFill>
            <w14:solidFill>
              <w14:schemeClr w14:val="tx1"/>
            </w14:solidFill>
          </w14:textFill>
        </w:rPr>
        <w:t>5</w:t>
      </w:r>
      <w:r>
        <w:rPr>
          <w:rFonts w:hint="default" w:ascii="Times New Roman" w:hAnsi="Times New Roman" w:cs="Times New Roman"/>
          <w:b/>
          <w:color w:val="000000" w:themeColor="text1"/>
          <w:spacing w:val="0"/>
          <w:kern w:val="2"/>
          <w:sz w:val="32"/>
          <w:szCs w:val="24"/>
          <w14:textFill>
            <w14:solidFill>
              <w14:schemeClr w14:val="tx1"/>
            </w14:solidFill>
          </w14:textFill>
        </w:rPr>
        <w:t>.农林水支出（213类）巩固脱贫攻坚成果衔接乡村振兴（05款）其他巩固脱贫攻坚成果衔接乡村振兴支出（99项）:</w:t>
      </w:r>
      <w:r>
        <w:rPr>
          <w:rFonts w:hint="default" w:ascii="Times New Roman" w:hAnsi="Times New Roman" w:cs="Times New Roman"/>
          <w:color w:val="000000" w:themeColor="text1"/>
          <w:spacing w:val="0"/>
          <w:kern w:val="2"/>
          <w:sz w:val="32"/>
          <w:szCs w:val="24"/>
          <w14:textFill>
            <w14:solidFill>
              <w14:schemeClr w14:val="tx1"/>
            </w14:solidFill>
          </w14:textFill>
        </w:rPr>
        <w:t>全年预算为20万元，支出决算为20万元，完成全年预算的100%。决算数等于全年预算数。</w:t>
      </w:r>
    </w:p>
    <w:p w14:paraId="4ED48290">
      <w:pPr>
        <w:keepNext w:val="0"/>
        <w:keepLines w:val="0"/>
        <w:pageBreakBefore w:val="0"/>
        <w:widowControl w:val="0"/>
        <w:kinsoku/>
        <w:wordWrap/>
        <w:overflowPunct w:val="0"/>
        <w:topLinePunct w:val="0"/>
        <w:bidi w:val="0"/>
        <w:adjustRightInd w:val="0"/>
        <w:snapToGrid w:val="0"/>
        <w:spacing w:beforeLines="0" w:afterLines="0" w:line="600" w:lineRule="exact"/>
        <w:ind w:firstLine="643" w:firstLineChars="200"/>
        <w:jc w:val="both"/>
        <w:textAlignment w:val="auto"/>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24"/>
          <w:lang w:val="en-US" w:eastAsia="zh-CN"/>
          <w14:textFill>
            <w14:solidFill>
              <w14:schemeClr w14:val="tx1"/>
            </w14:solidFill>
          </w14:textFill>
        </w:rPr>
        <w:t>6</w:t>
      </w:r>
      <w:r>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t>.商业服务业支出（216类）商业流通事务（02款）行政运行</w:t>
      </w:r>
      <w:r>
        <w:rPr>
          <w:rFonts w:hint="eastAsia" w:ascii="Times New Roman" w:hAnsi="Times New Roman" w:eastAsia="仿宋_GB2312" w:cs="Times New Roman"/>
          <w:b/>
          <w:color w:val="000000" w:themeColor="text1"/>
          <w:spacing w:val="0"/>
          <w:kern w:val="2"/>
          <w:sz w:val="32"/>
          <w:szCs w:val="24"/>
          <w:lang w:eastAsia="zh-CN"/>
          <w14:textFill>
            <w14:solidFill>
              <w14:schemeClr w14:val="tx1"/>
            </w14:solidFill>
          </w14:textFill>
        </w:rPr>
        <w:t>（</w:t>
      </w:r>
      <w:r>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t>01项</w:t>
      </w:r>
      <w:r>
        <w:rPr>
          <w:rFonts w:hint="eastAsia" w:ascii="Times New Roman" w:hAnsi="Times New Roman" w:eastAsia="仿宋_GB2312" w:cs="Times New Roman"/>
          <w:b/>
          <w:color w:val="000000" w:themeColor="text1"/>
          <w:spacing w:val="0"/>
          <w:kern w:val="2"/>
          <w:sz w:val="32"/>
          <w:szCs w:val="24"/>
          <w:lang w:eastAsia="zh-CN"/>
          <w14:textFill>
            <w14:solidFill>
              <w14:schemeClr w14:val="tx1"/>
            </w14:solidFill>
          </w14:textFill>
        </w:rPr>
        <w:t>）</w:t>
      </w:r>
      <w:r>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全年预算为123.17万元，支出决算为123.17万元，完成全年预算的100%。决算数等于全年预算数。</w:t>
      </w:r>
    </w:p>
    <w:p w14:paraId="50E62DEC">
      <w:pPr>
        <w:pStyle w:val="6"/>
        <w:keepNext w:val="0"/>
        <w:keepLines w:val="0"/>
        <w:pageBreakBefore w:val="0"/>
        <w:widowControl w:val="0"/>
        <w:kinsoku/>
        <w:wordWrap/>
        <w:topLinePunct w:val="0"/>
        <w:bidi w:val="0"/>
        <w:adjustRightInd w:val="0"/>
        <w:snapToGrid w:val="0"/>
        <w:spacing w:afterLines="0" w:line="600" w:lineRule="exact"/>
        <w:ind w:firstLine="643" w:firstLineChars="200"/>
        <w:jc w:val="both"/>
        <w:textAlignment w:val="auto"/>
        <w:rPr>
          <w:rFonts w:hint="default" w:ascii="Times New Roman" w:hAnsi="Times New Roman" w:cs="Times New Roman"/>
          <w:color w:val="000000" w:themeColor="text1"/>
          <w:spacing w:val="0"/>
          <w:sz w:val="30"/>
          <w:szCs w:val="24"/>
          <w14:textFill>
            <w14:solidFill>
              <w14:schemeClr w14:val="tx1"/>
            </w14:solidFill>
          </w14:textFill>
        </w:rPr>
      </w:pPr>
      <w:r>
        <w:rPr>
          <w:rFonts w:hint="default" w:ascii="Times New Roman" w:hAnsi="Times New Roman" w:cs="Times New Roman"/>
          <w:b/>
          <w:color w:val="000000" w:themeColor="text1"/>
          <w:spacing w:val="0"/>
          <w:kern w:val="2"/>
          <w:sz w:val="32"/>
          <w:szCs w:val="24"/>
          <w:lang w:val="en-US" w:eastAsia="zh-CN"/>
          <w14:textFill>
            <w14:solidFill>
              <w14:schemeClr w14:val="tx1"/>
            </w14:solidFill>
          </w14:textFill>
        </w:rPr>
        <w:t>7</w:t>
      </w:r>
      <w:r>
        <w:rPr>
          <w:rFonts w:hint="default" w:ascii="Times New Roman" w:hAnsi="Times New Roman" w:cs="Times New Roman"/>
          <w:b/>
          <w:color w:val="000000" w:themeColor="text1"/>
          <w:spacing w:val="0"/>
          <w:kern w:val="2"/>
          <w:sz w:val="32"/>
          <w:szCs w:val="24"/>
          <w14:textFill>
            <w14:solidFill>
              <w14:schemeClr w14:val="tx1"/>
            </w14:solidFill>
          </w14:textFill>
        </w:rPr>
        <w:t>.商业服务业支出（216类）商业流通事务（02款）其他商业流通事务支出</w:t>
      </w:r>
      <w:r>
        <w:rPr>
          <w:rFonts w:hint="eastAsia" w:ascii="Times New Roman" w:hAnsi="Times New Roman" w:cs="Times New Roman"/>
          <w:b/>
          <w:color w:val="000000" w:themeColor="text1"/>
          <w:spacing w:val="0"/>
          <w:kern w:val="2"/>
          <w:sz w:val="32"/>
          <w:szCs w:val="24"/>
          <w:lang w:eastAsia="zh-CN"/>
          <w14:textFill>
            <w14:solidFill>
              <w14:schemeClr w14:val="tx1"/>
            </w14:solidFill>
          </w14:textFill>
        </w:rPr>
        <w:t>（</w:t>
      </w:r>
      <w:r>
        <w:rPr>
          <w:rFonts w:hint="default" w:ascii="Times New Roman" w:hAnsi="Times New Roman" w:cs="Times New Roman"/>
          <w:b/>
          <w:color w:val="000000" w:themeColor="text1"/>
          <w:spacing w:val="0"/>
          <w:kern w:val="2"/>
          <w:sz w:val="32"/>
          <w:szCs w:val="24"/>
          <w14:textFill>
            <w14:solidFill>
              <w14:schemeClr w14:val="tx1"/>
            </w14:solidFill>
          </w14:textFill>
        </w:rPr>
        <w:t>99项</w:t>
      </w:r>
      <w:r>
        <w:rPr>
          <w:rFonts w:hint="eastAsia" w:ascii="Times New Roman" w:hAnsi="Times New Roman" w:cs="Times New Roman"/>
          <w:b/>
          <w:color w:val="000000" w:themeColor="text1"/>
          <w:spacing w:val="0"/>
          <w:kern w:val="2"/>
          <w:sz w:val="32"/>
          <w:szCs w:val="24"/>
          <w:lang w:eastAsia="zh-CN"/>
          <w14:textFill>
            <w14:solidFill>
              <w14:schemeClr w14:val="tx1"/>
            </w14:solidFill>
          </w14:textFill>
        </w:rPr>
        <w:t>）</w:t>
      </w:r>
      <w:r>
        <w:rPr>
          <w:rFonts w:hint="default" w:ascii="Times New Roman" w:hAnsi="Times New Roman" w:cs="Times New Roman"/>
          <w:b/>
          <w:color w:val="000000" w:themeColor="text1"/>
          <w:spacing w:val="0"/>
          <w:kern w:val="2"/>
          <w:sz w:val="32"/>
          <w:szCs w:val="24"/>
          <w14:textFill>
            <w14:solidFill>
              <w14:schemeClr w14:val="tx1"/>
            </w14:solidFill>
          </w14:textFill>
        </w:rPr>
        <w:t>：</w:t>
      </w:r>
      <w:r>
        <w:rPr>
          <w:rFonts w:hint="default" w:ascii="Times New Roman" w:hAnsi="Times New Roman" w:cs="Times New Roman"/>
          <w:color w:val="000000" w:themeColor="text1"/>
          <w:spacing w:val="0"/>
          <w:kern w:val="2"/>
          <w:sz w:val="32"/>
          <w:szCs w:val="24"/>
          <w14:textFill>
            <w14:solidFill>
              <w14:schemeClr w14:val="tx1"/>
            </w14:solidFill>
          </w14:textFill>
        </w:rPr>
        <w:t>全年预算为280.04万元，支出决算为280.04万元，完成全年预算的100%。决算数等于全年预算数。</w:t>
      </w:r>
    </w:p>
    <w:p w14:paraId="5F7813EA">
      <w:pPr>
        <w:keepNext w:val="0"/>
        <w:keepLines w:val="0"/>
        <w:pageBreakBefore w:val="0"/>
        <w:widowControl w:val="0"/>
        <w:kinsoku/>
        <w:wordWrap/>
        <w:overflowPunct w:val="0"/>
        <w:topLinePunct w:val="0"/>
        <w:bidi w:val="0"/>
        <w:adjustRightInd w:val="0"/>
        <w:snapToGrid w:val="0"/>
        <w:spacing w:beforeLines="0" w:afterLines="0" w:line="600" w:lineRule="exact"/>
        <w:ind w:firstLine="643" w:firstLineChars="200"/>
        <w:jc w:val="both"/>
        <w:textAlignment w:val="auto"/>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24"/>
          <w:lang w:val="en-US" w:eastAsia="zh-CN"/>
          <w14:textFill>
            <w14:solidFill>
              <w14:schemeClr w14:val="tx1"/>
            </w14:solidFill>
          </w14:textFill>
        </w:rPr>
        <w:t>8</w:t>
      </w:r>
      <w:r>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t>.住房保障（221类）住房改革（02款）住房公积金（01项）:</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全年预算为</w:t>
      </w:r>
      <w:r>
        <w:rPr>
          <w:rFonts w:hint="default" w:ascii="Times New Roman" w:hAnsi="Times New Roman" w:cs="Times New Roman"/>
          <w:color w:val="000000" w:themeColor="text1"/>
          <w:spacing w:val="0"/>
          <w:kern w:val="2"/>
          <w:sz w:val="32"/>
          <w:szCs w:val="24"/>
          <w14:textFill>
            <w14:solidFill>
              <w14:schemeClr w14:val="tx1"/>
            </w14:solidFill>
          </w14:textFill>
        </w:rPr>
        <w:t>12.53</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万元，支出决算为</w:t>
      </w:r>
      <w:r>
        <w:rPr>
          <w:rFonts w:hint="default" w:ascii="Times New Roman" w:hAnsi="Times New Roman" w:cs="Times New Roman"/>
          <w:color w:val="000000" w:themeColor="text1"/>
          <w:spacing w:val="0"/>
          <w:kern w:val="2"/>
          <w:sz w:val="32"/>
          <w:szCs w:val="24"/>
          <w14:textFill>
            <w14:solidFill>
              <w14:schemeClr w14:val="tx1"/>
            </w14:solidFill>
          </w14:textFill>
        </w:rPr>
        <w:t>12.53</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万元，完成全年预算的100%。决算数等于全年预算数。</w:t>
      </w:r>
    </w:p>
    <w:p w14:paraId="693DA70C">
      <w:pPr>
        <w:keepNext w:val="0"/>
        <w:keepLines w:val="0"/>
        <w:pageBreakBefore w:val="0"/>
        <w:widowControl w:val="0"/>
        <w:tabs>
          <w:tab w:val="right" w:pos="8306"/>
        </w:tabs>
        <w:kinsoku/>
        <w:wordWrap/>
        <w:overflowPunct w:val="0"/>
        <w:topLinePunct w:val="0"/>
        <w:bidi w:val="0"/>
        <w:adjustRightInd w:val="0"/>
        <w:snapToGrid w:val="0"/>
        <w:spacing w:beforeLines="0" w:afterLines="0" w:line="600" w:lineRule="exact"/>
        <w:ind w:firstLine="640" w:firstLineChars="200"/>
        <w:jc w:val="both"/>
        <w:textAlignment w:val="auto"/>
        <w:outlineLvl w:val="1"/>
        <w:rPr>
          <w:rFonts w:hint="default" w:ascii="Times New Roman" w:hAnsi="Times New Roman" w:cs="Times New Roman"/>
          <w:b/>
          <w:color w:val="000000" w:themeColor="text1"/>
          <w:spacing w:val="0"/>
          <w:kern w:val="2"/>
          <w:sz w:val="32"/>
          <w:szCs w:val="24"/>
          <w14:textFill>
            <w14:solidFill>
              <w14:schemeClr w14:val="tx1"/>
            </w14:solidFill>
          </w14:textFill>
        </w:rPr>
      </w:pPr>
      <w:bookmarkStart w:id="10" w:name="_Toc14178"/>
      <w:r>
        <w:rPr>
          <w:rFonts w:hint="default" w:ascii="Times New Roman" w:hAnsi="Times New Roman" w:eastAsia="黑体" w:cs="Times New Roman"/>
          <w:color w:val="000000" w:themeColor="text1"/>
          <w:spacing w:val="0"/>
          <w:kern w:val="2"/>
          <w:sz w:val="32"/>
          <w:szCs w:val="24"/>
          <w14:textFill>
            <w14:solidFill>
              <w14:schemeClr w14:val="tx1"/>
            </w14:solidFill>
          </w14:textFill>
        </w:rPr>
        <w:t>六</w:t>
      </w:r>
      <w:r>
        <w:rPr>
          <w:rFonts w:hint="default" w:ascii="Times New Roman" w:hAnsi="Times New Roman" w:eastAsia="黑体" w:cs="Times New Roman"/>
          <w:b/>
          <w:color w:val="000000" w:themeColor="text1"/>
          <w:spacing w:val="0"/>
          <w:kern w:val="2"/>
          <w:sz w:val="32"/>
          <w:szCs w:val="24"/>
          <w14:textFill>
            <w14:solidFill>
              <w14:schemeClr w14:val="tx1"/>
            </w14:solidFill>
          </w14:textFill>
        </w:rPr>
        <w:t>、一</w:t>
      </w:r>
      <w:r>
        <w:rPr>
          <w:rFonts w:hint="default" w:ascii="Times New Roman" w:hAnsi="Times New Roman" w:eastAsia="黑体" w:cs="Times New Roman"/>
          <w:color w:val="000000" w:themeColor="text1"/>
          <w:spacing w:val="0"/>
          <w:kern w:val="2"/>
          <w:sz w:val="32"/>
          <w:szCs w:val="24"/>
          <w14:textFill>
            <w14:solidFill>
              <w14:schemeClr w14:val="tx1"/>
            </w14:solidFill>
          </w14:textFill>
        </w:rPr>
        <w:t>般公共预算财政拨款基本支出决算情况说明</w:t>
      </w:r>
      <w:bookmarkEnd w:id="10"/>
      <w:r>
        <w:rPr>
          <w:rFonts w:hint="default" w:ascii="Times New Roman" w:hAnsi="Times New Roman" w:eastAsia="黑体" w:cs="Times New Roman"/>
          <w:color w:val="000000" w:themeColor="text1"/>
          <w:spacing w:val="0"/>
          <w:kern w:val="2"/>
          <w:sz w:val="32"/>
          <w:szCs w:val="24"/>
          <w14:textFill>
            <w14:solidFill>
              <w14:schemeClr w14:val="tx1"/>
            </w14:solidFill>
          </w14:textFill>
        </w:rPr>
        <w:tab/>
      </w:r>
    </w:p>
    <w:p w14:paraId="5A849063">
      <w:pPr>
        <w:keepNext w:val="0"/>
        <w:keepLines w:val="0"/>
        <w:pageBreakBefore w:val="0"/>
        <w:widowControl w:val="0"/>
        <w:kinsoku/>
        <w:wordWrap/>
        <w:overflowPunct w:val="0"/>
        <w:topLinePunct w:val="0"/>
        <w:bidi w:val="0"/>
        <w:adjustRightInd w:val="0"/>
        <w:snapToGrid w:val="0"/>
        <w:spacing w:beforeLines="0" w:afterLines="0" w:line="600" w:lineRule="exact"/>
        <w:ind w:firstLine="640" w:firstLineChars="200"/>
        <w:jc w:val="both"/>
        <w:textAlignment w:val="auto"/>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2023年度一般公共预算财政拨款基本支出</w:t>
      </w:r>
      <w:r>
        <w:rPr>
          <w:rFonts w:hint="default" w:ascii="Times New Roman" w:hAnsi="Times New Roman" w:eastAsia="仿宋_GB2312" w:cs="Times New Roman"/>
          <w:color w:val="000000" w:themeColor="text1"/>
          <w:spacing w:val="0"/>
          <w:kern w:val="2"/>
          <w:sz w:val="32"/>
          <w:szCs w:val="24"/>
          <w:lang w:val="en-US" w:eastAsia="zh-CN"/>
          <w14:textFill>
            <w14:solidFill>
              <w14:schemeClr w14:val="tx1"/>
            </w14:solidFill>
          </w14:textFill>
        </w:rPr>
        <w:t>216.15</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万元，其中：</w:t>
      </w:r>
    </w:p>
    <w:p w14:paraId="31F8CA28">
      <w:pPr>
        <w:keepNext w:val="0"/>
        <w:keepLines w:val="0"/>
        <w:pageBreakBefore w:val="0"/>
        <w:widowControl w:val="0"/>
        <w:kinsoku/>
        <w:wordWrap/>
        <w:overflowPunct w:val="0"/>
        <w:topLinePunct w:val="0"/>
        <w:bidi w:val="0"/>
        <w:adjustRightInd w:val="0"/>
        <w:snapToGrid w:val="0"/>
        <w:spacing w:beforeLines="0" w:afterLines="0" w:line="600" w:lineRule="exact"/>
        <w:ind w:firstLine="643" w:firstLineChars="200"/>
        <w:jc w:val="both"/>
        <w:textAlignment w:val="auto"/>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t>人员经费</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175.1</w:t>
      </w:r>
      <w:r>
        <w:rPr>
          <w:rFonts w:hint="default" w:ascii="Times New Roman" w:hAnsi="Times New Roman" w:eastAsia="仿宋_GB2312" w:cs="Times New Roman"/>
          <w:color w:val="000000" w:themeColor="text1"/>
          <w:spacing w:val="0"/>
          <w:kern w:val="2"/>
          <w:sz w:val="32"/>
          <w:szCs w:val="24"/>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万元，主要包括：基本工资51.21万元、津贴补贴28.4万元、奖金38.38万元、机关事业单位基本养老保险缴费17.29万元、职工基本医疗保险缴费6.13万元、住房公积金12.53万元、生活补助19.04万元、其他对个人和家庭的补助支出2.13万元。</w:t>
      </w:r>
    </w:p>
    <w:p w14:paraId="35E5DCAF">
      <w:pPr>
        <w:keepNext w:val="0"/>
        <w:keepLines w:val="0"/>
        <w:pageBreakBefore w:val="0"/>
        <w:widowControl w:val="0"/>
        <w:kinsoku/>
        <w:wordWrap/>
        <w:overflowPunct w:val="0"/>
        <w:topLinePunct w:val="0"/>
        <w:bidi w:val="0"/>
        <w:adjustRightInd w:val="0"/>
        <w:snapToGrid w:val="0"/>
        <w:spacing w:beforeLines="0" w:afterLines="0" w:line="600" w:lineRule="exact"/>
        <w:ind w:firstLine="643" w:firstLineChars="200"/>
        <w:jc w:val="both"/>
        <w:textAlignment w:val="auto"/>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t>公用经费</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41.04万元，主要包括：办公费4.1万元、印刷费1.7万元、水费0.1万元、电费0.3万元、邮电费1.4万元、物业管理费0.8万元、差旅费9.43万元、维修（护）费5.1万元、会议费0.5万元、培训费1万元、公务接待费0.6万元、工会经费2.4万元、其他交通费7.95万元、其他商品和服务支出5.66万元。</w:t>
      </w:r>
    </w:p>
    <w:p w14:paraId="5CE500DF">
      <w:pPr>
        <w:keepNext w:val="0"/>
        <w:keepLines w:val="0"/>
        <w:pageBreakBefore w:val="0"/>
        <w:widowControl w:val="0"/>
        <w:kinsoku/>
        <w:wordWrap/>
        <w:overflowPunct w:val="0"/>
        <w:topLinePunct w:val="0"/>
        <w:bidi w:val="0"/>
        <w:adjustRightInd w:val="0"/>
        <w:snapToGrid w:val="0"/>
        <w:spacing w:beforeLines="0" w:afterLines="0" w:line="600" w:lineRule="exact"/>
        <w:ind w:firstLine="640" w:firstLineChars="200"/>
        <w:jc w:val="both"/>
        <w:textAlignment w:val="auto"/>
        <w:outlineLvl w:val="1"/>
        <w:rPr>
          <w:rFonts w:hint="default" w:ascii="Times New Roman" w:hAnsi="Times New Roman" w:eastAsia="黑体" w:cs="Times New Roman"/>
          <w:color w:val="000000" w:themeColor="text1"/>
          <w:spacing w:val="0"/>
          <w:kern w:val="2"/>
          <w:sz w:val="32"/>
          <w:szCs w:val="24"/>
          <w14:textFill>
            <w14:solidFill>
              <w14:schemeClr w14:val="tx1"/>
            </w14:solidFill>
          </w14:textFill>
        </w:rPr>
      </w:pPr>
      <w:bookmarkStart w:id="11" w:name="_Toc32215"/>
      <w:r>
        <w:rPr>
          <w:rFonts w:hint="default" w:ascii="Times New Roman" w:hAnsi="Times New Roman" w:eastAsia="黑体" w:cs="Times New Roman"/>
          <w:color w:val="000000" w:themeColor="text1"/>
          <w:spacing w:val="0"/>
          <w:kern w:val="2"/>
          <w:sz w:val="32"/>
          <w:szCs w:val="24"/>
          <w14:textFill>
            <w14:solidFill>
              <w14:schemeClr w14:val="tx1"/>
            </w14:solidFill>
          </w14:textFill>
        </w:rPr>
        <w:t>七、财政拨款</w:t>
      </w:r>
      <w:r>
        <w:rPr>
          <w:rFonts w:hint="default" w:ascii="Times New Roman" w:hAnsi="Times New Roman" w:eastAsia="黑体" w:cs="Times New Roman"/>
          <w:b/>
          <w:color w:val="000000" w:themeColor="text1"/>
          <w:spacing w:val="0"/>
          <w:kern w:val="2"/>
          <w:sz w:val="32"/>
          <w:szCs w:val="24"/>
          <w14:textFill>
            <w14:solidFill>
              <w14:schemeClr w14:val="tx1"/>
            </w14:solidFill>
          </w14:textFill>
        </w:rPr>
        <w:t>“</w:t>
      </w:r>
      <w:r>
        <w:rPr>
          <w:rFonts w:hint="default" w:ascii="Times New Roman" w:hAnsi="Times New Roman" w:eastAsia="黑体" w:cs="Times New Roman"/>
          <w:color w:val="000000" w:themeColor="text1"/>
          <w:spacing w:val="0"/>
          <w:kern w:val="2"/>
          <w:sz w:val="32"/>
          <w:szCs w:val="24"/>
          <w14:textFill>
            <w14:solidFill>
              <w14:schemeClr w14:val="tx1"/>
            </w14:solidFill>
          </w14:textFill>
        </w:rPr>
        <w:t>三公”经费支出决算情况说明</w:t>
      </w:r>
      <w:bookmarkEnd w:id="11"/>
    </w:p>
    <w:p w14:paraId="14E0D2AC">
      <w:pPr>
        <w:keepNext w:val="0"/>
        <w:keepLines w:val="0"/>
        <w:pageBreakBefore w:val="0"/>
        <w:widowControl w:val="0"/>
        <w:kinsoku/>
        <w:wordWrap/>
        <w:overflowPunct w:val="0"/>
        <w:topLinePunct w:val="0"/>
        <w:bidi w:val="0"/>
        <w:adjustRightInd w:val="0"/>
        <w:snapToGrid w:val="0"/>
        <w:spacing w:beforeLines="0" w:afterLines="0" w:line="600" w:lineRule="exact"/>
        <w:ind w:firstLine="640" w:firstLineChars="200"/>
        <w:jc w:val="both"/>
        <w:textAlignment w:val="auto"/>
        <w:rPr>
          <w:rFonts w:hint="default" w:ascii="Times New Roman" w:hAnsi="Times New Roman" w:eastAsia="楷体_GB2312" w:cs="Times New Roman"/>
          <w:color w:val="000000" w:themeColor="text1"/>
          <w:spacing w:val="0"/>
          <w:sz w:val="32"/>
          <w:szCs w:val="24"/>
          <w14:textFill>
            <w14:solidFill>
              <w14:schemeClr w14:val="tx1"/>
            </w14:solidFill>
          </w14:textFill>
        </w:rPr>
      </w:pPr>
      <w:r>
        <w:rPr>
          <w:rFonts w:hint="default" w:ascii="Times New Roman" w:hAnsi="Times New Roman" w:eastAsia="楷体_GB2312" w:cs="Times New Roman"/>
          <w:color w:val="000000" w:themeColor="text1"/>
          <w:spacing w:val="0"/>
          <w:sz w:val="32"/>
          <w:szCs w:val="24"/>
          <w14:textFill>
            <w14:solidFill>
              <w14:schemeClr w14:val="tx1"/>
            </w14:solidFill>
          </w14:textFill>
        </w:rPr>
        <w:t>（一）“三公”经费财政拨款支出决算总体情况说明</w:t>
      </w:r>
    </w:p>
    <w:p w14:paraId="27DD6F4B">
      <w:pPr>
        <w:keepNext w:val="0"/>
        <w:keepLines w:val="0"/>
        <w:pageBreakBefore w:val="0"/>
        <w:widowControl w:val="0"/>
        <w:kinsoku/>
        <w:wordWrap/>
        <w:overflowPunct w:val="0"/>
        <w:topLinePunct w:val="0"/>
        <w:bidi w:val="0"/>
        <w:adjustRightInd w:val="0"/>
        <w:snapToGrid w:val="0"/>
        <w:spacing w:beforeLines="0" w:afterLines="0" w:line="600" w:lineRule="exact"/>
        <w:ind w:firstLine="640" w:firstLineChars="200"/>
        <w:jc w:val="both"/>
        <w:textAlignment w:val="auto"/>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2023年度“三公”经费财政拨款支出预算为0.6万元，支出决算为0.6万元，完成预算的100%；较上年减少0.2万元，下降25%。决算数小于预算数的主要原因是</w:t>
      </w:r>
      <w:r>
        <w:rPr>
          <w:rFonts w:hint="default" w:ascii="Times New Roman" w:hAnsi="Times New Roman" w:eastAsia="仿宋" w:cs="Times New Roman"/>
          <w:color w:val="000000" w:themeColor="text1"/>
          <w:spacing w:val="0"/>
          <w:sz w:val="32"/>
          <w:szCs w:val="32"/>
          <w14:textFill>
            <w14:solidFill>
              <w14:schemeClr w14:val="tx1"/>
            </w14:solidFill>
          </w14:textFill>
        </w:rPr>
        <w:t>严格控制三公经费支出</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w:t>
      </w:r>
    </w:p>
    <w:p w14:paraId="1B2C225E">
      <w:pPr>
        <w:keepNext w:val="0"/>
        <w:keepLines w:val="0"/>
        <w:pageBreakBefore w:val="0"/>
        <w:widowControl w:val="0"/>
        <w:kinsoku/>
        <w:wordWrap/>
        <w:overflowPunct w:val="0"/>
        <w:topLinePunct w:val="0"/>
        <w:bidi w:val="0"/>
        <w:adjustRightInd w:val="0"/>
        <w:snapToGrid w:val="0"/>
        <w:spacing w:beforeLines="0" w:afterLines="0" w:line="600" w:lineRule="exact"/>
        <w:ind w:firstLine="640" w:firstLineChars="200"/>
        <w:jc w:val="both"/>
        <w:textAlignment w:val="auto"/>
        <w:rPr>
          <w:rFonts w:hint="default" w:ascii="Times New Roman" w:hAnsi="Times New Roman" w:eastAsia="楷体_GB2312" w:cs="Times New Roman"/>
          <w:color w:val="000000" w:themeColor="text1"/>
          <w:spacing w:val="0"/>
          <w:sz w:val="32"/>
          <w:szCs w:val="24"/>
          <w14:textFill>
            <w14:solidFill>
              <w14:schemeClr w14:val="tx1"/>
            </w14:solidFill>
          </w14:textFill>
        </w:rPr>
      </w:pPr>
      <w:r>
        <w:rPr>
          <w:rFonts w:hint="default" w:ascii="Times New Roman" w:hAnsi="Times New Roman" w:eastAsia="楷体_GB2312" w:cs="Times New Roman"/>
          <w:color w:val="000000" w:themeColor="text1"/>
          <w:spacing w:val="0"/>
          <w:sz w:val="32"/>
          <w:szCs w:val="24"/>
          <w14:textFill>
            <w14:solidFill>
              <w14:schemeClr w14:val="tx1"/>
            </w14:solidFill>
          </w14:textFill>
        </w:rPr>
        <w:t>（二）“三公”经费财政拨款支出决算具体情况说明</w:t>
      </w:r>
    </w:p>
    <w:p w14:paraId="49465F59">
      <w:pPr>
        <w:keepNext w:val="0"/>
        <w:keepLines w:val="0"/>
        <w:pageBreakBefore w:val="0"/>
        <w:widowControl w:val="0"/>
        <w:kinsoku/>
        <w:wordWrap/>
        <w:overflowPunct w:val="0"/>
        <w:topLinePunct w:val="0"/>
        <w:bidi w:val="0"/>
        <w:adjustRightInd w:val="0"/>
        <w:snapToGrid w:val="0"/>
        <w:spacing w:beforeLines="0" w:afterLines="0" w:line="600" w:lineRule="exact"/>
        <w:ind w:firstLine="640" w:firstLineChars="200"/>
        <w:jc w:val="both"/>
        <w:textAlignment w:val="auto"/>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2023年度“三公”经费财政拨款支出决算中，因公出国（境）费支出决算0万元，占0%；公务用车购置及运行维护费支出决算0万元，占0%；公务接待费支出决算0.6万元，占100%。具体情况如下：</w:t>
      </w:r>
    </w:p>
    <w:p w14:paraId="36276CD3">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ict>
          <v:shape id="Object 10" o:spid="_x0000_s1032" o:spt="75" type="#_x0000_t75" style="position:absolute;left:0pt;margin-left:91.3pt;margin-top:22.15pt;height:163pt;width:246.8pt;z-index:251665408;mso-width-relative:page;mso-height-relative:page;" o:ole="t" filled="f" o:preferrelative="t" stroked="f" coordsize="21600,21600">
            <v:path/>
            <v:fill on="f" focussize="0,0"/>
            <v:stroke on="f"/>
            <v:imagedata r:id="rId25" o:title=""/>
            <o:lock v:ext="edit" aspectratio="t"/>
          </v:shape>
          <o:OLEObject Type="Embed" ProgID="Excel.Chart.8" ShapeID="Object 10" DrawAspect="Content" ObjectID="_1468075731" r:id="rId24">
            <o:LockedField>false</o:LockedField>
          </o:OLEObject>
        </w:pict>
      </w:r>
    </w:p>
    <w:p w14:paraId="09AA9E92">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p>
    <w:p w14:paraId="6B57AF49">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p>
    <w:p w14:paraId="2139B3D5">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center"/>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4CF11F3F">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center"/>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2BE8E39E">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center"/>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0A2B7A9C">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center"/>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423AC82F">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center"/>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（图7：“三公”经费财政拨款支出结构）</w:t>
      </w:r>
    </w:p>
    <w:p w14:paraId="73C736DD">
      <w:pPr>
        <w:keepNext w:val="0"/>
        <w:keepLines w:val="0"/>
        <w:pageBreakBefore w:val="0"/>
        <w:widowControl w:val="0"/>
        <w:kinsoku/>
        <w:wordWrap/>
        <w:overflowPunct w:val="0"/>
        <w:topLinePunct w:val="0"/>
        <w:bidi w:val="0"/>
        <w:adjustRightInd w:val="0"/>
        <w:snapToGrid w:val="0"/>
        <w:spacing w:beforeLines="0" w:afterLines="0" w:line="576" w:lineRule="exact"/>
        <w:ind w:firstLine="643" w:firstLineChars="200"/>
        <w:jc w:val="both"/>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t>1.因公出国（境）经费</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支出0万元，年初未安排预算。</w:t>
      </w:r>
    </w:p>
    <w:p w14:paraId="533CB2EA">
      <w:pPr>
        <w:keepNext w:val="0"/>
        <w:keepLines w:val="0"/>
        <w:pageBreakBefore w:val="0"/>
        <w:widowControl w:val="0"/>
        <w:kinsoku/>
        <w:wordWrap/>
        <w:overflowPunct w:val="0"/>
        <w:topLinePunct w:val="0"/>
        <w:bidi w:val="0"/>
        <w:adjustRightInd w:val="0"/>
        <w:snapToGrid w:val="0"/>
        <w:spacing w:beforeLines="0" w:afterLines="0" w:line="576" w:lineRule="exact"/>
        <w:ind w:firstLine="643" w:firstLineChars="200"/>
        <w:jc w:val="both"/>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t>2.公务用车购置及运行维护费</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预算为0万元</w:t>
      </w:r>
      <w:r>
        <w:rPr>
          <w:rFonts w:hint="eastAsia" w:ascii="Times New Roman" w:hAnsi="Times New Roman" w:eastAsia="仿宋_GB2312" w:cs="Times New Roman"/>
          <w:color w:val="000000" w:themeColor="text1"/>
          <w:spacing w:val="0"/>
          <w:kern w:val="2"/>
          <w:sz w:val="32"/>
          <w:szCs w:val="24"/>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支出决算为0万元，完成预算的0%。公务用车购置及运行维护费支出决算比2022年度持平。</w:t>
      </w:r>
    </w:p>
    <w:p w14:paraId="256EBCFF">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其中：</w:t>
      </w:r>
      <w:r>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t>公务用车购置费</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支出0万元。全年按规定更新购置公务用车0辆，其中：轿车0辆、金额0万元，越野车0辆、金额0万元，小型客车0辆、金额0万元，中型客车和大型客车0辆、金额0万元，其他车型0辆、金额0万元。截至2023年12月31日，本部门共有公务用车0辆，其中：轿车0辆、越野车0辆、小型客车0辆、中型客车和大型客车0辆、其他车型0辆。</w:t>
      </w:r>
    </w:p>
    <w:p w14:paraId="6DFEB9DC">
      <w:pPr>
        <w:keepNext w:val="0"/>
        <w:keepLines w:val="0"/>
        <w:pageBreakBefore w:val="0"/>
        <w:widowControl w:val="0"/>
        <w:kinsoku/>
        <w:wordWrap/>
        <w:overflowPunct w:val="0"/>
        <w:topLinePunct w:val="0"/>
        <w:bidi w:val="0"/>
        <w:adjustRightInd w:val="0"/>
        <w:snapToGrid w:val="0"/>
        <w:spacing w:beforeLines="0" w:afterLines="0" w:line="576" w:lineRule="exact"/>
        <w:ind w:firstLine="643"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t>公务用车运行维护费</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支出0万元。</w:t>
      </w:r>
    </w:p>
    <w:p w14:paraId="332B81E2">
      <w:pPr>
        <w:keepNext w:val="0"/>
        <w:keepLines w:val="0"/>
        <w:pageBreakBefore w:val="0"/>
        <w:widowControl w:val="0"/>
        <w:numPr>
          <w:ilvl w:val="0"/>
          <w:numId w:val="0"/>
        </w:numPr>
        <w:kinsoku/>
        <w:wordWrap/>
        <w:overflowPunct w:val="0"/>
        <w:topLinePunct w:val="0"/>
        <w:bidi w:val="0"/>
        <w:adjustRightInd w:val="0"/>
        <w:snapToGrid w:val="0"/>
        <w:spacing w:beforeLines="0" w:afterLines="0" w:line="576" w:lineRule="exact"/>
        <w:ind w:firstLine="643" w:firstLineChars="200"/>
        <w:jc w:val="both"/>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24"/>
          <w:lang w:val="en-US" w:eastAsia="zh-CN"/>
          <w14:textFill>
            <w14:solidFill>
              <w14:schemeClr w14:val="tx1"/>
            </w14:solidFill>
          </w14:textFill>
        </w:rPr>
        <w:t>3.</w:t>
      </w:r>
      <w:r>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t>公务接待费</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预算为0.6万元，支出决算为0.6万元，完成预算的100%。公务接待费支出决算比2022年度减少0.2万元，下降25%。主要原因是严格控制三公经费支出。其中：</w:t>
      </w:r>
    </w:p>
    <w:p w14:paraId="0B40FB99">
      <w:pPr>
        <w:keepNext w:val="0"/>
        <w:keepLines w:val="0"/>
        <w:pageBreakBefore w:val="0"/>
        <w:widowControl w:val="0"/>
        <w:kinsoku/>
        <w:wordWrap/>
        <w:overflowPunct w:val="0"/>
        <w:topLinePunct w:val="0"/>
        <w:bidi w:val="0"/>
        <w:adjustRightInd w:val="0"/>
        <w:snapToGrid w:val="0"/>
        <w:spacing w:beforeLines="0" w:afterLines="0" w:line="576" w:lineRule="exact"/>
        <w:ind w:firstLine="643" w:firstLineChars="200"/>
        <w:jc w:val="both"/>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t>国内公务接待</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支出0.6万元。主要用于</w:t>
      </w:r>
      <w:r>
        <w:rPr>
          <w:rFonts w:hint="default" w:ascii="Times New Roman" w:hAnsi="Times New Roman" w:eastAsia="仿宋_GB2312" w:cs="Times New Roman"/>
          <w:color w:val="000000" w:themeColor="text1"/>
          <w:spacing w:val="0"/>
          <w:sz w:val="32"/>
          <w:szCs w:val="32"/>
          <w14:textFill>
            <w14:solidFill>
              <w14:schemeClr w14:val="tx1"/>
            </w14:solidFill>
          </w14:textFill>
        </w:rPr>
        <w:t>执行公务、开展业务活动开支的交通费、住宿费、用餐费等</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。国内公务接待2批次，104人次，共计支出0.6万元，具体内容包括：省供销社一行人来昭调研、全省来昭开展监事会会议。</w:t>
      </w:r>
    </w:p>
    <w:p w14:paraId="5203BE4F">
      <w:pPr>
        <w:pStyle w:val="6"/>
        <w:keepNext w:val="0"/>
        <w:keepLines w:val="0"/>
        <w:pageBreakBefore w:val="0"/>
        <w:widowControl w:val="0"/>
        <w:kinsoku/>
        <w:wordWrap/>
        <w:overflowPunct w:val="0"/>
        <w:topLinePunct w:val="0"/>
        <w:bidi w:val="0"/>
        <w:adjustRightInd w:val="0"/>
        <w:snapToGrid w:val="0"/>
        <w:spacing w:beforeLines="0" w:afterLines="0" w:line="576" w:lineRule="exact"/>
        <w:ind w:firstLine="643" w:firstLineChars="200"/>
        <w:jc w:val="both"/>
        <w:rPr>
          <w:rFonts w:hint="default" w:ascii="Times New Roman" w:hAnsi="Times New Roman" w:eastAsia="黑体" w:cs="Times New Roman"/>
          <w:color w:val="000000" w:themeColor="text1"/>
          <w:spacing w:val="0"/>
          <w:sz w:val="32"/>
          <w:szCs w:val="24"/>
          <w14:textFill>
            <w14:solidFill>
              <w14:schemeClr w14:val="tx1"/>
            </w14:solidFill>
          </w14:textFill>
        </w:rPr>
      </w:pPr>
      <w:r>
        <w:rPr>
          <w:rFonts w:hint="default" w:ascii="Times New Roman" w:hAnsi="Times New Roman" w:cs="Times New Roman"/>
          <w:b/>
          <w:color w:val="000000" w:themeColor="text1"/>
          <w:spacing w:val="0"/>
          <w:kern w:val="2"/>
          <w:sz w:val="32"/>
          <w:szCs w:val="24"/>
          <w14:textFill>
            <w14:solidFill>
              <w14:schemeClr w14:val="tx1"/>
            </w14:solidFill>
          </w14:textFill>
        </w:rPr>
        <w:t>外事接待</w:t>
      </w:r>
      <w:r>
        <w:rPr>
          <w:rFonts w:hint="default" w:ascii="Times New Roman" w:hAnsi="Times New Roman" w:cs="Times New Roman"/>
          <w:color w:val="000000" w:themeColor="text1"/>
          <w:spacing w:val="0"/>
          <w:kern w:val="2"/>
          <w:sz w:val="32"/>
          <w:szCs w:val="24"/>
          <w14:textFill>
            <w14:solidFill>
              <w14:schemeClr w14:val="tx1"/>
            </w14:solidFill>
          </w14:textFill>
        </w:rPr>
        <w:t>支出0万元，外事接待0批次，0人，共计支出0万元。</w:t>
      </w:r>
    </w:p>
    <w:p w14:paraId="6DC4C402">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outlineLvl w:val="1"/>
        <w:rPr>
          <w:rFonts w:hint="default" w:ascii="Times New Roman" w:hAnsi="Times New Roman" w:eastAsia="黑体" w:cs="Times New Roman"/>
          <w:b/>
          <w:color w:val="000000" w:themeColor="text1"/>
          <w:spacing w:val="0"/>
          <w:kern w:val="2"/>
          <w:sz w:val="32"/>
          <w:szCs w:val="24"/>
          <w14:textFill>
            <w14:solidFill>
              <w14:schemeClr w14:val="tx1"/>
            </w14:solidFill>
          </w14:textFill>
        </w:rPr>
      </w:pPr>
      <w:bookmarkStart w:id="12" w:name="_Toc11911"/>
      <w:r>
        <w:rPr>
          <w:rFonts w:hint="default" w:ascii="Times New Roman" w:hAnsi="Times New Roman" w:eastAsia="黑体" w:cs="Times New Roman"/>
          <w:color w:val="000000" w:themeColor="text1"/>
          <w:spacing w:val="0"/>
          <w:kern w:val="2"/>
          <w:sz w:val="32"/>
          <w:szCs w:val="24"/>
          <w14:textFill>
            <w14:solidFill>
              <w14:schemeClr w14:val="tx1"/>
            </w14:solidFill>
          </w14:textFill>
        </w:rPr>
        <w:t>八、政府性基金预算支出决算情况说明</w:t>
      </w:r>
      <w:bookmarkEnd w:id="12"/>
    </w:p>
    <w:p w14:paraId="3606D263">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2023年度政府性基金预算拨款支出0万元。</w:t>
      </w:r>
    </w:p>
    <w:p w14:paraId="56A11A18">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outlineLvl w:val="1"/>
        <w:rPr>
          <w:rFonts w:hint="default" w:ascii="Times New Roman" w:hAnsi="Times New Roman" w:eastAsia="黑体" w:cs="Times New Roman"/>
          <w:color w:val="000000" w:themeColor="text1"/>
          <w:spacing w:val="0"/>
          <w:kern w:val="2"/>
          <w:sz w:val="32"/>
          <w:szCs w:val="24"/>
          <w14:textFill>
            <w14:solidFill>
              <w14:schemeClr w14:val="tx1"/>
            </w14:solidFill>
          </w14:textFill>
        </w:rPr>
      </w:pPr>
      <w:bookmarkStart w:id="13" w:name="_Toc9848"/>
      <w:r>
        <w:rPr>
          <w:rFonts w:hint="default" w:ascii="Times New Roman" w:hAnsi="Times New Roman" w:eastAsia="黑体" w:cs="Times New Roman"/>
          <w:color w:val="000000" w:themeColor="text1"/>
          <w:spacing w:val="0"/>
          <w:kern w:val="2"/>
          <w:sz w:val="32"/>
          <w:szCs w:val="24"/>
          <w14:textFill>
            <w14:solidFill>
              <w14:schemeClr w14:val="tx1"/>
            </w14:solidFill>
          </w14:textFill>
        </w:rPr>
        <w:t>九、国有资本经营预算支出决算情况说明</w:t>
      </w:r>
      <w:bookmarkEnd w:id="13"/>
    </w:p>
    <w:p w14:paraId="1AF83627">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2023年度国有资本经营预算拨款支出0万元。</w:t>
      </w:r>
    </w:p>
    <w:p w14:paraId="12803E8B">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outlineLvl w:val="1"/>
        <w:rPr>
          <w:rFonts w:hint="default" w:ascii="Times New Roman" w:hAnsi="Times New Roman" w:eastAsia="黑体" w:cs="Times New Roman"/>
          <w:b/>
          <w:color w:val="000000" w:themeColor="text1"/>
          <w:spacing w:val="0"/>
          <w:kern w:val="2"/>
          <w:sz w:val="32"/>
          <w:szCs w:val="24"/>
          <w14:textFill>
            <w14:solidFill>
              <w14:schemeClr w14:val="tx1"/>
            </w14:solidFill>
          </w14:textFill>
        </w:rPr>
      </w:pPr>
      <w:bookmarkStart w:id="14" w:name="_Toc7700"/>
      <w:r>
        <w:rPr>
          <w:rFonts w:hint="default" w:ascii="Times New Roman" w:hAnsi="Times New Roman" w:eastAsia="黑体" w:cs="Times New Roman"/>
          <w:color w:val="000000" w:themeColor="text1"/>
          <w:spacing w:val="0"/>
          <w:kern w:val="2"/>
          <w:sz w:val="32"/>
          <w:szCs w:val="24"/>
          <w14:textFill>
            <w14:solidFill>
              <w14:schemeClr w14:val="tx1"/>
            </w14:solidFill>
          </w14:textFill>
        </w:rPr>
        <w:t>十</w:t>
      </w:r>
      <w:r>
        <w:rPr>
          <w:rFonts w:hint="default" w:ascii="Times New Roman" w:hAnsi="Times New Roman" w:eastAsia="黑体" w:cs="Times New Roman"/>
          <w:b/>
          <w:color w:val="000000" w:themeColor="text1"/>
          <w:spacing w:val="0"/>
          <w:kern w:val="2"/>
          <w:sz w:val="32"/>
          <w:szCs w:val="24"/>
          <w14:textFill>
            <w14:solidFill>
              <w14:schemeClr w14:val="tx1"/>
            </w14:solidFill>
          </w14:textFill>
        </w:rPr>
        <w:t>、</w:t>
      </w:r>
      <w:r>
        <w:rPr>
          <w:rFonts w:hint="default" w:ascii="Times New Roman" w:hAnsi="Times New Roman" w:eastAsia="黑体" w:cs="Times New Roman"/>
          <w:color w:val="000000" w:themeColor="text1"/>
          <w:spacing w:val="0"/>
          <w:kern w:val="2"/>
          <w:sz w:val="32"/>
          <w:szCs w:val="24"/>
          <w14:textFill>
            <w14:solidFill>
              <w14:schemeClr w14:val="tx1"/>
            </w14:solidFill>
          </w14:textFill>
        </w:rPr>
        <w:t>其他重要事项的情况说明</w:t>
      </w:r>
      <w:bookmarkEnd w:id="14"/>
    </w:p>
    <w:p w14:paraId="05DED7DA">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楷体_GB2312" w:cs="Times New Roman"/>
          <w:color w:val="000000" w:themeColor="text1"/>
          <w:spacing w:val="0"/>
          <w:sz w:val="32"/>
          <w:szCs w:val="24"/>
          <w14:textFill>
            <w14:solidFill>
              <w14:schemeClr w14:val="tx1"/>
            </w14:solidFill>
          </w14:textFill>
        </w:rPr>
      </w:pPr>
      <w:r>
        <w:rPr>
          <w:rFonts w:hint="default" w:ascii="Times New Roman" w:hAnsi="Times New Roman" w:eastAsia="楷体_GB2312" w:cs="Times New Roman"/>
          <w:color w:val="000000" w:themeColor="text1"/>
          <w:spacing w:val="0"/>
          <w:sz w:val="32"/>
          <w:szCs w:val="24"/>
          <w14:textFill>
            <w14:solidFill>
              <w14:schemeClr w14:val="tx1"/>
            </w14:solidFill>
          </w14:textFill>
        </w:rPr>
        <w:t>（一）机关运行经费支出情况</w:t>
      </w:r>
    </w:p>
    <w:p w14:paraId="047E2E9B">
      <w:pPr>
        <w:keepNext w:val="0"/>
        <w:keepLines w:val="0"/>
        <w:pageBreakBefore w:val="0"/>
        <w:widowControl w:val="0"/>
        <w:kinsoku/>
        <w:wordWrap/>
        <w:topLinePunct w:val="0"/>
        <w:bidi w:val="0"/>
        <w:adjustRightInd w:val="0"/>
        <w:snapToGrid w:val="0"/>
        <w:spacing w:beforeLines="0" w:afterLines="0" w:line="600" w:lineRule="exact"/>
        <w:ind w:firstLine="640" w:firstLineChars="200"/>
        <w:rPr>
          <w:rFonts w:hint="default" w:ascii="Times New Roman" w:hAnsi="Times New Roman" w:eastAsia="仿宋_GB2312" w:cs="Times New Roman"/>
          <w:i/>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2023年度，区供销联社机关运行经费支出41.04万元，比2022年度减少1.49万元，下降3.5%。主要单位节约开支。</w:t>
      </w:r>
    </w:p>
    <w:p w14:paraId="0C739F5B">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楷体_GB2312" w:cs="Times New Roman"/>
          <w:color w:val="000000" w:themeColor="text1"/>
          <w:spacing w:val="0"/>
          <w:sz w:val="32"/>
          <w:szCs w:val="24"/>
          <w14:textFill>
            <w14:solidFill>
              <w14:schemeClr w14:val="tx1"/>
            </w14:solidFill>
          </w14:textFill>
        </w:rPr>
      </w:pPr>
      <w:r>
        <w:rPr>
          <w:rFonts w:hint="default" w:ascii="Times New Roman" w:hAnsi="Times New Roman" w:eastAsia="楷体_GB2312" w:cs="Times New Roman"/>
          <w:color w:val="000000" w:themeColor="text1"/>
          <w:spacing w:val="0"/>
          <w:sz w:val="32"/>
          <w:szCs w:val="24"/>
          <w14:textFill>
            <w14:solidFill>
              <w14:schemeClr w14:val="tx1"/>
            </w14:solidFill>
          </w14:textFill>
        </w:rPr>
        <w:t>（二）政府采购支出情况</w:t>
      </w:r>
    </w:p>
    <w:p w14:paraId="743A67B4">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2023年，区供销联社未发生政府采购支出。</w:t>
      </w:r>
    </w:p>
    <w:p w14:paraId="03444C1B">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楷体_GB2312" w:cs="Times New Roman"/>
          <w:color w:val="000000" w:themeColor="text1"/>
          <w:spacing w:val="0"/>
          <w:sz w:val="32"/>
          <w:szCs w:val="24"/>
          <w:highlight w:val="none"/>
          <w14:textFill>
            <w14:solidFill>
              <w14:schemeClr w14:val="tx1"/>
            </w14:solidFill>
          </w14:textFill>
        </w:rPr>
      </w:pPr>
      <w:r>
        <w:rPr>
          <w:rFonts w:hint="default" w:ascii="Times New Roman" w:hAnsi="Times New Roman" w:eastAsia="楷体_GB2312" w:cs="Times New Roman"/>
          <w:color w:val="000000" w:themeColor="text1"/>
          <w:spacing w:val="0"/>
          <w:sz w:val="32"/>
          <w:szCs w:val="24"/>
          <w:highlight w:val="none"/>
          <w14:textFill>
            <w14:solidFill>
              <w14:schemeClr w14:val="tx1"/>
            </w14:solidFill>
          </w14:textFill>
        </w:rPr>
        <w:t>（三）国有资产占有使用情况</w:t>
      </w:r>
    </w:p>
    <w:p w14:paraId="16CF9FD7">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b/>
          <w:color w:val="000000" w:themeColor="text1"/>
          <w:spacing w:val="0"/>
          <w:kern w:val="2"/>
          <w:sz w:val="32"/>
          <w:szCs w:val="24"/>
          <w:highlight w:val="yellow"/>
          <w:lang w:val="en-US" w:eastAsia="zh-CN"/>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截至2023年12月31日，区供销联社共有车辆</w:t>
      </w:r>
      <w:r>
        <w:rPr>
          <w:rFonts w:hint="default" w:ascii="Times New Roman" w:hAnsi="Times New Roman" w:eastAsia="仿宋_GB2312" w:cs="Times New Roman"/>
          <w:color w:val="000000" w:themeColor="text1"/>
          <w:spacing w:val="0"/>
          <w:kern w:val="2"/>
          <w:sz w:val="32"/>
          <w:szCs w:val="24"/>
          <w:lang w:val="en-US" w:eastAsia="zh-CN"/>
          <w14:textFill>
            <w14:solidFill>
              <w14:schemeClr w14:val="tx1"/>
            </w14:solidFill>
          </w14:textFill>
        </w:rPr>
        <w:t>0</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辆，其中：副部（省）级及以上领导用车0辆、主要负责人用车0辆、机要通信用车</w:t>
      </w:r>
      <w:r>
        <w:rPr>
          <w:rFonts w:hint="default" w:ascii="Times New Roman" w:hAnsi="Times New Roman" w:eastAsia="仿宋_GB2312" w:cs="Times New Roman"/>
          <w:color w:val="000000" w:themeColor="text1"/>
          <w:spacing w:val="0"/>
          <w:kern w:val="2"/>
          <w:sz w:val="32"/>
          <w:szCs w:val="24"/>
          <w:lang w:val="en-US" w:eastAsia="zh-CN"/>
          <w14:textFill>
            <w14:solidFill>
              <w14:schemeClr w14:val="tx1"/>
            </w14:solidFill>
          </w14:textFill>
        </w:rPr>
        <w:t>0</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辆、应急保障用车</w:t>
      </w:r>
      <w:r>
        <w:rPr>
          <w:rFonts w:hint="default" w:ascii="Times New Roman" w:hAnsi="Times New Roman" w:eastAsia="仿宋_GB2312" w:cs="Times New Roman"/>
          <w:color w:val="000000" w:themeColor="text1"/>
          <w:spacing w:val="0"/>
          <w:kern w:val="2"/>
          <w:sz w:val="32"/>
          <w:szCs w:val="24"/>
          <w:lang w:val="en-US" w:eastAsia="zh-CN"/>
          <w14:textFill>
            <w14:solidFill>
              <w14:schemeClr w14:val="tx1"/>
            </w14:solidFill>
          </w14:textFill>
        </w:rPr>
        <w:t>0</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辆、执法执勤用车0辆、特种专业技术用车0辆、离退休干部服务用车0辆、其他用车0辆。</w:t>
      </w:r>
    </w:p>
    <w:p w14:paraId="365BBB8B">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楷体_GB2312" w:cs="Times New Roman"/>
          <w:color w:val="000000" w:themeColor="text1"/>
          <w:spacing w:val="0"/>
          <w:sz w:val="32"/>
          <w:szCs w:val="24"/>
          <w:highlight w:val="none"/>
          <w14:textFill>
            <w14:solidFill>
              <w14:schemeClr w14:val="tx1"/>
            </w14:solidFill>
          </w14:textFill>
        </w:rPr>
      </w:pPr>
      <w:r>
        <w:rPr>
          <w:rFonts w:hint="default" w:ascii="Times New Roman" w:hAnsi="Times New Roman" w:eastAsia="楷体_GB2312" w:cs="Times New Roman"/>
          <w:color w:val="000000" w:themeColor="text1"/>
          <w:spacing w:val="0"/>
          <w:sz w:val="32"/>
          <w:szCs w:val="24"/>
          <w:highlight w:val="none"/>
          <w14:textFill>
            <w14:solidFill>
              <w14:schemeClr w14:val="tx1"/>
            </w14:solidFill>
          </w14:textFill>
        </w:rPr>
        <w:t>（四）预算绩效管理情况。</w:t>
      </w:r>
    </w:p>
    <w:p w14:paraId="222ABFC4">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根据预算绩效管理要求，本部门在2023年度预算编制阶段，组织对</w:t>
      </w:r>
      <w:r>
        <w:rPr>
          <w:rFonts w:hint="default" w:ascii="Times New Roman" w:hAnsi="Times New Roman" w:eastAsia="仿宋_GB2312" w:cs="Times New Roman"/>
          <w:color w:val="000000" w:themeColor="text1"/>
          <w:spacing w:val="0"/>
          <w:sz w:val="32"/>
          <w:szCs w:val="32"/>
          <w14:textFill>
            <w14:solidFill>
              <w14:schemeClr w14:val="tx1"/>
            </w14:solidFill>
          </w14:textFill>
        </w:rPr>
        <w:t>2023年省级综合改革及发展专项资金、废弃农膜收购补贴项目、2023年中央财政农业经营主体能力提升资金、网络体系建设、招商引资、争取项目资金</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等6个项目开展了预算事前绩效评估，对6个项目编制了绩效目标，预算执行过程中，选取6个项目开展绩效监控。</w:t>
      </w:r>
    </w:p>
    <w:p w14:paraId="148359F0">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rPr>
          <w:rFonts w:hint="default" w:ascii="Times New Roman" w:hAnsi="Times New Roman" w:eastAsia="仿宋_GB2312" w:cs="Times New Roman"/>
          <w:color w:val="000000" w:themeColor="text1"/>
          <w:spacing w:val="0"/>
          <w:kern w:val="2"/>
          <w:sz w:val="32"/>
          <w:szCs w:val="24"/>
          <w:highlight w:val="yellow"/>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2023年度组织一般公共预算全面开展绩效自评，形成</w:t>
      </w:r>
      <w:r>
        <w:rPr>
          <w:rFonts w:hint="default" w:ascii="Times New Roman" w:hAnsi="Times New Roman" w:eastAsia="仿宋_GB2312" w:cs="Times New Roman"/>
          <w:color w:val="000000" w:themeColor="text1"/>
          <w:spacing w:val="0"/>
          <w:sz w:val="32"/>
          <w:szCs w:val="32"/>
          <w14:textFill>
            <w14:solidFill>
              <w14:schemeClr w14:val="tx1"/>
            </w14:solidFill>
          </w14:textFill>
        </w:rPr>
        <w:t>2023年部门整体支出绩效自评报告、东西部协作资金报告、2021年、2022年省级综合改革及发展专项资金项目支出绩效自评报告</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其中，2022年部门整体（含部门预算项目）绩效自评得分为99分，绩效自评综述：全年基本支出保证了部门的正常运行和日常工作正常开展，项目支出保障了重点工作的开展，绩效目标得到较好实现，支出规范合理，做到了按时间进度拨款，总体“量入为出”，无新增债务。</w:t>
      </w: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绩效自评报告详见附件（第四部分）。</w:t>
      </w:r>
    </w:p>
    <w:p w14:paraId="6365090B">
      <w:pPr>
        <w:pStyle w:val="6"/>
        <w:keepNext w:val="0"/>
        <w:keepLines w:val="0"/>
        <w:pageBreakBefore w:val="0"/>
        <w:widowControl w:val="0"/>
        <w:kinsoku/>
        <w:wordWrap/>
        <w:topLinePunct w:val="0"/>
        <w:bidi w:val="0"/>
        <w:adjustRightInd w:val="0"/>
        <w:snapToGrid w:val="0"/>
        <w:spacing w:before="72" w:afterLines="0"/>
        <w:rPr>
          <w:rFonts w:hint="default" w:ascii="Times New Roman" w:hAnsi="Times New Roman" w:cs="Times New Roman"/>
          <w:color w:val="000000" w:themeColor="text1"/>
          <w:spacing w:val="0"/>
          <w:sz w:val="30"/>
          <w:szCs w:val="24"/>
          <w:highlight w:val="yellow"/>
          <w14:textFill>
            <w14:solidFill>
              <w14:schemeClr w14:val="tx1"/>
            </w14:solidFill>
          </w14:textFill>
        </w:rPr>
        <w:sectPr>
          <w:pgSz w:w="11905" w:h="16838"/>
          <w:pgMar w:top="2098" w:right="1474" w:bottom="1984" w:left="1587" w:header="720" w:footer="1587" w:gutter="0"/>
          <w:lnNumType w:countBy="0" w:distance="360"/>
          <w:pgNumType w:fmt="decimal"/>
          <w:cols w:space="720" w:num="1"/>
          <w:rtlGutter w:val="0"/>
        </w:sectPr>
      </w:pPr>
    </w:p>
    <w:p w14:paraId="22AA2E8B">
      <w:pPr>
        <w:keepNext w:val="0"/>
        <w:keepLines w:val="0"/>
        <w:pageBreakBefore w:val="0"/>
        <w:widowControl w:val="0"/>
        <w:kinsoku/>
        <w:wordWrap/>
        <w:topLinePunct w:val="0"/>
        <w:bidi w:val="0"/>
        <w:adjustRightInd w:val="0"/>
        <w:snapToGrid w:val="0"/>
        <w:spacing w:beforeLines="0" w:afterLines="0" w:line="576" w:lineRule="exact"/>
        <w:jc w:val="both"/>
        <w:textAlignment w:val="auto"/>
        <w:outlineLvl w:val="0"/>
        <w:rPr>
          <w:rFonts w:hint="eastAsia" w:ascii="方正小标宋简体" w:hAnsi="方正小标宋简体" w:eastAsia="方正小标宋简体" w:cs="方正小标宋简体"/>
          <w:color w:val="000000" w:themeColor="text1"/>
          <w:spacing w:val="0"/>
          <w:kern w:val="2"/>
          <w:sz w:val="44"/>
          <w:szCs w:val="24"/>
          <w14:textFill>
            <w14:solidFill>
              <w14:schemeClr w14:val="tx1"/>
            </w14:solidFill>
          </w14:textFill>
        </w:rPr>
      </w:pPr>
      <w:bookmarkStart w:id="15" w:name="_Toc24742"/>
    </w:p>
    <w:p w14:paraId="504F214F">
      <w:pPr>
        <w:keepNext w:val="0"/>
        <w:keepLines w:val="0"/>
        <w:pageBreakBefore w:val="0"/>
        <w:widowControl w:val="0"/>
        <w:kinsoku/>
        <w:wordWrap/>
        <w:topLinePunct w:val="0"/>
        <w:bidi w:val="0"/>
        <w:adjustRightInd w:val="0"/>
        <w:snapToGrid w:val="0"/>
        <w:spacing w:beforeLines="0" w:afterLines="0" w:line="576" w:lineRule="exact"/>
        <w:jc w:val="center"/>
        <w:textAlignment w:val="auto"/>
        <w:outlineLvl w:val="0"/>
        <w:rPr>
          <w:rFonts w:hint="eastAsia" w:ascii="方正小标宋简体" w:hAnsi="方正小标宋简体" w:eastAsia="方正小标宋简体" w:cs="方正小标宋简体"/>
          <w:color w:val="000000" w:themeColor="text1"/>
          <w:spacing w:val="0"/>
          <w:kern w:val="44"/>
          <w:sz w:val="44"/>
          <w:szCs w:val="24"/>
          <w14:textFill>
            <w14:solidFill>
              <w14:schemeClr w14:val="tx1"/>
            </w14:solidFill>
          </w14:textFill>
        </w:rPr>
      </w:pPr>
      <w:r>
        <w:rPr>
          <w:rFonts w:hint="eastAsia" w:ascii="方正小标宋简体" w:hAnsi="方正小标宋简体" w:eastAsia="方正小标宋简体" w:cs="方正小标宋简体"/>
          <w:color w:val="000000" w:themeColor="text1"/>
          <w:spacing w:val="0"/>
          <w:kern w:val="2"/>
          <w:sz w:val="44"/>
          <w:szCs w:val="24"/>
          <w14:textFill>
            <w14:solidFill>
              <w14:schemeClr w14:val="tx1"/>
            </w14:solidFill>
          </w14:textFill>
        </w:rPr>
        <w:t>第三部分  名</w:t>
      </w:r>
      <w:r>
        <w:rPr>
          <w:rFonts w:hint="eastAsia" w:ascii="方正小标宋简体" w:hAnsi="方正小标宋简体" w:eastAsia="方正小标宋简体" w:cs="方正小标宋简体"/>
          <w:color w:val="000000" w:themeColor="text1"/>
          <w:spacing w:val="0"/>
          <w:kern w:val="44"/>
          <w:sz w:val="44"/>
          <w:szCs w:val="24"/>
          <w14:textFill>
            <w14:solidFill>
              <w14:schemeClr w14:val="tx1"/>
            </w14:solidFill>
          </w14:textFill>
        </w:rPr>
        <w:t>词解释</w:t>
      </w:r>
      <w:bookmarkEnd w:id="15"/>
    </w:p>
    <w:p w14:paraId="504B5085">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outlineLvl w:val="1"/>
        <w:rPr>
          <w:rFonts w:hint="default" w:ascii="Times New Roman" w:hAnsi="Times New Roman" w:eastAsia="黑体" w:cs="Times New Roman"/>
          <w:color w:val="000000" w:themeColor="text1"/>
          <w:spacing w:val="0"/>
          <w:sz w:val="32"/>
          <w:szCs w:val="24"/>
          <w14:textFill>
            <w14:solidFill>
              <w14:schemeClr w14:val="tx1"/>
            </w14:solidFill>
          </w14:textFill>
        </w:rPr>
      </w:pPr>
      <w:bookmarkStart w:id="16" w:name="_Toc1455"/>
    </w:p>
    <w:p w14:paraId="0AEF178D">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outlineLvl w:val="1"/>
        <w:rPr>
          <w:rFonts w:hint="default" w:ascii="Times New Roman" w:hAnsi="Times New Roman" w:eastAsia="仿宋_GB2312" w:cs="Times New Roman"/>
          <w:color w:val="000000" w:themeColor="text1"/>
          <w:spacing w:val="0"/>
          <w:sz w:val="32"/>
          <w:szCs w:val="24"/>
          <w14:textFill>
            <w14:solidFill>
              <w14:schemeClr w14:val="tx1"/>
            </w14:solidFill>
          </w14:textFill>
        </w:rPr>
      </w:pPr>
      <w:r>
        <w:rPr>
          <w:rFonts w:hint="default" w:ascii="Times New Roman" w:hAnsi="Times New Roman" w:eastAsia="黑体" w:cs="Times New Roman"/>
          <w:color w:val="000000" w:themeColor="text1"/>
          <w:spacing w:val="0"/>
          <w:sz w:val="32"/>
          <w:szCs w:val="24"/>
          <w14:textFill>
            <w14:solidFill>
              <w14:schemeClr w14:val="tx1"/>
            </w14:solidFill>
          </w14:textFill>
        </w:rPr>
        <w:t>一、财政拨款收入：</w:t>
      </w:r>
      <w:r>
        <w:rPr>
          <w:rFonts w:hint="default" w:ascii="Times New Roman" w:hAnsi="Times New Roman" w:eastAsia="仿宋_GB2312" w:cs="Times New Roman"/>
          <w:color w:val="000000" w:themeColor="text1"/>
          <w:spacing w:val="0"/>
          <w:sz w:val="32"/>
          <w:szCs w:val="24"/>
          <w14:textFill>
            <w14:solidFill>
              <w14:schemeClr w14:val="tx1"/>
            </w14:solidFill>
          </w14:textFill>
        </w:rPr>
        <w:t>指单位从同级财政部门取得的财政预算资金。</w:t>
      </w:r>
      <w:bookmarkEnd w:id="16"/>
    </w:p>
    <w:p w14:paraId="2A996117">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color w:val="000000" w:themeColor="text1"/>
          <w:spacing w:val="0"/>
          <w:sz w:val="32"/>
          <w:szCs w:val="24"/>
          <w14:textFill>
            <w14:solidFill>
              <w14:schemeClr w14:val="tx1"/>
            </w14:solidFill>
          </w14:textFill>
        </w:rPr>
      </w:pPr>
      <w:r>
        <w:rPr>
          <w:rFonts w:hint="default" w:ascii="Times New Roman" w:hAnsi="Times New Roman" w:eastAsia="黑体" w:cs="Times New Roman"/>
          <w:color w:val="000000" w:themeColor="text1"/>
          <w:spacing w:val="0"/>
          <w:sz w:val="32"/>
          <w:szCs w:val="24"/>
          <w14:textFill>
            <w14:solidFill>
              <w14:schemeClr w14:val="tx1"/>
            </w14:solidFill>
          </w14:textFill>
        </w:rPr>
        <w:t>二、事业收入：</w:t>
      </w:r>
      <w:r>
        <w:rPr>
          <w:rFonts w:hint="default" w:ascii="Times New Roman" w:hAnsi="Times New Roman" w:eastAsia="仿宋_GB2312" w:cs="Times New Roman"/>
          <w:color w:val="000000" w:themeColor="text1"/>
          <w:spacing w:val="0"/>
          <w:sz w:val="32"/>
          <w:szCs w:val="24"/>
          <w14:textFill>
            <w14:solidFill>
              <w14:schemeClr w14:val="tx1"/>
            </w14:solidFill>
          </w14:textFill>
        </w:rPr>
        <w:t>指事业单位开展专业业务活动及辅助活动取得的收入。</w:t>
      </w:r>
    </w:p>
    <w:p w14:paraId="6B20716C">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color w:val="000000" w:themeColor="text1"/>
          <w:spacing w:val="0"/>
          <w:sz w:val="32"/>
          <w:szCs w:val="24"/>
          <w14:textFill>
            <w14:solidFill>
              <w14:schemeClr w14:val="tx1"/>
            </w14:solidFill>
          </w14:textFill>
        </w:rPr>
      </w:pPr>
      <w:r>
        <w:rPr>
          <w:rFonts w:hint="default" w:ascii="Times New Roman" w:hAnsi="Times New Roman" w:eastAsia="黑体" w:cs="Times New Roman"/>
          <w:color w:val="000000" w:themeColor="text1"/>
          <w:spacing w:val="0"/>
          <w:sz w:val="32"/>
          <w:szCs w:val="24"/>
          <w14:textFill>
            <w14:solidFill>
              <w14:schemeClr w14:val="tx1"/>
            </w14:solidFill>
          </w14:textFill>
        </w:rPr>
        <w:t>三、经营收入：</w:t>
      </w:r>
      <w:r>
        <w:rPr>
          <w:rFonts w:hint="default" w:ascii="Times New Roman" w:hAnsi="Times New Roman" w:eastAsia="仿宋_GB2312" w:cs="Times New Roman"/>
          <w:color w:val="000000" w:themeColor="text1"/>
          <w:spacing w:val="0"/>
          <w:sz w:val="32"/>
          <w:szCs w:val="24"/>
          <w14:textFill>
            <w14:solidFill>
              <w14:schemeClr w14:val="tx1"/>
            </w14:solidFill>
          </w14:textFill>
        </w:rPr>
        <w:t>指事业单位在专业业务活动及其辅助活动之外开展非独立核算经营活动取得的收入。</w:t>
      </w:r>
    </w:p>
    <w:p w14:paraId="24AF308A">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outlineLvl w:val="1"/>
        <w:rPr>
          <w:rFonts w:hint="default" w:ascii="Times New Roman" w:hAnsi="Times New Roman" w:eastAsia="仿宋_GB2312" w:cs="Times New Roman"/>
          <w:color w:val="000000" w:themeColor="text1"/>
          <w:spacing w:val="0"/>
          <w:sz w:val="32"/>
          <w:szCs w:val="24"/>
          <w14:textFill>
            <w14:solidFill>
              <w14:schemeClr w14:val="tx1"/>
            </w14:solidFill>
          </w14:textFill>
        </w:rPr>
      </w:pPr>
      <w:bookmarkStart w:id="17" w:name="_Toc21894"/>
      <w:r>
        <w:rPr>
          <w:rFonts w:hint="default" w:ascii="Times New Roman" w:hAnsi="Times New Roman" w:eastAsia="黑体" w:cs="Times New Roman"/>
          <w:color w:val="000000" w:themeColor="text1"/>
          <w:spacing w:val="0"/>
          <w:sz w:val="32"/>
          <w:szCs w:val="24"/>
          <w14:textFill>
            <w14:solidFill>
              <w14:schemeClr w14:val="tx1"/>
            </w14:solidFill>
          </w14:textFill>
        </w:rPr>
        <w:t>四、其他收入：</w:t>
      </w:r>
      <w:r>
        <w:rPr>
          <w:rFonts w:hint="default" w:ascii="Times New Roman" w:hAnsi="Times New Roman" w:eastAsia="仿宋_GB2312" w:cs="Times New Roman"/>
          <w:color w:val="000000" w:themeColor="text1"/>
          <w:spacing w:val="0"/>
          <w:sz w:val="32"/>
          <w:szCs w:val="24"/>
          <w14:textFill>
            <w14:solidFill>
              <w14:schemeClr w14:val="tx1"/>
            </w14:solidFill>
          </w14:textFill>
        </w:rPr>
        <w:t>指单位取得的除上述收入以外的各项收入。</w:t>
      </w:r>
      <w:bookmarkEnd w:id="17"/>
    </w:p>
    <w:p w14:paraId="4BBB5646">
      <w:pPr>
        <w:pStyle w:val="14"/>
        <w:keepNext w:val="0"/>
        <w:keepLines w:val="0"/>
        <w:pageBreakBefore w:val="0"/>
        <w:widowControl w:val="0"/>
        <w:kinsoku/>
        <w:wordWrap/>
        <w:topLinePunct w:val="0"/>
        <w:bidi w:val="0"/>
        <w:adjustRightInd w:val="0"/>
        <w:snapToGrid w:val="0"/>
        <w:spacing w:line="576" w:lineRule="exact"/>
        <w:ind w:firstLine="640" w:firstLineChars="200"/>
        <w:jc w:val="both"/>
        <w:textAlignment w:val="auto"/>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r>
        <w:rPr>
          <w:rFonts w:hint="default" w:ascii="Times New Roman" w:hAnsi="Times New Roman" w:eastAsia="黑体" w:cs="Times New Roman"/>
          <w:color w:val="000000" w:themeColor="text1"/>
          <w:spacing w:val="0"/>
          <w:sz w:val="32"/>
          <w:szCs w:val="24"/>
          <w:lang w:val="en-US" w:eastAsia="zh-CN" w:bidi="ar-SA"/>
          <w14:textFill>
            <w14:solidFill>
              <w14:schemeClr w14:val="tx1"/>
            </w14:solidFill>
          </w14:textFill>
        </w:rPr>
        <w:t>五、使用非财政拨款结余（含专用结余）：</w:t>
      </w:r>
      <w:r>
        <w:rPr>
          <w:rFonts w:hint="default" w:ascii="Times New Roman" w:hAnsi="Times New Roman" w:eastAsia="仿宋_GB2312" w:cs="Times New Roman"/>
          <w:color w:val="000000" w:themeColor="text1"/>
          <w:spacing w:val="0"/>
          <w:sz w:val="32"/>
          <w:szCs w:val="32"/>
          <w14:textFill>
            <w14:solidFill>
              <w14:schemeClr w14:val="tx1"/>
            </w14:solidFill>
          </w14:textFill>
        </w:rPr>
        <w:t xml:space="preserve">指事业单位使用以前年度积累的非财政拨款结余弥补当年收支差额的金额。 </w:t>
      </w:r>
    </w:p>
    <w:p w14:paraId="5DD021A9">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color w:val="000000" w:themeColor="text1"/>
          <w:spacing w:val="0"/>
          <w:sz w:val="32"/>
          <w:szCs w:val="24"/>
          <w14:textFill>
            <w14:solidFill>
              <w14:schemeClr w14:val="tx1"/>
            </w14:solidFill>
          </w14:textFill>
        </w:rPr>
      </w:pPr>
      <w:r>
        <w:rPr>
          <w:rFonts w:hint="default" w:ascii="Times New Roman" w:hAnsi="Times New Roman" w:eastAsia="黑体" w:cs="Times New Roman"/>
          <w:color w:val="000000" w:themeColor="text1"/>
          <w:spacing w:val="0"/>
          <w:sz w:val="32"/>
          <w:szCs w:val="24"/>
          <w14:textFill>
            <w14:solidFill>
              <w14:schemeClr w14:val="tx1"/>
            </w14:solidFill>
          </w14:textFill>
        </w:rPr>
        <w:t>六、年初结转和结余：</w:t>
      </w:r>
      <w:r>
        <w:rPr>
          <w:rFonts w:hint="default" w:ascii="Times New Roman" w:hAnsi="Times New Roman" w:eastAsia="仿宋_GB2312" w:cs="Times New Roman"/>
          <w:color w:val="000000" w:themeColor="text1"/>
          <w:spacing w:val="0"/>
          <w:sz w:val="32"/>
          <w:szCs w:val="24"/>
          <w14:textFill>
            <w14:solidFill>
              <w14:schemeClr w14:val="tx1"/>
            </w14:solidFill>
          </w14:textFill>
        </w:rPr>
        <w:t xml:space="preserve">指以前年度尚未完成、结转到本年按有关规定继续使用的资金。 </w:t>
      </w:r>
    </w:p>
    <w:p w14:paraId="305BBFD9">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color w:val="000000" w:themeColor="text1"/>
          <w:spacing w:val="0"/>
          <w:sz w:val="32"/>
          <w:szCs w:val="24"/>
          <w14:textFill>
            <w14:solidFill>
              <w14:schemeClr w14:val="tx1"/>
            </w14:solidFill>
          </w14:textFill>
        </w:rPr>
      </w:pPr>
      <w:r>
        <w:rPr>
          <w:rFonts w:hint="default" w:ascii="Times New Roman" w:hAnsi="Times New Roman" w:eastAsia="黑体" w:cs="Times New Roman"/>
          <w:color w:val="000000" w:themeColor="text1"/>
          <w:spacing w:val="0"/>
          <w:sz w:val="32"/>
          <w:szCs w:val="24"/>
          <w14:textFill>
            <w14:solidFill>
              <w14:schemeClr w14:val="tx1"/>
            </w14:solidFill>
          </w14:textFill>
        </w:rPr>
        <w:t>七、结余分配：</w:t>
      </w:r>
      <w:r>
        <w:rPr>
          <w:rFonts w:hint="default" w:ascii="Times New Roman" w:hAnsi="Times New Roman" w:eastAsia="仿宋_GB2312" w:cs="Times New Roman"/>
          <w:color w:val="000000" w:themeColor="text1"/>
          <w:spacing w:val="0"/>
          <w:sz w:val="32"/>
          <w:szCs w:val="24"/>
          <w14:textFill>
            <w14:solidFill>
              <w14:schemeClr w14:val="tx1"/>
            </w14:solidFill>
          </w14:textFill>
        </w:rPr>
        <w:t>指事业单位按照会计制度规定缴纳的所得税、提取的专用结余以及转入非财政拨款结余的金额等。</w:t>
      </w:r>
    </w:p>
    <w:p w14:paraId="04ACA334">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color w:val="000000" w:themeColor="text1"/>
          <w:spacing w:val="0"/>
          <w:sz w:val="32"/>
          <w:szCs w:val="24"/>
          <w14:textFill>
            <w14:solidFill>
              <w14:schemeClr w14:val="tx1"/>
            </w14:solidFill>
          </w14:textFill>
        </w:rPr>
      </w:pPr>
      <w:r>
        <w:rPr>
          <w:rFonts w:hint="default" w:ascii="Times New Roman" w:hAnsi="Times New Roman" w:eastAsia="黑体" w:cs="Times New Roman"/>
          <w:color w:val="000000" w:themeColor="text1"/>
          <w:spacing w:val="0"/>
          <w:sz w:val="32"/>
          <w:szCs w:val="24"/>
          <w14:textFill>
            <w14:solidFill>
              <w14:schemeClr w14:val="tx1"/>
            </w14:solidFill>
          </w14:textFill>
        </w:rPr>
        <w:t>八、年末结转和结余：</w:t>
      </w:r>
      <w:r>
        <w:rPr>
          <w:rFonts w:hint="default" w:ascii="Times New Roman" w:hAnsi="Times New Roman" w:eastAsia="仿宋_GB2312" w:cs="Times New Roman"/>
          <w:color w:val="000000" w:themeColor="text1"/>
          <w:spacing w:val="0"/>
          <w:sz w:val="32"/>
          <w:szCs w:val="24"/>
          <w14:textFill>
            <w14:solidFill>
              <w14:schemeClr w14:val="tx1"/>
            </w14:solidFill>
          </w14:textFill>
        </w:rPr>
        <w:t>指单位按有关规定结转到下年或以后年度继续使用的资金。</w:t>
      </w:r>
    </w:p>
    <w:p w14:paraId="0C5A0B14">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24"/>
          <w14:textFill>
            <w14:solidFill>
              <w14:schemeClr w14:val="tx1"/>
            </w14:solidFill>
          </w14:textFill>
        </w:rPr>
        <w:t>九、社会保障和就业（208类）行政事业单位离退休（05款）机关事业单位基本养老保险缴费支出（05项）：</w:t>
      </w:r>
      <w:r>
        <w:rPr>
          <w:rFonts w:hint="default" w:ascii="Times New Roman" w:hAnsi="Times New Roman" w:eastAsia="仿宋_GB2312" w:cs="Times New Roman"/>
          <w:color w:val="000000" w:themeColor="text1"/>
          <w:spacing w:val="0"/>
          <w:sz w:val="32"/>
          <w:szCs w:val="32"/>
          <w14:textFill>
            <w14:solidFill>
              <w14:schemeClr w14:val="tx1"/>
            </w14:solidFill>
          </w14:textFill>
        </w:rPr>
        <w:t>指单位职工养老保险缴费单位部分支出。</w:t>
      </w:r>
    </w:p>
    <w:p w14:paraId="07141C1B">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24"/>
          <w14:textFill>
            <w14:solidFill>
              <w14:schemeClr w14:val="tx1"/>
            </w14:solidFill>
          </w14:textFill>
        </w:rPr>
        <w:t>十、卫生健康支出（210类）行政事业单位医疗（11款）事业单位医疗（02项）：</w:t>
      </w:r>
      <w:r>
        <w:rPr>
          <w:rFonts w:hint="default" w:ascii="Times New Roman" w:hAnsi="Times New Roman" w:eastAsia="仿宋_GB2312" w:cs="Times New Roman"/>
          <w:color w:val="000000" w:themeColor="text1"/>
          <w:spacing w:val="0"/>
          <w:sz w:val="32"/>
          <w:szCs w:val="32"/>
          <w14:textFill>
            <w14:solidFill>
              <w14:schemeClr w14:val="tx1"/>
            </w14:solidFill>
          </w14:textFill>
        </w:rPr>
        <w:t>指单位职工医疗保险缴费单位部分支出。</w:t>
      </w:r>
    </w:p>
    <w:p w14:paraId="2730F991">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24"/>
          <w14:textFill>
            <w14:solidFill>
              <w14:schemeClr w14:val="tx1"/>
            </w14:solidFill>
          </w14:textFill>
        </w:rPr>
        <w:t>十一、农林水支出（213类）农业农村（01款）农村社会事业（26项）：</w:t>
      </w:r>
      <w:r>
        <w:rPr>
          <w:rFonts w:hint="default" w:ascii="Times New Roman" w:hAnsi="Times New Roman" w:eastAsia="仿宋_GB2312" w:cs="Times New Roman"/>
          <w:color w:val="000000" w:themeColor="text1"/>
          <w:spacing w:val="0"/>
          <w:sz w:val="32"/>
          <w:szCs w:val="32"/>
          <w14:textFill>
            <w14:solidFill>
              <w14:schemeClr w14:val="tx1"/>
            </w14:solidFill>
          </w14:textFill>
        </w:rPr>
        <w:t>指农村社会事业支出。</w:t>
      </w:r>
    </w:p>
    <w:p w14:paraId="7A3E0867">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24"/>
          <w14:textFill>
            <w14:solidFill>
              <w14:schemeClr w14:val="tx1"/>
            </w14:solidFill>
          </w14:textFill>
        </w:rPr>
        <w:t>十二、农林水支出（213类）巩固脱贫攻坚成果衔接乡村振兴（05款）其他巩固脱贫攻坚成果衔接乡村振兴支出（99项）：</w:t>
      </w:r>
      <w:r>
        <w:rPr>
          <w:rFonts w:hint="default" w:ascii="Times New Roman" w:hAnsi="Times New Roman" w:eastAsia="仿宋_GB2312" w:cs="Times New Roman"/>
          <w:color w:val="000000" w:themeColor="text1"/>
          <w:spacing w:val="0"/>
          <w:sz w:val="32"/>
          <w:szCs w:val="32"/>
          <w14:textFill>
            <w14:solidFill>
              <w14:schemeClr w14:val="tx1"/>
            </w14:solidFill>
          </w14:textFill>
        </w:rPr>
        <w:t>指其他巩固脱贫攻坚成果衔接乡村振兴支出。</w:t>
      </w:r>
    </w:p>
    <w:p w14:paraId="4636D5C8">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24"/>
          <w14:textFill>
            <w14:solidFill>
              <w14:schemeClr w14:val="tx1"/>
            </w14:solidFill>
          </w14:textFill>
        </w:rPr>
        <w:t>十三、商业服务业支出（216类）商业流通事务（02款）行政运行</w:t>
      </w:r>
      <w:r>
        <w:rPr>
          <w:rFonts w:hint="eastAsia" w:ascii="Times New Roman" w:hAnsi="Times New Roman" w:eastAsia="黑体" w:cs="Times New Roman"/>
          <w:color w:val="000000" w:themeColor="text1"/>
          <w:spacing w:val="0"/>
          <w:sz w:val="32"/>
          <w:szCs w:val="24"/>
          <w:lang w:eastAsia="zh-CN"/>
          <w14:textFill>
            <w14:solidFill>
              <w14:schemeClr w14:val="tx1"/>
            </w14:solidFill>
          </w14:textFill>
        </w:rPr>
        <w:t>（</w:t>
      </w:r>
      <w:r>
        <w:rPr>
          <w:rFonts w:hint="default" w:ascii="Times New Roman" w:hAnsi="Times New Roman" w:eastAsia="黑体" w:cs="Times New Roman"/>
          <w:color w:val="000000" w:themeColor="text1"/>
          <w:spacing w:val="0"/>
          <w:sz w:val="32"/>
          <w:szCs w:val="24"/>
          <w14:textFill>
            <w14:solidFill>
              <w14:schemeClr w14:val="tx1"/>
            </w14:solidFill>
          </w14:textFill>
        </w:rPr>
        <w:t>01项</w:t>
      </w:r>
      <w:r>
        <w:rPr>
          <w:rFonts w:hint="eastAsia" w:ascii="Times New Roman" w:hAnsi="Times New Roman" w:eastAsia="黑体" w:cs="Times New Roman"/>
          <w:color w:val="000000" w:themeColor="text1"/>
          <w:spacing w:val="0"/>
          <w:sz w:val="32"/>
          <w:szCs w:val="24"/>
          <w:lang w:eastAsia="zh-CN"/>
          <w14:textFill>
            <w14:solidFill>
              <w14:schemeClr w14:val="tx1"/>
            </w14:solidFill>
          </w14:textFill>
        </w:rPr>
        <w:t>）</w:t>
      </w:r>
      <w:r>
        <w:rPr>
          <w:rFonts w:hint="default" w:ascii="Times New Roman" w:hAnsi="Times New Roman" w:eastAsia="黑体" w:cs="Times New Roman"/>
          <w:color w:val="000000" w:themeColor="text1"/>
          <w:spacing w:val="0"/>
          <w:sz w:val="32"/>
          <w:szCs w:val="24"/>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指单位行政运行人员和基本公用经费支出。</w:t>
      </w:r>
    </w:p>
    <w:p w14:paraId="2A26F85A">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24"/>
          <w14:textFill>
            <w14:solidFill>
              <w14:schemeClr w14:val="tx1"/>
            </w14:solidFill>
          </w14:textFill>
        </w:rPr>
        <w:t>十四、商业服务业支出（216类）商业流通事务（02款）其他商业流通事务支出</w:t>
      </w:r>
      <w:r>
        <w:rPr>
          <w:rFonts w:hint="eastAsia" w:ascii="Times New Roman" w:hAnsi="Times New Roman" w:eastAsia="黑体" w:cs="Times New Roman"/>
          <w:color w:val="000000" w:themeColor="text1"/>
          <w:spacing w:val="0"/>
          <w:sz w:val="32"/>
          <w:szCs w:val="24"/>
          <w:lang w:eastAsia="zh-CN"/>
          <w14:textFill>
            <w14:solidFill>
              <w14:schemeClr w14:val="tx1"/>
            </w14:solidFill>
          </w14:textFill>
        </w:rPr>
        <w:t>（</w:t>
      </w:r>
      <w:r>
        <w:rPr>
          <w:rFonts w:hint="default" w:ascii="Times New Roman" w:hAnsi="Times New Roman" w:eastAsia="黑体" w:cs="Times New Roman"/>
          <w:color w:val="000000" w:themeColor="text1"/>
          <w:spacing w:val="0"/>
          <w:sz w:val="32"/>
          <w:szCs w:val="24"/>
          <w14:textFill>
            <w14:solidFill>
              <w14:schemeClr w14:val="tx1"/>
            </w14:solidFill>
          </w14:textFill>
        </w:rPr>
        <w:t>99项</w:t>
      </w:r>
      <w:r>
        <w:rPr>
          <w:rFonts w:hint="eastAsia" w:ascii="Times New Roman" w:hAnsi="Times New Roman" w:eastAsia="黑体" w:cs="Times New Roman"/>
          <w:color w:val="000000" w:themeColor="text1"/>
          <w:spacing w:val="0"/>
          <w:sz w:val="32"/>
          <w:szCs w:val="24"/>
          <w:lang w:eastAsia="zh-CN"/>
          <w14:textFill>
            <w14:solidFill>
              <w14:schemeClr w14:val="tx1"/>
            </w14:solidFill>
          </w14:textFill>
        </w:rPr>
        <w:t>）</w:t>
      </w:r>
      <w:r>
        <w:rPr>
          <w:rFonts w:hint="default" w:ascii="Times New Roman" w:hAnsi="Times New Roman" w:eastAsia="黑体" w:cs="Times New Roman"/>
          <w:color w:val="000000" w:themeColor="text1"/>
          <w:spacing w:val="0"/>
          <w:sz w:val="32"/>
          <w:szCs w:val="24"/>
          <w14:textFill>
            <w14:solidFill>
              <w14:schemeClr w14:val="tx1"/>
            </w14:solidFill>
          </w14:textFill>
        </w:rPr>
        <w:t>：</w:t>
      </w:r>
      <w:r>
        <w:rPr>
          <w:rFonts w:hint="default" w:ascii="Times New Roman" w:hAnsi="Times New Roman" w:eastAsia="仿宋_GB2312" w:cs="Times New Roman"/>
          <w:color w:val="000000" w:themeColor="text1"/>
          <w:spacing w:val="0"/>
          <w:sz w:val="32"/>
          <w:szCs w:val="32"/>
          <w14:textFill>
            <w14:solidFill>
              <w14:schemeClr w14:val="tx1"/>
            </w14:solidFill>
          </w14:textFill>
        </w:rPr>
        <w:t>指单位其他商业流通事务支出。</w:t>
      </w:r>
    </w:p>
    <w:p w14:paraId="30F512B9">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24"/>
          <w14:textFill>
            <w14:solidFill>
              <w14:schemeClr w14:val="tx1"/>
            </w14:solidFill>
          </w14:textFill>
        </w:rPr>
        <w:t>十五、住房保障（221类）住房改革（02款）住房公积金（01项）：</w:t>
      </w:r>
      <w:r>
        <w:rPr>
          <w:rFonts w:hint="default" w:ascii="Times New Roman" w:hAnsi="Times New Roman" w:eastAsia="仿宋_GB2312" w:cs="Times New Roman"/>
          <w:color w:val="000000" w:themeColor="text1"/>
          <w:spacing w:val="0"/>
          <w:sz w:val="32"/>
          <w:szCs w:val="32"/>
          <w14:textFill>
            <w14:solidFill>
              <w14:schemeClr w14:val="tx1"/>
            </w14:solidFill>
          </w14:textFill>
        </w:rPr>
        <w:t>指单位职工住房公积金单位部分支出。</w:t>
      </w:r>
    </w:p>
    <w:p w14:paraId="42B03223">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24"/>
          <w14:textFill>
            <w14:solidFill>
              <w14:schemeClr w14:val="tx1"/>
            </w14:solidFill>
          </w14:textFill>
        </w:rPr>
        <w:t>十六、基本支出：</w:t>
      </w:r>
      <w:r>
        <w:rPr>
          <w:rFonts w:hint="default" w:ascii="Times New Roman" w:hAnsi="Times New Roman" w:eastAsia="仿宋_GB2312" w:cs="Times New Roman"/>
          <w:color w:val="000000" w:themeColor="text1"/>
          <w:spacing w:val="0"/>
          <w:sz w:val="32"/>
          <w:szCs w:val="32"/>
          <w14:textFill>
            <w14:solidFill>
              <w14:schemeClr w14:val="tx1"/>
            </w14:solidFill>
          </w14:textFill>
        </w:rPr>
        <w:t>指为保障机构正常运转、完成日常工作任务而发生的人员支出和公用支出。</w:t>
      </w:r>
    </w:p>
    <w:p w14:paraId="3F8C2F98">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24"/>
          <w14:textFill>
            <w14:solidFill>
              <w14:schemeClr w14:val="tx1"/>
            </w14:solidFill>
          </w14:textFill>
        </w:rPr>
        <w:t>十七、项目支出：指</w:t>
      </w:r>
      <w:r>
        <w:rPr>
          <w:rFonts w:hint="default" w:ascii="Times New Roman" w:hAnsi="Times New Roman" w:eastAsia="仿宋_GB2312" w:cs="Times New Roman"/>
          <w:color w:val="000000" w:themeColor="text1"/>
          <w:spacing w:val="0"/>
          <w:sz w:val="32"/>
          <w:szCs w:val="32"/>
          <w14:textFill>
            <w14:solidFill>
              <w14:schemeClr w14:val="tx1"/>
            </w14:solidFill>
          </w14:textFill>
        </w:rPr>
        <w:t xml:space="preserve">在基本支出之外为完成特定行政任务和事业发展目标所发生的支出。 </w:t>
      </w:r>
    </w:p>
    <w:p w14:paraId="1E2E36C8">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textAlignment w:val="auto"/>
        <w:rPr>
          <w:rFonts w:hint="default" w:ascii="Times New Roman" w:hAnsi="Times New Roman" w:eastAsia="仿宋_GB2312" w:cs="Times New Roman"/>
          <w:color w:val="000000" w:themeColor="text1"/>
          <w:spacing w:val="0"/>
          <w:sz w:val="32"/>
          <w:szCs w:val="32"/>
          <w14:textFill>
            <w14:solidFill>
              <w14:schemeClr w14:val="tx1"/>
            </w14:solidFill>
          </w14:textFill>
        </w:rPr>
      </w:pPr>
      <w:r>
        <w:rPr>
          <w:rFonts w:hint="default" w:ascii="Times New Roman" w:hAnsi="Times New Roman" w:eastAsia="黑体" w:cs="Times New Roman"/>
          <w:color w:val="000000" w:themeColor="text1"/>
          <w:spacing w:val="0"/>
          <w:sz w:val="32"/>
          <w:szCs w:val="24"/>
          <w14:textFill>
            <w14:solidFill>
              <w14:schemeClr w14:val="tx1"/>
            </w14:solidFill>
          </w14:textFill>
        </w:rPr>
        <w:t>二十九、经营支出：</w:t>
      </w:r>
      <w:r>
        <w:rPr>
          <w:rFonts w:hint="default" w:ascii="Times New Roman" w:hAnsi="Times New Roman" w:eastAsia="仿宋_GB2312" w:cs="Times New Roman"/>
          <w:color w:val="000000" w:themeColor="text1"/>
          <w:spacing w:val="0"/>
          <w:sz w:val="32"/>
          <w:szCs w:val="32"/>
          <w14:textFill>
            <w14:solidFill>
              <w14:schemeClr w14:val="tx1"/>
            </w14:solidFill>
          </w14:textFill>
        </w:rPr>
        <w:t>指事业单位在专业业务活动及其辅助活动之外开展非独立核算经营活动发生的支出。</w:t>
      </w:r>
    </w:p>
    <w:p w14:paraId="3E791C03">
      <w:pPr>
        <w:keepNext w:val="0"/>
        <w:keepLines w:val="0"/>
        <w:pageBreakBefore w:val="0"/>
        <w:widowControl w:val="0"/>
        <w:kinsoku/>
        <w:wordWrap/>
        <w:overflowPunct w:val="0"/>
        <w:topLinePunct w:val="0"/>
        <w:bidi w:val="0"/>
        <w:adjustRightInd w:val="0"/>
        <w:snapToGrid w:val="0"/>
        <w:spacing w:beforeLines="0" w:afterLines="0" w:line="576" w:lineRule="exact"/>
        <w:ind w:firstLine="640" w:firstLineChars="200"/>
        <w:jc w:val="both"/>
        <w:textAlignment w:val="auto"/>
        <w:rPr>
          <w:rFonts w:hint="default" w:ascii="Times New Roman" w:hAnsi="Times New Roman" w:eastAsia="仿宋_GB2312" w:cs="Times New Roman"/>
          <w:color w:val="000000" w:themeColor="text1"/>
          <w:spacing w:val="0"/>
          <w:sz w:val="32"/>
          <w:szCs w:val="24"/>
          <w14:textFill>
            <w14:solidFill>
              <w14:schemeClr w14:val="tx1"/>
            </w14:solidFill>
          </w14:textFill>
        </w:rPr>
      </w:pPr>
      <w:r>
        <w:rPr>
          <w:rFonts w:hint="default" w:ascii="Times New Roman" w:hAnsi="Times New Roman" w:eastAsia="黑体" w:cs="Times New Roman"/>
          <w:color w:val="000000" w:themeColor="text1"/>
          <w:spacing w:val="0"/>
          <w:sz w:val="32"/>
          <w:szCs w:val="24"/>
          <w14:textFill>
            <w14:solidFill>
              <w14:schemeClr w14:val="tx1"/>
            </w14:solidFill>
          </w14:textFill>
        </w:rPr>
        <w:t>十八、“三公”经费：</w:t>
      </w:r>
      <w:r>
        <w:rPr>
          <w:rFonts w:hint="default" w:ascii="Times New Roman" w:hAnsi="Times New Roman" w:eastAsia="仿宋_GB2312" w:cs="Times New Roman"/>
          <w:color w:val="000000" w:themeColor="text1"/>
          <w:spacing w:val="0"/>
          <w:sz w:val="32"/>
          <w:szCs w:val="32"/>
          <w14:textFill>
            <w14:solidFill>
              <w14:schemeClr w14:val="tx1"/>
            </w14:solidFill>
          </w14:textFill>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w:t>
      </w:r>
      <w:r>
        <w:rPr>
          <w:rFonts w:hint="default" w:ascii="Times New Roman" w:hAnsi="Times New Roman" w:eastAsia="仿宋_GB2312" w:cs="Times New Roman"/>
          <w:color w:val="000000" w:themeColor="text1"/>
          <w:spacing w:val="0"/>
          <w:sz w:val="32"/>
          <w:szCs w:val="24"/>
          <w14:textFill>
            <w14:solidFill>
              <w14:schemeClr w14:val="tx1"/>
            </w14:solidFill>
          </w14:textFill>
        </w:rPr>
        <w:t>规定开支的各类公务接待（含外宾接待）支出。</w:t>
      </w:r>
    </w:p>
    <w:p w14:paraId="47FE8551">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color w:val="000000" w:themeColor="text1"/>
          <w:spacing w:val="0"/>
          <w:sz w:val="32"/>
          <w:szCs w:val="24"/>
          <w14:textFill>
            <w14:solidFill>
              <w14:schemeClr w14:val="tx1"/>
            </w14:solidFill>
          </w14:textFill>
        </w:rPr>
      </w:pPr>
      <w:r>
        <w:rPr>
          <w:rFonts w:hint="default" w:ascii="Times New Roman" w:hAnsi="Times New Roman" w:eastAsia="黑体" w:cs="Times New Roman"/>
          <w:color w:val="000000" w:themeColor="text1"/>
          <w:spacing w:val="0"/>
          <w:sz w:val="32"/>
          <w:szCs w:val="24"/>
          <w14:textFill>
            <w14:solidFill>
              <w14:schemeClr w14:val="tx1"/>
            </w14:solidFill>
          </w14:textFill>
        </w:rPr>
        <w:t>十九、机关运行经费：</w:t>
      </w:r>
      <w:r>
        <w:rPr>
          <w:rFonts w:hint="default" w:ascii="Times New Roman" w:hAnsi="Times New Roman" w:eastAsia="仿宋_GB2312" w:cs="Times New Roman"/>
          <w:color w:val="000000" w:themeColor="text1"/>
          <w:spacing w:val="0"/>
          <w:sz w:val="32"/>
          <w:szCs w:val="24"/>
          <w14:textFill>
            <w14:solidFill>
              <w14:schemeClr w14:val="tx1"/>
            </w14:solidFill>
          </w14:textFill>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7F5E11D">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rPr>
          <w:rFonts w:hint="default" w:ascii="Times New Roman" w:hAnsi="Times New Roman" w:eastAsia="黑体" w:cs="Times New Roman"/>
          <w:color w:val="000000" w:themeColor="text1"/>
          <w:spacing w:val="0"/>
          <w:kern w:val="2"/>
          <w:sz w:val="44"/>
          <w:szCs w:val="24"/>
          <w14:textFill>
            <w14:solidFill>
              <w14:schemeClr w14:val="tx1"/>
            </w14:solidFill>
          </w14:textFill>
        </w:rPr>
      </w:pPr>
    </w:p>
    <w:p w14:paraId="3011C6F3">
      <w:pPr>
        <w:keepNext w:val="0"/>
        <w:keepLines w:val="0"/>
        <w:pageBreakBefore w:val="0"/>
        <w:widowControl w:val="0"/>
        <w:kinsoku/>
        <w:wordWrap/>
        <w:topLinePunct w:val="0"/>
        <w:bidi w:val="0"/>
        <w:adjustRightInd w:val="0"/>
        <w:snapToGrid w:val="0"/>
        <w:spacing w:beforeLines="0" w:afterLines="0" w:line="576" w:lineRule="exact"/>
        <w:jc w:val="both"/>
        <w:textAlignment w:val="auto"/>
        <w:rPr>
          <w:rFonts w:hint="default" w:ascii="Times New Roman" w:hAnsi="Times New Roman" w:eastAsia="黑体" w:cs="Times New Roman"/>
          <w:color w:val="000000" w:themeColor="text1"/>
          <w:spacing w:val="0"/>
          <w:kern w:val="2"/>
          <w:sz w:val="44"/>
          <w:szCs w:val="24"/>
          <w14:textFill>
            <w14:solidFill>
              <w14:schemeClr w14:val="tx1"/>
            </w14:solidFill>
          </w14:textFill>
        </w:rPr>
        <w:sectPr>
          <w:pgSz w:w="11905" w:h="16838"/>
          <w:pgMar w:top="2098" w:right="1474" w:bottom="1984" w:left="1587" w:header="720" w:footer="1587" w:gutter="0"/>
          <w:lnNumType w:countBy="0" w:distance="360"/>
          <w:pgNumType w:fmt="decimal"/>
          <w:cols w:space="720" w:num="1"/>
          <w:rtlGutter w:val="0"/>
        </w:sectPr>
      </w:pPr>
    </w:p>
    <w:p w14:paraId="135CE618">
      <w:pPr>
        <w:keepNext w:val="0"/>
        <w:keepLines w:val="0"/>
        <w:pageBreakBefore w:val="0"/>
        <w:widowControl w:val="0"/>
        <w:kinsoku/>
        <w:wordWrap/>
        <w:topLinePunct w:val="0"/>
        <w:bidi w:val="0"/>
        <w:adjustRightInd w:val="0"/>
        <w:snapToGrid w:val="0"/>
        <w:spacing w:beforeLines="0" w:afterLines="0" w:line="576" w:lineRule="exact"/>
        <w:jc w:val="center"/>
        <w:textAlignment w:val="auto"/>
        <w:outlineLvl w:val="0"/>
        <w:rPr>
          <w:rFonts w:hint="eastAsia" w:ascii="方正小标宋简体" w:hAnsi="方正小标宋简体" w:eastAsia="方正小标宋简体" w:cs="方正小标宋简体"/>
          <w:color w:val="000000" w:themeColor="text1"/>
          <w:spacing w:val="0"/>
          <w:kern w:val="2"/>
          <w:sz w:val="44"/>
          <w:szCs w:val="24"/>
          <w14:textFill>
            <w14:solidFill>
              <w14:schemeClr w14:val="tx1"/>
            </w14:solidFill>
          </w14:textFill>
        </w:rPr>
      </w:pPr>
      <w:bookmarkStart w:id="18" w:name="_Toc22942"/>
    </w:p>
    <w:p w14:paraId="4E67FCC7">
      <w:pPr>
        <w:keepNext w:val="0"/>
        <w:keepLines w:val="0"/>
        <w:pageBreakBefore w:val="0"/>
        <w:widowControl w:val="0"/>
        <w:kinsoku/>
        <w:wordWrap/>
        <w:topLinePunct w:val="0"/>
        <w:bidi w:val="0"/>
        <w:adjustRightInd w:val="0"/>
        <w:snapToGrid w:val="0"/>
        <w:spacing w:beforeLines="0" w:afterLines="0" w:line="576" w:lineRule="exact"/>
        <w:jc w:val="center"/>
        <w:textAlignment w:val="auto"/>
        <w:outlineLvl w:val="0"/>
        <w:rPr>
          <w:rFonts w:hint="eastAsia" w:ascii="方正小标宋简体" w:hAnsi="方正小标宋简体" w:eastAsia="方正小标宋简体" w:cs="方正小标宋简体"/>
          <w:color w:val="000000" w:themeColor="text1"/>
          <w:spacing w:val="0"/>
          <w:kern w:val="44"/>
          <w:sz w:val="44"/>
          <w:szCs w:val="24"/>
          <w14:textFill>
            <w14:solidFill>
              <w14:schemeClr w14:val="tx1"/>
            </w14:solidFill>
          </w14:textFill>
        </w:rPr>
      </w:pPr>
      <w:r>
        <w:rPr>
          <w:rFonts w:hint="eastAsia" w:ascii="方正小标宋简体" w:hAnsi="方正小标宋简体" w:eastAsia="方正小标宋简体" w:cs="方正小标宋简体"/>
          <w:color w:val="000000" w:themeColor="text1"/>
          <w:spacing w:val="0"/>
          <w:kern w:val="2"/>
          <w:sz w:val="44"/>
          <w:szCs w:val="24"/>
          <w14:textFill>
            <w14:solidFill>
              <w14:schemeClr w14:val="tx1"/>
            </w14:solidFill>
          </w14:textFill>
        </w:rPr>
        <w:t>第</w:t>
      </w:r>
      <w:r>
        <w:rPr>
          <w:rFonts w:hint="eastAsia" w:ascii="方正小标宋简体" w:hAnsi="方正小标宋简体" w:eastAsia="方正小标宋简体" w:cs="方正小标宋简体"/>
          <w:color w:val="000000" w:themeColor="text1"/>
          <w:spacing w:val="0"/>
          <w:kern w:val="44"/>
          <w:sz w:val="44"/>
          <w:szCs w:val="24"/>
          <w14:textFill>
            <w14:solidFill>
              <w14:schemeClr w14:val="tx1"/>
            </w14:solidFill>
          </w14:textFill>
        </w:rPr>
        <w:t>四部分  附件</w:t>
      </w:r>
      <w:bookmarkEnd w:id="18"/>
    </w:p>
    <w:p w14:paraId="3228709A">
      <w:pPr>
        <w:keepNext w:val="0"/>
        <w:keepLines w:val="0"/>
        <w:pageBreakBefore w:val="0"/>
        <w:widowControl w:val="0"/>
        <w:kinsoku/>
        <w:wordWrap/>
        <w:topLinePunct w:val="0"/>
        <w:bidi w:val="0"/>
        <w:adjustRightInd w:val="0"/>
        <w:snapToGrid w:val="0"/>
        <w:spacing w:beforeLines="0" w:afterLines="0" w:line="576" w:lineRule="exact"/>
        <w:jc w:val="both"/>
        <w:textAlignment w:val="auto"/>
        <w:outlineLvl w:val="1"/>
        <w:rPr>
          <w:rFonts w:hint="default" w:ascii="Times New Roman" w:hAnsi="Times New Roman" w:eastAsia="黑体" w:cs="Times New Roman"/>
          <w:color w:val="000000" w:themeColor="text1"/>
          <w:spacing w:val="0"/>
          <w:kern w:val="2"/>
          <w:sz w:val="32"/>
          <w:szCs w:val="24"/>
          <w14:textFill>
            <w14:solidFill>
              <w14:schemeClr w14:val="tx1"/>
            </w14:solidFill>
          </w14:textFill>
        </w:rPr>
      </w:pPr>
      <w:bookmarkStart w:id="19" w:name="_Toc8497"/>
    </w:p>
    <w:p w14:paraId="3379A478">
      <w:pPr>
        <w:keepNext w:val="0"/>
        <w:keepLines w:val="0"/>
        <w:pageBreakBefore w:val="0"/>
        <w:widowControl w:val="0"/>
        <w:kinsoku/>
        <w:wordWrap/>
        <w:topLinePunct w:val="0"/>
        <w:bidi w:val="0"/>
        <w:adjustRightInd w:val="0"/>
        <w:snapToGrid w:val="0"/>
        <w:spacing w:beforeLines="0" w:afterLines="0" w:line="576" w:lineRule="exact"/>
        <w:jc w:val="both"/>
        <w:textAlignment w:val="auto"/>
        <w:outlineLvl w:val="1"/>
        <w:rPr>
          <w:rFonts w:hint="default" w:ascii="Times New Roman" w:hAnsi="Times New Roman" w:eastAsia="黑体" w:cs="Times New Roman"/>
          <w:color w:val="000000" w:themeColor="text1"/>
          <w:spacing w:val="0"/>
          <w:kern w:val="2"/>
          <w:sz w:val="32"/>
          <w:szCs w:val="24"/>
          <w14:textFill>
            <w14:solidFill>
              <w14:schemeClr w14:val="tx1"/>
            </w14:solidFill>
          </w14:textFill>
        </w:rPr>
      </w:pPr>
      <w:r>
        <w:rPr>
          <w:rFonts w:hint="default" w:ascii="Times New Roman" w:hAnsi="Times New Roman" w:eastAsia="黑体" w:cs="Times New Roman"/>
          <w:color w:val="000000" w:themeColor="text1"/>
          <w:spacing w:val="0"/>
          <w:kern w:val="2"/>
          <w:sz w:val="32"/>
          <w:szCs w:val="24"/>
          <w14:textFill>
            <w14:solidFill>
              <w14:schemeClr w14:val="tx1"/>
            </w14:solidFill>
          </w14:textFill>
        </w:rPr>
        <w:t>附件1</w:t>
      </w:r>
      <w:bookmarkEnd w:id="19"/>
    </w:p>
    <w:p w14:paraId="6BABF29D">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outlineLvl w:val="1"/>
        <w:rPr>
          <w:rFonts w:hint="default"/>
        </w:rPr>
      </w:pPr>
    </w:p>
    <w:p w14:paraId="23B62905">
      <w:pPr>
        <w:keepNext w:val="0"/>
        <w:keepLines w:val="0"/>
        <w:pageBreakBefore w:val="0"/>
        <w:widowControl w:val="0"/>
        <w:kinsoku/>
        <w:wordWrap/>
        <w:topLinePunct w:val="0"/>
        <w:bidi w:val="0"/>
        <w:adjustRightInd w:val="0"/>
        <w:snapToGrid w:val="0"/>
        <w:spacing w:beforeLines="0" w:afterLines="0" w:line="576" w:lineRule="exact"/>
        <w:jc w:val="center"/>
        <w:textAlignment w:val="auto"/>
        <w:rPr>
          <w:rFonts w:hint="eastAsia" w:ascii="方正小标宋简体" w:hAnsi="方正小标宋简体" w:eastAsia="方正小标宋简体" w:cs="方正小标宋简体"/>
          <w:color w:val="000000" w:themeColor="text1"/>
          <w:spacing w:val="0"/>
          <w:sz w:val="44"/>
          <w:szCs w:val="24"/>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24"/>
          <w14:textFill>
            <w14:solidFill>
              <w14:schemeClr w14:val="tx1"/>
            </w14:solidFill>
          </w14:textFill>
        </w:rPr>
        <w:t>2023年广元市昭化区供销合作社联合社</w:t>
      </w:r>
    </w:p>
    <w:p w14:paraId="4D63DD40">
      <w:pPr>
        <w:keepNext w:val="0"/>
        <w:keepLines w:val="0"/>
        <w:pageBreakBefore w:val="0"/>
        <w:widowControl w:val="0"/>
        <w:kinsoku/>
        <w:wordWrap/>
        <w:topLinePunct w:val="0"/>
        <w:bidi w:val="0"/>
        <w:adjustRightInd w:val="0"/>
        <w:snapToGrid w:val="0"/>
        <w:spacing w:beforeLines="0" w:afterLines="0" w:line="576" w:lineRule="exact"/>
        <w:jc w:val="center"/>
        <w:textAlignment w:val="auto"/>
        <w:rPr>
          <w:rFonts w:hint="eastAsia" w:ascii="方正小标宋简体" w:hAnsi="方正小标宋简体" w:eastAsia="方正小标宋简体" w:cs="方正小标宋简体"/>
          <w:color w:val="000000" w:themeColor="text1"/>
          <w:spacing w:val="0"/>
          <w:sz w:val="44"/>
          <w:szCs w:val="24"/>
          <w:lang w:val="zh-CN"/>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24"/>
          <w14:textFill>
            <w14:solidFill>
              <w14:schemeClr w14:val="tx1"/>
            </w14:solidFill>
          </w14:textFill>
        </w:rPr>
        <w:t>部门整体预算</w:t>
      </w:r>
      <w:r>
        <w:rPr>
          <w:rFonts w:hint="eastAsia" w:ascii="方正小标宋简体" w:hAnsi="方正小标宋简体" w:eastAsia="方正小标宋简体" w:cs="方正小标宋简体"/>
          <w:color w:val="000000" w:themeColor="text1"/>
          <w:spacing w:val="0"/>
          <w:sz w:val="44"/>
          <w:szCs w:val="24"/>
          <w:lang w:val="zh-CN"/>
          <w14:textFill>
            <w14:solidFill>
              <w14:schemeClr w14:val="tx1"/>
            </w14:solidFill>
          </w14:textFill>
        </w:rPr>
        <w:t>绩效评价报告</w:t>
      </w:r>
    </w:p>
    <w:p w14:paraId="5F494E88">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outlineLvl w:val="1"/>
        <w:rPr>
          <w:rFonts w:hint="default" w:ascii="Times New Roman" w:hAnsi="Times New Roman" w:eastAsia="黑体" w:cs="Times New Roman"/>
          <w:color w:val="000000" w:themeColor="text1"/>
          <w:spacing w:val="0"/>
          <w:sz w:val="32"/>
          <w:szCs w:val="24"/>
          <w14:textFill>
            <w14:solidFill>
              <w14:schemeClr w14:val="tx1"/>
            </w14:solidFill>
          </w14:textFill>
        </w:rPr>
      </w:pPr>
      <w:bookmarkStart w:id="20" w:name="_Toc724"/>
    </w:p>
    <w:p w14:paraId="108F4E90">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outlineLvl w:val="1"/>
        <w:rPr>
          <w:rFonts w:hint="default" w:ascii="Times New Roman" w:hAnsi="Times New Roman" w:eastAsia="黑体" w:cs="Times New Roman"/>
          <w:color w:val="000000" w:themeColor="text1"/>
          <w:spacing w:val="0"/>
          <w:sz w:val="32"/>
          <w:szCs w:val="24"/>
          <w:lang w:val="zh-CN"/>
          <w14:textFill>
            <w14:solidFill>
              <w14:schemeClr w14:val="tx1"/>
            </w14:solidFill>
          </w14:textFill>
        </w:rPr>
      </w:pPr>
      <w:r>
        <w:rPr>
          <w:rFonts w:hint="default" w:ascii="Times New Roman" w:hAnsi="Times New Roman" w:eastAsia="黑体" w:cs="Times New Roman"/>
          <w:color w:val="000000" w:themeColor="text1"/>
          <w:spacing w:val="0"/>
          <w:sz w:val="32"/>
          <w:szCs w:val="24"/>
          <w14:textFill>
            <w14:solidFill>
              <w14:schemeClr w14:val="tx1"/>
            </w14:solidFill>
          </w14:textFill>
        </w:rPr>
        <w:t>一、</w:t>
      </w:r>
      <w:r>
        <w:rPr>
          <w:rFonts w:hint="default" w:ascii="Times New Roman" w:hAnsi="Times New Roman" w:eastAsia="黑体" w:cs="Times New Roman"/>
          <w:color w:val="000000" w:themeColor="text1"/>
          <w:spacing w:val="0"/>
          <w:sz w:val="32"/>
          <w:szCs w:val="24"/>
          <w:lang w:val="zh-CN"/>
          <w14:textFill>
            <w14:solidFill>
              <w14:schemeClr w14:val="tx1"/>
            </w14:solidFill>
          </w14:textFill>
        </w:rPr>
        <w:t>部门基本情况</w:t>
      </w:r>
      <w:bookmarkEnd w:id="20"/>
    </w:p>
    <w:p w14:paraId="5AE674E6">
      <w:pPr>
        <w:keepNext w:val="0"/>
        <w:keepLines w:val="0"/>
        <w:pageBreakBefore w:val="0"/>
        <w:widowControl w:val="0"/>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color w:val="000000" w:themeColor="text1"/>
          <w:spacing w:val="0"/>
          <w:sz w:val="32"/>
          <w:szCs w:val="24"/>
          <w:lang w:val="zh-CN"/>
          <w14:textFill>
            <w14:solidFill>
              <w14:schemeClr w14:val="tx1"/>
            </w14:solidFill>
          </w14:textFill>
        </w:rPr>
      </w:pPr>
      <w:r>
        <w:rPr>
          <w:rFonts w:hint="default" w:ascii="Times New Roman" w:hAnsi="Times New Roman" w:eastAsia="楷体_GB2312" w:cs="Times New Roman"/>
          <w:color w:val="000000" w:themeColor="text1"/>
          <w:spacing w:val="0"/>
          <w:sz w:val="32"/>
          <w:szCs w:val="24"/>
          <w:lang w:val="zh-CN"/>
          <w14:textFill>
            <w14:solidFill>
              <w14:schemeClr w14:val="tx1"/>
            </w14:solidFill>
          </w14:textFill>
        </w:rPr>
        <w:t>（一）机构组成。</w:t>
      </w:r>
    </w:p>
    <w:p w14:paraId="4215E1E8">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color w:val="000000" w:themeColor="text1"/>
          <w:spacing w:val="0"/>
          <w:sz w:val="32"/>
          <w:szCs w:val="24"/>
          <w:lang w:val="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根据《中共广元市昭化区委广元市昭化区人民政府关于印发&lt;广元市昭化区机构改革方案&gt;和&lt;广元市昭化区机构改革方案的实施意见&gt;的通知》（昭委发〔</w:t>
      </w:r>
      <w:r>
        <w:rPr>
          <w:rFonts w:hint="default" w:ascii="Times New Roman" w:hAnsi="Times New Roman" w:eastAsia="Times New Roman" w:cs="Times New Roman"/>
          <w:color w:val="000000" w:themeColor="text1"/>
          <w:spacing w:val="0"/>
          <w:sz w:val="32"/>
          <w:szCs w:val="32"/>
          <w14:textFill>
            <w14:solidFill>
              <w14:schemeClr w14:val="tx1"/>
            </w14:solidFill>
          </w14:textFill>
        </w:rPr>
        <w:t>20</w:t>
      </w:r>
      <w:r>
        <w:rPr>
          <w:rFonts w:hint="default" w:ascii="Times New Roman" w:hAnsi="Times New Roman" w:eastAsia="仿宋_GB2312" w:cs="Times New Roman"/>
          <w:color w:val="000000" w:themeColor="text1"/>
          <w:spacing w:val="0"/>
          <w:sz w:val="32"/>
          <w:szCs w:val="32"/>
          <w14:textFill>
            <w14:solidFill>
              <w14:schemeClr w14:val="tx1"/>
            </w14:solidFill>
          </w14:textFill>
        </w:rPr>
        <w:t>19〕1号）精神，制定三定方案，区供销联社是参照公务员法管理的事业单位，属一级预算单位，内设机构三股一室（办公室、经济发展股、财务审计股、社有企业股）。</w:t>
      </w:r>
    </w:p>
    <w:p w14:paraId="4005BA47">
      <w:pPr>
        <w:keepNext w:val="0"/>
        <w:keepLines w:val="0"/>
        <w:pageBreakBefore w:val="0"/>
        <w:widowControl w:val="0"/>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color w:val="000000" w:themeColor="text1"/>
          <w:spacing w:val="0"/>
          <w:sz w:val="32"/>
          <w:szCs w:val="24"/>
          <w:lang w:val="zh-CN"/>
          <w14:textFill>
            <w14:solidFill>
              <w14:schemeClr w14:val="tx1"/>
            </w14:solidFill>
          </w14:textFill>
        </w:rPr>
      </w:pPr>
      <w:r>
        <w:rPr>
          <w:rFonts w:hint="default" w:ascii="Times New Roman" w:hAnsi="Times New Roman" w:eastAsia="楷体_GB2312" w:cs="Times New Roman"/>
          <w:color w:val="000000" w:themeColor="text1"/>
          <w:spacing w:val="0"/>
          <w:sz w:val="32"/>
          <w:szCs w:val="24"/>
          <w:lang w:val="zh-CN"/>
          <w14:textFill>
            <w14:solidFill>
              <w14:schemeClr w14:val="tx1"/>
            </w14:solidFill>
          </w14:textFill>
        </w:rPr>
        <w:t>（二）机构职能。</w:t>
      </w:r>
    </w:p>
    <w:p w14:paraId="300B105C">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Times New Roman" w:cs="Times New Roman"/>
          <w:color w:val="000000" w:themeColor="text1"/>
          <w:spacing w:val="0"/>
          <w:sz w:val="32"/>
          <w:szCs w:val="32"/>
          <w14:textFill>
            <w14:solidFill>
              <w14:schemeClr w14:val="tx1"/>
            </w14:solidFill>
          </w14:textFill>
        </w:rPr>
      </w:pPr>
      <w:r>
        <w:rPr>
          <w:rFonts w:hint="default" w:ascii="Times New Roman" w:hAnsi="Times New Roman" w:eastAsia="Times New Roman" w:cs="Times New Roman"/>
          <w:color w:val="000000" w:themeColor="text1"/>
          <w:spacing w:val="0"/>
          <w:sz w:val="32"/>
          <w:szCs w:val="32"/>
          <w14:textFill>
            <w14:solidFill>
              <w14:schemeClr w14:val="tx1"/>
            </w14:solidFill>
          </w14:textFill>
        </w:rPr>
        <w:t>1.</w:t>
      </w:r>
      <w:r>
        <w:rPr>
          <w:rFonts w:hint="default" w:ascii="Times New Roman" w:hAnsi="Times New Roman" w:eastAsia="仿宋_GB2312" w:cs="Times New Roman"/>
          <w:color w:val="000000" w:themeColor="text1"/>
          <w:spacing w:val="0"/>
          <w:sz w:val="32"/>
          <w:szCs w:val="32"/>
          <w14:textFill>
            <w14:solidFill>
              <w14:schemeClr w14:val="tx1"/>
            </w14:solidFill>
          </w14:textFill>
        </w:rPr>
        <w:t>宣传贯彻党中央、国务院、省委、省政府和市委、市政府有关农村经济工作的方针、政策以及区委、区政府的决策部署。</w:t>
      </w:r>
    </w:p>
    <w:p w14:paraId="63EA14D9">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Times New Roman" w:cs="Times New Roman"/>
          <w:color w:val="000000" w:themeColor="text1"/>
          <w:spacing w:val="0"/>
          <w:sz w:val="32"/>
          <w:szCs w:val="32"/>
          <w14:textFill>
            <w14:solidFill>
              <w14:schemeClr w14:val="tx1"/>
            </w14:solidFill>
          </w14:textFill>
        </w:rPr>
      </w:pPr>
      <w:r>
        <w:rPr>
          <w:rFonts w:hint="default" w:ascii="Times New Roman" w:hAnsi="Times New Roman" w:eastAsia="Times New Roman" w:cs="Times New Roman"/>
          <w:color w:val="000000" w:themeColor="text1"/>
          <w:spacing w:val="0"/>
          <w:sz w:val="32"/>
          <w:szCs w:val="32"/>
          <w14:textFill>
            <w14:solidFill>
              <w14:schemeClr w14:val="tx1"/>
            </w14:solidFill>
          </w14:textFill>
        </w:rPr>
        <w:t>2.</w:t>
      </w:r>
      <w:r>
        <w:rPr>
          <w:rFonts w:hint="default" w:ascii="Times New Roman" w:hAnsi="Times New Roman" w:eastAsia="仿宋_GB2312" w:cs="Times New Roman"/>
          <w:color w:val="000000" w:themeColor="text1"/>
          <w:spacing w:val="0"/>
          <w:sz w:val="32"/>
          <w:szCs w:val="32"/>
          <w14:textFill>
            <w14:solidFill>
              <w14:schemeClr w14:val="tx1"/>
            </w14:solidFill>
          </w14:textFill>
        </w:rPr>
        <w:t>研究制定全区供销合作社的发展战略和规划；有效推进全区供销合作社的综合改革和高效发展，大力探索合作经济在社会主义市场经济条件下的多种实现形式。</w:t>
      </w:r>
    </w:p>
    <w:p w14:paraId="6638BD93">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Times New Roman" w:cs="Times New Roman"/>
          <w:color w:val="000000" w:themeColor="text1"/>
          <w:spacing w:val="0"/>
          <w:sz w:val="32"/>
          <w:szCs w:val="32"/>
          <w14:textFill>
            <w14:solidFill>
              <w14:schemeClr w14:val="tx1"/>
            </w14:solidFill>
          </w14:textFill>
        </w:rPr>
      </w:pPr>
      <w:r>
        <w:rPr>
          <w:rFonts w:hint="default" w:ascii="Times New Roman" w:hAnsi="Times New Roman" w:eastAsia="Times New Roman" w:cs="Times New Roman"/>
          <w:color w:val="000000" w:themeColor="text1"/>
          <w:spacing w:val="0"/>
          <w:sz w:val="32"/>
          <w:szCs w:val="32"/>
          <w14:textFill>
            <w14:solidFill>
              <w14:schemeClr w14:val="tx1"/>
            </w14:solidFill>
          </w14:textFill>
        </w:rPr>
        <w:t>3.</w:t>
      </w:r>
      <w:r>
        <w:rPr>
          <w:rFonts w:hint="default" w:ascii="Times New Roman" w:hAnsi="Times New Roman" w:eastAsia="仿宋_GB2312" w:cs="Times New Roman"/>
          <w:color w:val="000000" w:themeColor="text1"/>
          <w:spacing w:val="0"/>
          <w:sz w:val="32"/>
          <w:szCs w:val="32"/>
          <w14:textFill>
            <w14:solidFill>
              <w14:schemeClr w14:val="tx1"/>
            </w14:solidFill>
          </w14:textFill>
        </w:rPr>
        <w:t>按照政府授权对全区重要农业生产资料、再生资源回收、农副产品、烟花爆竹进行经营管理；参与组织、储备、调运有关救灾物资工作。</w:t>
      </w:r>
    </w:p>
    <w:p w14:paraId="238A5603">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Times New Roman" w:cs="Times New Roman"/>
          <w:color w:val="000000" w:themeColor="text1"/>
          <w:spacing w:val="0"/>
          <w:sz w:val="32"/>
          <w:szCs w:val="32"/>
          <w14:textFill>
            <w14:solidFill>
              <w14:schemeClr w14:val="tx1"/>
            </w14:solidFill>
          </w14:textFill>
        </w:rPr>
      </w:pPr>
      <w:r>
        <w:rPr>
          <w:rFonts w:hint="default" w:ascii="Times New Roman" w:hAnsi="Times New Roman" w:eastAsia="Times New Roman" w:cs="Times New Roman"/>
          <w:color w:val="000000" w:themeColor="text1"/>
          <w:spacing w:val="0"/>
          <w:sz w:val="32"/>
          <w:szCs w:val="32"/>
          <w14:textFill>
            <w14:solidFill>
              <w14:schemeClr w14:val="tx1"/>
            </w14:solidFill>
          </w14:textFill>
        </w:rPr>
        <w:t>4.</w:t>
      </w:r>
      <w:r>
        <w:rPr>
          <w:rFonts w:hint="default" w:ascii="Times New Roman" w:hAnsi="Times New Roman" w:eastAsia="仿宋_GB2312" w:cs="Times New Roman"/>
          <w:color w:val="000000" w:themeColor="text1"/>
          <w:spacing w:val="0"/>
          <w:sz w:val="32"/>
          <w:szCs w:val="32"/>
          <w14:textFill>
            <w14:solidFill>
              <w14:schemeClr w14:val="tx1"/>
            </w14:solidFill>
          </w14:textFill>
        </w:rPr>
        <w:t>加强与政府有关部门、社会组织的协作配合，研究政策建议，了解意见要求，组织、引领、指导农村专业合作经济组织健康发展。</w:t>
      </w:r>
    </w:p>
    <w:p w14:paraId="380D20C2">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Times New Roman" w:cs="Times New Roman"/>
          <w:color w:val="000000" w:themeColor="text1"/>
          <w:spacing w:val="0"/>
          <w:sz w:val="32"/>
          <w:szCs w:val="32"/>
          <w14:textFill>
            <w14:solidFill>
              <w14:schemeClr w14:val="tx1"/>
            </w14:solidFill>
          </w14:textFill>
        </w:rPr>
      </w:pPr>
      <w:r>
        <w:rPr>
          <w:rFonts w:hint="default" w:ascii="Times New Roman" w:hAnsi="Times New Roman" w:eastAsia="Times New Roman" w:cs="Times New Roman"/>
          <w:color w:val="000000" w:themeColor="text1"/>
          <w:spacing w:val="0"/>
          <w:sz w:val="32"/>
          <w:szCs w:val="32"/>
          <w14:textFill>
            <w14:solidFill>
              <w14:schemeClr w14:val="tx1"/>
            </w14:solidFill>
          </w14:textFill>
        </w:rPr>
        <w:t>5.</w:t>
      </w:r>
      <w:r>
        <w:rPr>
          <w:rFonts w:hint="default" w:ascii="Times New Roman" w:hAnsi="Times New Roman" w:eastAsia="仿宋_GB2312" w:cs="Times New Roman"/>
          <w:color w:val="000000" w:themeColor="text1"/>
          <w:spacing w:val="0"/>
          <w:sz w:val="32"/>
          <w:szCs w:val="32"/>
          <w14:textFill>
            <w14:solidFill>
              <w14:schemeClr w14:val="tx1"/>
            </w14:solidFill>
          </w14:textFill>
        </w:rPr>
        <w:t>指导全区供销系统推进农业农村现代化建设，参与农业产业化经营、农业综合开发，促进一二三产业融合发展；构建农村现代流通体系，推动小农户与现代农业有机衔接；指导农村金融互助、消费、生产、供销等合作社发展，帮助农民提高收入水平。</w:t>
      </w:r>
    </w:p>
    <w:p w14:paraId="340038DF">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Times New Roman" w:cs="Times New Roman"/>
          <w:color w:val="000000" w:themeColor="text1"/>
          <w:spacing w:val="0"/>
          <w:sz w:val="32"/>
          <w:szCs w:val="32"/>
          <w14:textFill>
            <w14:solidFill>
              <w14:schemeClr w14:val="tx1"/>
            </w14:solidFill>
          </w14:textFill>
        </w:rPr>
      </w:pPr>
      <w:r>
        <w:rPr>
          <w:rFonts w:hint="default" w:ascii="Times New Roman" w:hAnsi="Times New Roman" w:eastAsia="Times New Roman" w:cs="Times New Roman"/>
          <w:color w:val="000000" w:themeColor="text1"/>
          <w:spacing w:val="0"/>
          <w:sz w:val="32"/>
          <w:szCs w:val="32"/>
          <w14:textFill>
            <w14:solidFill>
              <w14:schemeClr w14:val="tx1"/>
            </w14:solidFill>
          </w14:textFill>
        </w:rPr>
        <w:t>6.</w:t>
      </w:r>
      <w:r>
        <w:rPr>
          <w:rFonts w:hint="default" w:ascii="Times New Roman" w:hAnsi="Times New Roman" w:eastAsia="仿宋_GB2312" w:cs="Times New Roman"/>
          <w:color w:val="000000" w:themeColor="text1"/>
          <w:spacing w:val="0"/>
          <w:sz w:val="32"/>
          <w:szCs w:val="32"/>
          <w14:textFill>
            <w14:solidFill>
              <w14:schemeClr w14:val="tx1"/>
            </w14:solidFill>
          </w14:textFill>
        </w:rPr>
        <w:t>建立和完善农业社会化服务体系，做好“三农”服务工作，指导开展土地托管、电子商务、农村现代物流等新型业务，引导农民发展商品生产，搞活农村商品流通。</w:t>
      </w:r>
    </w:p>
    <w:p w14:paraId="5625C59C">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Times New Roman" w:cs="Times New Roman"/>
          <w:color w:val="000000" w:themeColor="text1"/>
          <w:spacing w:val="0"/>
          <w:sz w:val="32"/>
          <w:szCs w:val="32"/>
          <w14:textFill>
            <w14:solidFill>
              <w14:schemeClr w14:val="tx1"/>
            </w14:solidFill>
          </w14:textFill>
        </w:rPr>
      </w:pPr>
      <w:r>
        <w:rPr>
          <w:rFonts w:hint="default" w:ascii="Times New Roman" w:hAnsi="Times New Roman" w:eastAsia="Times New Roman" w:cs="Times New Roman"/>
          <w:color w:val="000000" w:themeColor="text1"/>
          <w:spacing w:val="0"/>
          <w:sz w:val="32"/>
          <w:szCs w:val="32"/>
          <w14:textFill>
            <w14:solidFill>
              <w14:schemeClr w14:val="tx1"/>
            </w14:solidFill>
          </w14:textFill>
        </w:rPr>
        <w:t>7.</w:t>
      </w:r>
      <w:r>
        <w:rPr>
          <w:rFonts w:hint="default" w:ascii="Times New Roman" w:hAnsi="Times New Roman" w:eastAsia="仿宋_GB2312" w:cs="Times New Roman"/>
          <w:color w:val="000000" w:themeColor="text1"/>
          <w:spacing w:val="0"/>
          <w:sz w:val="32"/>
          <w:szCs w:val="32"/>
          <w14:textFill>
            <w14:solidFill>
              <w14:schemeClr w14:val="tx1"/>
            </w14:solidFill>
          </w14:textFill>
        </w:rPr>
        <w:t>加强全区供销系统组织建设，不断建立和完善新型基层供销合作社，组织发展农民专业合作社、农村社区综合服务社等农村基层经营服务组织，发挥联合合作优势。</w:t>
      </w:r>
    </w:p>
    <w:p w14:paraId="1116C338">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Times New Roman" w:cs="Times New Roman"/>
          <w:color w:val="000000" w:themeColor="text1"/>
          <w:spacing w:val="0"/>
          <w:sz w:val="32"/>
          <w:szCs w:val="32"/>
          <w14:textFill>
            <w14:solidFill>
              <w14:schemeClr w14:val="tx1"/>
            </w14:solidFill>
          </w14:textFill>
        </w:rPr>
      </w:pPr>
      <w:r>
        <w:rPr>
          <w:rFonts w:hint="default" w:ascii="Times New Roman" w:hAnsi="Times New Roman" w:eastAsia="Times New Roman" w:cs="Times New Roman"/>
          <w:color w:val="000000" w:themeColor="text1"/>
          <w:spacing w:val="0"/>
          <w:sz w:val="32"/>
          <w:szCs w:val="32"/>
          <w14:textFill>
            <w14:solidFill>
              <w14:schemeClr w14:val="tx1"/>
            </w14:solidFill>
          </w14:textFill>
        </w:rPr>
        <w:t>8.</w:t>
      </w:r>
      <w:r>
        <w:rPr>
          <w:rFonts w:hint="default" w:ascii="Times New Roman" w:hAnsi="Times New Roman" w:eastAsia="仿宋_GB2312" w:cs="Times New Roman"/>
          <w:color w:val="000000" w:themeColor="text1"/>
          <w:spacing w:val="0"/>
          <w:sz w:val="32"/>
          <w:szCs w:val="32"/>
          <w14:textFill>
            <w14:solidFill>
              <w14:schemeClr w14:val="tx1"/>
            </w14:solidFill>
          </w14:textFill>
        </w:rPr>
        <w:t>履行本级社社有资产出资人代表职责，加强对社有资产有效经营的指导和绩效评估，把握社有企业发展方向，优化社有资本布局，促进社有资产保值增值。</w:t>
      </w:r>
    </w:p>
    <w:p w14:paraId="24075A57">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Times New Roman" w:cs="Times New Roman"/>
          <w:color w:val="000000" w:themeColor="text1"/>
          <w:spacing w:val="0"/>
          <w:sz w:val="32"/>
          <w:szCs w:val="32"/>
          <w14:textFill>
            <w14:solidFill>
              <w14:schemeClr w14:val="tx1"/>
            </w14:solidFill>
          </w14:textFill>
        </w:rPr>
      </w:pPr>
      <w:r>
        <w:rPr>
          <w:rFonts w:hint="default" w:ascii="Times New Roman" w:hAnsi="Times New Roman" w:eastAsia="Times New Roman" w:cs="Times New Roman"/>
          <w:color w:val="000000" w:themeColor="text1"/>
          <w:spacing w:val="0"/>
          <w:sz w:val="32"/>
          <w:szCs w:val="32"/>
          <w14:textFill>
            <w14:solidFill>
              <w14:schemeClr w14:val="tx1"/>
            </w14:solidFill>
          </w14:textFill>
        </w:rPr>
        <w:t>9.</w:t>
      </w:r>
      <w:r>
        <w:rPr>
          <w:rFonts w:hint="default" w:ascii="Times New Roman" w:hAnsi="Times New Roman" w:eastAsia="仿宋_GB2312" w:cs="Times New Roman"/>
          <w:color w:val="000000" w:themeColor="text1"/>
          <w:spacing w:val="0"/>
          <w:sz w:val="32"/>
          <w:szCs w:val="32"/>
          <w14:textFill>
            <w14:solidFill>
              <w14:schemeClr w14:val="tx1"/>
            </w14:solidFill>
          </w14:textFill>
        </w:rPr>
        <w:t>发挥合作经济组织联合会作用，参与、协调农村合作经济组织技术交流与对外合作工作。</w:t>
      </w:r>
    </w:p>
    <w:p w14:paraId="463CB98A">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color w:val="000000" w:themeColor="text1"/>
          <w:spacing w:val="0"/>
          <w:sz w:val="32"/>
          <w:szCs w:val="24"/>
          <w:highlight w:val="yellow"/>
          <w:lang w:val="zh-CN"/>
          <w14:textFill>
            <w14:solidFill>
              <w14:schemeClr w14:val="tx1"/>
            </w14:solidFill>
          </w14:textFill>
        </w:rPr>
      </w:pPr>
      <w:r>
        <w:rPr>
          <w:rFonts w:hint="default" w:ascii="Times New Roman" w:hAnsi="Times New Roman" w:eastAsia="Times New Roman" w:cs="Times New Roman"/>
          <w:color w:val="000000" w:themeColor="text1"/>
          <w:spacing w:val="0"/>
          <w:sz w:val="32"/>
          <w:szCs w:val="32"/>
          <w14:textFill>
            <w14:solidFill>
              <w14:schemeClr w14:val="tx1"/>
            </w14:solidFill>
          </w14:textFill>
        </w:rPr>
        <w:t>10.</w:t>
      </w:r>
      <w:r>
        <w:rPr>
          <w:rFonts w:hint="default" w:ascii="Times New Roman" w:hAnsi="Times New Roman" w:eastAsia="仿宋_GB2312" w:cs="Times New Roman"/>
          <w:color w:val="000000" w:themeColor="text1"/>
          <w:spacing w:val="0"/>
          <w:sz w:val="32"/>
          <w:szCs w:val="32"/>
          <w14:textFill>
            <w14:solidFill>
              <w14:schemeClr w14:val="tx1"/>
            </w14:solidFill>
          </w14:textFill>
        </w:rPr>
        <w:t>完成区委、区政府交办的其他任务。</w:t>
      </w:r>
    </w:p>
    <w:p w14:paraId="35138447">
      <w:pPr>
        <w:keepNext w:val="0"/>
        <w:keepLines w:val="0"/>
        <w:pageBreakBefore w:val="0"/>
        <w:widowControl w:val="0"/>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color w:val="000000" w:themeColor="text1"/>
          <w:spacing w:val="0"/>
          <w:sz w:val="32"/>
          <w:szCs w:val="24"/>
          <w:lang w:val="zh-CN"/>
          <w14:textFill>
            <w14:solidFill>
              <w14:schemeClr w14:val="tx1"/>
            </w14:solidFill>
          </w14:textFill>
        </w:rPr>
      </w:pPr>
      <w:r>
        <w:rPr>
          <w:rFonts w:hint="default" w:ascii="Times New Roman" w:hAnsi="Times New Roman" w:eastAsia="楷体_GB2312" w:cs="Times New Roman"/>
          <w:color w:val="000000" w:themeColor="text1"/>
          <w:spacing w:val="0"/>
          <w:sz w:val="32"/>
          <w:szCs w:val="24"/>
          <w:lang w:val="zh-CN"/>
          <w14:textFill>
            <w14:solidFill>
              <w14:schemeClr w14:val="tx1"/>
            </w14:solidFill>
          </w14:textFill>
        </w:rPr>
        <w:t>（三）人员概况。</w:t>
      </w:r>
    </w:p>
    <w:p w14:paraId="47817327">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b/>
          <w:color w:val="000000" w:themeColor="text1"/>
          <w:spacing w:val="0"/>
          <w:sz w:val="32"/>
          <w:szCs w:val="24"/>
          <w:lang w:val="zh-CN"/>
          <w14:textFill>
            <w14:solidFill>
              <w14:schemeClr w14:val="tx1"/>
            </w14:solidFill>
          </w14:textFill>
        </w:rPr>
      </w:pPr>
      <w:r>
        <w:rPr>
          <w:rFonts w:hint="default" w:ascii="Times New Roman" w:hAnsi="Times New Roman" w:eastAsia="仿宋_GB2312" w:cs="Times New Roman"/>
          <w:color w:val="000000" w:themeColor="text1"/>
          <w:spacing w:val="0"/>
          <w:sz w:val="32"/>
          <w:szCs w:val="32"/>
          <w14:textFill>
            <w14:solidFill>
              <w14:schemeClr w14:val="tx1"/>
            </w14:solidFill>
          </w14:textFill>
        </w:rPr>
        <w:t>区编办核定编制</w:t>
      </w:r>
      <w:r>
        <w:rPr>
          <w:rFonts w:hint="default" w:ascii="Times New Roman" w:hAnsi="Times New Roman" w:eastAsia="Times New Roman" w:cs="Times New Roman"/>
          <w:color w:val="000000" w:themeColor="text1"/>
          <w:spacing w:val="0"/>
          <w:sz w:val="32"/>
          <w:szCs w:val="32"/>
          <w14:textFill>
            <w14:solidFill>
              <w14:schemeClr w14:val="tx1"/>
            </w14:solidFill>
          </w14:textFill>
        </w:rPr>
        <w:t>8</w:t>
      </w:r>
      <w:r>
        <w:rPr>
          <w:rFonts w:hint="default" w:ascii="Times New Roman" w:hAnsi="Times New Roman" w:eastAsia="仿宋_GB2312" w:cs="Times New Roman"/>
          <w:color w:val="000000" w:themeColor="text1"/>
          <w:spacing w:val="0"/>
          <w:sz w:val="32"/>
          <w:szCs w:val="32"/>
          <w14:textFill>
            <w14:solidFill>
              <w14:schemeClr w14:val="tx1"/>
            </w14:solidFill>
          </w14:textFill>
        </w:rPr>
        <w:t>个，20</w:t>
      </w:r>
      <w:r>
        <w:rPr>
          <w:rFonts w:hint="default" w:ascii="Times New Roman" w:hAnsi="Times New Roman" w:eastAsia="Times New Roman" w:cs="Times New Roman"/>
          <w:color w:val="000000" w:themeColor="text1"/>
          <w:spacing w:val="0"/>
          <w:sz w:val="32"/>
          <w:szCs w:val="32"/>
          <w14:textFill>
            <w14:solidFill>
              <w14:schemeClr w14:val="tx1"/>
            </w14:solidFill>
          </w14:textFill>
        </w:rPr>
        <w:t>2</w:t>
      </w:r>
      <w:r>
        <w:rPr>
          <w:rFonts w:hint="default" w:ascii="Times New Roman" w:hAnsi="Times New Roman" w:eastAsia="仿宋_GB2312" w:cs="Times New Roman"/>
          <w:color w:val="000000" w:themeColor="text1"/>
          <w:spacing w:val="0"/>
          <w:sz w:val="32"/>
          <w:szCs w:val="32"/>
          <w14:textFill>
            <w14:solidFill>
              <w14:schemeClr w14:val="tx1"/>
            </w14:solidFill>
          </w14:textFill>
        </w:rPr>
        <w:t>2年末预算实有在职编制内人员10人，其中：公务员及参公管理人员9人，机关工勤1人。退休人员9人。遗属补助3人。</w:t>
      </w:r>
    </w:p>
    <w:p w14:paraId="5F78DEEA">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outlineLvl w:val="1"/>
        <w:rPr>
          <w:rFonts w:hint="default" w:ascii="Times New Roman" w:hAnsi="Times New Roman" w:eastAsia="黑体" w:cs="Times New Roman"/>
          <w:color w:val="000000" w:themeColor="text1"/>
          <w:spacing w:val="0"/>
          <w:sz w:val="32"/>
          <w:szCs w:val="24"/>
          <w14:textFill>
            <w14:solidFill>
              <w14:schemeClr w14:val="tx1"/>
            </w14:solidFill>
          </w14:textFill>
        </w:rPr>
      </w:pPr>
      <w:bookmarkStart w:id="21" w:name="_Toc22794"/>
      <w:r>
        <w:rPr>
          <w:rFonts w:hint="default" w:ascii="Times New Roman" w:hAnsi="Times New Roman" w:eastAsia="黑体" w:cs="Times New Roman"/>
          <w:color w:val="000000" w:themeColor="text1"/>
          <w:spacing w:val="0"/>
          <w:sz w:val="32"/>
          <w:szCs w:val="24"/>
          <w14:textFill>
            <w14:solidFill>
              <w14:schemeClr w14:val="tx1"/>
            </w14:solidFill>
          </w14:textFill>
        </w:rPr>
        <w:t>二、部门资金收支情况</w:t>
      </w:r>
      <w:bookmarkEnd w:id="21"/>
    </w:p>
    <w:p w14:paraId="2C853BF3">
      <w:pPr>
        <w:keepNext w:val="0"/>
        <w:keepLines w:val="0"/>
        <w:pageBreakBefore w:val="0"/>
        <w:widowControl w:val="0"/>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color w:val="000000" w:themeColor="text1"/>
          <w:spacing w:val="0"/>
          <w:sz w:val="32"/>
          <w:szCs w:val="24"/>
          <w14:textFill>
            <w14:solidFill>
              <w14:schemeClr w14:val="tx1"/>
            </w14:solidFill>
          </w14:textFill>
        </w:rPr>
      </w:pPr>
      <w:r>
        <w:rPr>
          <w:rFonts w:hint="default" w:ascii="Times New Roman" w:hAnsi="Times New Roman" w:eastAsia="楷体_GB2312" w:cs="Times New Roman"/>
          <w:color w:val="000000" w:themeColor="text1"/>
          <w:spacing w:val="0"/>
          <w:sz w:val="32"/>
          <w:szCs w:val="24"/>
          <w14:textFill>
            <w14:solidFill>
              <w14:schemeClr w14:val="tx1"/>
            </w14:solidFill>
          </w14:textFill>
        </w:rPr>
        <w:t>（一）收入情况。</w:t>
      </w:r>
    </w:p>
    <w:p w14:paraId="434DA404">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color w:val="000000" w:themeColor="text1"/>
          <w:spacing w:val="0"/>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区供销联社2023年年初预算收入总额为208.32万元，调整预算数456.83万元，当年指标数665.15万元，其中：一般公共预算财政拨款收入665.15万元，占100%。</w:t>
      </w:r>
    </w:p>
    <w:p w14:paraId="60D657D8">
      <w:pPr>
        <w:keepNext w:val="0"/>
        <w:keepLines w:val="0"/>
        <w:pageBreakBefore w:val="0"/>
        <w:widowControl w:val="0"/>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color w:val="000000" w:themeColor="text1"/>
          <w:spacing w:val="0"/>
          <w:sz w:val="32"/>
          <w:szCs w:val="24"/>
          <w14:textFill>
            <w14:solidFill>
              <w14:schemeClr w14:val="tx1"/>
            </w14:solidFill>
          </w14:textFill>
        </w:rPr>
      </w:pPr>
      <w:r>
        <w:rPr>
          <w:rFonts w:hint="default" w:ascii="Times New Roman" w:hAnsi="Times New Roman" w:eastAsia="楷体_GB2312" w:cs="Times New Roman"/>
          <w:color w:val="000000" w:themeColor="text1"/>
          <w:spacing w:val="0"/>
          <w:sz w:val="32"/>
          <w:szCs w:val="24"/>
          <w14:textFill>
            <w14:solidFill>
              <w14:schemeClr w14:val="tx1"/>
            </w14:solidFill>
          </w14:textFill>
        </w:rPr>
        <w:t>（二）支出情况。</w:t>
      </w:r>
    </w:p>
    <w:p w14:paraId="22BB6D32">
      <w:pPr>
        <w:keepNext w:val="0"/>
        <w:keepLines w:val="0"/>
        <w:pageBreakBefore w:val="0"/>
        <w:widowControl w:val="0"/>
        <w:kinsoku/>
        <w:wordWrap/>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年初预算批复表反映，预算安排支出208.32万元，其中：基本支出185.82万元，项目支出22.5万元。</w:t>
      </w:r>
    </w:p>
    <w:p w14:paraId="78AA7372">
      <w:pPr>
        <w:keepNext w:val="0"/>
        <w:keepLines w:val="0"/>
        <w:pageBreakBefore w:val="0"/>
        <w:widowControl w:val="0"/>
        <w:kinsoku/>
        <w:wordWrap/>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决算报表反映，2023年财政资金支出665.15万元，其中：基本支出216.15万元，项目支出449万元。</w:t>
      </w:r>
    </w:p>
    <w:p w14:paraId="4C673CAE">
      <w:pPr>
        <w:keepNext w:val="0"/>
        <w:keepLines w:val="0"/>
        <w:pageBreakBefore w:val="0"/>
        <w:widowControl w:val="0"/>
        <w:kinsoku/>
        <w:wordWrap/>
        <w:topLinePunct w:val="0"/>
        <w:bidi w:val="0"/>
        <w:adjustRightInd w:val="0"/>
        <w:snapToGrid w:val="0"/>
        <w:spacing w:beforeLines="0" w:afterLines="0" w:line="576" w:lineRule="exact"/>
        <w:ind w:firstLine="643"/>
        <w:jc w:val="both"/>
        <w:textAlignment w:val="auto"/>
        <w:rPr>
          <w:rFonts w:hint="default" w:ascii="Times New Roman" w:hAnsi="Times New Roman" w:eastAsia="楷体_GB2312" w:cs="Times New Roman"/>
          <w:b w:val="0"/>
          <w:bCs/>
          <w:color w:val="000000" w:themeColor="text1"/>
          <w:spacing w:val="0"/>
          <w:sz w:val="32"/>
          <w:szCs w:val="24"/>
          <w14:textFill>
            <w14:solidFill>
              <w14:schemeClr w14:val="tx1"/>
            </w14:solidFill>
          </w14:textFill>
        </w:rPr>
      </w:pPr>
      <w:r>
        <w:rPr>
          <w:rFonts w:hint="default" w:ascii="Times New Roman" w:hAnsi="Times New Roman" w:eastAsia="楷体_GB2312" w:cs="Times New Roman"/>
          <w:b w:val="0"/>
          <w:bCs/>
          <w:color w:val="000000" w:themeColor="text1"/>
          <w:spacing w:val="0"/>
          <w:sz w:val="32"/>
          <w:szCs w:val="24"/>
          <w14:textFill>
            <w14:solidFill>
              <w14:schemeClr w14:val="tx1"/>
            </w14:solidFill>
          </w14:textFill>
        </w:rPr>
        <w:t>（三）结余分配和结转结余情况。</w:t>
      </w:r>
    </w:p>
    <w:p w14:paraId="19471978">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color w:val="000000" w:themeColor="text1"/>
          <w:spacing w:val="0"/>
          <w:sz w:val="32"/>
          <w:szCs w:val="24"/>
          <w:lang w:val="zh-CN"/>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无结转结余。</w:t>
      </w:r>
    </w:p>
    <w:p w14:paraId="2D78C926">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outlineLvl w:val="1"/>
        <w:rPr>
          <w:rFonts w:hint="default" w:ascii="Times New Roman" w:hAnsi="Times New Roman" w:eastAsia="黑体" w:cs="Times New Roman"/>
          <w:color w:val="000000" w:themeColor="text1"/>
          <w:spacing w:val="0"/>
          <w:sz w:val="32"/>
          <w:szCs w:val="24"/>
          <w14:textFill>
            <w14:solidFill>
              <w14:schemeClr w14:val="tx1"/>
            </w14:solidFill>
          </w14:textFill>
        </w:rPr>
      </w:pPr>
      <w:bookmarkStart w:id="22" w:name="_Toc14461"/>
      <w:r>
        <w:rPr>
          <w:rFonts w:hint="default" w:ascii="Times New Roman" w:hAnsi="Times New Roman" w:eastAsia="黑体" w:cs="Times New Roman"/>
          <w:color w:val="000000" w:themeColor="text1"/>
          <w:spacing w:val="0"/>
          <w:sz w:val="32"/>
          <w:szCs w:val="24"/>
          <w14:textFill>
            <w14:solidFill>
              <w14:schemeClr w14:val="tx1"/>
            </w14:solidFill>
          </w14:textFill>
        </w:rPr>
        <w:t>三、部门预算绩效分析</w:t>
      </w:r>
      <w:bookmarkEnd w:id="22"/>
    </w:p>
    <w:p w14:paraId="0C669594">
      <w:pPr>
        <w:keepNext w:val="0"/>
        <w:keepLines w:val="0"/>
        <w:pageBreakBefore w:val="0"/>
        <w:widowControl w:val="0"/>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color w:val="000000" w:themeColor="text1"/>
          <w:spacing w:val="0"/>
          <w:sz w:val="32"/>
          <w:szCs w:val="24"/>
          <w:lang w:val="zh-CN"/>
          <w14:textFill>
            <w14:solidFill>
              <w14:schemeClr w14:val="tx1"/>
            </w14:solidFill>
          </w14:textFill>
        </w:rPr>
      </w:pPr>
      <w:r>
        <w:rPr>
          <w:rFonts w:hint="default" w:ascii="Times New Roman" w:hAnsi="Times New Roman" w:eastAsia="楷体_GB2312" w:cs="Times New Roman"/>
          <w:color w:val="000000" w:themeColor="text1"/>
          <w:spacing w:val="0"/>
          <w:sz w:val="32"/>
          <w:szCs w:val="24"/>
          <w:lang w:val="zh-CN"/>
          <w14:textFill>
            <w14:solidFill>
              <w14:schemeClr w14:val="tx1"/>
            </w14:solidFill>
          </w14:textFill>
        </w:rPr>
        <w:t>（一）部门预算总体绩效分析。</w:t>
      </w:r>
    </w:p>
    <w:p w14:paraId="36D90A88">
      <w:pPr>
        <w:keepNext w:val="0"/>
        <w:keepLines w:val="0"/>
        <w:pageBreakBefore w:val="0"/>
        <w:widowControl w:val="0"/>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1</w:t>
      </w:r>
      <w:r>
        <w:rPr>
          <w:rFonts w:hint="default" w:ascii="Times New Roman" w:hAnsi="Times New Roman" w:eastAsia="仿宋_GB2312" w:cs="Times New Roman"/>
          <w:color w:val="000000" w:themeColor="text1"/>
          <w:spacing w:val="0"/>
          <w:kern w:val="2"/>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目标制定情况</w:t>
      </w:r>
    </w:p>
    <w:p w14:paraId="46E2F70F">
      <w:pPr>
        <w:keepNext w:val="0"/>
        <w:keepLines w:val="0"/>
        <w:pageBreakBefore w:val="0"/>
        <w:widowControl w:val="0"/>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本单位在年初编制预算时</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根据供销联社年度工作计划</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制定了部门整体绩效目标、废弃农膜收购补贴绩效目标、网络体系建设绩效目标</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在绩效目标中按数量指标</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质量指标、时效指标、成本指标等进行了细化和量化</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其预算编制和绩效目标的制定经全体干部大会讨论通过后上报区财政局审核。</w:t>
      </w:r>
    </w:p>
    <w:p w14:paraId="1B309D09">
      <w:pPr>
        <w:keepNext w:val="0"/>
        <w:keepLines w:val="0"/>
        <w:pageBreakBefore w:val="0"/>
        <w:widowControl w:val="0"/>
        <w:numPr>
          <w:ilvl w:val="0"/>
          <w:numId w:val="0"/>
        </w:numPr>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2.</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目标实现情况</w:t>
      </w:r>
    </w:p>
    <w:p w14:paraId="7068DB88">
      <w:pPr>
        <w:keepNext w:val="0"/>
        <w:keepLines w:val="0"/>
        <w:pageBreakBefore w:val="0"/>
        <w:widowControl w:val="0"/>
        <w:numPr>
          <w:ilvl w:val="0"/>
          <w:numId w:val="0"/>
        </w:numPr>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区供销联社按照工作安排开展各项工作</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全面完成了年初制定的人员经费、工作经费、废弃农膜收购补贴工作经费、网络体系建设工作经费的各项绩效目标</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各缘效百标的实际实现与预期目标基本稳合</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各绩效目标完成情况详见附件</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项目支出绩效自评表</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w:t>
      </w:r>
    </w:p>
    <w:p w14:paraId="26ACDA11">
      <w:pPr>
        <w:keepNext w:val="0"/>
        <w:keepLines w:val="0"/>
        <w:pageBreakBefore w:val="0"/>
        <w:widowControl w:val="0"/>
        <w:numPr>
          <w:ilvl w:val="0"/>
          <w:numId w:val="0"/>
        </w:numPr>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3.</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过程管控</w:t>
      </w:r>
    </w:p>
    <w:p w14:paraId="53002ECB">
      <w:pPr>
        <w:keepNext w:val="0"/>
        <w:keepLines w:val="0"/>
        <w:pageBreakBefore w:val="0"/>
        <w:widowControl w:val="0"/>
        <w:numPr>
          <w:ilvl w:val="0"/>
          <w:numId w:val="0"/>
        </w:numPr>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2023年</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区供销联社严格遵守各项财经纪律</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加强本单位财务管理工作</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制定了相关规章制度</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加强和细化了预算编制</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严格按照预算执行</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各项目支出均控制在预算内</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无超支和超范围支出</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全年收支平衡。</w:t>
      </w:r>
    </w:p>
    <w:p w14:paraId="0A01915B">
      <w:pPr>
        <w:keepNext w:val="0"/>
        <w:keepLines w:val="0"/>
        <w:pageBreakBefore w:val="0"/>
        <w:widowControl w:val="0"/>
        <w:numPr>
          <w:ilvl w:val="0"/>
          <w:numId w:val="0"/>
        </w:numPr>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4.</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及时处置和执行进度</w:t>
      </w:r>
    </w:p>
    <w:p w14:paraId="3415B873">
      <w:pPr>
        <w:keepNext w:val="0"/>
        <w:keepLines w:val="0"/>
        <w:pageBreakBefore w:val="0"/>
        <w:widowControl w:val="0"/>
        <w:numPr>
          <w:ilvl w:val="0"/>
          <w:numId w:val="0"/>
        </w:numPr>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2023年，区供销联社4个项目在年初编制绩效目标后，各绩效指标无任何调整</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在执行中均是按照年初制定的目标执行，在执行过程事加强了绩效运行监管，对存在问题的及时进行了细化</w:t>
      </w:r>
      <w:r>
        <w:rPr>
          <w:rFonts w:hint="eastAsia"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在各指示执行中都是按照计划进度执行。</w:t>
      </w:r>
    </w:p>
    <w:p w14:paraId="69ED5F2A">
      <w:pPr>
        <w:keepNext w:val="0"/>
        <w:keepLines w:val="0"/>
        <w:pageBreakBefore w:val="0"/>
        <w:widowControl w:val="0"/>
        <w:numPr>
          <w:ilvl w:val="0"/>
          <w:numId w:val="0"/>
        </w:numPr>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bidi="ar-SA"/>
          <w14:textFill>
            <w14:solidFill>
              <w14:schemeClr w14:val="tx1"/>
            </w14:solidFill>
          </w14:textFill>
        </w:rPr>
        <w:t>5.</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完成</w:t>
      </w:r>
      <w:r>
        <w:rPr>
          <w:rFonts w:hint="default" w:ascii="Times New Roman" w:hAnsi="Times New Roman" w:eastAsia="仿宋_GB2312" w:cs="Times New Roman"/>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效率）结果</w:t>
      </w:r>
    </w:p>
    <w:p w14:paraId="2D09DFC4">
      <w:pPr>
        <w:keepNext w:val="0"/>
        <w:keepLines w:val="0"/>
        <w:pageBreakBefore w:val="0"/>
        <w:widowControl w:val="0"/>
        <w:numPr>
          <w:ilvl w:val="0"/>
          <w:numId w:val="0"/>
        </w:numPr>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color w:val="000000" w:themeColor="text1"/>
          <w:spacing w:val="0"/>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2023年全年支出665.15万元，正确使用功能科目和经济科目、准确编列资金性质和资金级次、按政府审定的方案规范编制项目支出和部门整体支出绩效，无违规记录，不漏报、错报，及时报送区财政局。</w:t>
      </w:r>
    </w:p>
    <w:p w14:paraId="54271FA6">
      <w:pPr>
        <w:keepNext w:val="0"/>
        <w:keepLines w:val="0"/>
        <w:pageBreakBefore w:val="0"/>
        <w:widowControl w:val="0"/>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color w:val="000000" w:themeColor="text1"/>
          <w:spacing w:val="0"/>
          <w:sz w:val="32"/>
          <w:szCs w:val="24"/>
          <w:lang w:val="zh-CN"/>
          <w14:textFill>
            <w14:solidFill>
              <w14:schemeClr w14:val="tx1"/>
            </w14:solidFill>
          </w14:textFill>
        </w:rPr>
      </w:pPr>
      <w:r>
        <w:rPr>
          <w:rFonts w:hint="default" w:ascii="Times New Roman" w:hAnsi="Times New Roman" w:eastAsia="楷体_GB2312" w:cs="Times New Roman"/>
          <w:color w:val="000000" w:themeColor="text1"/>
          <w:spacing w:val="0"/>
          <w:sz w:val="32"/>
          <w:szCs w:val="24"/>
          <w:lang w:val="zh-CN"/>
          <w14:textFill>
            <w14:solidFill>
              <w14:schemeClr w14:val="tx1"/>
            </w14:solidFill>
          </w14:textFill>
        </w:rPr>
        <w:t>（二）部门预算项目绩效分析。</w:t>
      </w:r>
    </w:p>
    <w:p w14:paraId="78B5975D">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1.部门预算项目绩效情况。</w:t>
      </w:r>
    </w:p>
    <w:p w14:paraId="42CA5A9A">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广元市昭化区供销合作社联合社根据单位实际情况制定年初部门预算绩效目标，其中人员类171.82万元按月保障在职人员工资保险；公用支出14万元保障各项日常工作正常运转，包括办公费、差旅费、公务接待费、印刷费等支出；其他运转类22.5万元保障废弃农膜、网络体系建设、招商引资、争取项目资金等工作的正常运转。2023年全年支出208.32万元，支付过程及时有力，控制有度，无低效无效率资金使用情况，无违规记录，实现了年初制定的绩效目标。日常公用经费如办公费、印刷费、会议费等年初预算数与决算实际数对比在正常范围内。</w:t>
      </w:r>
    </w:p>
    <w:p w14:paraId="50CF7BD2">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专项预算绩效情况</w:t>
      </w:r>
    </w:p>
    <w:p w14:paraId="74B9F17D">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2023年专项预算全年支出449万元，支付过程及时有力，控制有度，无低效无效率资金使用情况，无违规记录，实现了年初制定的绩效目标。专项项目如东西部协作项目资金2023年“昭化造”农特产品线上线下市场体系建设项目、2021、2022省级综合改革及发展专项资金等年初预算数与决算实际数对比在正常范围内。</w:t>
      </w:r>
    </w:p>
    <w:p w14:paraId="0D60312B">
      <w:pPr>
        <w:keepNext w:val="0"/>
        <w:keepLines w:val="0"/>
        <w:pageBreakBefore w:val="0"/>
        <w:widowControl w:val="0"/>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color w:val="000000" w:themeColor="text1"/>
          <w:spacing w:val="0"/>
          <w:sz w:val="32"/>
          <w:szCs w:val="24"/>
          <w:lang w:val="zh-CN"/>
          <w14:textFill>
            <w14:solidFill>
              <w14:schemeClr w14:val="tx1"/>
            </w14:solidFill>
          </w14:textFill>
        </w:rPr>
      </w:pPr>
      <w:r>
        <w:rPr>
          <w:rFonts w:hint="default" w:ascii="Times New Roman" w:hAnsi="Times New Roman" w:eastAsia="楷体_GB2312" w:cs="Times New Roman"/>
          <w:color w:val="000000" w:themeColor="text1"/>
          <w:spacing w:val="0"/>
          <w:sz w:val="32"/>
          <w:szCs w:val="24"/>
          <w:lang w:val="zh-CN"/>
          <w14:textFill>
            <w14:solidFill>
              <w14:schemeClr w14:val="tx1"/>
            </w14:solidFill>
          </w14:textFill>
        </w:rPr>
        <w:t>（三）绩效结果应用情况。</w:t>
      </w:r>
    </w:p>
    <w:p w14:paraId="2B93C0BD">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color w:val="000000" w:themeColor="text1"/>
          <w:spacing w:val="0"/>
          <w:sz w:val="32"/>
          <w:szCs w:val="24"/>
          <w:highlight w:val="yellow"/>
          <w:lang w:val="zh-CN"/>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据中央和省、市、区的有关规定，建立健全单位各项财务管理制度。包括：预算管理制度、收入管理制度、支出管理制度、政府采购管理制度、资产管理制度等，并下发至各个股室，各股室人员严格执行相关管理制度，在预算、收支管理上更加严格，政府采购程序规范无任何违规情况，加强对差旅费、会议费、培训费管理。依据各项制度，严格落实各环节绩效结果应用，按要求做好绩效信息报告及公开工作，2023年度预算、决算、绩效目标等信息按照要求已经昭化区政府网站公开。主动接受绩效监督工作，及时整改问题、改进管理、完善政策、调整预算。严格执行财经制度和管理规定，按时完成预算执行进度，严格控制、合理利用各项经费，鼓励合法合规的经费开支，按要求进行预算管理，不断完善资产管理制度。</w:t>
      </w:r>
    </w:p>
    <w:p w14:paraId="4B0ED03B">
      <w:pPr>
        <w:keepNext w:val="0"/>
        <w:keepLines w:val="0"/>
        <w:pageBreakBefore w:val="0"/>
        <w:widowControl w:val="0"/>
        <w:kinsoku/>
        <w:wordWrap/>
        <w:topLinePunct w:val="0"/>
        <w:bidi w:val="0"/>
        <w:adjustRightInd w:val="0"/>
        <w:snapToGrid w:val="0"/>
        <w:spacing w:beforeLines="0" w:afterLines="0" w:line="576" w:lineRule="exact"/>
        <w:ind w:firstLine="640"/>
        <w:jc w:val="both"/>
        <w:textAlignment w:val="auto"/>
        <w:outlineLvl w:val="1"/>
        <w:rPr>
          <w:rFonts w:hint="default" w:ascii="Times New Roman" w:hAnsi="Times New Roman" w:eastAsia="黑体" w:cs="Times New Roman"/>
          <w:color w:val="000000" w:themeColor="text1"/>
          <w:spacing w:val="0"/>
          <w:sz w:val="32"/>
          <w:szCs w:val="24"/>
          <w14:textFill>
            <w14:solidFill>
              <w14:schemeClr w14:val="tx1"/>
            </w14:solidFill>
          </w14:textFill>
        </w:rPr>
      </w:pPr>
      <w:bookmarkStart w:id="23" w:name="_Toc14739"/>
      <w:r>
        <w:rPr>
          <w:rFonts w:hint="default" w:ascii="Times New Roman" w:hAnsi="Times New Roman" w:eastAsia="黑体" w:cs="Times New Roman"/>
          <w:color w:val="000000" w:themeColor="text1"/>
          <w:spacing w:val="0"/>
          <w:sz w:val="32"/>
          <w:szCs w:val="24"/>
          <w14:textFill>
            <w14:solidFill>
              <w14:schemeClr w14:val="tx1"/>
            </w14:solidFill>
          </w14:textFill>
        </w:rPr>
        <w:t>四、评价结论及建议</w:t>
      </w:r>
      <w:bookmarkEnd w:id="23"/>
    </w:p>
    <w:p w14:paraId="58544704">
      <w:pPr>
        <w:keepNext w:val="0"/>
        <w:keepLines w:val="0"/>
        <w:pageBreakBefore w:val="0"/>
        <w:widowControl w:val="0"/>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color w:val="000000" w:themeColor="text1"/>
          <w:spacing w:val="0"/>
          <w:sz w:val="32"/>
          <w:szCs w:val="24"/>
          <w:lang w:val="zh-CN"/>
          <w14:textFill>
            <w14:solidFill>
              <w14:schemeClr w14:val="tx1"/>
            </w14:solidFill>
          </w14:textFill>
        </w:rPr>
      </w:pPr>
      <w:r>
        <w:rPr>
          <w:rFonts w:hint="default" w:ascii="Times New Roman" w:hAnsi="Times New Roman" w:eastAsia="楷体_GB2312" w:cs="Times New Roman"/>
          <w:color w:val="000000" w:themeColor="text1"/>
          <w:spacing w:val="0"/>
          <w:sz w:val="32"/>
          <w:szCs w:val="24"/>
          <w:lang w:val="zh-CN"/>
          <w14:textFill>
            <w14:solidFill>
              <w14:schemeClr w14:val="tx1"/>
            </w14:solidFill>
          </w14:textFill>
        </w:rPr>
        <w:t>（一）评价结论。</w:t>
      </w:r>
    </w:p>
    <w:p w14:paraId="66880F7F">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color w:val="000000" w:themeColor="text1"/>
          <w:spacing w:val="0"/>
          <w:sz w:val="32"/>
          <w:szCs w:val="24"/>
          <w:highlight w:val="yellow"/>
          <w:lang w:val="zh-CN"/>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我社本次自评得分为99分。通过资料收集、绩效评价、工作总结及撰写报告等几个阶段，认真、准确填写自评数据表，形成详实的自评报告，并在2023年4月19日之前按时完成自评工作，并对所报送自评材料的真实性、完整性、一致性、规范性负责。</w:t>
      </w:r>
    </w:p>
    <w:p w14:paraId="0B7156DF">
      <w:pPr>
        <w:keepNext w:val="0"/>
        <w:keepLines w:val="0"/>
        <w:pageBreakBefore w:val="0"/>
        <w:widowControl w:val="0"/>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color w:val="000000" w:themeColor="text1"/>
          <w:spacing w:val="0"/>
          <w:sz w:val="32"/>
          <w:szCs w:val="24"/>
          <w:lang w:val="zh-CN"/>
          <w14:textFill>
            <w14:solidFill>
              <w14:schemeClr w14:val="tx1"/>
            </w14:solidFill>
          </w14:textFill>
        </w:rPr>
      </w:pPr>
      <w:r>
        <w:rPr>
          <w:rFonts w:hint="default" w:ascii="Times New Roman" w:hAnsi="Times New Roman" w:eastAsia="楷体_GB2312" w:cs="Times New Roman"/>
          <w:color w:val="000000" w:themeColor="text1"/>
          <w:spacing w:val="0"/>
          <w:sz w:val="32"/>
          <w:szCs w:val="24"/>
          <w:lang w:val="zh-CN"/>
          <w14:textFill>
            <w14:solidFill>
              <w14:schemeClr w14:val="tx1"/>
            </w14:solidFill>
          </w14:textFill>
        </w:rPr>
        <w:t>（二）存在问题。</w:t>
      </w:r>
    </w:p>
    <w:p w14:paraId="34C77D62">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1.预算编制细化程度不够。</w:t>
      </w:r>
    </w:p>
    <w:p w14:paraId="3CF9F733">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color w:val="000000" w:themeColor="text1"/>
          <w:spacing w:val="0"/>
          <w:sz w:val="32"/>
          <w:szCs w:val="24"/>
          <w:lang w:val="zh-CN"/>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2.财政资源配置作用有待进一步加强。</w:t>
      </w:r>
    </w:p>
    <w:p w14:paraId="3DE28AE2">
      <w:pPr>
        <w:keepNext w:val="0"/>
        <w:keepLines w:val="0"/>
        <w:pageBreakBefore w:val="0"/>
        <w:widowControl w:val="0"/>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color w:val="000000" w:themeColor="text1"/>
          <w:spacing w:val="0"/>
          <w:sz w:val="32"/>
          <w:szCs w:val="24"/>
          <w:lang w:val="zh-CN"/>
          <w14:textFill>
            <w14:solidFill>
              <w14:schemeClr w14:val="tx1"/>
            </w14:solidFill>
          </w14:textFill>
        </w:rPr>
      </w:pPr>
      <w:r>
        <w:rPr>
          <w:rFonts w:hint="default" w:ascii="Times New Roman" w:hAnsi="Times New Roman" w:eastAsia="楷体_GB2312" w:cs="Times New Roman"/>
          <w:color w:val="000000" w:themeColor="text1"/>
          <w:spacing w:val="0"/>
          <w:sz w:val="32"/>
          <w:szCs w:val="24"/>
          <w:lang w:val="zh-CN"/>
          <w14:textFill>
            <w14:solidFill>
              <w14:schemeClr w14:val="tx1"/>
            </w14:solidFill>
          </w14:textFill>
        </w:rPr>
        <w:t>（三）改进建议。</w:t>
      </w:r>
    </w:p>
    <w:p w14:paraId="6DCC4C14">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1.不断完善部门预算编制工作，在规范制度、细化编制、严格执行等方面下功夫，切实提高预算管理全过程的科学化和精细化水平。</w:t>
      </w:r>
    </w:p>
    <w:p w14:paraId="411889FB">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32"/>
          <w14:textFill>
            <w14:solidFill>
              <w14:schemeClr w14:val="tx1"/>
            </w14:solidFill>
          </w14:textFill>
        </w:rPr>
        <w:t>2.优化支出结构，统筹运用财力，合理调度财政资金，确保正常运转和社会稳定。加强财政监督，完善监督制约机制，特别是加强项目资金管理，做到专款专用，不断提高财政资金的使用效益。</w:t>
      </w:r>
    </w:p>
    <w:p w14:paraId="323DB44A">
      <w:pPr>
        <w:keepNext w:val="0"/>
        <w:keepLines w:val="0"/>
        <w:pageBreakBefore w:val="0"/>
        <w:widowControl w:val="0"/>
        <w:kinsoku/>
        <w:wordWrap/>
        <w:topLinePunct w:val="0"/>
        <w:bidi w:val="0"/>
        <w:adjustRightInd w:val="0"/>
        <w:snapToGrid w:val="0"/>
        <w:spacing w:beforeLines="0" w:afterLines="0" w:line="576" w:lineRule="exact"/>
        <w:ind w:firstLine="640"/>
        <w:jc w:val="both"/>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p>
    <w:p w14:paraId="681C8C95">
      <w:pPr>
        <w:keepNext w:val="0"/>
        <w:keepLines w:val="0"/>
        <w:pageBreakBefore w:val="0"/>
        <w:widowControl w:val="0"/>
        <w:kinsoku/>
        <w:wordWrap/>
        <w:topLinePunct w:val="0"/>
        <w:bidi w:val="0"/>
        <w:adjustRightInd w:val="0"/>
        <w:snapToGrid w:val="0"/>
        <w:spacing w:beforeLines="0" w:afterLines="0" w:line="576" w:lineRule="exact"/>
        <w:ind w:firstLine="640"/>
        <w:jc w:val="both"/>
        <w:rPr>
          <w:rFonts w:hint="default" w:ascii="Times New Roman" w:hAnsi="Times New Roman" w:eastAsia="黑体" w:cs="Times New Roman"/>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附表：部门预算项目支出绩效自评表（2023年度）</w:t>
      </w:r>
    </w:p>
    <w:p w14:paraId="6ECF57A3">
      <w:pPr>
        <w:keepNext w:val="0"/>
        <w:keepLines w:val="0"/>
        <w:pageBreakBefore w:val="0"/>
        <w:widowControl w:val="0"/>
        <w:kinsoku/>
        <w:wordWrap/>
        <w:topLinePunct w:val="0"/>
        <w:bidi w:val="0"/>
        <w:adjustRightInd w:val="0"/>
        <w:snapToGrid w:val="0"/>
        <w:spacing w:beforeLines="0" w:afterLines="0" w:line="576" w:lineRule="exact"/>
        <w:jc w:val="both"/>
        <w:rPr>
          <w:rFonts w:hint="default" w:ascii="Times New Roman" w:hAnsi="Times New Roman" w:eastAsia="黑体" w:cs="Times New Roman"/>
          <w:color w:val="000000" w:themeColor="text1"/>
          <w:spacing w:val="0"/>
          <w:kern w:val="2"/>
          <w:sz w:val="32"/>
          <w:szCs w:val="24"/>
          <w14:textFill>
            <w14:solidFill>
              <w14:schemeClr w14:val="tx1"/>
            </w14:solidFill>
          </w14:textFill>
        </w:rPr>
      </w:pPr>
    </w:p>
    <w:p w14:paraId="6291CA08">
      <w:pPr>
        <w:keepNext w:val="0"/>
        <w:keepLines w:val="0"/>
        <w:pageBreakBefore w:val="0"/>
        <w:widowControl w:val="0"/>
        <w:tabs>
          <w:tab w:val="left" w:pos="8943"/>
        </w:tabs>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eastAsia" w:ascii="方正小标宋简体" w:hAnsi="方正小标宋简体" w:eastAsia="方正小标宋简体" w:cs="方正小标宋简体"/>
          <w:color w:val="000000" w:themeColor="text1"/>
          <w:spacing w:val="6"/>
          <w:kern w:val="21"/>
          <w:sz w:val="36"/>
          <w:szCs w:val="36"/>
          <w:lang w:bidi="ar"/>
          <w14:textFill>
            <w14:solidFill>
              <w14:schemeClr w14:val="tx1"/>
            </w14:solidFill>
          </w14:textFill>
        </w:rPr>
        <w:t>广元市昭化区部门整体支出绩效目标自评表</w:t>
      </w:r>
    </w:p>
    <w:p w14:paraId="050677A7">
      <w:pPr>
        <w:keepNext w:val="0"/>
        <w:keepLines w:val="0"/>
        <w:pageBreakBefore w:val="0"/>
        <w:widowControl w:val="0"/>
        <w:tabs>
          <w:tab w:val="left" w:pos="8943"/>
        </w:tabs>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b/>
          <w:color w:val="000000" w:themeColor="text1"/>
          <w:spacing w:val="6"/>
          <w:kern w:val="21"/>
          <w:sz w:val="24"/>
          <w:szCs w:val="24"/>
          <w:lang w:bidi="ar"/>
          <w14:textFill>
            <w14:solidFill>
              <w14:schemeClr w14:val="tx1"/>
            </w14:solidFill>
          </w14:textFill>
        </w:rPr>
        <w:t>（ 2023年度）</w:t>
      </w:r>
    </w:p>
    <w:tbl>
      <w:tblPr>
        <w:tblStyle w:val="11"/>
        <w:tblW w:w="500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4"/>
        <w:gridCol w:w="681"/>
        <w:gridCol w:w="824"/>
        <w:gridCol w:w="1009"/>
        <w:gridCol w:w="2138"/>
        <w:gridCol w:w="1145"/>
        <w:gridCol w:w="1262"/>
        <w:gridCol w:w="1373"/>
      </w:tblGrid>
      <w:tr w14:paraId="556D2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73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A32F6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主管部门</w:t>
            </w:r>
          </w:p>
        </w:tc>
        <w:tc>
          <w:tcPr>
            <w:tcW w:w="218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E63F6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广元市昭化区供销合作社联合社部门</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BA3CB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实施单位</w:t>
            </w:r>
          </w:p>
        </w:tc>
        <w:tc>
          <w:tcPr>
            <w:tcW w:w="145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DD630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广元市昭化区供销合作社联合社</w:t>
            </w:r>
          </w:p>
        </w:tc>
      </w:tr>
      <w:tr w14:paraId="58736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730"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543F418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项目（政策）资金（万元）</w:t>
            </w:r>
          </w:p>
        </w:tc>
        <w:tc>
          <w:tcPr>
            <w:tcW w:w="1010" w:type="pct"/>
            <w:gridSpan w:val="2"/>
            <w:tcBorders>
              <w:top w:val="nil"/>
              <w:left w:val="single" w:color="000000" w:sz="4" w:space="0"/>
              <w:bottom w:val="single" w:color="000000" w:sz="4" w:space="0"/>
              <w:right w:val="single" w:color="000000" w:sz="4" w:space="0"/>
              <w:tl2br w:val="nil"/>
              <w:tr2bl w:val="nil"/>
            </w:tcBorders>
            <w:noWrap w:val="0"/>
            <w:vAlign w:val="center"/>
          </w:tcPr>
          <w:p w14:paraId="1DED1D7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年度预算数（万元）</w:t>
            </w:r>
          </w:p>
        </w:tc>
        <w:tc>
          <w:tcPr>
            <w:tcW w:w="1178" w:type="pct"/>
            <w:tcBorders>
              <w:top w:val="nil"/>
              <w:left w:val="single" w:color="000000" w:sz="4" w:space="0"/>
              <w:bottom w:val="single" w:color="000000" w:sz="4" w:space="0"/>
              <w:right w:val="single" w:color="000000" w:sz="4" w:space="0"/>
              <w:tl2br w:val="nil"/>
              <w:tr2bl w:val="nil"/>
            </w:tcBorders>
            <w:noWrap w:val="0"/>
            <w:vAlign w:val="center"/>
          </w:tcPr>
          <w:p w14:paraId="066823B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年初预算数</w:t>
            </w:r>
          </w:p>
        </w:tc>
        <w:tc>
          <w:tcPr>
            <w:tcW w:w="629" w:type="pct"/>
            <w:tcBorders>
              <w:top w:val="nil"/>
              <w:left w:val="single" w:color="000000" w:sz="4" w:space="0"/>
              <w:bottom w:val="single" w:color="000000" w:sz="4" w:space="0"/>
              <w:right w:val="single" w:color="000000" w:sz="4" w:space="0"/>
              <w:tl2br w:val="nil"/>
              <w:tr2bl w:val="nil"/>
            </w:tcBorders>
            <w:noWrap w:val="0"/>
            <w:vAlign w:val="center"/>
          </w:tcPr>
          <w:p w14:paraId="43C0783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全年预算数</w:t>
            </w:r>
          </w:p>
        </w:tc>
        <w:tc>
          <w:tcPr>
            <w:tcW w:w="695" w:type="pct"/>
            <w:tcBorders>
              <w:top w:val="nil"/>
              <w:left w:val="single" w:color="000000" w:sz="4" w:space="0"/>
              <w:bottom w:val="single" w:color="000000" w:sz="4" w:space="0"/>
              <w:right w:val="single" w:color="000000" w:sz="4" w:space="0"/>
              <w:tl2br w:val="nil"/>
              <w:tr2bl w:val="nil"/>
            </w:tcBorders>
            <w:noWrap w:val="0"/>
            <w:vAlign w:val="center"/>
          </w:tcPr>
          <w:p w14:paraId="3CCA12E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全年执行数</w:t>
            </w:r>
          </w:p>
        </w:tc>
        <w:tc>
          <w:tcPr>
            <w:tcW w:w="756" w:type="pct"/>
            <w:tcBorders>
              <w:top w:val="nil"/>
              <w:left w:val="single" w:color="000000" w:sz="4" w:space="0"/>
              <w:bottom w:val="single" w:color="000000" w:sz="4" w:space="0"/>
              <w:right w:val="single" w:color="000000" w:sz="4" w:space="0"/>
              <w:tl2br w:val="nil"/>
              <w:tr2bl w:val="nil"/>
            </w:tcBorders>
            <w:noWrap w:val="0"/>
            <w:vAlign w:val="center"/>
          </w:tcPr>
          <w:p w14:paraId="404FC7FF">
            <w:pPr>
              <w:keepNext w:val="0"/>
              <w:keepLines w:val="0"/>
              <w:pageBreakBefore w:val="0"/>
              <w:widowControl w:val="0"/>
              <w:kinsoku/>
              <w:wordWrap/>
              <w:topLinePunct w:val="0"/>
              <w:bidi w:val="0"/>
              <w:adjustRightInd w:val="0"/>
              <w:snapToGrid w:val="0"/>
              <w:spacing w:beforeLines="0" w:afterLines="0"/>
              <w:jc w:val="center"/>
              <w:textAlignment w:val="center"/>
              <w:rPr>
                <w:rFonts w:hint="eastAsia" w:ascii="Times New Roman" w:hAnsi="Times New Roman" w:eastAsia="宋体" w:cs="Times New Roman"/>
                <w:color w:val="000000" w:themeColor="text1"/>
                <w:spacing w:val="6"/>
                <w:kern w:val="21"/>
                <w:sz w:val="18"/>
                <w:szCs w:val="18"/>
                <w:lang w:eastAsia="zh-CN"/>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执行率</w:t>
            </w:r>
            <w:r>
              <w:rPr>
                <w:rFonts w:hint="eastAsia" w:ascii="Times New Roman" w:hAnsi="Times New Roman" w:cs="Times New Roman"/>
                <w:color w:val="000000" w:themeColor="text1"/>
                <w:spacing w:val="6"/>
                <w:kern w:val="21"/>
                <w:sz w:val="18"/>
                <w:szCs w:val="18"/>
                <w:lang w:eastAsia="zh-CN" w:bidi="ar"/>
                <w14:textFill>
                  <w14:solidFill>
                    <w14:schemeClr w14:val="tx1"/>
                  </w14:solidFill>
                </w14:textFill>
              </w:rPr>
              <w:t>（</w:t>
            </w:r>
            <w:r>
              <w:rPr>
                <w:rFonts w:hint="default" w:ascii="Times New Roman" w:hAnsi="Times New Roman" w:cs="Times New Roman"/>
                <w:color w:val="000000" w:themeColor="text1"/>
                <w:spacing w:val="6"/>
                <w:kern w:val="21"/>
                <w:sz w:val="18"/>
                <w:szCs w:val="18"/>
                <w:lang w:bidi="ar"/>
                <w14:textFill>
                  <w14:solidFill>
                    <w14:schemeClr w14:val="tx1"/>
                  </w14:solidFill>
                </w14:textFill>
              </w:rPr>
              <w:t>%</w:t>
            </w:r>
            <w:r>
              <w:rPr>
                <w:rFonts w:hint="eastAsia" w:ascii="Times New Roman" w:hAnsi="Times New Roman" w:cs="Times New Roman"/>
                <w:color w:val="000000" w:themeColor="text1"/>
                <w:spacing w:val="6"/>
                <w:kern w:val="21"/>
                <w:sz w:val="18"/>
                <w:szCs w:val="18"/>
                <w:lang w:eastAsia="zh-CN" w:bidi="ar"/>
                <w14:textFill>
                  <w14:solidFill>
                    <w14:schemeClr w14:val="tx1"/>
                  </w14:solidFill>
                </w14:textFill>
              </w:rPr>
              <w:t>）</w:t>
            </w:r>
          </w:p>
        </w:tc>
      </w:tr>
      <w:tr w14:paraId="31685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73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767DD49">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101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A76E36">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年度资金总额</w:t>
            </w:r>
          </w:p>
        </w:tc>
        <w:tc>
          <w:tcPr>
            <w:tcW w:w="1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9E269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208.32</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2E612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208.32</w:t>
            </w:r>
          </w:p>
        </w:tc>
        <w:tc>
          <w:tcPr>
            <w:tcW w:w="6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F025D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205.82</w:t>
            </w:r>
          </w:p>
        </w:tc>
        <w:tc>
          <w:tcPr>
            <w:tcW w:w="756" w:type="pct"/>
            <w:tcBorders>
              <w:top w:val="nil"/>
              <w:left w:val="single" w:color="000000" w:sz="4" w:space="0"/>
              <w:bottom w:val="single" w:color="000000" w:sz="4" w:space="0"/>
              <w:right w:val="single" w:color="000000" w:sz="4" w:space="0"/>
              <w:tl2br w:val="nil"/>
              <w:tr2bl w:val="nil"/>
            </w:tcBorders>
            <w:noWrap w:val="0"/>
            <w:vAlign w:val="center"/>
          </w:tcPr>
          <w:p w14:paraId="2E8EE71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98.80%</w:t>
            </w:r>
          </w:p>
        </w:tc>
      </w:tr>
      <w:tr w14:paraId="278CE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73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1209A90">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101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186507">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（一）财政拨款小计</w:t>
            </w:r>
          </w:p>
        </w:tc>
        <w:tc>
          <w:tcPr>
            <w:tcW w:w="1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9DD7F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208.32</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954AE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208.32</w:t>
            </w:r>
          </w:p>
        </w:tc>
        <w:tc>
          <w:tcPr>
            <w:tcW w:w="6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C90D0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205.82</w:t>
            </w:r>
          </w:p>
        </w:tc>
        <w:tc>
          <w:tcPr>
            <w:tcW w:w="756" w:type="pct"/>
            <w:tcBorders>
              <w:top w:val="nil"/>
              <w:left w:val="single" w:color="000000" w:sz="4" w:space="0"/>
              <w:bottom w:val="single" w:color="000000" w:sz="4" w:space="0"/>
              <w:right w:val="single" w:color="000000" w:sz="4" w:space="0"/>
              <w:tl2br w:val="nil"/>
              <w:tr2bl w:val="nil"/>
            </w:tcBorders>
            <w:noWrap w:val="0"/>
            <w:vAlign w:val="center"/>
          </w:tcPr>
          <w:p w14:paraId="21C070F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98.80%</w:t>
            </w:r>
          </w:p>
        </w:tc>
      </w:tr>
      <w:tr w14:paraId="64D7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73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D19E87C">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101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589B75">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 xml:space="preserve"> 1.一般公共预算</w:t>
            </w:r>
          </w:p>
        </w:tc>
        <w:tc>
          <w:tcPr>
            <w:tcW w:w="1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B970D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208.32</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47335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208.32</w:t>
            </w:r>
          </w:p>
        </w:tc>
        <w:tc>
          <w:tcPr>
            <w:tcW w:w="6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A7EB6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205.82</w:t>
            </w:r>
          </w:p>
        </w:tc>
        <w:tc>
          <w:tcPr>
            <w:tcW w:w="756" w:type="pct"/>
            <w:tcBorders>
              <w:top w:val="nil"/>
              <w:left w:val="single" w:color="000000" w:sz="4" w:space="0"/>
              <w:bottom w:val="single" w:color="000000" w:sz="4" w:space="0"/>
              <w:right w:val="single" w:color="000000" w:sz="4" w:space="0"/>
              <w:tl2br w:val="nil"/>
              <w:tr2bl w:val="nil"/>
            </w:tcBorders>
            <w:noWrap w:val="0"/>
            <w:vAlign w:val="center"/>
          </w:tcPr>
          <w:p w14:paraId="0219FAB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98.80%</w:t>
            </w:r>
          </w:p>
        </w:tc>
      </w:tr>
      <w:tr w14:paraId="2FD1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5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A977C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整体</w:t>
            </w:r>
            <w:r>
              <w:rPr>
                <w:rFonts w:hint="default" w:ascii="Times New Roman" w:hAnsi="Times New Roman" w:cs="Times New Roman"/>
                <w:color w:val="000000" w:themeColor="text1"/>
                <w:spacing w:val="6"/>
                <w:kern w:val="21"/>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kern w:val="21"/>
                <w:sz w:val="18"/>
                <w:szCs w:val="18"/>
                <w:lang w:bidi="ar"/>
                <w14:textFill>
                  <w14:solidFill>
                    <w14:schemeClr w14:val="tx1"/>
                  </w14:solidFill>
                </w14:textFill>
              </w:rPr>
              <w:t>目标</w:t>
            </w:r>
          </w:p>
        </w:tc>
        <w:tc>
          <w:tcPr>
            <w:tcW w:w="3193"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18832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年度目标</w:t>
            </w:r>
          </w:p>
        </w:tc>
        <w:tc>
          <w:tcPr>
            <w:tcW w:w="145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5F46A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完成情况</w:t>
            </w:r>
          </w:p>
        </w:tc>
      </w:tr>
      <w:tr w14:paraId="61DEE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9" w:hRule="atLeast"/>
          <w:jc w:val="center"/>
        </w:trPr>
        <w:tc>
          <w:tcPr>
            <w:tcW w:w="35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41AE5B">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3193"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10AFA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完成社会化服务网点建设及维护和废弃农膜回收站点改造升级工作；完成区委下达招商引资和争取项目资金目标任务；落实经费保障，确保各项工作有效运转。</w:t>
            </w:r>
          </w:p>
        </w:tc>
        <w:tc>
          <w:tcPr>
            <w:tcW w:w="145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9282D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已完成社会化服务网点建设及维护和废弃农膜回收站点改造升级工作；完成区委下达招商引资和争取项目资金目标任务；落实经费保障，确保各项工作有效运转。</w:t>
            </w:r>
          </w:p>
        </w:tc>
      </w:tr>
      <w:tr w14:paraId="3441B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35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6E57D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部门整体绩效指标</w:t>
            </w:r>
          </w:p>
        </w:tc>
        <w:tc>
          <w:tcPr>
            <w:tcW w:w="3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25AF4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一级指标</w:t>
            </w:r>
          </w:p>
        </w:tc>
        <w:tc>
          <w:tcPr>
            <w:tcW w:w="4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C6AF2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二级指标</w:t>
            </w:r>
          </w:p>
        </w:tc>
        <w:tc>
          <w:tcPr>
            <w:tcW w:w="173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7A511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三级指标</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9B793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年度指标值</w:t>
            </w:r>
          </w:p>
        </w:tc>
        <w:tc>
          <w:tcPr>
            <w:tcW w:w="6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13243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实际完成值</w:t>
            </w:r>
          </w:p>
        </w:tc>
        <w:tc>
          <w:tcPr>
            <w:tcW w:w="756" w:type="pct"/>
            <w:tcBorders>
              <w:top w:val="nil"/>
              <w:left w:val="nil"/>
              <w:bottom w:val="nil"/>
              <w:right w:val="single" w:color="000000" w:sz="4" w:space="0"/>
              <w:tl2br w:val="nil"/>
              <w:tr2bl w:val="nil"/>
            </w:tcBorders>
            <w:noWrap w:val="0"/>
            <w:vAlign w:val="center"/>
          </w:tcPr>
          <w:p w14:paraId="09623DB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偏差原因分析及改进措施</w:t>
            </w:r>
          </w:p>
        </w:tc>
      </w:tr>
      <w:tr w14:paraId="16952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35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96994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37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26C98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产出指标</w:t>
            </w:r>
          </w:p>
        </w:tc>
        <w:tc>
          <w:tcPr>
            <w:tcW w:w="454"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8140F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数量指标</w:t>
            </w:r>
          </w:p>
        </w:tc>
        <w:tc>
          <w:tcPr>
            <w:tcW w:w="555" w:type="pct"/>
            <w:tcBorders>
              <w:top w:val="single" w:color="000000" w:sz="4" w:space="0"/>
              <w:left w:val="single" w:color="000000" w:sz="4" w:space="0"/>
              <w:bottom w:val="single" w:color="000000" w:sz="4" w:space="0"/>
              <w:right w:val="nil"/>
              <w:tl2br w:val="nil"/>
              <w:tr2bl w:val="nil"/>
            </w:tcBorders>
            <w:noWrap w:val="0"/>
            <w:vAlign w:val="center"/>
          </w:tcPr>
          <w:p w14:paraId="224D363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指标1：</w:t>
            </w:r>
          </w:p>
        </w:tc>
        <w:tc>
          <w:tcPr>
            <w:tcW w:w="1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4E0F8F">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废弃农膜回收站点维护改造任务</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00DB7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15个</w:t>
            </w:r>
          </w:p>
        </w:tc>
        <w:tc>
          <w:tcPr>
            <w:tcW w:w="6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421BF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15个</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A58948">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r>
      <w:tr w14:paraId="56841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35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975370">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37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9E8E9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45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5E462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555" w:type="pct"/>
            <w:tcBorders>
              <w:top w:val="single" w:color="000000" w:sz="4" w:space="0"/>
              <w:left w:val="single" w:color="000000" w:sz="4" w:space="0"/>
              <w:bottom w:val="single" w:color="000000" w:sz="4" w:space="0"/>
              <w:right w:val="nil"/>
              <w:tl2br w:val="nil"/>
              <w:tr2bl w:val="nil"/>
            </w:tcBorders>
            <w:noWrap w:val="0"/>
            <w:vAlign w:val="center"/>
          </w:tcPr>
          <w:p w14:paraId="47CFFF7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指标2：</w:t>
            </w:r>
          </w:p>
        </w:tc>
        <w:tc>
          <w:tcPr>
            <w:tcW w:w="1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46B0BE">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网络体系建设完成新建和维护任务</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67B6E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45个</w:t>
            </w:r>
          </w:p>
        </w:tc>
        <w:tc>
          <w:tcPr>
            <w:tcW w:w="6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979D8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45个</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FB191C">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r>
      <w:tr w14:paraId="3FEB3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35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61138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37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76F48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45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C48220">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555" w:type="pct"/>
            <w:tcBorders>
              <w:top w:val="single" w:color="000000" w:sz="4" w:space="0"/>
              <w:left w:val="single" w:color="000000" w:sz="4" w:space="0"/>
              <w:bottom w:val="single" w:color="000000" w:sz="4" w:space="0"/>
              <w:right w:val="nil"/>
              <w:tl2br w:val="nil"/>
              <w:tr2bl w:val="nil"/>
            </w:tcBorders>
            <w:noWrap w:val="0"/>
            <w:vAlign w:val="center"/>
          </w:tcPr>
          <w:p w14:paraId="571A8D5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指标3：</w:t>
            </w:r>
          </w:p>
        </w:tc>
        <w:tc>
          <w:tcPr>
            <w:tcW w:w="1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B340F1">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向省、市部门对接，争取项目资金</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2A593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8次</w:t>
            </w:r>
          </w:p>
        </w:tc>
        <w:tc>
          <w:tcPr>
            <w:tcW w:w="6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80980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8次</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EBB905">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r>
      <w:tr w14:paraId="22512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35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75AAA5">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37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2CFBF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45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15547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555" w:type="pct"/>
            <w:tcBorders>
              <w:top w:val="single" w:color="000000" w:sz="4" w:space="0"/>
              <w:left w:val="single" w:color="000000" w:sz="4" w:space="0"/>
              <w:bottom w:val="single" w:color="000000" w:sz="4" w:space="0"/>
              <w:right w:val="nil"/>
              <w:tl2br w:val="nil"/>
              <w:tr2bl w:val="nil"/>
            </w:tcBorders>
            <w:noWrap w:val="0"/>
            <w:vAlign w:val="center"/>
          </w:tcPr>
          <w:p w14:paraId="66EC7DE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指标4：</w:t>
            </w:r>
          </w:p>
        </w:tc>
        <w:tc>
          <w:tcPr>
            <w:tcW w:w="1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8ACA83">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引进企业个数</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0B19E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2家</w:t>
            </w:r>
          </w:p>
        </w:tc>
        <w:tc>
          <w:tcPr>
            <w:tcW w:w="6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15C6A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2家</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D9946D">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r>
      <w:tr w14:paraId="2D575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6" w:hRule="atLeast"/>
          <w:jc w:val="center"/>
        </w:trPr>
        <w:tc>
          <w:tcPr>
            <w:tcW w:w="35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3063A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37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031CB8">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4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E017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时效指标</w:t>
            </w:r>
          </w:p>
        </w:tc>
        <w:tc>
          <w:tcPr>
            <w:tcW w:w="555" w:type="pct"/>
            <w:tcBorders>
              <w:top w:val="single" w:color="000000" w:sz="4" w:space="0"/>
              <w:left w:val="single" w:color="000000" w:sz="4" w:space="0"/>
              <w:bottom w:val="single" w:color="000000" w:sz="4" w:space="0"/>
              <w:right w:val="nil"/>
              <w:tl2br w:val="nil"/>
              <w:tr2bl w:val="nil"/>
            </w:tcBorders>
            <w:noWrap w:val="0"/>
            <w:vAlign w:val="center"/>
          </w:tcPr>
          <w:p w14:paraId="64FCF66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指标1：</w:t>
            </w:r>
          </w:p>
        </w:tc>
        <w:tc>
          <w:tcPr>
            <w:tcW w:w="1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6F0898">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人员经费，网络体系建设、废弃农膜回收价格补贴、招商引资工作经费、争取项目资金工作经费完成率</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807B4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5%</w:t>
            </w:r>
          </w:p>
        </w:tc>
        <w:tc>
          <w:tcPr>
            <w:tcW w:w="6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09435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5%</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916597">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r>
      <w:tr w14:paraId="63A3B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35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DAAC7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37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CA8C5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454"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3B2CD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成本指标</w:t>
            </w:r>
          </w:p>
        </w:tc>
        <w:tc>
          <w:tcPr>
            <w:tcW w:w="555" w:type="pct"/>
            <w:tcBorders>
              <w:top w:val="single" w:color="000000" w:sz="4" w:space="0"/>
              <w:left w:val="single" w:color="000000" w:sz="4" w:space="0"/>
              <w:bottom w:val="single" w:color="000000" w:sz="4" w:space="0"/>
              <w:right w:val="nil"/>
              <w:tl2br w:val="nil"/>
              <w:tr2bl w:val="nil"/>
            </w:tcBorders>
            <w:noWrap w:val="0"/>
            <w:vAlign w:val="center"/>
          </w:tcPr>
          <w:p w14:paraId="5057FAC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指标1：</w:t>
            </w:r>
          </w:p>
        </w:tc>
        <w:tc>
          <w:tcPr>
            <w:tcW w:w="1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CFB775">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工资、社会保障及人员公用经费</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89017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1858220.16元</w:t>
            </w:r>
          </w:p>
        </w:tc>
        <w:tc>
          <w:tcPr>
            <w:tcW w:w="6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D60C7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1858220.16元</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CD415F">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r>
      <w:tr w14:paraId="563F0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35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A8EE3D">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37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A0B00A">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45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098819">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555" w:type="pct"/>
            <w:tcBorders>
              <w:top w:val="single" w:color="000000" w:sz="4" w:space="0"/>
              <w:left w:val="single" w:color="000000" w:sz="4" w:space="0"/>
              <w:bottom w:val="single" w:color="000000" w:sz="4" w:space="0"/>
              <w:right w:val="nil"/>
              <w:tl2br w:val="nil"/>
              <w:tr2bl w:val="nil"/>
            </w:tcBorders>
            <w:noWrap w:val="0"/>
            <w:vAlign w:val="center"/>
          </w:tcPr>
          <w:p w14:paraId="19722AD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指标2：</w:t>
            </w:r>
          </w:p>
        </w:tc>
        <w:tc>
          <w:tcPr>
            <w:tcW w:w="1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BC849E">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开展招商引资，争取项目资金人员经费及公用经费</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C363D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7.5万元</w:t>
            </w:r>
          </w:p>
        </w:tc>
        <w:tc>
          <w:tcPr>
            <w:tcW w:w="6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1BD7F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7.5万元</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F5C58">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r>
      <w:tr w14:paraId="3BD92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35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3D46F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37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37B6FB">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45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5B16A0">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555" w:type="pct"/>
            <w:tcBorders>
              <w:top w:val="single" w:color="000000" w:sz="4" w:space="0"/>
              <w:left w:val="single" w:color="000000" w:sz="4" w:space="0"/>
              <w:bottom w:val="single" w:color="000000" w:sz="4" w:space="0"/>
              <w:right w:val="nil"/>
              <w:tl2br w:val="nil"/>
              <w:tr2bl w:val="nil"/>
            </w:tcBorders>
            <w:noWrap w:val="0"/>
            <w:vAlign w:val="center"/>
          </w:tcPr>
          <w:p w14:paraId="66A2826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指标3：</w:t>
            </w:r>
          </w:p>
        </w:tc>
        <w:tc>
          <w:tcPr>
            <w:tcW w:w="1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7101F0">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社会化服务网点新建、维修和废弃农膜及农药包装物回收处置</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DF28A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15万元</w:t>
            </w:r>
          </w:p>
        </w:tc>
        <w:tc>
          <w:tcPr>
            <w:tcW w:w="6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51B89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15万元</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0DA37F">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r>
      <w:tr w14:paraId="1585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35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B71485">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37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0C4AA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效益指标</w:t>
            </w:r>
          </w:p>
        </w:tc>
        <w:tc>
          <w:tcPr>
            <w:tcW w:w="454" w:type="pct"/>
            <w:tcBorders>
              <w:top w:val="single" w:color="000000" w:sz="4" w:space="0"/>
              <w:left w:val="single" w:color="000000" w:sz="4" w:space="0"/>
              <w:bottom w:val="nil"/>
              <w:right w:val="single" w:color="000000" w:sz="4" w:space="0"/>
              <w:tl2br w:val="nil"/>
              <w:tr2bl w:val="nil"/>
            </w:tcBorders>
            <w:noWrap w:val="0"/>
            <w:vAlign w:val="center"/>
          </w:tcPr>
          <w:p w14:paraId="65321EE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经济效益指标</w:t>
            </w:r>
          </w:p>
        </w:tc>
        <w:tc>
          <w:tcPr>
            <w:tcW w:w="555" w:type="pct"/>
            <w:tcBorders>
              <w:top w:val="single" w:color="000000" w:sz="4" w:space="0"/>
              <w:left w:val="single" w:color="000000" w:sz="4" w:space="0"/>
              <w:bottom w:val="single" w:color="000000" w:sz="4" w:space="0"/>
              <w:right w:val="nil"/>
              <w:tl2br w:val="nil"/>
              <w:tr2bl w:val="nil"/>
            </w:tcBorders>
            <w:noWrap w:val="0"/>
            <w:vAlign w:val="center"/>
          </w:tcPr>
          <w:p w14:paraId="46EA387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指标1：</w:t>
            </w:r>
          </w:p>
        </w:tc>
        <w:tc>
          <w:tcPr>
            <w:tcW w:w="1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F3191A">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服务“三农”，提升为农业农村服务能力和基层供销社、社有企业的收益</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791F4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效果明显</w:t>
            </w:r>
          </w:p>
        </w:tc>
        <w:tc>
          <w:tcPr>
            <w:tcW w:w="6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D1278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效果明显</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64C9EF">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r>
      <w:tr w14:paraId="2BBE2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35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2F392C">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37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228969">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454" w:type="pct"/>
            <w:tcBorders>
              <w:top w:val="single" w:color="000000" w:sz="4" w:space="0"/>
              <w:left w:val="single" w:color="000000" w:sz="4" w:space="0"/>
              <w:bottom w:val="nil"/>
              <w:right w:val="single" w:color="000000" w:sz="4" w:space="0"/>
              <w:tl2br w:val="nil"/>
              <w:tr2bl w:val="nil"/>
            </w:tcBorders>
            <w:noWrap w:val="0"/>
            <w:vAlign w:val="center"/>
          </w:tcPr>
          <w:p w14:paraId="2F3CA92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社会效益指标</w:t>
            </w:r>
          </w:p>
        </w:tc>
        <w:tc>
          <w:tcPr>
            <w:tcW w:w="555" w:type="pct"/>
            <w:tcBorders>
              <w:top w:val="single" w:color="000000" w:sz="4" w:space="0"/>
              <w:left w:val="single" w:color="000000" w:sz="4" w:space="0"/>
              <w:bottom w:val="single" w:color="000000" w:sz="4" w:space="0"/>
              <w:right w:val="nil"/>
              <w:tl2br w:val="nil"/>
              <w:tr2bl w:val="nil"/>
            </w:tcBorders>
            <w:noWrap w:val="0"/>
            <w:vAlign w:val="center"/>
          </w:tcPr>
          <w:p w14:paraId="37A328E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指标1：</w:t>
            </w:r>
          </w:p>
        </w:tc>
        <w:tc>
          <w:tcPr>
            <w:tcW w:w="1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BC322A">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活跃农村市场，解决老百姓买卖难最后一公里</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D10FE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效果明显</w:t>
            </w:r>
          </w:p>
        </w:tc>
        <w:tc>
          <w:tcPr>
            <w:tcW w:w="6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39EEC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效果明显</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91923D">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r>
      <w:tr w14:paraId="7E81A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jc w:val="center"/>
        </w:trPr>
        <w:tc>
          <w:tcPr>
            <w:tcW w:w="35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7FAE0D">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37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7FDA6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454" w:type="pct"/>
            <w:tcBorders>
              <w:top w:val="single" w:color="000000" w:sz="4" w:space="0"/>
              <w:left w:val="single" w:color="000000" w:sz="4" w:space="0"/>
              <w:bottom w:val="nil"/>
              <w:right w:val="single" w:color="000000" w:sz="4" w:space="0"/>
              <w:tl2br w:val="nil"/>
              <w:tr2bl w:val="nil"/>
            </w:tcBorders>
            <w:noWrap w:val="0"/>
            <w:vAlign w:val="center"/>
          </w:tcPr>
          <w:p w14:paraId="3B925C8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生态效益指标</w:t>
            </w:r>
          </w:p>
        </w:tc>
        <w:tc>
          <w:tcPr>
            <w:tcW w:w="555" w:type="pct"/>
            <w:tcBorders>
              <w:top w:val="single" w:color="000000" w:sz="4" w:space="0"/>
              <w:left w:val="single" w:color="000000" w:sz="4" w:space="0"/>
              <w:bottom w:val="single" w:color="000000" w:sz="4" w:space="0"/>
              <w:right w:val="nil"/>
              <w:tl2br w:val="nil"/>
              <w:tr2bl w:val="nil"/>
            </w:tcBorders>
            <w:noWrap w:val="0"/>
            <w:vAlign w:val="center"/>
          </w:tcPr>
          <w:p w14:paraId="3BDB9B5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指标1：</w:t>
            </w:r>
          </w:p>
        </w:tc>
        <w:tc>
          <w:tcPr>
            <w:tcW w:w="1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5F70DC">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保障耕地和饮用水源环境</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DD316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1年</w:t>
            </w:r>
          </w:p>
        </w:tc>
        <w:tc>
          <w:tcPr>
            <w:tcW w:w="6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48FF7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1年</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DDDF8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r>
      <w:tr w14:paraId="6C83F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5" w:hRule="atLeast"/>
          <w:jc w:val="center"/>
        </w:trPr>
        <w:tc>
          <w:tcPr>
            <w:tcW w:w="35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D2B81D">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c>
          <w:tcPr>
            <w:tcW w:w="37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0DF74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满意度指标</w:t>
            </w:r>
          </w:p>
        </w:tc>
        <w:tc>
          <w:tcPr>
            <w:tcW w:w="4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179DE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服务对象满意度指标</w:t>
            </w:r>
          </w:p>
        </w:tc>
        <w:tc>
          <w:tcPr>
            <w:tcW w:w="555" w:type="pct"/>
            <w:tcBorders>
              <w:top w:val="single" w:color="000000" w:sz="4" w:space="0"/>
              <w:left w:val="single" w:color="000000" w:sz="4" w:space="0"/>
              <w:bottom w:val="single" w:color="000000" w:sz="4" w:space="0"/>
              <w:right w:val="nil"/>
              <w:tl2br w:val="nil"/>
              <w:tr2bl w:val="nil"/>
            </w:tcBorders>
            <w:noWrap w:val="0"/>
            <w:vAlign w:val="center"/>
          </w:tcPr>
          <w:p w14:paraId="45EBD4E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指标1：</w:t>
            </w:r>
          </w:p>
        </w:tc>
        <w:tc>
          <w:tcPr>
            <w:tcW w:w="117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4D2B99">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群众满意度</w:t>
            </w:r>
          </w:p>
        </w:tc>
        <w:tc>
          <w:tcPr>
            <w:tcW w:w="62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2F954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90%</w:t>
            </w:r>
          </w:p>
        </w:tc>
        <w:tc>
          <w:tcPr>
            <w:tcW w:w="6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F7C99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kern w:val="21"/>
                <w:sz w:val="18"/>
                <w:szCs w:val="18"/>
                <w14:textFill>
                  <w14:solidFill>
                    <w14:schemeClr w14:val="tx1"/>
                  </w14:solidFill>
                </w14:textFill>
              </w:rPr>
            </w:pPr>
            <w:r>
              <w:rPr>
                <w:rFonts w:hint="default" w:ascii="Times New Roman" w:hAnsi="Times New Roman" w:cs="Times New Roman"/>
                <w:color w:val="000000" w:themeColor="text1"/>
                <w:spacing w:val="6"/>
                <w:kern w:val="21"/>
                <w:sz w:val="18"/>
                <w:szCs w:val="18"/>
                <w:lang w:bidi="ar"/>
                <w14:textFill>
                  <w14:solidFill>
                    <w14:schemeClr w14:val="tx1"/>
                  </w14:solidFill>
                </w14:textFill>
              </w:rPr>
              <w:t>90%</w:t>
            </w:r>
          </w:p>
        </w:tc>
        <w:tc>
          <w:tcPr>
            <w:tcW w:w="75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8B3A5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kern w:val="21"/>
                <w:sz w:val="18"/>
                <w:szCs w:val="18"/>
                <w14:textFill>
                  <w14:solidFill>
                    <w14:schemeClr w14:val="tx1"/>
                  </w14:solidFill>
                </w14:textFill>
              </w:rPr>
            </w:pPr>
          </w:p>
        </w:tc>
      </w:tr>
    </w:tbl>
    <w:p w14:paraId="2E66A7A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eastAsia="方正小标宋简体" w:cs="Times New Roman"/>
          <w:color w:val="000000" w:themeColor="text1"/>
          <w:spacing w:val="0"/>
          <w:sz w:val="36"/>
          <w:szCs w:val="36"/>
          <w14:textFill>
            <w14:solidFill>
              <w14:schemeClr w14:val="tx1"/>
            </w14:solidFill>
          </w14:textFill>
        </w:rPr>
      </w:pPr>
      <w:r>
        <w:rPr>
          <w:rFonts w:hint="default" w:ascii="Times New Roman" w:hAnsi="Times New Roman" w:eastAsia="方正小标宋简体" w:cs="Times New Roman"/>
          <w:color w:val="000000" w:themeColor="text1"/>
          <w:spacing w:val="0"/>
          <w:sz w:val="36"/>
          <w:szCs w:val="36"/>
          <w:lang w:bidi="ar"/>
          <w14:textFill>
            <w14:solidFill>
              <w14:schemeClr w14:val="tx1"/>
            </w14:solidFill>
          </w14:textFill>
        </w:rPr>
        <w:t>广元市昭化区财政项目（政策）支出绩效自评表</w:t>
      </w:r>
    </w:p>
    <w:p w14:paraId="6D62FFDF">
      <w:pPr>
        <w:keepNext w:val="0"/>
        <w:keepLines w:val="0"/>
        <w:pageBreakBefore w:val="0"/>
        <w:widowControl w:val="0"/>
        <w:kinsoku/>
        <w:wordWrap/>
        <w:topLinePunct w:val="0"/>
        <w:bidi w:val="0"/>
        <w:adjustRightInd w:val="0"/>
        <w:snapToGrid w:val="0"/>
        <w:spacing w:beforeLines="0" w:afterLines="0"/>
        <w:jc w:val="center"/>
        <w:textAlignment w:val="top"/>
        <w:rPr>
          <w:rFonts w:hint="default" w:ascii="Times New Roman" w:hAnsi="Times New Roman" w:cs="Times New Roman"/>
          <w:b/>
          <w:color w:val="000000" w:themeColor="text1"/>
          <w:spacing w:val="0"/>
          <w:sz w:val="24"/>
          <w:szCs w:val="24"/>
          <w14:textFill>
            <w14:solidFill>
              <w14:schemeClr w14:val="tx1"/>
            </w14:solidFill>
          </w14:textFill>
        </w:rPr>
      </w:pPr>
      <w:r>
        <w:rPr>
          <w:rFonts w:hint="default" w:ascii="Times New Roman" w:hAnsi="Times New Roman" w:cs="Times New Roman"/>
          <w:b/>
          <w:color w:val="000000" w:themeColor="text1"/>
          <w:spacing w:val="0"/>
          <w:sz w:val="24"/>
          <w:szCs w:val="24"/>
          <w:lang w:bidi="ar"/>
          <w14:textFill>
            <w14:solidFill>
              <w14:schemeClr w14:val="tx1"/>
            </w14:solidFill>
          </w14:textFill>
        </w:rPr>
        <w:t>（ 2023年度）</w:t>
      </w:r>
    </w:p>
    <w:tbl>
      <w:tblPr>
        <w:tblStyle w:val="11"/>
        <w:tblW w:w="5253"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8"/>
        <w:gridCol w:w="604"/>
        <w:gridCol w:w="227"/>
        <w:gridCol w:w="967"/>
        <w:gridCol w:w="310"/>
        <w:gridCol w:w="255"/>
        <w:gridCol w:w="3771"/>
        <w:gridCol w:w="1198"/>
        <w:gridCol w:w="967"/>
        <w:gridCol w:w="830"/>
      </w:tblGrid>
      <w:tr w14:paraId="51E94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51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4B7A1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项目（政策）名称</w:t>
            </w:r>
          </w:p>
        </w:tc>
        <w:tc>
          <w:tcPr>
            <w:tcW w:w="4460" w:type="pct"/>
            <w:gridSpan w:val="8"/>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45E24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2023年第二批省级供销综合改革及发展专项资金</w:t>
            </w:r>
          </w:p>
        </w:tc>
      </w:tr>
      <w:tr w14:paraId="71F0B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51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B238B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主管部门</w:t>
            </w:r>
          </w:p>
        </w:tc>
        <w:tc>
          <w:tcPr>
            <w:tcW w:w="2893"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9BFEA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广元市昭化区供销合作社联合社部门</w:t>
            </w:r>
          </w:p>
        </w:tc>
        <w:tc>
          <w:tcPr>
            <w:tcW w:w="626" w:type="pct"/>
            <w:tcBorders>
              <w:top w:val="single" w:color="000000" w:sz="4" w:space="0"/>
              <w:left w:val="single" w:color="000000" w:sz="4" w:space="0"/>
              <w:bottom w:val="single" w:color="000000" w:sz="4" w:space="0"/>
              <w:right w:val="single" w:color="auto" w:sz="4" w:space="0"/>
              <w:tl2br w:val="nil"/>
              <w:tr2bl w:val="nil"/>
            </w:tcBorders>
            <w:noWrap w:val="0"/>
            <w:vAlign w:val="center"/>
          </w:tcPr>
          <w:p w14:paraId="2ED1E0A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实施单位</w:t>
            </w:r>
          </w:p>
        </w:tc>
        <w:tc>
          <w:tcPr>
            <w:tcW w:w="940" w:type="pct"/>
            <w:gridSpan w:val="2"/>
            <w:tcBorders>
              <w:top w:val="single" w:color="auto" w:sz="4" w:space="0"/>
              <w:left w:val="single" w:color="auto" w:sz="4" w:space="0"/>
              <w:bottom w:val="single" w:color="000000" w:sz="4" w:space="0"/>
              <w:right w:val="single" w:color="auto" w:sz="4" w:space="0"/>
              <w:tl2br w:val="nil"/>
              <w:tr2bl w:val="nil"/>
            </w:tcBorders>
            <w:noWrap w:val="0"/>
            <w:vAlign w:val="center"/>
          </w:tcPr>
          <w:p w14:paraId="4DF02FD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广元市昭化区供销合作社联合社</w:t>
            </w:r>
          </w:p>
        </w:tc>
      </w:tr>
      <w:tr w14:paraId="45698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518"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7404BE0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项目（政策）资金（万元）</w:t>
            </w:r>
          </w:p>
        </w:tc>
        <w:tc>
          <w:tcPr>
            <w:tcW w:w="786" w:type="pct"/>
            <w:gridSpan w:val="3"/>
            <w:tcBorders>
              <w:top w:val="nil"/>
              <w:left w:val="single" w:color="000000" w:sz="4" w:space="0"/>
              <w:bottom w:val="single" w:color="000000" w:sz="4" w:space="0"/>
              <w:right w:val="single" w:color="000000" w:sz="4" w:space="0"/>
              <w:tl2br w:val="nil"/>
              <w:tr2bl w:val="nil"/>
            </w:tcBorders>
            <w:noWrap w:val="0"/>
            <w:vAlign w:val="center"/>
          </w:tcPr>
          <w:p w14:paraId="6B232DE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年度预算数（万元）</w:t>
            </w:r>
          </w:p>
        </w:tc>
        <w:tc>
          <w:tcPr>
            <w:tcW w:w="2106" w:type="pct"/>
            <w:gridSpan w:val="2"/>
            <w:tcBorders>
              <w:top w:val="nil"/>
              <w:left w:val="single" w:color="000000" w:sz="4" w:space="0"/>
              <w:bottom w:val="single" w:color="000000" w:sz="4" w:space="0"/>
              <w:right w:val="single" w:color="000000" w:sz="4" w:space="0"/>
              <w:tl2br w:val="nil"/>
              <w:tr2bl w:val="nil"/>
            </w:tcBorders>
            <w:noWrap w:val="0"/>
            <w:vAlign w:val="center"/>
          </w:tcPr>
          <w:p w14:paraId="2E3A2A6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年初预算数</w:t>
            </w:r>
          </w:p>
        </w:tc>
        <w:tc>
          <w:tcPr>
            <w:tcW w:w="626" w:type="pct"/>
            <w:tcBorders>
              <w:top w:val="nil"/>
              <w:left w:val="single" w:color="000000" w:sz="4" w:space="0"/>
              <w:bottom w:val="single" w:color="000000" w:sz="4" w:space="0"/>
              <w:right w:val="single" w:color="auto" w:sz="4" w:space="0"/>
              <w:tl2br w:val="nil"/>
              <w:tr2bl w:val="nil"/>
            </w:tcBorders>
            <w:noWrap w:val="0"/>
            <w:vAlign w:val="center"/>
          </w:tcPr>
          <w:p w14:paraId="6126DC1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全年预算数</w:t>
            </w:r>
          </w:p>
        </w:tc>
        <w:tc>
          <w:tcPr>
            <w:tcW w:w="505" w:type="pct"/>
            <w:tcBorders>
              <w:top w:val="nil"/>
              <w:left w:val="single" w:color="auto" w:sz="4" w:space="0"/>
              <w:bottom w:val="single" w:color="auto" w:sz="4" w:space="0"/>
              <w:right w:val="single" w:color="000000" w:sz="4" w:space="0"/>
              <w:tl2br w:val="nil"/>
              <w:tr2bl w:val="nil"/>
            </w:tcBorders>
            <w:noWrap w:val="0"/>
            <w:vAlign w:val="center"/>
          </w:tcPr>
          <w:p w14:paraId="4D92BE3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全年执行数</w:t>
            </w:r>
          </w:p>
        </w:tc>
        <w:tc>
          <w:tcPr>
            <w:tcW w:w="434" w:type="pct"/>
            <w:tcBorders>
              <w:top w:val="nil"/>
              <w:left w:val="single" w:color="000000" w:sz="4" w:space="0"/>
              <w:bottom w:val="single" w:color="auto" w:sz="4" w:space="0"/>
              <w:right w:val="single" w:color="auto" w:sz="4" w:space="0"/>
              <w:tl2br w:val="nil"/>
              <w:tr2bl w:val="nil"/>
            </w:tcBorders>
            <w:noWrap w:val="0"/>
            <w:vAlign w:val="center"/>
          </w:tcPr>
          <w:p w14:paraId="488CB16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执行率</w:t>
            </w:r>
          </w:p>
        </w:tc>
      </w:tr>
      <w:tr w14:paraId="1C0A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518"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33A7C0D">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78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DEA95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年度资金总额</w:t>
            </w:r>
          </w:p>
        </w:tc>
        <w:tc>
          <w:tcPr>
            <w:tcW w:w="210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0FE5A6">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0</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95DCF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239</w:t>
            </w:r>
          </w:p>
        </w:tc>
        <w:tc>
          <w:tcPr>
            <w:tcW w:w="505" w:type="pct"/>
            <w:tcBorders>
              <w:top w:val="single" w:color="auto" w:sz="4" w:space="0"/>
              <w:left w:val="single" w:color="000000" w:sz="4" w:space="0"/>
              <w:bottom w:val="single" w:color="000000" w:sz="4" w:space="0"/>
              <w:right w:val="single" w:color="000000" w:sz="4" w:space="0"/>
              <w:tl2br w:val="nil"/>
              <w:tr2bl w:val="nil"/>
            </w:tcBorders>
            <w:noWrap w:val="0"/>
            <w:vAlign w:val="center"/>
          </w:tcPr>
          <w:p w14:paraId="6C83E34F">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0</w:t>
            </w:r>
          </w:p>
        </w:tc>
        <w:tc>
          <w:tcPr>
            <w:tcW w:w="434" w:type="pct"/>
            <w:tcBorders>
              <w:top w:val="single" w:color="auto" w:sz="4" w:space="0"/>
              <w:left w:val="single" w:color="000000" w:sz="4" w:space="0"/>
              <w:bottom w:val="single" w:color="000000" w:sz="4" w:space="0"/>
              <w:right w:val="single" w:color="000000" w:sz="4" w:space="0"/>
              <w:tl2br w:val="nil"/>
              <w:tr2bl w:val="nil"/>
            </w:tcBorders>
            <w:noWrap w:val="0"/>
            <w:vAlign w:val="center"/>
          </w:tcPr>
          <w:p w14:paraId="76E2B05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100%</w:t>
            </w:r>
          </w:p>
        </w:tc>
      </w:tr>
      <w:tr w14:paraId="6A31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518"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9055C00">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78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A7092B">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（一）财政拨款小计</w:t>
            </w:r>
          </w:p>
        </w:tc>
        <w:tc>
          <w:tcPr>
            <w:tcW w:w="210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63B6A8">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0</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5B1AE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239</w:t>
            </w: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62E3BB">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0</w:t>
            </w:r>
          </w:p>
        </w:tc>
        <w:tc>
          <w:tcPr>
            <w:tcW w:w="434" w:type="pct"/>
            <w:tcBorders>
              <w:top w:val="nil"/>
              <w:left w:val="single" w:color="000000" w:sz="4" w:space="0"/>
              <w:bottom w:val="single" w:color="000000" w:sz="4" w:space="0"/>
              <w:right w:val="single" w:color="000000" w:sz="4" w:space="0"/>
              <w:tl2br w:val="nil"/>
              <w:tr2bl w:val="nil"/>
            </w:tcBorders>
            <w:noWrap w:val="0"/>
            <w:vAlign w:val="center"/>
          </w:tcPr>
          <w:p w14:paraId="3AF8E24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100%</w:t>
            </w:r>
          </w:p>
        </w:tc>
      </w:tr>
      <w:tr w14:paraId="5533B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518"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769679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78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945AF8">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 xml:space="preserve">   1.一般公共预算</w:t>
            </w:r>
          </w:p>
        </w:tc>
        <w:tc>
          <w:tcPr>
            <w:tcW w:w="210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7697B6">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0</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6C82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239</w:t>
            </w: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D0A244">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0</w:t>
            </w:r>
          </w:p>
        </w:tc>
        <w:tc>
          <w:tcPr>
            <w:tcW w:w="434" w:type="pct"/>
            <w:tcBorders>
              <w:top w:val="nil"/>
              <w:left w:val="single" w:color="000000" w:sz="4" w:space="0"/>
              <w:bottom w:val="single" w:color="000000" w:sz="4" w:space="0"/>
              <w:right w:val="single" w:color="000000" w:sz="4" w:space="0"/>
              <w:tl2br w:val="nil"/>
              <w:tr2bl w:val="nil"/>
            </w:tcBorders>
            <w:noWrap w:val="0"/>
            <w:vAlign w:val="center"/>
          </w:tcPr>
          <w:p w14:paraId="38BBA3F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100%</w:t>
            </w:r>
          </w:p>
        </w:tc>
      </w:tr>
      <w:tr w14:paraId="64B47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jc w:val="center"/>
        </w:trPr>
        <w:tc>
          <w:tcPr>
            <w:tcW w:w="20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0A35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年度总体目标</w:t>
            </w:r>
          </w:p>
        </w:tc>
        <w:tc>
          <w:tcPr>
            <w:tcW w:w="3209"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80275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预期目标</w:t>
            </w:r>
          </w:p>
        </w:tc>
        <w:tc>
          <w:tcPr>
            <w:tcW w:w="156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02531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全年实际完成情况</w:t>
            </w:r>
          </w:p>
        </w:tc>
      </w:tr>
      <w:tr w14:paraId="69CD0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9" w:hRule="atLeast"/>
          <w:jc w:val="center"/>
        </w:trPr>
        <w:tc>
          <w:tcPr>
            <w:tcW w:w="20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8A051F">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3209"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D36A88">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1、畅通县域流通服务网络，完善城乡物流服务体系，改善服务设施，提升供销社综合服务能力，推动农产品进城、消费品下乡，双向流通，打造服务农民生产生活综合平台，巩固县及县以下为农服务主阵地；</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2、促进县域服务资源整合，拓展农业社会化服务领域，探索服务现代农业，助力乡村振兴农业社会化服务新模式；</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3、推动社有企业转型升级，完善农业经营服务设施，优化网络布局，提升综合服务能力，促进高质量发展。</w:t>
            </w:r>
          </w:p>
        </w:tc>
        <w:tc>
          <w:tcPr>
            <w:tcW w:w="156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A4A04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畅通县域流通服务网络，完善城乡物流服务体系，改善服务设施，提升供销社综合服务能力，推动农产品进城、消费品下乡，双向流通，打造服务农民生产生活综合平台，巩固县及县以下为农服务主阵地；促进县域服务资源整合，拓展农业社会化服务领域，探索服务现代农业，助力乡村振兴农业社会化服务新模式；推动社有企业转型升级，完善农业经营服务设施，优化网络布局，提升综合服务能力，促进高质量发展。</w:t>
            </w:r>
          </w:p>
        </w:tc>
      </w:tr>
      <w:tr w14:paraId="051D5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202"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85B4F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绩效</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指标</w:t>
            </w:r>
          </w:p>
        </w:tc>
        <w:tc>
          <w:tcPr>
            <w:tcW w:w="4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2EF42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一级指标</w:t>
            </w: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BA561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二级指标</w:t>
            </w:r>
          </w:p>
        </w:tc>
        <w:tc>
          <w:tcPr>
            <w:tcW w:w="226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5010B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三级指标</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9FC60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年度指标值</w:t>
            </w: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457BB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实际完成值</w:t>
            </w:r>
          </w:p>
        </w:tc>
        <w:tc>
          <w:tcPr>
            <w:tcW w:w="4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F51F1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偏差原因分析及改进措施</w:t>
            </w:r>
          </w:p>
        </w:tc>
      </w:tr>
      <w:tr w14:paraId="680C3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0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DA66C7">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34"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14B76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产出指标</w:t>
            </w:r>
          </w:p>
        </w:tc>
        <w:tc>
          <w:tcPr>
            <w:tcW w:w="50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E20A6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数量指标</w:t>
            </w:r>
          </w:p>
        </w:tc>
        <w:tc>
          <w:tcPr>
            <w:tcW w:w="29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8817C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9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43FA783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建设信息化、数字化的经营服务网点</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2B7B3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40%</w:t>
            </w: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3F26F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34"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77C03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纳入2024年实施</w:t>
            </w:r>
          </w:p>
        </w:tc>
      </w:tr>
      <w:tr w14:paraId="4E43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0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7CE888">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34"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FB0F2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5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BAF20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29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3EEE5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指标2：</w:t>
            </w:r>
          </w:p>
        </w:tc>
        <w:tc>
          <w:tcPr>
            <w:tcW w:w="19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7E2625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三社融合模式培育的基层社数量占基层社总数比例</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374CA5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50%</w:t>
            </w:r>
          </w:p>
        </w:tc>
        <w:tc>
          <w:tcPr>
            <w:tcW w:w="5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6408057F">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3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14A61F">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7DFD0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0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6A84A8">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34"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692623">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5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1F3808">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29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75F91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指标3：</w:t>
            </w:r>
          </w:p>
        </w:tc>
        <w:tc>
          <w:tcPr>
            <w:tcW w:w="19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ABC62C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新增县域城乡经营服务网点面积</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6E0545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1200平方米</w:t>
            </w: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09BAF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3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25099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377B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0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BEE95A">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34"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CDE2F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5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83407">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29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5AB6D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指标4：</w:t>
            </w:r>
          </w:p>
        </w:tc>
        <w:tc>
          <w:tcPr>
            <w:tcW w:w="19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A3E3B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新增农业社会化服务面积</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AC588A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5000亩</w:t>
            </w: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DDCFF9">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3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694D8B">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35664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0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83F3A0">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34"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CE4827">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92F66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质量指标</w:t>
            </w:r>
          </w:p>
        </w:tc>
        <w:tc>
          <w:tcPr>
            <w:tcW w:w="29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E7BBD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9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6E780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改善提升农资、日用消费品、农产品的流通、再生资源回收利用设施和服务能力</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CA76F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良好</w:t>
            </w: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8842BB">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3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432D4B">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2B4AF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0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BEC885">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34"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64F8F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效益指标</w:t>
            </w:r>
          </w:p>
        </w:tc>
        <w:tc>
          <w:tcPr>
            <w:tcW w:w="50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7F66F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经济效益</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指标</w:t>
            </w:r>
          </w:p>
        </w:tc>
        <w:tc>
          <w:tcPr>
            <w:tcW w:w="29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39D97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9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725E75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销售总额增长率</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7A4FE2A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25%</w:t>
            </w:r>
          </w:p>
        </w:tc>
        <w:tc>
          <w:tcPr>
            <w:tcW w:w="5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2696618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3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AEC880">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2270F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0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AA9D1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34"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B408B9">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50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50B9CF">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29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3B5AA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指标2：</w:t>
            </w:r>
          </w:p>
        </w:tc>
        <w:tc>
          <w:tcPr>
            <w:tcW w:w="19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53861E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基层社营业收入增长率</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1EF7161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35%</w:t>
            </w:r>
          </w:p>
        </w:tc>
        <w:tc>
          <w:tcPr>
            <w:tcW w:w="5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39684AE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3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A459A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07B11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0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5DA7EC">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34"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767BD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505"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3B29F7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社会效益指标</w:t>
            </w:r>
          </w:p>
        </w:tc>
        <w:tc>
          <w:tcPr>
            <w:tcW w:w="29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34E33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972"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020A607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带动当地就业人数</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ign w:val="center"/>
          </w:tcPr>
          <w:p w14:paraId="53702A0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260人</w:t>
            </w: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188077">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3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547A3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11EDE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202"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2D24C5">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34"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1E00C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满意度</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指标</w:t>
            </w: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C2B63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服务对象满意度指标</w:t>
            </w:r>
          </w:p>
        </w:tc>
        <w:tc>
          <w:tcPr>
            <w:tcW w:w="29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243F6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9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33FFF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群众满意度</w:t>
            </w:r>
          </w:p>
        </w:tc>
        <w:tc>
          <w:tcPr>
            <w:tcW w:w="62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DB251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90%</w:t>
            </w:r>
          </w:p>
        </w:tc>
        <w:tc>
          <w:tcPr>
            <w:tcW w:w="50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8633E5">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34"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9D2A1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bl>
    <w:p w14:paraId="5039686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eastAsia="方正小标宋简体" w:cs="Times New Roman"/>
          <w:color w:val="000000" w:themeColor="text1"/>
          <w:spacing w:val="0"/>
          <w:sz w:val="36"/>
          <w:szCs w:val="36"/>
          <w14:textFill>
            <w14:solidFill>
              <w14:schemeClr w14:val="tx1"/>
            </w14:solidFill>
          </w14:textFill>
        </w:rPr>
      </w:pPr>
      <w:r>
        <w:rPr>
          <w:rFonts w:hint="default" w:ascii="Times New Roman" w:hAnsi="Times New Roman" w:eastAsia="方正小标宋简体" w:cs="Times New Roman"/>
          <w:color w:val="000000" w:themeColor="text1"/>
          <w:spacing w:val="0"/>
          <w:sz w:val="36"/>
          <w:szCs w:val="36"/>
          <w:lang w:bidi="ar"/>
          <w14:textFill>
            <w14:solidFill>
              <w14:schemeClr w14:val="tx1"/>
            </w14:solidFill>
          </w14:textFill>
        </w:rPr>
        <w:t>广元市昭化区财政项目（政策）支出绩效自评表</w:t>
      </w:r>
    </w:p>
    <w:p w14:paraId="7196510D">
      <w:pPr>
        <w:keepNext w:val="0"/>
        <w:keepLines w:val="0"/>
        <w:pageBreakBefore w:val="0"/>
        <w:widowControl w:val="0"/>
        <w:kinsoku/>
        <w:wordWrap/>
        <w:topLinePunct w:val="0"/>
        <w:bidi w:val="0"/>
        <w:adjustRightInd w:val="0"/>
        <w:snapToGrid w:val="0"/>
        <w:spacing w:beforeLines="0" w:afterLines="0"/>
        <w:jc w:val="center"/>
        <w:textAlignment w:val="top"/>
        <w:rPr>
          <w:rFonts w:hint="default" w:ascii="Times New Roman" w:hAnsi="Times New Roman" w:cs="Times New Roman"/>
          <w:b/>
          <w:color w:val="000000" w:themeColor="text1"/>
          <w:spacing w:val="0"/>
          <w:sz w:val="24"/>
          <w:szCs w:val="24"/>
          <w14:textFill>
            <w14:solidFill>
              <w14:schemeClr w14:val="tx1"/>
            </w14:solidFill>
          </w14:textFill>
        </w:rPr>
      </w:pPr>
      <w:r>
        <w:rPr>
          <w:rFonts w:hint="default" w:ascii="Times New Roman" w:hAnsi="Times New Roman" w:cs="Times New Roman"/>
          <w:b/>
          <w:color w:val="000000" w:themeColor="text1"/>
          <w:spacing w:val="0"/>
          <w:sz w:val="24"/>
          <w:szCs w:val="24"/>
          <w:lang w:bidi="ar"/>
          <w14:textFill>
            <w14:solidFill>
              <w14:schemeClr w14:val="tx1"/>
            </w14:solidFill>
          </w14:textFill>
        </w:rPr>
        <w:t>（ 2023年度）</w:t>
      </w:r>
    </w:p>
    <w:tbl>
      <w:tblPr>
        <w:tblStyle w:val="11"/>
        <w:tblW w:w="525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
        <w:gridCol w:w="499"/>
        <w:gridCol w:w="352"/>
        <w:gridCol w:w="1134"/>
        <w:gridCol w:w="602"/>
        <w:gridCol w:w="538"/>
        <w:gridCol w:w="1499"/>
        <w:gridCol w:w="541"/>
        <w:gridCol w:w="840"/>
        <w:gridCol w:w="540"/>
        <w:gridCol w:w="777"/>
        <w:gridCol w:w="543"/>
        <w:gridCol w:w="1236"/>
      </w:tblGrid>
      <w:tr w14:paraId="2BB7B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8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C4062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项目（政策）名称</w:t>
            </w:r>
          </w:p>
        </w:tc>
        <w:tc>
          <w:tcPr>
            <w:tcW w:w="4519"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236A1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废弃农膜收购补贴</w:t>
            </w:r>
          </w:p>
        </w:tc>
      </w:tr>
      <w:tr w14:paraId="04CFF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8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8C053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主管部门</w:t>
            </w:r>
          </w:p>
        </w:tc>
        <w:tc>
          <w:tcPr>
            <w:tcW w:w="2167"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E41E1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广元市昭化区供销合作社联合社部门</w:t>
            </w:r>
          </w:p>
        </w:tc>
        <w:tc>
          <w:tcPr>
            <w:tcW w:w="725" w:type="pct"/>
            <w:gridSpan w:val="2"/>
            <w:tcBorders>
              <w:top w:val="single" w:color="000000" w:sz="4" w:space="0"/>
              <w:left w:val="single" w:color="000000" w:sz="4" w:space="0"/>
              <w:bottom w:val="single" w:color="000000" w:sz="4" w:space="0"/>
              <w:right w:val="single" w:color="auto" w:sz="4" w:space="0"/>
              <w:tl2br w:val="nil"/>
              <w:tr2bl w:val="nil"/>
            </w:tcBorders>
            <w:noWrap w:val="0"/>
            <w:vAlign w:val="center"/>
          </w:tcPr>
          <w:p w14:paraId="36A1971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实施单位</w:t>
            </w:r>
          </w:p>
        </w:tc>
        <w:tc>
          <w:tcPr>
            <w:tcW w:w="1626" w:type="pct"/>
            <w:gridSpan w:val="4"/>
            <w:tcBorders>
              <w:top w:val="single" w:color="auto" w:sz="4" w:space="0"/>
              <w:left w:val="single" w:color="auto" w:sz="4" w:space="0"/>
              <w:bottom w:val="single" w:color="000000" w:sz="4" w:space="0"/>
              <w:right w:val="single" w:color="auto" w:sz="4" w:space="0"/>
              <w:tl2br w:val="nil"/>
              <w:tr2bl w:val="nil"/>
            </w:tcBorders>
            <w:noWrap w:val="0"/>
            <w:vAlign w:val="center"/>
          </w:tcPr>
          <w:p w14:paraId="529A759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广元市昭化区供销合作社联合社</w:t>
            </w:r>
          </w:p>
        </w:tc>
      </w:tr>
      <w:tr w14:paraId="5AC78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80"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49D5248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项目（政策）资金（万元）</w:t>
            </w:r>
          </w:p>
        </w:tc>
        <w:tc>
          <w:tcPr>
            <w:tcW w:w="1096" w:type="pct"/>
            <w:gridSpan w:val="3"/>
            <w:tcBorders>
              <w:top w:val="nil"/>
              <w:left w:val="single" w:color="000000" w:sz="4" w:space="0"/>
              <w:bottom w:val="single" w:color="000000" w:sz="4" w:space="0"/>
              <w:right w:val="single" w:color="000000" w:sz="4" w:space="0"/>
              <w:tl2br w:val="nil"/>
              <w:tr2bl w:val="nil"/>
            </w:tcBorders>
            <w:noWrap w:val="0"/>
            <w:vAlign w:val="center"/>
          </w:tcPr>
          <w:p w14:paraId="7BBCE19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年度预算数（万元）</w:t>
            </w:r>
          </w:p>
        </w:tc>
        <w:tc>
          <w:tcPr>
            <w:tcW w:w="1070" w:type="pct"/>
            <w:gridSpan w:val="2"/>
            <w:tcBorders>
              <w:top w:val="nil"/>
              <w:left w:val="single" w:color="000000" w:sz="4" w:space="0"/>
              <w:bottom w:val="single" w:color="000000" w:sz="4" w:space="0"/>
              <w:right w:val="single" w:color="000000" w:sz="4" w:space="0"/>
              <w:tl2br w:val="nil"/>
              <w:tr2bl w:val="nil"/>
            </w:tcBorders>
            <w:noWrap w:val="0"/>
            <w:vAlign w:val="center"/>
          </w:tcPr>
          <w:p w14:paraId="739B754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年初预算数</w:t>
            </w:r>
          </w:p>
        </w:tc>
        <w:tc>
          <w:tcPr>
            <w:tcW w:w="725" w:type="pct"/>
            <w:gridSpan w:val="2"/>
            <w:tcBorders>
              <w:top w:val="nil"/>
              <w:left w:val="single" w:color="000000" w:sz="4" w:space="0"/>
              <w:bottom w:val="single" w:color="000000" w:sz="4" w:space="0"/>
              <w:right w:val="single" w:color="auto" w:sz="4" w:space="0"/>
              <w:tl2br w:val="nil"/>
              <w:tr2bl w:val="nil"/>
            </w:tcBorders>
            <w:noWrap w:val="0"/>
            <w:vAlign w:val="center"/>
          </w:tcPr>
          <w:p w14:paraId="105EE86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全年预算数</w:t>
            </w:r>
          </w:p>
        </w:tc>
        <w:tc>
          <w:tcPr>
            <w:tcW w:w="691" w:type="pct"/>
            <w:gridSpan w:val="2"/>
            <w:tcBorders>
              <w:top w:val="nil"/>
              <w:left w:val="single" w:color="auto" w:sz="4" w:space="0"/>
              <w:bottom w:val="single" w:color="auto" w:sz="4" w:space="0"/>
              <w:right w:val="single" w:color="000000" w:sz="4" w:space="0"/>
              <w:tl2br w:val="nil"/>
              <w:tr2bl w:val="nil"/>
            </w:tcBorders>
            <w:noWrap w:val="0"/>
            <w:vAlign w:val="center"/>
          </w:tcPr>
          <w:p w14:paraId="6C1AA36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全年执行数</w:t>
            </w:r>
          </w:p>
        </w:tc>
        <w:tc>
          <w:tcPr>
            <w:tcW w:w="934" w:type="pct"/>
            <w:gridSpan w:val="2"/>
            <w:tcBorders>
              <w:top w:val="nil"/>
              <w:left w:val="single" w:color="000000" w:sz="4" w:space="0"/>
              <w:bottom w:val="single" w:color="auto" w:sz="4" w:space="0"/>
              <w:right w:val="single" w:color="auto" w:sz="4" w:space="0"/>
              <w:tl2br w:val="nil"/>
              <w:tr2bl w:val="nil"/>
            </w:tcBorders>
            <w:noWrap w:val="0"/>
            <w:vAlign w:val="center"/>
          </w:tcPr>
          <w:p w14:paraId="5B97D93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执行率</w:t>
            </w:r>
          </w:p>
        </w:tc>
      </w:tr>
      <w:tr w14:paraId="4CD0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8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7EA3E6F">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9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088B5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年度资金总额</w:t>
            </w:r>
          </w:p>
        </w:tc>
        <w:tc>
          <w:tcPr>
            <w:tcW w:w="10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836E0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w:t>
            </w:r>
          </w:p>
        </w:tc>
        <w:tc>
          <w:tcPr>
            <w:tcW w:w="72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D0E10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w:t>
            </w:r>
          </w:p>
        </w:tc>
        <w:tc>
          <w:tcPr>
            <w:tcW w:w="691" w:type="pct"/>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14:paraId="760B618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w:t>
            </w:r>
          </w:p>
        </w:tc>
        <w:tc>
          <w:tcPr>
            <w:tcW w:w="934" w:type="pct"/>
            <w:gridSpan w:val="2"/>
            <w:tcBorders>
              <w:top w:val="single" w:color="auto" w:sz="4" w:space="0"/>
              <w:left w:val="single" w:color="000000" w:sz="4" w:space="0"/>
              <w:bottom w:val="single" w:color="000000" w:sz="4" w:space="0"/>
              <w:right w:val="single" w:color="000000" w:sz="4" w:space="0"/>
              <w:tl2br w:val="nil"/>
              <w:tr2bl w:val="nil"/>
            </w:tcBorders>
            <w:noWrap w:val="0"/>
            <w:vAlign w:val="center"/>
          </w:tcPr>
          <w:p w14:paraId="2BC707D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100%</w:t>
            </w:r>
          </w:p>
        </w:tc>
      </w:tr>
      <w:tr w14:paraId="1C798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8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EB325A8">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9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FBE171">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（一）财政拨款小计</w:t>
            </w:r>
          </w:p>
        </w:tc>
        <w:tc>
          <w:tcPr>
            <w:tcW w:w="10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A56AA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w:t>
            </w:r>
          </w:p>
        </w:tc>
        <w:tc>
          <w:tcPr>
            <w:tcW w:w="72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88077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w:t>
            </w:r>
          </w:p>
        </w:tc>
        <w:tc>
          <w:tcPr>
            <w:tcW w:w="6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F142E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w:t>
            </w:r>
          </w:p>
        </w:tc>
        <w:tc>
          <w:tcPr>
            <w:tcW w:w="934" w:type="pct"/>
            <w:gridSpan w:val="2"/>
            <w:tcBorders>
              <w:top w:val="nil"/>
              <w:left w:val="single" w:color="000000" w:sz="4" w:space="0"/>
              <w:bottom w:val="single" w:color="000000" w:sz="4" w:space="0"/>
              <w:right w:val="single" w:color="000000" w:sz="4" w:space="0"/>
              <w:tl2br w:val="nil"/>
              <w:tr2bl w:val="nil"/>
            </w:tcBorders>
            <w:noWrap w:val="0"/>
            <w:vAlign w:val="center"/>
          </w:tcPr>
          <w:p w14:paraId="2B091A4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100%</w:t>
            </w:r>
          </w:p>
        </w:tc>
      </w:tr>
      <w:tr w14:paraId="439A5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80"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8AF72C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96"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9E14AF">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 xml:space="preserve">   1.一般公共预算</w:t>
            </w:r>
          </w:p>
        </w:tc>
        <w:tc>
          <w:tcPr>
            <w:tcW w:w="107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0A02F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w:t>
            </w:r>
          </w:p>
        </w:tc>
        <w:tc>
          <w:tcPr>
            <w:tcW w:w="72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110CC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w:t>
            </w:r>
          </w:p>
        </w:tc>
        <w:tc>
          <w:tcPr>
            <w:tcW w:w="69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18256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w:t>
            </w:r>
          </w:p>
        </w:tc>
        <w:tc>
          <w:tcPr>
            <w:tcW w:w="934" w:type="pct"/>
            <w:gridSpan w:val="2"/>
            <w:tcBorders>
              <w:top w:val="nil"/>
              <w:left w:val="single" w:color="000000" w:sz="4" w:space="0"/>
              <w:bottom w:val="single" w:color="000000" w:sz="4" w:space="0"/>
              <w:right w:val="single" w:color="000000" w:sz="4" w:space="0"/>
              <w:tl2br w:val="nil"/>
              <w:tr2bl w:val="nil"/>
            </w:tcBorders>
            <w:noWrap w:val="0"/>
            <w:vAlign w:val="center"/>
          </w:tcPr>
          <w:p w14:paraId="71E986F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100%</w:t>
            </w:r>
          </w:p>
        </w:tc>
      </w:tr>
      <w:tr w14:paraId="664E0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8"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C25EF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年度总体目标</w:t>
            </w:r>
          </w:p>
        </w:tc>
        <w:tc>
          <w:tcPr>
            <w:tcW w:w="2713"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FEBD2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预期目标</w:t>
            </w:r>
          </w:p>
        </w:tc>
        <w:tc>
          <w:tcPr>
            <w:tcW w:w="2067"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2E6CA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全年实际完成情况</w:t>
            </w:r>
          </w:p>
        </w:tc>
      </w:tr>
      <w:tr w14:paraId="289BF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20315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2713"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69C19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完成整体目标任务：一是预算资金2万元用于废弃农膜回收站（点）改造升级10个和政策宣传；二是废弃农膜回收价格补贴3万元。绿色环保，净化土地，改善土壤，可持续发展，群众满意度100%</w:t>
            </w:r>
          </w:p>
        </w:tc>
        <w:tc>
          <w:tcPr>
            <w:tcW w:w="2067"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243FF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预算资金2万元已用于废弃农膜回收站（点）改造升级10个和政策宣传；废弃农膜回收价格补贴3万元。绿色环保，净化土地，改善土壤，可持续发展，群众满意度100%</w:t>
            </w:r>
          </w:p>
        </w:tc>
      </w:tr>
      <w:tr w14:paraId="6C69F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8"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D4F6CA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绩效</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指标</w:t>
            </w:r>
          </w:p>
        </w:tc>
        <w:tc>
          <w:tcPr>
            <w:tcW w:w="44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AF4B3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一级指标</w:t>
            </w:r>
          </w:p>
        </w:tc>
        <w:tc>
          <w:tcPr>
            <w:tcW w:w="5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B804C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二级指标</w:t>
            </w:r>
          </w:p>
        </w:tc>
        <w:tc>
          <w:tcPr>
            <w:tcW w:w="1670"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06CB2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三级指标</w:t>
            </w:r>
          </w:p>
        </w:tc>
        <w:tc>
          <w:tcPr>
            <w:tcW w:w="72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BDF33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年度指标值</w:t>
            </w:r>
          </w:p>
        </w:tc>
        <w:tc>
          <w:tcPr>
            <w:tcW w:w="6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D00BD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实际完成值</w:t>
            </w:r>
          </w:p>
        </w:tc>
        <w:tc>
          <w:tcPr>
            <w:tcW w:w="6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E1C66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偏差原因分析及改进措施</w:t>
            </w:r>
          </w:p>
        </w:tc>
      </w:tr>
      <w:tr w14:paraId="639CB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98AE1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47"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DF54B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产出指标</w:t>
            </w:r>
          </w:p>
        </w:tc>
        <w:tc>
          <w:tcPr>
            <w:tcW w:w="59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E60EE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数量指标</w:t>
            </w:r>
          </w:p>
        </w:tc>
        <w:tc>
          <w:tcPr>
            <w:tcW w:w="5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1AE8C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07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43CDC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政策宣传知晓率100%，回收网点维护2万元，价格补贴3万元</w:t>
            </w:r>
          </w:p>
        </w:tc>
        <w:tc>
          <w:tcPr>
            <w:tcW w:w="72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795FB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5万元</w:t>
            </w:r>
          </w:p>
        </w:tc>
        <w:tc>
          <w:tcPr>
            <w:tcW w:w="6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12C88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5万元</w:t>
            </w:r>
          </w:p>
        </w:tc>
        <w:tc>
          <w:tcPr>
            <w:tcW w:w="6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D2D6C5">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088E9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D19C2B">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47"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0EECF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59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D6617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5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D4FED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指标2：</w:t>
            </w:r>
          </w:p>
        </w:tc>
        <w:tc>
          <w:tcPr>
            <w:tcW w:w="107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9375A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废弃农膜回收站点改造升级</w:t>
            </w:r>
          </w:p>
        </w:tc>
        <w:tc>
          <w:tcPr>
            <w:tcW w:w="72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2AF2B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15个</w:t>
            </w:r>
          </w:p>
        </w:tc>
        <w:tc>
          <w:tcPr>
            <w:tcW w:w="6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1A47C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15个</w:t>
            </w:r>
          </w:p>
        </w:tc>
        <w:tc>
          <w:tcPr>
            <w:tcW w:w="6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6D8C0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12FC9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AC984C">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47"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1E05F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59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763CAF">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5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8D6DD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指标3：</w:t>
            </w:r>
          </w:p>
        </w:tc>
        <w:tc>
          <w:tcPr>
            <w:tcW w:w="107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D351E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废弃农膜回收吨数</w:t>
            </w:r>
          </w:p>
        </w:tc>
        <w:tc>
          <w:tcPr>
            <w:tcW w:w="72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BABB9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2吨</w:t>
            </w:r>
          </w:p>
        </w:tc>
        <w:tc>
          <w:tcPr>
            <w:tcW w:w="6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680CF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2吨</w:t>
            </w:r>
          </w:p>
        </w:tc>
        <w:tc>
          <w:tcPr>
            <w:tcW w:w="6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BA7A0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6FB3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9AA5F3">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47"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C6EFD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5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A42BB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质量指标</w:t>
            </w:r>
          </w:p>
        </w:tc>
        <w:tc>
          <w:tcPr>
            <w:tcW w:w="5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7CD89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07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B39FC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废弃农膜回收率：实际回收量/计划回收量*100%</w:t>
            </w:r>
          </w:p>
        </w:tc>
        <w:tc>
          <w:tcPr>
            <w:tcW w:w="72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03A26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80%</w:t>
            </w:r>
          </w:p>
        </w:tc>
        <w:tc>
          <w:tcPr>
            <w:tcW w:w="6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A4289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80%</w:t>
            </w:r>
          </w:p>
        </w:tc>
        <w:tc>
          <w:tcPr>
            <w:tcW w:w="6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7A594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38D6E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972D0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47"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909B4A">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5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B04EC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时效指标</w:t>
            </w:r>
          </w:p>
        </w:tc>
        <w:tc>
          <w:tcPr>
            <w:tcW w:w="5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C1FAA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07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D5DE9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各项任务完成及时率（计划完成任务时间-实际完成任务时间）/计划完成任务时间*100%</w:t>
            </w:r>
          </w:p>
        </w:tc>
        <w:tc>
          <w:tcPr>
            <w:tcW w:w="72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14280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253个工作日</w:t>
            </w:r>
          </w:p>
        </w:tc>
        <w:tc>
          <w:tcPr>
            <w:tcW w:w="6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D552F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253个工作日</w:t>
            </w:r>
          </w:p>
        </w:tc>
        <w:tc>
          <w:tcPr>
            <w:tcW w:w="6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BF74DC">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2D941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B16A68">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47"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6B364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59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64C99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成本指标</w:t>
            </w:r>
          </w:p>
        </w:tc>
        <w:tc>
          <w:tcPr>
            <w:tcW w:w="5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C107A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07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6EA6E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废弃农膜回收补贴</w:t>
            </w:r>
          </w:p>
        </w:tc>
        <w:tc>
          <w:tcPr>
            <w:tcW w:w="72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8F6E2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20"/>
                <w:szCs w:val="20"/>
                <w14:textFill>
                  <w14:solidFill>
                    <w14:schemeClr w14:val="tx1"/>
                  </w14:solidFill>
                </w14:textFill>
              </w:rPr>
            </w:pPr>
            <w:r>
              <w:rPr>
                <w:rFonts w:hint="default" w:ascii="Times New Roman" w:hAnsi="Times New Roman" w:cs="Times New Roman"/>
                <w:color w:val="000000" w:themeColor="text1"/>
                <w:spacing w:val="6"/>
                <w:sz w:val="20"/>
                <w:szCs w:val="20"/>
                <w:lang w:bidi="ar"/>
                <w14:textFill>
                  <w14:solidFill>
                    <w14:schemeClr w14:val="tx1"/>
                  </w14:solidFill>
                </w14:textFill>
              </w:rPr>
              <w:t>3万元</w:t>
            </w:r>
          </w:p>
        </w:tc>
        <w:tc>
          <w:tcPr>
            <w:tcW w:w="6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00F5D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3万元</w:t>
            </w:r>
          </w:p>
        </w:tc>
        <w:tc>
          <w:tcPr>
            <w:tcW w:w="6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3AC8BD">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64780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E23DD5">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47"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41153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59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DF057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5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73D07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指标2：</w:t>
            </w:r>
          </w:p>
        </w:tc>
        <w:tc>
          <w:tcPr>
            <w:tcW w:w="107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7315D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废弃农膜升级改造</w:t>
            </w:r>
          </w:p>
        </w:tc>
        <w:tc>
          <w:tcPr>
            <w:tcW w:w="72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AC364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2万元</w:t>
            </w:r>
          </w:p>
        </w:tc>
        <w:tc>
          <w:tcPr>
            <w:tcW w:w="6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2E2EB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2万元</w:t>
            </w:r>
          </w:p>
        </w:tc>
        <w:tc>
          <w:tcPr>
            <w:tcW w:w="6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63CCFC">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572F3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0B8BEC">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47"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8BFBCD">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595" w:type="pct"/>
            <w:tcBorders>
              <w:top w:val="single" w:color="000000" w:sz="4" w:space="0"/>
              <w:left w:val="single" w:color="000000" w:sz="4" w:space="0"/>
              <w:bottom w:val="nil"/>
              <w:right w:val="single" w:color="000000" w:sz="4" w:space="0"/>
              <w:tl2br w:val="nil"/>
              <w:tr2bl w:val="nil"/>
            </w:tcBorders>
            <w:noWrap w:val="0"/>
            <w:vAlign w:val="center"/>
          </w:tcPr>
          <w:p w14:paraId="541B6D0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生态效益</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指标</w:t>
            </w:r>
          </w:p>
        </w:tc>
        <w:tc>
          <w:tcPr>
            <w:tcW w:w="5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EF0B3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07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25041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减少环境污染</w:t>
            </w:r>
          </w:p>
        </w:tc>
        <w:tc>
          <w:tcPr>
            <w:tcW w:w="72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9C39F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好</w:t>
            </w:r>
          </w:p>
        </w:tc>
        <w:tc>
          <w:tcPr>
            <w:tcW w:w="6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22AF3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好</w:t>
            </w:r>
          </w:p>
        </w:tc>
        <w:tc>
          <w:tcPr>
            <w:tcW w:w="6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FC679A">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5A2BB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DCD36B">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47"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1E9F6B">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5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77483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可持续影响指标</w:t>
            </w:r>
          </w:p>
        </w:tc>
        <w:tc>
          <w:tcPr>
            <w:tcW w:w="5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898F4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07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A1BC7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空气净化率</w:t>
            </w:r>
          </w:p>
        </w:tc>
        <w:tc>
          <w:tcPr>
            <w:tcW w:w="72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F30A0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95%</w:t>
            </w:r>
          </w:p>
        </w:tc>
        <w:tc>
          <w:tcPr>
            <w:tcW w:w="6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AD603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95%</w:t>
            </w:r>
          </w:p>
        </w:tc>
        <w:tc>
          <w:tcPr>
            <w:tcW w:w="6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BBAC83">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43229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F32D19">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4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E033D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满意度</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指标</w:t>
            </w:r>
          </w:p>
        </w:tc>
        <w:tc>
          <w:tcPr>
            <w:tcW w:w="59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D7118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服务对象满意度指标</w:t>
            </w:r>
          </w:p>
        </w:tc>
        <w:tc>
          <w:tcPr>
            <w:tcW w:w="59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C3CF0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07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01F5A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群众满意度</w:t>
            </w:r>
          </w:p>
        </w:tc>
        <w:tc>
          <w:tcPr>
            <w:tcW w:w="72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142D9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0.95</w:t>
            </w:r>
          </w:p>
        </w:tc>
        <w:tc>
          <w:tcPr>
            <w:tcW w:w="69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1ED02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0.95</w:t>
            </w:r>
          </w:p>
        </w:tc>
        <w:tc>
          <w:tcPr>
            <w:tcW w:w="6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4804F8">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bl>
    <w:p w14:paraId="46610BA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eastAsia="方正小标宋简体" w:cs="Times New Roman"/>
          <w:color w:val="000000" w:themeColor="text1"/>
          <w:spacing w:val="0"/>
          <w:sz w:val="36"/>
          <w:szCs w:val="36"/>
          <w:lang w:bidi="ar"/>
          <w14:textFill>
            <w14:solidFill>
              <w14:schemeClr w14:val="tx1"/>
            </w14:solidFill>
          </w14:textFill>
        </w:rPr>
      </w:pPr>
      <w:r>
        <w:rPr>
          <w:rFonts w:hint="default" w:ascii="Times New Roman" w:hAnsi="Times New Roman" w:eastAsia="方正小标宋简体" w:cs="Times New Roman"/>
          <w:color w:val="000000" w:themeColor="text1"/>
          <w:spacing w:val="0"/>
          <w:sz w:val="36"/>
          <w:szCs w:val="36"/>
          <w:lang w:bidi="ar"/>
          <w14:textFill>
            <w14:solidFill>
              <w14:schemeClr w14:val="tx1"/>
            </w14:solidFill>
          </w14:textFill>
        </w:rPr>
        <w:br w:type="page"/>
      </w:r>
    </w:p>
    <w:p w14:paraId="34A28B2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eastAsia="方正小标宋简体" w:cs="Times New Roman"/>
          <w:color w:val="000000" w:themeColor="text1"/>
          <w:spacing w:val="0"/>
          <w:sz w:val="36"/>
          <w:szCs w:val="36"/>
          <w14:textFill>
            <w14:solidFill>
              <w14:schemeClr w14:val="tx1"/>
            </w14:solidFill>
          </w14:textFill>
        </w:rPr>
      </w:pPr>
      <w:r>
        <w:rPr>
          <w:rFonts w:hint="default" w:ascii="Times New Roman" w:hAnsi="Times New Roman" w:eastAsia="方正小标宋简体" w:cs="Times New Roman"/>
          <w:color w:val="000000" w:themeColor="text1"/>
          <w:spacing w:val="0"/>
          <w:sz w:val="36"/>
          <w:szCs w:val="36"/>
          <w:lang w:bidi="ar"/>
          <w14:textFill>
            <w14:solidFill>
              <w14:schemeClr w14:val="tx1"/>
            </w14:solidFill>
          </w14:textFill>
        </w:rPr>
        <w:t>广元市昭化区财政项目支出绩效自评表</w:t>
      </w:r>
    </w:p>
    <w:p w14:paraId="2EAEFB71">
      <w:pPr>
        <w:keepNext w:val="0"/>
        <w:keepLines w:val="0"/>
        <w:pageBreakBefore w:val="0"/>
        <w:widowControl w:val="0"/>
        <w:kinsoku/>
        <w:wordWrap/>
        <w:topLinePunct w:val="0"/>
        <w:bidi w:val="0"/>
        <w:adjustRightInd w:val="0"/>
        <w:snapToGrid w:val="0"/>
        <w:spacing w:beforeLines="0" w:afterLines="0"/>
        <w:jc w:val="center"/>
        <w:textAlignment w:val="top"/>
        <w:rPr>
          <w:rFonts w:hint="default" w:ascii="Times New Roman" w:hAnsi="Times New Roman" w:cs="Times New Roman"/>
          <w:b/>
          <w:color w:val="000000" w:themeColor="text1"/>
          <w:spacing w:val="0"/>
          <w:sz w:val="24"/>
          <w:szCs w:val="24"/>
          <w14:textFill>
            <w14:solidFill>
              <w14:schemeClr w14:val="tx1"/>
            </w14:solidFill>
          </w14:textFill>
        </w:rPr>
      </w:pPr>
      <w:r>
        <w:rPr>
          <w:rFonts w:hint="default" w:ascii="Times New Roman" w:hAnsi="Times New Roman" w:cs="Times New Roman"/>
          <w:b/>
          <w:color w:val="000000" w:themeColor="text1"/>
          <w:spacing w:val="0"/>
          <w:sz w:val="24"/>
          <w:szCs w:val="24"/>
          <w:lang w:bidi="ar"/>
          <w14:textFill>
            <w14:solidFill>
              <w14:schemeClr w14:val="tx1"/>
            </w14:solidFill>
          </w14:textFill>
        </w:rPr>
        <w:t>（ 2023年度）</w:t>
      </w:r>
    </w:p>
    <w:tbl>
      <w:tblPr>
        <w:tblStyle w:val="11"/>
        <w:tblW w:w="5065"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8"/>
        <w:gridCol w:w="676"/>
        <w:gridCol w:w="175"/>
        <w:gridCol w:w="1134"/>
        <w:gridCol w:w="968"/>
        <w:gridCol w:w="172"/>
        <w:gridCol w:w="1859"/>
        <w:gridCol w:w="181"/>
        <w:gridCol w:w="1202"/>
        <w:gridCol w:w="177"/>
        <w:gridCol w:w="1136"/>
        <w:gridCol w:w="178"/>
        <w:gridCol w:w="912"/>
      </w:tblGrid>
      <w:tr w14:paraId="35FA2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58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66CAF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项目（政策）名称</w:t>
            </w:r>
          </w:p>
        </w:tc>
        <w:tc>
          <w:tcPr>
            <w:tcW w:w="4413"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70D0C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2023年中央财政农业经营主体能力提升资金</w:t>
            </w:r>
          </w:p>
        </w:tc>
      </w:tr>
      <w:tr w14:paraId="3E190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58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5D141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主管部门</w:t>
            </w:r>
          </w:p>
        </w:tc>
        <w:tc>
          <w:tcPr>
            <w:tcW w:w="2349"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E52F4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广元市昭化区供销合作社联合社部门</w:t>
            </w:r>
          </w:p>
        </w:tc>
        <w:tc>
          <w:tcPr>
            <w:tcW w:w="75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91DC4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实施单位</w:t>
            </w:r>
          </w:p>
        </w:tc>
        <w:tc>
          <w:tcPr>
            <w:tcW w:w="1310"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18729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广元市昭化区供销合作社联合社</w:t>
            </w:r>
          </w:p>
        </w:tc>
      </w:tr>
      <w:tr w14:paraId="4E39F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586"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0CD7793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项目（政策）资金（万元）</w:t>
            </w:r>
          </w:p>
        </w:tc>
        <w:tc>
          <w:tcPr>
            <w:tcW w:w="1242" w:type="pct"/>
            <w:gridSpan w:val="3"/>
            <w:tcBorders>
              <w:top w:val="nil"/>
              <w:left w:val="single" w:color="000000" w:sz="4" w:space="0"/>
              <w:bottom w:val="single" w:color="000000" w:sz="4" w:space="0"/>
              <w:right w:val="single" w:color="000000" w:sz="4" w:space="0"/>
              <w:tl2br w:val="nil"/>
              <w:tr2bl w:val="nil"/>
            </w:tcBorders>
            <w:noWrap w:val="0"/>
            <w:vAlign w:val="center"/>
          </w:tcPr>
          <w:p w14:paraId="33B15FB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年度预算数（万元）</w:t>
            </w:r>
          </w:p>
        </w:tc>
        <w:tc>
          <w:tcPr>
            <w:tcW w:w="1106" w:type="pct"/>
            <w:gridSpan w:val="2"/>
            <w:tcBorders>
              <w:top w:val="nil"/>
              <w:left w:val="single" w:color="000000" w:sz="4" w:space="0"/>
              <w:bottom w:val="single" w:color="000000" w:sz="4" w:space="0"/>
              <w:right w:val="single" w:color="000000" w:sz="4" w:space="0"/>
              <w:tl2br w:val="nil"/>
              <w:tr2bl w:val="nil"/>
            </w:tcBorders>
            <w:noWrap w:val="0"/>
            <w:vAlign w:val="center"/>
          </w:tcPr>
          <w:p w14:paraId="3F9A543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年初预算数</w:t>
            </w:r>
          </w:p>
        </w:tc>
        <w:tc>
          <w:tcPr>
            <w:tcW w:w="753" w:type="pct"/>
            <w:gridSpan w:val="2"/>
            <w:tcBorders>
              <w:top w:val="nil"/>
              <w:left w:val="single" w:color="000000" w:sz="4" w:space="0"/>
              <w:bottom w:val="single" w:color="000000" w:sz="4" w:space="0"/>
              <w:right w:val="single" w:color="000000" w:sz="4" w:space="0"/>
              <w:tl2br w:val="nil"/>
              <w:tr2bl w:val="nil"/>
            </w:tcBorders>
            <w:noWrap w:val="0"/>
            <w:vAlign w:val="center"/>
          </w:tcPr>
          <w:p w14:paraId="367A196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全年预算数</w:t>
            </w:r>
          </w:p>
        </w:tc>
        <w:tc>
          <w:tcPr>
            <w:tcW w:w="716" w:type="pct"/>
            <w:gridSpan w:val="2"/>
            <w:tcBorders>
              <w:top w:val="nil"/>
              <w:left w:val="single" w:color="000000" w:sz="4" w:space="0"/>
              <w:bottom w:val="single" w:color="000000" w:sz="4" w:space="0"/>
              <w:right w:val="single" w:color="000000" w:sz="4" w:space="0"/>
              <w:tl2br w:val="nil"/>
              <w:tr2bl w:val="nil"/>
            </w:tcBorders>
            <w:noWrap w:val="0"/>
            <w:vAlign w:val="center"/>
          </w:tcPr>
          <w:p w14:paraId="6EA3548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全年执行数</w:t>
            </w:r>
          </w:p>
        </w:tc>
        <w:tc>
          <w:tcPr>
            <w:tcW w:w="593" w:type="pct"/>
            <w:gridSpan w:val="2"/>
            <w:tcBorders>
              <w:top w:val="nil"/>
              <w:left w:val="single" w:color="000000" w:sz="4" w:space="0"/>
              <w:bottom w:val="single" w:color="000000" w:sz="4" w:space="0"/>
              <w:right w:val="single" w:color="000000" w:sz="4" w:space="0"/>
              <w:tl2br w:val="nil"/>
              <w:tr2bl w:val="nil"/>
            </w:tcBorders>
            <w:noWrap w:val="0"/>
            <w:vAlign w:val="center"/>
          </w:tcPr>
          <w:p w14:paraId="340AF5F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执行率</w:t>
            </w:r>
          </w:p>
        </w:tc>
      </w:tr>
      <w:tr w14:paraId="390F2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586"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25CEE843">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24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514FF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年度资金总额</w:t>
            </w:r>
          </w:p>
        </w:tc>
        <w:tc>
          <w:tcPr>
            <w:tcW w:w="110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7A4800">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0</w:t>
            </w:r>
          </w:p>
        </w:tc>
        <w:tc>
          <w:tcPr>
            <w:tcW w:w="75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97779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190</w:t>
            </w:r>
          </w:p>
        </w:tc>
        <w:tc>
          <w:tcPr>
            <w:tcW w:w="7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5B2C7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0</w:t>
            </w:r>
          </w:p>
        </w:tc>
        <w:tc>
          <w:tcPr>
            <w:tcW w:w="593" w:type="pct"/>
            <w:gridSpan w:val="2"/>
            <w:tcBorders>
              <w:top w:val="nil"/>
              <w:left w:val="single" w:color="000000" w:sz="4" w:space="0"/>
              <w:bottom w:val="single" w:color="000000" w:sz="4" w:space="0"/>
              <w:right w:val="single" w:color="000000" w:sz="4" w:space="0"/>
              <w:tl2br w:val="nil"/>
              <w:tr2bl w:val="nil"/>
            </w:tcBorders>
            <w:noWrap w:val="0"/>
            <w:vAlign w:val="center"/>
          </w:tcPr>
          <w:p w14:paraId="66C551E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0</w:t>
            </w:r>
          </w:p>
        </w:tc>
      </w:tr>
      <w:tr w14:paraId="73C3F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586"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7535BE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24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19BC12">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（一）财政拨款小计</w:t>
            </w:r>
          </w:p>
        </w:tc>
        <w:tc>
          <w:tcPr>
            <w:tcW w:w="110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6816B4">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0</w:t>
            </w:r>
          </w:p>
        </w:tc>
        <w:tc>
          <w:tcPr>
            <w:tcW w:w="75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0D60D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190</w:t>
            </w:r>
          </w:p>
        </w:tc>
        <w:tc>
          <w:tcPr>
            <w:tcW w:w="7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028D4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0</w:t>
            </w:r>
          </w:p>
        </w:tc>
        <w:tc>
          <w:tcPr>
            <w:tcW w:w="593" w:type="pct"/>
            <w:gridSpan w:val="2"/>
            <w:tcBorders>
              <w:top w:val="nil"/>
              <w:left w:val="single" w:color="000000" w:sz="4" w:space="0"/>
              <w:bottom w:val="single" w:color="000000" w:sz="4" w:space="0"/>
              <w:right w:val="single" w:color="000000" w:sz="4" w:space="0"/>
              <w:tl2br w:val="nil"/>
              <w:tr2bl w:val="nil"/>
            </w:tcBorders>
            <w:noWrap w:val="0"/>
            <w:vAlign w:val="center"/>
          </w:tcPr>
          <w:p w14:paraId="0CC532A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0</w:t>
            </w:r>
          </w:p>
        </w:tc>
      </w:tr>
      <w:tr w14:paraId="4D6FE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586"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A2347A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242"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050183">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 xml:space="preserve">   1.一般公共预算</w:t>
            </w:r>
          </w:p>
        </w:tc>
        <w:tc>
          <w:tcPr>
            <w:tcW w:w="110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8F2BA7">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0</w:t>
            </w:r>
          </w:p>
        </w:tc>
        <w:tc>
          <w:tcPr>
            <w:tcW w:w="753"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420ED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190</w:t>
            </w:r>
          </w:p>
        </w:tc>
        <w:tc>
          <w:tcPr>
            <w:tcW w:w="7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A867C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0</w:t>
            </w:r>
          </w:p>
        </w:tc>
        <w:tc>
          <w:tcPr>
            <w:tcW w:w="593" w:type="pct"/>
            <w:gridSpan w:val="2"/>
            <w:tcBorders>
              <w:top w:val="nil"/>
              <w:left w:val="single" w:color="000000" w:sz="4" w:space="0"/>
              <w:bottom w:val="single" w:color="000000" w:sz="4" w:space="0"/>
              <w:right w:val="single" w:color="000000" w:sz="4" w:space="0"/>
              <w:tl2br w:val="nil"/>
              <w:tr2bl w:val="nil"/>
            </w:tcBorders>
            <w:noWrap w:val="0"/>
            <w:vAlign w:val="center"/>
          </w:tcPr>
          <w:p w14:paraId="708C5C7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0</w:t>
            </w:r>
          </w:p>
        </w:tc>
      </w:tr>
      <w:tr w14:paraId="2025B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21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D9594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年度总体目标</w:t>
            </w:r>
          </w:p>
        </w:tc>
        <w:tc>
          <w:tcPr>
            <w:tcW w:w="2816"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8308B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预期目标</w:t>
            </w:r>
          </w:p>
        </w:tc>
        <w:tc>
          <w:tcPr>
            <w:tcW w:w="196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92A0E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全年实际完成情况</w:t>
            </w:r>
          </w:p>
        </w:tc>
      </w:tr>
      <w:tr w14:paraId="0274D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21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7A29D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2816"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095DB3">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1、农业生产全程托管面积1.9万亩，推动农业节本增效和农民增收；</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2、促进小农户与现代农业有效衔接，将先进适用的技术、装备等因素导入小农户农业生产，解决小农户经营方式粗放、生产效率低下等问题，让小农户成为适度规模经营的积极参与者和真正受益者。</w:t>
            </w:r>
          </w:p>
        </w:tc>
        <w:tc>
          <w:tcPr>
            <w:tcW w:w="1965"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F10CA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农业生产全程托管面积1.9万亩，推动农业节本增效和农民增收；促进小农户与现代农业有效衔接，将先进适用的技术、装备等因素导入小农户农业生产，解决小农户经营方式粗放、生产效率低下等问题，让小农户成为适度规模经营的积极参与者和真正受益者。</w:t>
            </w:r>
          </w:p>
        </w:tc>
      </w:tr>
      <w:tr w14:paraId="6FF59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21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421D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绩效</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指标</w:t>
            </w:r>
          </w:p>
        </w:tc>
        <w:tc>
          <w:tcPr>
            <w:tcW w:w="46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CF0A9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一级指标</w:t>
            </w:r>
          </w:p>
        </w:tc>
        <w:tc>
          <w:tcPr>
            <w:tcW w:w="6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1EC2D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二级指标</w:t>
            </w:r>
          </w:p>
        </w:tc>
        <w:tc>
          <w:tcPr>
            <w:tcW w:w="1733"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F7105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三级指标</w:t>
            </w:r>
          </w:p>
        </w:tc>
        <w:tc>
          <w:tcPr>
            <w:tcW w:w="75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CAA9E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年度指标值</w:t>
            </w:r>
          </w:p>
        </w:tc>
        <w:tc>
          <w:tcPr>
            <w:tcW w:w="7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BEFC4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实际完成值</w:t>
            </w:r>
          </w:p>
        </w:tc>
        <w:tc>
          <w:tcPr>
            <w:tcW w:w="49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9A641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偏差原因分析及改进措施</w:t>
            </w:r>
          </w:p>
        </w:tc>
      </w:tr>
      <w:tr w14:paraId="43600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21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F3A9DC">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6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DFB65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产出指标</w:t>
            </w:r>
          </w:p>
        </w:tc>
        <w:tc>
          <w:tcPr>
            <w:tcW w:w="618"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FE2C2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数量指标</w:t>
            </w:r>
          </w:p>
        </w:tc>
        <w:tc>
          <w:tcPr>
            <w:tcW w:w="62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07526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11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6E163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完成农业生产全程托管服务面积</w:t>
            </w:r>
          </w:p>
        </w:tc>
        <w:tc>
          <w:tcPr>
            <w:tcW w:w="75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E5945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1.9万亩</w:t>
            </w:r>
          </w:p>
        </w:tc>
        <w:tc>
          <w:tcPr>
            <w:tcW w:w="7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E3B3B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9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4E1F8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纳入2024年实施</w:t>
            </w:r>
          </w:p>
        </w:tc>
      </w:tr>
      <w:tr w14:paraId="689C6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21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2F475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6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6133AA">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618"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17C15C">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62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87637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指标2：</w:t>
            </w:r>
          </w:p>
        </w:tc>
        <w:tc>
          <w:tcPr>
            <w:tcW w:w="111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48A78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服务小农户生产托管率</w:t>
            </w:r>
          </w:p>
        </w:tc>
        <w:tc>
          <w:tcPr>
            <w:tcW w:w="75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137CE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60%</w:t>
            </w:r>
          </w:p>
        </w:tc>
        <w:tc>
          <w:tcPr>
            <w:tcW w:w="7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7B04A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9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3F0713">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3972B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21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FC575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6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B02549">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6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5C633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质量指标</w:t>
            </w:r>
          </w:p>
        </w:tc>
        <w:tc>
          <w:tcPr>
            <w:tcW w:w="62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68ED5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11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ED2A3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验收合格率</w:t>
            </w:r>
          </w:p>
        </w:tc>
        <w:tc>
          <w:tcPr>
            <w:tcW w:w="75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F67B1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w:t>
            </w:r>
          </w:p>
        </w:tc>
        <w:tc>
          <w:tcPr>
            <w:tcW w:w="7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A8E7A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9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0D85EF">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6741F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21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D12667">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6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82D90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6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50FF4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时效指标</w:t>
            </w:r>
          </w:p>
        </w:tc>
        <w:tc>
          <w:tcPr>
            <w:tcW w:w="62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87DE3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11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33779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完成时间</w:t>
            </w:r>
          </w:p>
        </w:tc>
        <w:tc>
          <w:tcPr>
            <w:tcW w:w="75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EB6DD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1年</w:t>
            </w:r>
          </w:p>
        </w:tc>
        <w:tc>
          <w:tcPr>
            <w:tcW w:w="7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2EA15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9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8BFB85">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3F166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21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8BFD8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6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854BB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效益指标</w:t>
            </w:r>
          </w:p>
        </w:tc>
        <w:tc>
          <w:tcPr>
            <w:tcW w:w="618" w:type="pct"/>
            <w:tcBorders>
              <w:top w:val="single" w:color="000000" w:sz="4" w:space="0"/>
              <w:left w:val="single" w:color="000000" w:sz="4" w:space="0"/>
              <w:bottom w:val="nil"/>
              <w:right w:val="single" w:color="000000" w:sz="4" w:space="0"/>
              <w:tl2br w:val="nil"/>
              <w:tr2bl w:val="nil"/>
            </w:tcBorders>
            <w:noWrap w:val="0"/>
            <w:vAlign w:val="center"/>
          </w:tcPr>
          <w:p w14:paraId="4197186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经济效益</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指标</w:t>
            </w:r>
          </w:p>
        </w:tc>
        <w:tc>
          <w:tcPr>
            <w:tcW w:w="62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8C62C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11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9ABCB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亩均实现节本增效</w:t>
            </w:r>
          </w:p>
        </w:tc>
        <w:tc>
          <w:tcPr>
            <w:tcW w:w="75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63944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100元</w:t>
            </w:r>
          </w:p>
        </w:tc>
        <w:tc>
          <w:tcPr>
            <w:tcW w:w="7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1F762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9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E63E0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52379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jc w:val="center"/>
        </w:trPr>
        <w:tc>
          <w:tcPr>
            <w:tcW w:w="21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CAA750">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6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0791B0">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618" w:type="pct"/>
            <w:tcBorders>
              <w:top w:val="single" w:color="000000" w:sz="4" w:space="0"/>
              <w:left w:val="single" w:color="000000" w:sz="4" w:space="0"/>
              <w:bottom w:val="nil"/>
              <w:right w:val="single" w:color="000000" w:sz="4" w:space="0"/>
              <w:tl2br w:val="nil"/>
              <w:tr2bl w:val="nil"/>
            </w:tcBorders>
            <w:noWrap w:val="0"/>
            <w:vAlign w:val="center"/>
          </w:tcPr>
          <w:p w14:paraId="08BFB64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生态效益</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指标</w:t>
            </w:r>
          </w:p>
        </w:tc>
        <w:tc>
          <w:tcPr>
            <w:tcW w:w="62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F9901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11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FF4A5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农作物秸秆综合利用率</w:t>
            </w:r>
          </w:p>
        </w:tc>
        <w:tc>
          <w:tcPr>
            <w:tcW w:w="75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C6078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80%</w:t>
            </w:r>
          </w:p>
        </w:tc>
        <w:tc>
          <w:tcPr>
            <w:tcW w:w="7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74BA99">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9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BFF7E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33B4E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21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29839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6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072F0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满意度</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指标</w:t>
            </w:r>
          </w:p>
        </w:tc>
        <w:tc>
          <w:tcPr>
            <w:tcW w:w="618"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1EFC7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服务对象满意度指标</w:t>
            </w:r>
          </w:p>
        </w:tc>
        <w:tc>
          <w:tcPr>
            <w:tcW w:w="62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5C9C6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11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0AA5E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群众满意度</w:t>
            </w:r>
          </w:p>
        </w:tc>
        <w:tc>
          <w:tcPr>
            <w:tcW w:w="75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ED330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90%</w:t>
            </w:r>
          </w:p>
        </w:tc>
        <w:tc>
          <w:tcPr>
            <w:tcW w:w="71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62764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9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3AFF0D">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bl>
    <w:p w14:paraId="772643D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eastAsia="方正小标宋简体" w:cs="Times New Roman"/>
          <w:color w:val="000000" w:themeColor="text1"/>
          <w:spacing w:val="0"/>
          <w:sz w:val="36"/>
          <w:szCs w:val="36"/>
          <w14:textFill>
            <w14:solidFill>
              <w14:schemeClr w14:val="tx1"/>
            </w14:solidFill>
          </w14:textFill>
        </w:rPr>
      </w:pPr>
      <w:r>
        <w:rPr>
          <w:rFonts w:hint="default" w:ascii="Times New Roman" w:hAnsi="Times New Roman" w:eastAsia="方正小标宋简体" w:cs="Times New Roman"/>
          <w:color w:val="000000" w:themeColor="text1"/>
          <w:spacing w:val="0"/>
          <w:sz w:val="36"/>
          <w:szCs w:val="36"/>
          <w:lang w:bidi="ar"/>
          <w14:textFill>
            <w14:solidFill>
              <w14:schemeClr w14:val="tx1"/>
            </w14:solidFill>
          </w14:textFill>
        </w:rPr>
        <w:t>广元市昭化区财政项目支出绩效自评表</w:t>
      </w:r>
    </w:p>
    <w:p w14:paraId="28B57DA8">
      <w:pPr>
        <w:keepNext w:val="0"/>
        <w:keepLines w:val="0"/>
        <w:pageBreakBefore w:val="0"/>
        <w:widowControl w:val="0"/>
        <w:kinsoku/>
        <w:wordWrap/>
        <w:topLinePunct w:val="0"/>
        <w:bidi w:val="0"/>
        <w:adjustRightInd w:val="0"/>
        <w:snapToGrid w:val="0"/>
        <w:spacing w:beforeLines="0" w:afterLines="0"/>
        <w:jc w:val="center"/>
        <w:textAlignment w:val="top"/>
        <w:rPr>
          <w:rFonts w:hint="default" w:ascii="Times New Roman" w:hAnsi="Times New Roman" w:cs="Times New Roman"/>
          <w:b/>
          <w:color w:val="000000" w:themeColor="text1"/>
          <w:spacing w:val="0"/>
          <w:sz w:val="24"/>
          <w:szCs w:val="24"/>
          <w14:textFill>
            <w14:solidFill>
              <w14:schemeClr w14:val="tx1"/>
            </w14:solidFill>
          </w14:textFill>
        </w:rPr>
      </w:pPr>
      <w:r>
        <w:rPr>
          <w:rFonts w:hint="default" w:ascii="Times New Roman" w:hAnsi="Times New Roman" w:cs="Times New Roman"/>
          <w:b/>
          <w:color w:val="000000" w:themeColor="text1"/>
          <w:spacing w:val="0"/>
          <w:sz w:val="24"/>
          <w:szCs w:val="24"/>
          <w:lang w:bidi="ar"/>
          <w14:textFill>
            <w14:solidFill>
              <w14:schemeClr w14:val="tx1"/>
            </w14:solidFill>
          </w14:textFill>
        </w:rPr>
        <w:t>（ 2023年度）</w:t>
      </w:r>
    </w:p>
    <w:tbl>
      <w:tblPr>
        <w:tblStyle w:val="11"/>
        <w:tblW w:w="508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6"/>
        <w:gridCol w:w="487"/>
        <w:gridCol w:w="168"/>
        <w:gridCol w:w="894"/>
        <w:gridCol w:w="743"/>
        <w:gridCol w:w="153"/>
        <w:gridCol w:w="1468"/>
        <w:gridCol w:w="188"/>
        <w:gridCol w:w="925"/>
        <w:gridCol w:w="160"/>
        <w:gridCol w:w="883"/>
        <w:gridCol w:w="160"/>
        <w:gridCol w:w="2421"/>
      </w:tblGrid>
      <w:tr w14:paraId="532C2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57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54E8B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项目（政策）名称</w:t>
            </w:r>
          </w:p>
        </w:tc>
        <w:tc>
          <w:tcPr>
            <w:tcW w:w="4428" w:type="pct"/>
            <w:gridSpan w:val="11"/>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61FDF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网络体系建设</w:t>
            </w:r>
          </w:p>
        </w:tc>
      </w:tr>
      <w:tr w14:paraId="5809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71"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C9525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主管部门</w:t>
            </w:r>
          </w:p>
        </w:tc>
        <w:tc>
          <w:tcPr>
            <w:tcW w:w="185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6E8CC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广元市昭化区供销合作社联合社部门</w:t>
            </w:r>
          </w:p>
        </w:tc>
        <w:tc>
          <w:tcPr>
            <w:tcW w:w="60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E0F29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实施单位</w:t>
            </w:r>
          </w:p>
        </w:tc>
        <w:tc>
          <w:tcPr>
            <w:tcW w:w="1966" w:type="pct"/>
            <w:gridSpan w:val="4"/>
            <w:tcBorders>
              <w:top w:val="single" w:color="000000" w:sz="4" w:space="0"/>
              <w:left w:val="single" w:color="000000" w:sz="4" w:space="0"/>
              <w:bottom w:val="single" w:color="000000" w:sz="4" w:space="0"/>
              <w:right w:val="single" w:color="auto" w:sz="4" w:space="0"/>
              <w:tl2br w:val="nil"/>
              <w:tr2bl w:val="nil"/>
            </w:tcBorders>
            <w:noWrap w:val="0"/>
            <w:vAlign w:val="center"/>
          </w:tcPr>
          <w:p w14:paraId="6D44BB7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广元市昭化区供销合作社联合社</w:t>
            </w:r>
          </w:p>
        </w:tc>
      </w:tr>
      <w:tr w14:paraId="7CA0B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71"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15A87AA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项目（政策）资金（万元）</w:t>
            </w:r>
          </w:p>
        </w:tc>
        <w:tc>
          <w:tcPr>
            <w:tcW w:w="979" w:type="pct"/>
            <w:gridSpan w:val="3"/>
            <w:tcBorders>
              <w:top w:val="nil"/>
              <w:left w:val="single" w:color="000000" w:sz="4" w:space="0"/>
              <w:bottom w:val="single" w:color="000000" w:sz="4" w:space="0"/>
              <w:right w:val="single" w:color="000000" w:sz="4" w:space="0"/>
              <w:tl2br w:val="nil"/>
              <w:tr2bl w:val="nil"/>
            </w:tcBorders>
            <w:noWrap w:val="0"/>
            <w:vAlign w:val="center"/>
          </w:tcPr>
          <w:p w14:paraId="4C0C6B8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年度预算数（万元）</w:t>
            </w:r>
          </w:p>
        </w:tc>
        <w:tc>
          <w:tcPr>
            <w:tcW w:w="879" w:type="pct"/>
            <w:gridSpan w:val="2"/>
            <w:tcBorders>
              <w:top w:val="nil"/>
              <w:left w:val="single" w:color="000000" w:sz="4" w:space="0"/>
              <w:bottom w:val="single" w:color="000000" w:sz="4" w:space="0"/>
              <w:right w:val="single" w:color="000000" w:sz="4" w:space="0"/>
              <w:tl2br w:val="nil"/>
              <w:tr2bl w:val="nil"/>
            </w:tcBorders>
            <w:noWrap w:val="0"/>
            <w:vAlign w:val="center"/>
          </w:tcPr>
          <w:p w14:paraId="48B0B34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年初预算数</w:t>
            </w:r>
          </w:p>
        </w:tc>
        <w:tc>
          <w:tcPr>
            <w:tcW w:w="602" w:type="pct"/>
            <w:gridSpan w:val="2"/>
            <w:tcBorders>
              <w:top w:val="nil"/>
              <w:left w:val="single" w:color="000000" w:sz="4" w:space="0"/>
              <w:bottom w:val="single" w:color="000000" w:sz="4" w:space="0"/>
              <w:right w:val="single" w:color="000000" w:sz="4" w:space="0"/>
              <w:tl2br w:val="nil"/>
              <w:tr2bl w:val="nil"/>
            </w:tcBorders>
            <w:noWrap w:val="0"/>
            <w:vAlign w:val="center"/>
          </w:tcPr>
          <w:p w14:paraId="263AD08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全年预算数</w:t>
            </w:r>
          </w:p>
        </w:tc>
        <w:tc>
          <w:tcPr>
            <w:tcW w:w="566" w:type="pct"/>
            <w:gridSpan w:val="2"/>
            <w:tcBorders>
              <w:top w:val="nil"/>
              <w:left w:val="single" w:color="000000" w:sz="4" w:space="0"/>
              <w:bottom w:val="single" w:color="000000" w:sz="4" w:space="0"/>
              <w:right w:val="single" w:color="000000" w:sz="4" w:space="0"/>
              <w:tl2br w:val="nil"/>
              <w:tr2bl w:val="nil"/>
            </w:tcBorders>
            <w:noWrap w:val="0"/>
            <w:vAlign w:val="center"/>
          </w:tcPr>
          <w:p w14:paraId="127F4DD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全年执行数</w:t>
            </w:r>
          </w:p>
        </w:tc>
        <w:tc>
          <w:tcPr>
            <w:tcW w:w="1400" w:type="pct"/>
            <w:gridSpan w:val="2"/>
            <w:tcBorders>
              <w:top w:val="nil"/>
              <w:left w:val="single" w:color="000000" w:sz="4" w:space="0"/>
              <w:bottom w:val="single" w:color="000000" w:sz="4" w:space="0"/>
              <w:right w:val="single" w:color="auto" w:sz="4" w:space="0"/>
              <w:tl2br w:val="nil"/>
              <w:tr2bl w:val="nil"/>
            </w:tcBorders>
            <w:noWrap w:val="0"/>
            <w:vAlign w:val="center"/>
          </w:tcPr>
          <w:p w14:paraId="13C9AD5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执行率</w:t>
            </w:r>
          </w:p>
        </w:tc>
      </w:tr>
      <w:tr w14:paraId="496A3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71"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9197A15">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97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03944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年度资金总额</w:t>
            </w:r>
          </w:p>
        </w:tc>
        <w:tc>
          <w:tcPr>
            <w:tcW w:w="87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1F310B">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w:t>
            </w:r>
          </w:p>
        </w:tc>
        <w:tc>
          <w:tcPr>
            <w:tcW w:w="60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47038B">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w:t>
            </w:r>
          </w:p>
        </w:tc>
        <w:tc>
          <w:tcPr>
            <w:tcW w:w="56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15206C">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w:t>
            </w:r>
          </w:p>
        </w:tc>
        <w:tc>
          <w:tcPr>
            <w:tcW w:w="1400" w:type="pct"/>
            <w:gridSpan w:val="2"/>
            <w:tcBorders>
              <w:top w:val="nil"/>
              <w:left w:val="single" w:color="000000" w:sz="4" w:space="0"/>
              <w:bottom w:val="single" w:color="000000" w:sz="4" w:space="0"/>
              <w:right w:val="single" w:color="000000" w:sz="4" w:space="0"/>
              <w:tl2br w:val="nil"/>
              <w:tr2bl w:val="nil"/>
            </w:tcBorders>
            <w:noWrap w:val="0"/>
            <w:vAlign w:val="center"/>
          </w:tcPr>
          <w:p w14:paraId="1FE56A0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100%</w:t>
            </w:r>
          </w:p>
        </w:tc>
      </w:tr>
      <w:tr w14:paraId="3643A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71"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139151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97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DC02C3">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（一）财政拨款小计</w:t>
            </w:r>
          </w:p>
        </w:tc>
        <w:tc>
          <w:tcPr>
            <w:tcW w:w="87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F85A70">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w:t>
            </w:r>
          </w:p>
        </w:tc>
        <w:tc>
          <w:tcPr>
            <w:tcW w:w="60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2C3733">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w:t>
            </w:r>
          </w:p>
        </w:tc>
        <w:tc>
          <w:tcPr>
            <w:tcW w:w="56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3524E75">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w:t>
            </w:r>
          </w:p>
        </w:tc>
        <w:tc>
          <w:tcPr>
            <w:tcW w:w="1400" w:type="pct"/>
            <w:gridSpan w:val="2"/>
            <w:tcBorders>
              <w:top w:val="nil"/>
              <w:left w:val="single" w:color="000000" w:sz="4" w:space="0"/>
              <w:bottom w:val="single" w:color="000000" w:sz="4" w:space="0"/>
              <w:right w:val="single" w:color="000000" w:sz="4" w:space="0"/>
              <w:tl2br w:val="nil"/>
              <w:tr2bl w:val="nil"/>
            </w:tcBorders>
            <w:noWrap w:val="0"/>
            <w:vAlign w:val="center"/>
          </w:tcPr>
          <w:p w14:paraId="4870C88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100%</w:t>
            </w:r>
          </w:p>
        </w:tc>
      </w:tr>
      <w:tr w14:paraId="19ED7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571"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E7B55C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979"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8A5137">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 xml:space="preserve">   1.一般公共预算</w:t>
            </w:r>
          </w:p>
        </w:tc>
        <w:tc>
          <w:tcPr>
            <w:tcW w:w="87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22B963">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w:t>
            </w:r>
          </w:p>
        </w:tc>
        <w:tc>
          <w:tcPr>
            <w:tcW w:w="602"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2B78D9">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w:t>
            </w:r>
          </w:p>
        </w:tc>
        <w:tc>
          <w:tcPr>
            <w:tcW w:w="56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7F68CC">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w:t>
            </w:r>
          </w:p>
        </w:tc>
        <w:tc>
          <w:tcPr>
            <w:tcW w:w="1400" w:type="pct"/>
            <w:gridSpan w:val="2"/>
            <w:tcBorders>
              <w:top w:val="nil"/>
              <w:left w:val="single" w:color="000000" w:sz="4" w:space="0"/>
              <w:bottom w:val="single" w:color="000000" w:sz="4" w:space="0"/>
              <w:right w:val="single" w:color="000000" w:sz="4" w:space="0"/>
              <w:tl2br w:val="nil"/>
              <w:tr2bl w:val="nil"/>
            </w:tcBorders>
            <w:noWrap w:val="0"/>
            <w:vAlign w:val="center"/>
          </w:tcPr>
          <w:p w14:paraId="24C49F7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100%</w:t>
            </w:r>
          </w:p>
        </w:tc>
      </w:tr>
      <w:tr w14:paraId="22D81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30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63898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年度总体目标</w:t>
            </w:r>
          </w:p>
        </w:tc>
        <w:tc>
          <w:tcPr>
            <w:tcW w:w="2224"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190F2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预期目标</w:t>
            </w:r>
          </w:p>
        </w:tc>
        <w:tc>
          <w:tcPr>
            <w:tcW w:w="246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D357A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全年实际完成情况</w:t>
            </w:r>
          </w:p>
        </w:tc>
      </w:tr>
      <w:tr w14:paraId="5F9D9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jc w:val="center"/>
        </w:trPr>
        <w:tc>
          <w:tcPr>
            <w:tcW w:w="3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B2AE7D">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2224" w:type="pct"/>
            <w:gridSpan w:val="7"/>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814C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新建社会服务化超市5个，电子商务网点5个，维护升级便民服务超市15个，再生资源回收（站）点10个，农资放心店10个。服务“三农”，解决老百姓买男卖难，活跃农村市场，促进农村经济发展。可持续发展，群众满意度90%</w:t>
            </w:r>
          </w:p>
        </w:tc>
        <w:tc>
          <w:tcPr>
            <w:tcW w:w="2468" w:type="pct"/>
            <w:gridSpan w:val="5"/>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E518A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完成社会服务化超市5个，电子商务网点5个，维护升级便民服务超市15个，再生资源回收（站）点10个，农资放心店10个。服务“三农”，解决老百姓买男卖难，活跃农村市场，促进农村经济发展。可持续发展，群众满意度90%</w:t>
            </w:r>
          </w:p>
        </w:tc>
      </w:tr>
      <w:tr w14:paraId="3E61B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0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26166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绩效</w:t>
            </w:r>
            <w:r>
              <w:rPr>
                <w:rFonts w:hint="default" w:ascii="Times New Roman" w:hAnsi="Times New Roman" w:cs="Times New Roman"/>
                <w:color w:val="000000" w:themeColor="text1"/>
                <w:spacing w:val="0"/>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0"/>
                <w:sz w:val="18"/>
                <w:szCs w:val="18"/>
                <w:lang w:bidi="ar"/>
                <w14:textFill>
                  <w14:solidFill>
                    <w14:schemeClr w14:val="tx1"/>
                  </w14:solidFill>
                </w14:textFill>
              </w:rPr>
              <w:t>指标</w:t>
            </w:r>
          </w:p>
        </w:tc>
        <w:tc>
          <w:tcPr>
            <w:tcW w:w="35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05F9A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一级指标</w:t>
            </w:r>
          </w:p>
        </w:tc>
        <w:tc>
          <w:tcPr>
            <w:tcW w:w="4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3EABF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二级指标</w:t>
            </w:r>
          </w:p>
        </w:tc>
        <w:tc>
          <w:tcPr>
            <w:tcW w:w="1383"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E71D4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三级指标</w:t>
            </w:r>
          </w:p>
        </w:tc>
        <w:tc>
          <w:tcPr>
            <w:tcW w:w="5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CB295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年度指标值</w:t>
            </w:r>
          </w:p>
        </w:tc>
        <w:tc>
          <w:tcPr>
            <w:tcW w:w="56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0F03E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实际完成值</w:t>
            </w:r>
          </w:p>
        </w:tc>
        <w:tc>
          <w:tcPr>
            <w:tcW w:w="13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455AA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偏差原因分析及改进措施</w:t>
            </w:r>
          </w:p>
        </w:tc>
      </w:tr>
      <w:tr w14:paraId="63245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9" w:hRule="atLeast"/>
          <w:jc w:val="center"/>
        </w:trPr>
        <w:tc>
          <w:tcPr>
            <w:tcW w:w="3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6A03E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5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07590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产出指标</w:t>
            </w:r>
          </w:p>
        </w:tc>
        <w:tc>
          <w:tcPr>
            <w:tcW w:w="485"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E9F0E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数量指标</w:t>
            </w:r>
          </w:p>
        </w:tc>
        <w:tc>
          <w:tcPr>
            <w:tcW w:w="486" w:type="pct"/>
            <w:gridSpan w:val="2"/>
            <w:tcBorders>
              <w:top w:val="single" w:color="000000" w:sz="4" w:space="0"/>
              <w:left w:val="single" w:color="000000" w:sz="4" w:space="0"/>
              <w:bottom w:val="single" w:color="000000" w:sz="4" w:space="0"/>
              <w:right w:val="nil"/>
              <w:tl2br w:val="nil"/>
              <w:tr2bl w:val="nil"/>
            </w:tcBorders>
            <w:noWrap w:val="0"/>
            <w:vAlign w:val="center"/>
          </w:tcPr>
          <w:p w14:paraId="651D1A5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896" w:type="pct"/>
            <w:gridSpan w:val="2"/>
            <w:tcBorders>
              <w:top w:val="single" w:color="000000" w:sz="4" w:space="0"/>
              <w:left w:val="nil"/>
              <w:bottom w:val="single" w:color="000000" w:sz="4" w:space="0"/>
              <w:right w:val="single" w:color="000000" w:sz="4" w:space="0"/>
              <w:tl2br w:val="nil"/>
              <w:tr2bl w:val="nil"/>
            </w:tcBorders>
            <w:noWrap w:val="0"/>
            <w:vAlign w:val="center"/>
          </w:tcPr>
          <w:p w14:paraId="5C019DF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新建社会服务化超市5个，电子商务网点5个，维护便民服务超市5个，再生资源回收网点5个，农资放心店10个</w:t>
            </w:r>
          </w:p>
        </w:tc>
        <w:tc>
          <w:tcPr>
            <w:tcW w:w="5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1520E1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100%</w:t>
            </w:r>
          </w:p>
        </w:tc>
        <w:tc>
          <w:tcPr>
            <w:tcW w:w="56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556D2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100%</w:t>
            </w:r>
          </w:p>
        </w:tc>
        <w:tc>
          <w:tcPr>
            <w:tcW w:w="13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08B99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79D1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3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A7A5D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5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80AD8B">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48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C13A3F">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486" w:type="pct"/>
            <w:gridSpan w:val="2"/>
            <w:tcBorders>
              <w:top w:val="single" w:color="000000" w:sz="4" w:space="0"/>
              <w:left w:val="single" w:color="000000" w:sz="4" w:space="0"/>
              <w:bottom w:val="single" w:color="000000" w:sz="4" w:space="0"/>
              <w:right w:val="nil"/>
              <w:tl2br w:val="nil"/>
              <w:tr2bl w:val="nil"/>
            </w:tcBorders>
            <w:noWrap w:val="0"/>
            <w:vAlign w:val="center"/>
          </w:tcPr>
          <w:p w14:paraId="4305B61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指标2：</w:t>
            </w:r>
          </w:p>
        </w:tc>
        <w:tc>
          <w:tcPr>
            <w:tcW w:w="896" w:type="pct"/>
            <w:gridSpan w:val="2"/>
            <w:tcBorders>
              <w:top w:val="single" w:color="000000" w:sz="4" w:space="0"/>
              <w:left w:val="nil"/>
              <w:bottom w:val="single" w:color="000000" w:sz="4" w:space="0"/>
              <w:right w:val="single" w:color="000000" w:sz="4" w:space="0"/>
              <w:tl2br w:val="nil"/>
              <w:tr2bl w:val="nil"/>
            </w:tcBorders>
            <w:noWrap w:val="0"/>
            <w:vAlign w:val="center"/>
          </w:tcPr>
          <w:p w14:paraId="147A4FB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电子商务网点个数</w:t>
            </w:r>
          </w:p>
        </w:tc>
        <w:tc>
          <w:tcPr>
            <w:tcW w:w="5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AF986C">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5个</w:t>
            </w:r>
          </w:p>
        </w:tc>
        <w:tc>
          <w:tcPr>
            <w:tcW w:w="56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92A33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5个</w:t>
            </w:r>
          </w:p>
        </w:tc>
        <w:tc>
          <w:tcPr>
            <w:tcW w:w="13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51FB4B">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36B23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3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EA22D3">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5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A934A3">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485"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CA850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486" w:type="pct"/>
            <w:gridSpan w:val="2"/>
            <w:tcBorders>
              <w:top w:val="single" w:color="000000" w:sz="4" w:space="0"/>
              <w:left w:val="single" w:color="000000" w:sz="4" w:space="0"/>
              <w:bottom w:val="single" w:color="000000" w:sz="4" w:space="0"/>
              <w:right w:val="nil"/>
              <w:tl2br w:val="nil"/>
              <w:tr2bl w:val="nil"/>
            </w:tcBorders>
            <w:noWrap w:val="0"/>
            <w:vAlign w:val="center"/>
          </w:tcPr>
          <w:p w14:paraId="6462B3B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指标3：</w:t>
            </w:r>
          </w:p>
        </w:tc>
        <w:tc>
          <w:tcPr>
            <w:tcW w:w="896" w:type="pct"/>
            <w:gridSpan w:val="2"/>
            <w:tcBorders>
              <w:top w:val="single" w:color="000000" w:sz="4" w:space="0"/>
              <w:left w:val="nil"/>
              <w:bottom w:val="single" w:color="000000" w:sz="4" w:space="0"/>
              <w:right w:val="single" w:color="000000" w:sz="4" w:space="0"/>
              <w:tl2br w:val="nil"/>
              <w:tr2bl w:val="nil"/>
            </w:tcBorders>
            <w:noWrap w:val="0"/>
            <w:vAlign w:val="center"/>
          </w:tcPr>
          <w:p w14:paraId="068010C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新建超市网点</w:t>
            </w:r>
          </w:p>
        </w:tc>
        <w:tc>
          <w:tcPr>
            <w:tcW w:w="5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EB3182">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4个</w:t>
            </w:r>
          </w:p>
        </w:tc>
        <w:tc>
          <w:tcPr>
            <w:tcW w:w="56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7E8DF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4个</w:t>
            </w:r>
          </w:p>
        </w:tc>
        <w:tc>
          <w:tcPr>
            <w:tcW w:w="13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3C609A">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1CAE5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9" w:hRule="atLeast"/>
          <w:jc w:val="center"/>
        </w:trPr>
        <w:tc>
          <w:tcPr>
            <w:tcW w:w="3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15087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5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1E0ECC">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4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26D7B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质量指标</w:t>
            </w:r>
          </w:p>
        </w:tc>
        <w:tc>
          <w:tcPr>
            <w:tcW w:w="486" w:type="pct"/>
            <w:gridSpan w:val="2"/>
            <w:tcBorders>
              <w:top w:val="single" w:color="000000" w:sz="4" w:space="0"/>
              <w:left w:val="single" w:color="000000" w:sz="4" w:space="0"/>
              <w:bottom w:val="single" w:color="000000" w:sz="4" w:space="0"/>
              <w:right w:val="nil"/>
              <w:tl2br w:val="nil"/>
              <w:tr2bl w:val="nil"/>
            </w:tcBorders>
            <w:noWrap w:val="0"/>
            <w:vAlign w:val="center"/>
          </w:tcPr>
          <w:p w14:paraId="5ED16C7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896" w:type="pct"/>
            <w:gridSpan w:val="2"/>
            <w:tcBorders>
              <w:top w:val="single" w:color="000000" w:sz="4" w:space="0"/>
              <w:left w:val="nil"/>
              <w:bottom w:val="single" w:color="000000" w:sz="4" w:space="0"/>
              <w:right w:val="single" w:color="000000" w:sz="4" w:space="0"/>
              <w:tl2br w:val="nil"/>
              <w:tr2bl w:val="nil"/>
            </w:tcBorders>
            <w:noWrap w:val="0"/>
            <w:vAlign w:val="center"/>
          </w:tcPr>
          <w:p w14:paraId="091CFE2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商务网点运行正常率：公式：网点运行正常数量/所有网点运行正常数量*100%</w:t>
            </w:r>
          </w:p>
        </w:tc>
        <w:tc>
          <w:tcPr>
            <w:tcW w:w="5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B0788A">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100%</w:t>
            </w:r>
          </w:p>
        </w:tc>
        <w:tc>
          <w:tcPr>
            <w:tcW w:w="56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F1D74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100%</w:t>
            </w:r>
          </w:p>
        </w:tc>
        <w:tc>
          <w:tcPr>
            <w:tcW w:w="13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E0E0D0">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623D6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3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B10B0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5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EB56D3">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4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8D932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时效指标</w:t>
            </w:r>
          </w:p>
        </w:tc>
        <w:tc>
          <w:tcPr>
            <w:tcW w:w="486" w:type="pct"/>
            <w:gridSpan w:val="2"/>
            <w:tcBorders>
              <w:top w:val="single" w:color="000000" w:sz="4" w:space="0"/>
              <w:left w:val="single" w:color="000000" w:sz="4" w:space="0"/>
              <w:bottom w:val="single" w:color="000000" w:sz="4" w:space="0"/>
              <w:right w:val="nil"/>
              <w:tl2br w:val="nil"/>
              <w:tr2bl w:val="nil"/>
            </w:tcBorders>
            <w:noWrap w:val="0"/>
            <w:vAlign w:val="center"/>
          </w:tcPr>
          <w:p w14:paraId="559AF2B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896" w:type="pct"/>
            <w:gridSpan w:val="2"/>
            <w:tcBorders>
              <w:top w:val="single" w:color="000000" w:sz="4" w:space="0"/>
              <w:left w:val="nil"/>
              <w:bottom w:val="single" w:color="000000" w:sz="4" w:space="0"/>
              <w:right w:val="single" w:color="000000" w:sz="4" w:space="0"/>
              <w:tl2br w:val="nil"/>
              <w:tr2bl w:val="nil"/>
            </w:tcBorders>
            <w:noWrap w:val="0"/>
            <w:vAlign w:val="center"/>
          </w:tcPr>
          <w:p w14:paraId="7056C94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各项任务完成及时率（计划完成任务时间-实际完成任务时间）/计划完成任务时间*100%</w:t>
            </w:r>
          </w:p>
        </w:tc>
        <w:tc>
          <w:tcPr>
            <w:tcW w:w="5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6B63A1">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w:t>
            </w:r>
          </w:p>
        </w:tc>
        <w:tc>
          <w:tcPr>
            <w:tcW w:w="56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12E47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w:t>
            </w:r>
          </w:p>
        </w:tc>
        <w:tc>
          <w:tcPr>
            <w:tcW w:w="13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13257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1C38A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3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55398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5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E416A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4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4F1C6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成本指标</w:t>
            </w:r>
          </w:p>
        </w:tc>
        <w:tc>
          <w:tcPr>
            <w:tcW w:w="486" w:type="pct"/>
            <w:gridSpan w:val="2"/>
            <w:tcBorders>
              <w:top w:val="single" w:color="000000" w:sz="4" w:space="0"/>
              <w:left w:val="single" w:color="000000" w:sz="4" w:space="0"/>
              <w:bottom w:val="single" w:color="000000" w:sz="4" w:space="0"/>
              <w:right w:val="nil"/>
              <w:tl2br w:val="nil"/>
              <w:tr2bl w:val="nil"/>
            </w:tcBorders>
            <w:noWrap w:val="0"/>
            <w:vAlign w:val="center"/>
          </w:tcPr>
          <w:p w14:paraId="501D51A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896" w:type="pct"/>
            <w:gridSpan w:val="2"/>
            <w:tcBorders>
              <w:top w:val="single" w:color="000000" w:sz="4" w:space="0"/>
              <w:left w:val="nil"/>
              <w:bottom w:val="single" w:color="000000" w:sz="4" w:space="0"/>
              <w:right w:val="single" w:color="000000" w:sz="4" w:space="0"/>
              <w:tl2br w:val="nil"/>
              <w:tr2bl w:val="nil"/>
            </w:tcBorders>
            <w:noWrap w:val="0"/>
            <w:vAlign w:val="center"/>
          </w:tcPr>
          <w:p w14:paraId="64815EB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网点运行费、建设费</w:t>
            </w:r>
          </w:p>
        </w:tc>
        <w:tc>
          <w:tcPr>
            <w:tcW w:w="5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EE5F36">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10万元</w:t>
            </w:r>
          </w:p>
        </w:tc>
        <w:tc>
          <w:tcPr>
            <w:tcW w:w="56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7F634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10万元</w:t>
            </w:r>
          </w:p>
        </w:tc>
        <w:tc>
          <w:tcPr>
            <w:tcW w:w="13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BB460F">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1BD8A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jc w:val="center"/>
        </w:trPr>
        <w:tc>
          <w:tcPr>
            <w:tcW w:w="3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B17D77">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55" w:type="pct"/>
            <w:gridSpan w:val="2"/>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4A16D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效益指标</w:t>
            </w:r>
          </w:p>
        </w:tc>
        <w:tc>
          <w:tcPr>
            <w:tcW w:w="485" w:type="pct"/>
            <w:tcBorders>
              <w:top w:val="single" w:color="000000" w:sz="4" w:space="0"/>
              <w:left w:val="single" w:color="000000" w:sz="4" w:space="0"/>
              <w:bottom w:val="nil"/>
              <w:right w:val="single" w:color="000000" w:sz="4" w:space="0"/>
              <w:tl2br w:val="nil"/>
              <w:tr2bl w:val="nil"/>
            </w:tcBorders>
            <w:noWrap w:val="0"/>
            <w:vAlign w:val="center"/>
          </w:tcPr>
          <w:p w14:paraId="31CD7D4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经济效益</w:t>
            </w:r>
            <w:r>
              <w:rPr>
                <w:rFonts w:hint="default" w:ascii="Times New Roman" w:hAnsi="Times New Roman" w:cs="Times New Roman"/>
                <w:color w:val="000000" w:themeColor="text1"/>
                <w:spacing w:val="0"/>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0"/>
                <w:sz w:val="18"/>
                <w:szCs w:val="18"/>
                <w:lang w:bidi="ar"/>
                <w14:textFill>
                  <w14:solidFill>
                    <w14:schemeClr w14:val="tx1"/>
                  </w14:solidFill>
                </w14:textFill>
              </w:rPr>
              <w:t>指标</w:t>
            </w:r>
          </w:p>
        </w:tc>
        <w:tc>
          <w:tcPr>
            <w:tcW w:w="486" w:type="pct"/>
            <w:gridSpan w:val="2"/>
            <w:tcBorders>
              <w:top w:val="single" w:color="000000" w:sz="4" w:space="0"/>
              <w:left w:val="single" w:color="000000" w:sz="4" w:space="0"/>
              <w:bottom w:val="single" w:color="000000" w:sz="4" w:space="0"/>
              <w:right w:val="nil"/>
              <w:tl2br w:val="nil"/>
              <w:tr2bl w:val="nil"/>
            </w:tcBorders>
            <w:noWrap w:val="0"/>
            <w:vAlign w:val="center"/>
          </w:tcPr>
          <w:p w14:paraId="0D3B671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896" w:type="pct"/>
            <w:gridSpan w:val="2"/>
            <w:tcBorders>
              <w:top w:val="single" w:color="000000" w:sz="4" w:space="0"/>
              <w:left w:val="nil"/>
              <w:bottom w:val="single" w:color="000000" w:sz="4" w:space="0"/>
              <w:right w:val="single" w:color="000000" w:sz="4" w:space="0"/>
              <w:tl2br w:val="nil"/>
              <w:tr2bl w:val="nil"/>
            </w:tcBorders>
            <w:noWrap w:val="0"/>
            <w:vAlign w:val="center"/>
          </w:tcPr>
          <w:p w14:paraId="7D05857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商户收入提升率：商户增加收入数/原收入*100%</w:t>
            </w:r>
          </w:p>
        </w:tc>
        <w:tc>
          <w:tcPr>
            <w:tcW w:w="5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9E082B">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w:t>
            </w:r>
          </w:p>
        </w:tc>
        <w:tc>
          <w:tcPr>
            <w:tcW w:w="56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6A077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w:t>
            </w:r>
          </w:p>
        </w:tc>
        <w:tc>
          <w:tcPr>
            <w:tcW w:w="13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740B9B">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2EB31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871DA3">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55" w:type="pct"/>
            <w:gridSpan w:val="2"/>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AF56D3">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485" w:type="pct"/>
            <w:tcBorders>
              <w:top w:val="single" w:color="000000" w:sz="4" w:space="0"/>
              <w:left w:val="single" w:color="000000" w:sz="4" w:space="0"/>
              <w:bottom w:val="nil"/>
              <w:right w:val="single" w:color="000000" w:sz="4" w:space="0"/>
              <w:tl2br w:val="nil"/>
              <w:tr2bl w:val="nil"/>
            </w:tcBorders>
            <w:noWrap w:val="0"/>
            <w:vAlign w:val="center"/>
          </w:tcPr>
          <w:p w14:paraId="0B2624B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社会效益</w:t>
            </w:r>
            <w:r>
              <w:rPr>
                <w:rFonts w:hint="default" w:ascii="Times New Roman" w:hAnsi="Times New Roman" w:cs="Times New Roman"/>
                <w:color w:val="000000" w:themeColor="text1"/>
                <w:spacing w:val="0"/>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0"/>
                <w:sz w:val="18"/>
                <w:szCs w:val="18"/>
                <w:lang w:bidi="ar"/>
                <w14:textFill>
                  <w14:solidFill>
                    <w14:schemeClr w14:val="tx1"/>
                  </w14:solidFill>
                </w14:textFill>
              </w:rPr>
              <w:t>指标</w:t>
            </w:r>
          </w:p>
        </w:tc>
        <w:tc>
          <w:tcPr>
            <w:tcW w:w="486" w:type="pct"/>
            <w:gridSpan w:val="2"/>
            <w:tcBorders>
              <w:top w:val="single" w:color="000000" w:sz="4" w:space="0"/>
              <w:left w:val="single" w:color="000000" w:sz="4" w:space="0"/>
              <w:bottom w:val="single" w:color="000000" w:sz="4" w:space="0"/>
              <w:right w:val="nil"/>
              <w:tl2br w:val="nil"/>
              <w:tr2bl w:val="nil"/>
            </w:tcBorders>
            <w:noWrap w:val="0"/>
            <w:vAlign w:val="center"/>
          </w:tcPr>
          <w:p w14:paraId="7E0044C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896" w:type="pct"/>
            <w:gridSpan w:val="2"/>
            <w:tcBorders>
              <w:top w:val="single" w:color="000000" w:sz="4" w:space="0"/>
              <w:left w:val="nil"/>
              <w:bottom w:val="single" w:color="000000" w:sz="4" w:space="0"/>
              <w:right w:val="single" w:color="000000" w:sz="4" w:space="0"/>
              <w:tl2br w:val="nil"/>
              <w:tr2bl w:val="nil"/>
            </w:tcBorders>
            <w:noWrap w:val="0"/>
            <w:vAlign w:val="center"/>
          </w:tcPr>
          <w:p w14:paraId="12F7745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活跃农村市场，促进农村经济发展</w:t>
            </w:r>
          </w:p>
        </w:tc>
        <w:tc>
          <w:tcPr>
            <w:tcW w:w="5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F754F2">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效果明显</w:t>
            </w:r>
          </w:p>
        </w:tc>
        <w:tc>
          <w:tcPr>
            <w:tcW w:w="56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EEF2C5">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效果明显</w:t>
            </w:r>
          </w:p>
        </w:tc>
        <w:tc>
          <w:tcPr>
            <w:tcW w:w="13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63C27D">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4CA8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30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853585">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5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01D30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满意度</w:t>
            </w:r>
            <w:r>
              <w:rPr>
                <w:rFonts w:hint="default" w:ascii="Times New Roman" w:hAnsi="Times New Roman" w:cs="Times New Roman"/>
                <w:color w:val="000000" w:themeColor="text1"/>
                <w:spacing w:val="0"/>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0"/>
                <w:sz w:val="18"/>
                <w:szCs w:val="18"/>
                <w:lang w:bidi="ar"/>
                <w14:textFill>
                  <w14:solidFill>
                    <w14:schemeClr w14:val="tx1"/>
                  </w14:solidFill>
                </w14:textFill>
              </w:rPr>
              <w:t>指标</w:t>
            </w:r>
          </w:p>
        </w:tc>
        <w:tc>
          <w:tcPr>
            <w:tcW w:w="4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A8023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服务对象满意度指标</w:t>
            </w:r>
          </w:p>
        </w:tc>
        <w:tc>
          <w:tcPr>
            <w:tcW w:w="486" w:type="pct"/>
            <w:gridSpan w:val="2"/>
            <w:tcBorders>
              <w:top w:val="single" w:color="000000" w:sz="4" w:space="0"/>
              <w:left w:val="single" w:color="000000" w:sz="4" w:space="0"/>
              <w:bottom w:val="single" w:color="000000" w:sz="4" w:space="0"/>
              <w:right w:val="nil"/>
              <w:tl2br w:val="nil"/>
              <w:tr2bl w:val="nil"/>
            </w:tcBorders>
            <w:noWrap w:val="0"/>
            <w:vAlign w:val="center"/>
          </w:tcPr>
          <w:p w14:paraId="3E191BB2">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896" w:type="pct"/>
            <w:gridSpan w:val="2"/>
            <w:tcBorders>
              <w:top w:val="single" w:color="000000" w:sz="4" w:space="0"/>
              <w:left w:val="nil"/>
              <w:bottom w:val="single" w:color="000000" w:sz="4" w:space="0"/>
              <w:right w:val="single" w:color="000000" w:sz="4" w:space="0"/>
              <w:tl2br w:val="nil"/>
              <w:tr2bl w:val="nil"/>
            </w:tcBorders>
            <w:noWrap w:val="0"/>
            <w:vAlign w:val="center"/>
          </w:tcPr>
          <w:p w14:paraId="3C1D5E63">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受益群众满意度</w:t>
            </w:r>
          </w:p>
        </w:tc>
        <w:tc>
          <w:tcPr>
            <w:tcW w:w="589"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2DBF05">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90%</w:t>
            </w:r>
          </w:p>
        </w:tc>
        <w:tc>
          <w:tcPr>
            <w:tcW w:w="566"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FA010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90%</w:t>
            </w:r>
          </w:p>
        </w:tc>
        <w:tc>
          <w:tcPr>
            <w:tcW w:w="131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6EEE0B">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bl>
    <w:p w14:paraId="3F170BA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eastAsia="方正小标宋简体" w:cs="Times New Roman"/>
          <w:color w:val="000000" w:themeColor="text1"/>
          <w:spacing w:val="0"/>
          <w:sz w:val="36"/>
          <w:szCs w:val="36"/>
          <w14:textFill>
            <w14:solidFill>
              <w14:schemeClr w14:val="tx1"/>
            </w14:solidFill>
          </w14:textFill>
        </w:rPr>
      </w:pPr>
      <w:r>
        <w:rPr>
          <w:rFonts w:hint="default" w:ascii="Times New Roman" w:hAnsi="Times New Roman" w:eastAsia="方正小标宋简体" w:cs="Times New Roman"/>
          <w:color w:val="000000" w:themeColor="text1"/>
          <w:spacing w:val="0"/>
          <w:sz w:val="36"/>
          <w:szCs w:val="36"/>
          <w:lang w:bidi="ar"/>
          <w14:textFill>
            <w14:solidFill>
              <w14:schemeClr w14:val="tx1"/>
            </w14:solidFill>
          </w14:textFill>
        </w:rPr>
        <w:t>广元市昭化区财政项目（政策）支出绩效自评表</w:t>
      </w:r>
    </w:p>
    <w:p w14:paraId="351387C8">
      <w:pPr>
        <w:keepNext w:val="0"/>
        <w:keepLines w:val="0"/>
        <w:pageBreakBefore w:val="0"/>
        <w:widowControl w:val="0"/>
        <w:kinsoku/>
        <w:wordWrap/>
        <w:topLinePunct w:val="0"/>
        <w:bidi w:val="0"/>
        <w:adjustRightInd w:val="0"/>
        <w:snapToGrid w:val="0"/>
        <w:spacing w:beforeLines="0" w:afterLines="0"/>
        <w:jc w:val="center"/>
        <w:textAlignment w:val="top"/>
        <w:rPr>
          <w:rFonts w:hint="default" w:ascii="Times New Roman" w:hAnsi="Times New Roman" w:cs="Times New Roman"/>
          <w:b/>
          <w:color w:val="000000" w:themeColor="text1"/>
          <w:spacing w:val="0"/>
          <w:sz w:val="24"/>
          <w:szCs w:val="24"/>
          <w14:textFill>
            <w14:solidFill>
              <w14:schemeClr w14:val="tx1"/>
            </w14:solidFill>
          </w14:textFill>
        </w:rPr>
      </w:pPr>
      <w:r>
        <w:rPr>
          <w:rFonts w:hint="default" w:ascii="Times New Roman" w:hAnsi="Times New Roman" w:cs="Times New Roman"/>
          <w:b/>
          <w:color w:val="000000" w:themeColor="text1"/>
          <w:spacing w:val="0"/>
          <w:sz w:val="24"/>
          <w:szCs w:val="24"/>
          <w:lang w:bidi="ar"/>
          <w14:textFill>
            <w14:solidFill>
              <w14:schemeClr w14:val="tx1"/>
            </w14:solidFill>
          </w14:textFill>
        </w:rPr>
        <w:t>（ 2023年度）</w:t>
      </w:r>
    </w:p>
    <w:tbl>
      <w:tblPr>
        <w:tblStyle w:val="11"/>
        <w:tblW w:w="497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16"/>
        <w:gridCol w:w="683"/>
        <w:gridCol w:w="871"/>
        <w:gridCol w:w="904"/>
        <w:gridCol w:w="1571"/>
        <w:gridCol w:w="1085"/>
        <w:gridCol w:w="1670"/>
        <w:gridCol w:w="1607"/>
      </w:tblGrid>
      <w:tr w14:paraId="4F5F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1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91EC3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项目（政策）名称</w:t>
            </w:r>
          </w:p>
        </w:tc>
        <w:tc>
          <w:tcPr>
            <w:tcW w:w="4255"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86C2E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招商引资工作经费</w:t>
            </w:r>
          </w:p>
        </w:tc>
      </w:tr>
      <w:tr w14:paraId="18DBE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1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0C476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主管部门</w:t>
            </w:r>
          </w:p>
        </w:tc>
        <w:tc>
          <w:tcPr>
            <w:tcW w:w="1847"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0DEC7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广元市昭化区供销合作社联合社部门</w:t>
            </w:r>
          </w:p>
        </w:tc>
        <w:tc>
          <w:tcPr>
            <w:tcW w:w="5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D9E5B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实施单位</w:t>
            </w:r>
          </w:p>
        </w:tc>
        <w:tc>
          <w:tcPr>
            <w:tcW w:w="1808" w:type="pct"/>
            <w:gridSpan w:val="2"/>
            <w:tcBorders>
              <w:top w:val="single" w:color="000000" w:sz="4" w:space="0"/>
              <w:left w:val="single" w:color="000000" w:sz="4" w:space="0"/>
              <w:bottom w:val="single" w:color="000000" w:sz="4" w:space="0"/>
              <w:right w:val="single" w:color="000000" w:sz="4" w:space="0"/>
              <w:tl2br w:val="nil"/>
              <w:tr2bl w:val="nil"/>
            </w:tcBorders>
            <w:noWrap/>
            <w:vAlign w:val="center"/>
          </w:tcPr>
          <w:p w14:paraId="2AE5E1E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广元市昭化区供销合作社联合社</w:t>
            </w:r>
          </w:p>
        </w:tc>
      </w:tr>
      <w:tr w14:paraId="63399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17"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3614AC2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项目（政策）资金（万元）</w:t>
            </w:r>
          </w:p>
        </w:tc>
        <w:tc>
          <w:tcPr>
            <w:tcW w:w="980" w:type="pct"/>
            <w:gridSpan w:val="2"/>
            <w:tcBorders>
              <w:top w:val="nil"/>
              <w:left w:val="single" w:color="000000" w:sz="4" w:space="0"/>
              <w:bottom w:val="single" w:color="000000" w:sz="4" w:space="0"/>
              <w:right w:val="single" w:color="000000" w:sz="4" w:space="0"/>
              <w:tl2br w:val="nil"/>
              <w:tr2bl w:val="nil"/>
            </w:tcBorders>
            <w:noWrap w:val="0"/>
            <w:vAlign w:val="center"/>
          </w:tcPr>
          <w:p w14:paraId="0BC42E3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年度预算数（万元）</w:t>
            </w:r>
          </w:p>
        </w:tc>
        <w:tc>
          <w:tcPr>
            <w:tcW w:w="866" w:type="pct"/>
            <w:tcBorders>
              <w:top w:val="nil"/>
              <w:left w:val="single" w:color="000000" w:sz="4" w:space="0"/>
              <w:bottom w:val="single" w:color="000000" w:sz="4" w:space="0"/>
              <w:right w:val="single" w:color="000000" w:sz="4" w:space="0"/>
              <w:tl2br w:val="nil"/>
              <w:tr2bl w:val="nil"/>
            </w:tcBorders>
            <w:noWrap w:val="0"/>
            <w:vAlign w:val="center"/>
          </w:tcPr>
          <w:p w14:paraId="55A669A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年初预算数</w:t>
            </w:r>
          </w:p>
        </w:tc>
        <w:tc>
          <w:tcPr>
            <w:tcW w:w="599" w:type="pct"/>
            <w:tcBorders>
              <w:top w:val="nil"/>
              <w:left w:val="single" w:color="000000" w:sz="4" w:space="0"/>
              <w:bottom w:val="single" w:color="000000" w:sz="4" w:space="0"/>
              <w:right w:val="single" w:color="000000" w:sz="4" w:space="0"/>
              <w:tl2br w:val="nil"/>
              <w:tr2bl w:val="nil"/>
            </w:tcBorders>
            <w:noWrap w:val="0"/>
            <w:vAlign w:val="center"/>
          </w:tcPr>
          <w:p w14:paraId="097C268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全年预算数</w:t>
            </w:r>
          </w:p>
        </w:tc>
        <w:tc>
          <w:tcPr>
            <w:tcW w:w="922" w:type="pct"/>
            <w:tcBorders>
              <w:top w:val="nil"/>
              <w:left w:val="single" w:color="000000" w:sz="4" w:space="0"/>
              <w:bottom w:val="single" w:color="000000" w:sz="4" w:space="0"/>
              <w:right w:val="single" w:color="000000" w:sz="4" w:space="0"/>
              <w:tl2br w:val="nil"/>
              <w:tr2bl w:val="nil"/>
            </w:tcBorders>
            <w:noWrap w:val="0"/>
            <w:vAlign w:val="center"/>
          </w:tcPr>
          <w:p w14:paraId="4176CA4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全年执行数</w:t>
            </w:r>
          </w:p>
        </w:tc>
        <w:tc>
          <w:tcPr>
            <w:tcW w:w="885" w:type="pct"/>
            <w:tcBorders>
              <w:top w:val="nil"/>
              <w:left w:val="single" w:color="000000" w:sz="4" w:space="0"/>
              <w:bottom w:val="single" w:color="000000" w:sz="4" w:space="0"/>
              <w:right w:val="single" w:color="000000" w:sz="4" w:space="0"/>
              <w:tl2br w:val="nil"/>
              <w:tr2bl w:val="nil"/>
            </w:tcBorders>
            <w:noWrap w:val="0"/>
            <w:vAlign w:val="center"/>
          </w:tcPr>
          <w:p w14:paraId="48D103A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执行率</w:t>
            </w:r>
          </w:p>
        </w:tc>
      </w:tr>
      <w:tr w14:paraId="78EA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1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A698853">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98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BC175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年度资金总额</w:t>
            </w:r>
          </w:p>
        </w:tc>
        <w:tc>
          <w:tcPr>
            <w:tcW w:w="8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1E9084">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2.5</w:t>
            </w:r>
          </w:p>
        </w:tc>
        <w:tc>
          <w:tcPr>
            <w:tcW w:w="5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2C226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2.5</w:t>
            </w:r>
          </w:p>
        </w:tc>
        <w:tc>
          <w:tcPr>
            <w:tcW w:w="9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65D59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2.5</w:t>
            </w:r>
          </w:p>
        </w:tc>
        <w:tc>
          <w:tcPr>
            <w:tcW w:w="885" w:type="pct"/>
            <w:tcBorders>
              <w:top w:val="nil"/>
              <w:left w:val="single" w:color="000000" w:sz="4" w:space="0"/>
              <w:bottom w:val="single" w:color="000000" w:sz="4" w:space="0"/>
              <w:right w:val="single" w:color="000000" w:sz="4" w:space="0"/>
              <w:tl2br w:val="nil"/>
              <w:tr2bl w:val="nil"/>
            </w:tcBorders>
            <w:noWrap w:val="0"/>
            <w:vAlign w:val="center"/>
          </w:tcPr>
          <w:p w14:paraId="59EFA60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100%</w:t>
            </w:r>
          </w:p>
        </w:tc>
      </w:tr>
      <w:tr w14:paraId="6053E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1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0A03CCC">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98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3AB044">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（一）财政拨款小计</w:t>
            </w:r>
          </w:p>
        </w:tc>
        <w:tc>
          <w:tcPr>
            <w:tcW w:w="8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0534CE">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2.5</w:t>
            </w:r>
          </w:p>
        </w:tc>
        <w:tc>
          <w:tcPr>
            <w:tcW w:w="5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10054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2.5</w:t>
            </w:r>
          </w:p>
        </w:tc>
        <w:tc>
          <w:tcPr>
            <w:tcW w:w="9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0702E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2.5</w:t>
            </w:r>
          </w:p>
        </w:tc>
        <w:tc>
          <w:tcPr>
            <w:tcW w:w="885" w:type="pct"/>
            <w:tcBorders>
              <w:top w:val="nil"/>
              <w:left w:val="single" w:color="000000" w:sz="4" w:space="0"/>
              <w:bottom w:val="single" w:color="000000" w:sz="4" w:space="0"/>
              <w:right w:val="single" w:color="000000" w:sz="4" w:space="0"/>
              <w:tl2br w:val="nil"/>
              <w:tr2bl w:val="nil"/>
            </w:tcBorders>
            <w:noWrap w:val="0"/>
            <w:vAlign w:val="center"/>
          </w:tcPr>
          <w:p w14:paraId="3AEF3B1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100%</w:t>
            </w:r>
          </w:p>
        </w:tc>
      </w:tr>
      <w:tr w14:paraId="3DEDC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717"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15FD220">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980"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79BE49">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 xml:space="preserve">   1.一般公共预算</w:t>
            </w:r>
          </w:p>
        </w:tc>
        <w:tc>
          <w:tcPr>
            <w:tcW w:w="86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74F099">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2.5</w:t>
            </w:r>
          </w:p>
        </w:tc>
        <w:tc>
          <w:tcPr>
            <w:tcW w:w="5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351ED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2.5</w:t>
            </w:r>
          </w:p>
        </w:tc>
        <w:tc>
          <w:tcPr>
            <w:tcW w:w="9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A39D8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2.5</w:t>
            </w:r>
          </w:p>
        </w:tc>
        <w:tc>
          <w:tcPr>
            <w:tcW w:w="885" w:type="pct"/>
            <w:tcBorders>
              <w:top w:val="nil"/>
              <w:left w:val="single" w:color="000000" w:sz="4" w:space="0"/>
              <w:bottom w:val="single" w:color="000000" w:sz="4" w:space="0"/>
              <w:right w:val="single" w:color="000000" w:sz="4" w:space="0"/>
              <w:tl2br w:val="nil"/>
              <w:tr2bl w:val="nil"/>
            </w:tcBorders>
            <w:noWrap w:val="0"/>
            <w:vAlign w:val="center"/>
          </w:tcPr>
          <w:p w14:paraId="62045D6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100%</w:t>
            </w:r>
          </w:p>
        </w:tc>
      </w:tr>
      <w:tr w14:paraId="7E053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340"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3ECF1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年度总体目标</w:t>
            </w:r>
          </w:p>
        </w:tc>
        <w:tc>
          <w:tcPr>
            <w:tcW w:w="2223"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CA172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预期目标</w:t>
            </w:r>
          </w:p>
        </w:tc>
        <w:tc>
          <w:tcPr>
            <w:tcW w:w="240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45755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全年实际完成情况</w:t>
            </w:r>
          </w:p>
        </w:tc>
      </w:tr>
      <w:tr w14:paraId="75141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34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9247B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2223"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7D8A06">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完成招商引资任务1000万元，新引进为农服务企业1个，工业企业1个，带动地方经济，提高就业率，增加税收。</w:t>
            </w:r>
          </w:p>
        </w:tc>
        <w:tc>
          <w:tcPr>
            <w:tcW w:w="2408"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479D4F">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完成招商引资任务1000万元，新引进为农服务企业1个，工业企业1个，带动地方经济，提高就业率，增加税收。</w:t>
            </w:r>
          </w:p>
        </w:tc>
      </w:tr>
      <w:tr w14:paraId="0CD4D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340"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D9E83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绩效</w:t>
            </w:r>
            <w:r>
              <w:rPr>
                <w:rFonts w:hint="default" w:ascii="Times New Roman" w:hAnsi="Times New Roman" w:cs="Times New Roman"/>
                <w:color w:val="000000" w:themeColor="text1"/>
                <w:spacing w:val="0"/>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0"/>
                <w:sz w:val="18"/>
                <w:szCs w:val="18"/>
                <w:lang w:bidi="ar"/>
                <w14:textFill>
                  <w14:solidFill>
                    <w14:schemeClr w14:val="tx1"/>
                  </w14:solidFill>
                </w14:textFill>
              </w:rPr>
              <w:t>指标</w:t>
            </w: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B3D55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一级指标</w:t>
            </w:r>
          </w:p>
        </w:tc>
        <w:tc>
          <w:tcPr>
            <w:tcW w:w="481"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E3BF1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二级指标</w:t>
            </w:r>
          </w:p>
        </w:tc>
        <w:tc>
          <w:tcPr>
            <w:tcW w:w="1365"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4AB08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三级指标</w:t>
            </w:r>
          </w:p>
        </w:tc>
        <w:tc>
          <w:tcPr>
            <w:tcW w:w="59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B13F4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年度指标值</w:t>
            </w:r>
          </w:p>
        </w:tc>
        <w:tc>
          <w:tcPr>
            <w:tcW w:w="9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AB92C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实际完成值</w:t>
            </w:r>
          </w:p>
        </w:tc>
        <w:tc>
          <w:tcPr>
            <w:tcW w:w="8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3B6F7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偏差原因分析及改进措施</w:t>
            </w:r>
          </w:p>
        </w:tc>
      </w:tr>
      <w:tr w14:paraId="7681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34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0BD5F7">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7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863E6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产出指标</w:t>
            </w:r>
          </w:p>
        </w:tc>
        <w:tc>
          <w:tcPr>
            <w:tcW w:w="481" w:type="pct"/>
            <w:vMerge w:val="restart"/>
            <w:tcBorders>
              <w:top w:val="single" w:color="000000" w:sz="4" w:space="0"/>
              <w:left w:val="single" w:color="000000" w:sz="4" w:space="0"/>
              <w:bottom w:val="single" w:color="000000" w:sz="4" w:space="0"/>
              <w:right w:val="nil"/>
              <w:tl2br w:val="nil"/>
              <w:tr2bl w:val="nil"/>
            </w:tcBorders>
            <w:noWrap w:val="0"/>
            <w:vAlign w:val="center"/>
          </w:tcPr>
          <w:p w14:paraId="5E36AB5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数量指标</w:t>
            </w:r>
          </w:p>
        </w:tc>
        <w:tc>
          <w:tcPr>
            <w:tcW w:w="498" w:type="pct"/>
            <w:tcBorders>
              <w:top w:val="single" w:color="000000" w:sz="4" w:space="0"/>
              <w:left w:val="single" w:color="000000" w:sz="4" w:space="0"/>
              <w:bottom w:val="single" w:color="000000" w:sz="4" w:space="0"/>
              <w:right w:val="nil"/>
              <w:tl2br w:val="nil"/>
              <w:tr2bl w:val="nil"/>
            </w:tcBorders>
            <w:noWrap w:val="0"/>
            <w:vAlign w:val="center"/>
          </w:tcPr>
          <w:p w14:paraId="1766E5F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866" w:type="pct"/>
            <w:tcBorders>
              <w:top w:val="single" w:color="000000" w:sz="4" w:space="0"/>
              <w:left w:val="single" w:color="000000" w:sz="4" w:space="0"/>
              <w:bottom w:val="single" w:color="000000" w:sz="4" w:space="0"/>
              <w:right w:val="nil"/>
              <w:tl2br w:val="nil"/>
              <w:tr2bl w:val="nil"/>
            </w:tcBorders>
            <w:noWrap w:val="0"/>
            <w:vAlign w:val="center"/>
          </w:tcPr>
          <w:p w14:paraId="1939C7F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完成招商引资任务1000万元</w:t>
            </w:r>
          </w:p>
        </w:tc>
        <w:tc>
          <w:tcPr>
            <w:tcW w:w="599" w:type="pct"/>
            <w:tcBorders>
              <w:top w:val="single" w:color="000000" w:sz="4" w:space="0"/>
              <w:left w:val="single" w:color="000000" w:sz="4" w:space="0"/>
              <w:bottom w:val="single" w:color="000000" w:sz="4" w:space="0"/>
              <w:right w:val="nil"/>
              <w:tl2br w:val="nil"/>
              <w:tr2bl w:val="nil"/>
            </w:tcBorders>
            <w:noWrap w:val="0"/>
            <w:vAlign w:val="center"/>
          </w:tcPr>
          <w:p w14:paraId="538980B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1000万元</w:t>
            </w:r>
          </w:p>
        </w:tc>
        <w:tc>
          <w:tcPr>
            <w:tcW w:w="922" w:type="pct"/>
            <w:tcBorders>
              <w:top w:val="single" w:color="000000" w:sz="4" w:space="0"/>
              <w:left w:val="single" w:color="000000" w:sz="4" w:space="0"/>
              <w:bottom w:val="single" w:color="000000" w:sz="4" w:space="0"/>
              <w:right w:val="nil"/>
              <w:tl2br w:val="nil"/>
              <w:tr2bl w:val="nil"/>
            </w:tcBorders>
            <w:noWrap w:val="0"/>
            <w:vAlign w:val="center"/>
          </w:tcPr>
          <w:p w14:paraId="556B507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1000万元</w:t>
            </w:r>
          </w:p>
        </w:tc>
        <w:tc>
          <w:tcPr>
            <w:tcW w:w="8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73F8C3">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22565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34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1949DF">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7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A9EB27">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481" w:type="pct"/>
            <w:vMerge w:val="continue"/>
            <w:tcBorders>
              <w:top w:val="single" w:color="000000" w:sz="4" w:space="0"/>
              <w:left w:val="single" w:color="000000" w:sz="4" w:space="0"/>
              <w:bottom w:val="single" w:color="000000" w:sz="4" w:space="0"/>
              <w:right w:val="nil"/>
              <w:tl2br w:val="nil"/>
              <w:tr2bl w:val="nil"/>
            </w:tcBorders>
            <w:noWrap w:val="0"/>
            <w:vAlign w:val="center"/>
          </w:tcPr>
          <w:p w14:paraId="24675A5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498" w:type="pct"/>
            <w:tcBorders>
              <w:top w:val="single" w:color="000000" w:sz="4" w:space="0"/>
              <w:left w:val="single" w:color="000000" w:sz="4" w:space="0"/>
              <w:bottom w:val="single" w:color="000000" w:sz="4" w:space="0"/>
              <w:right w:val="nil"/>
              <w:tl2br w:val="nil"/>
              <w:tr2bl w:val="nil"/>
            </w:tcBorders>
            <w:noWrap w:val="0"/>
            <w:vAlign w:val="center"/>
          </w:tcPr>
          <w:p w14:paraId="60A75D2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指标2：</w:t>
            </w:r>
          </w:p>
        </w:tc>
        <w:tc>
          <w:tcPr>
            <w:tcW w:w="866" w:type="pct"/>
            <w:tcBorders>
              <w:top w:val="single" w:color="000000" w:sz="4" w:space="0"/>
              <w:left w:val="single" w:color="000000" w:sz="4" w:space="0"/>
              <w:bottom w:val="single" w:color="000000" w:sz="4" w:space="0"/>
              <w:right w:val="nil"/>
              <w:tl2br w:val="nil"/>
              <w:tr2bl w:val="nil"/>
            </w:tcBorders>
            <w:noWrap w:val="0"/>
            <w:vAlign w:val="center"/>
          </w:tcPr>
          <w:p w14:paraId="447FA68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引进企业2个</w:t>
            </w:r>
          </w:p>
        </w:tc>
        <w:tc>
          <w:tcPr>
            <w:tcW w:w="599" w:type="pct"/>
            <w:tcBorders>
              <w:top w:val="single" w:color="000000" w:sz="4" w:space="0"/>
              <w:left w:val="single" w:color="000000" w:sz="4" w:space="0"/>
              <w:bottom w:val="single" w:color="000000" w:sz="4" w:space="0"/>
              <w:right w:val="nil"/>
              <w:tl2br w:val="nil"/>
              <w:tr2bl w:val="nil"/>
            </w:tcBorders>
            <w:noWrap w:val="0"/>
            <w:vAlign w:val="center"/>
          </w:tcPr>
          <w:p w14:paraId="246DEFE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2个</w:t>
            </w:r>
          </w:p>
        </w:tc>
        <w:tc>
          <w:tcPr>
            <w:tcW w:w="922" w:type="pct"/>
            <w:tcBorders>
              <w:top w:val="single" w:color="000000" w:sz="4" w:space="0"/>
              <w:left w:val="single" w:color="000000" w:sz="4" w:space="0"/>
              <w:bottom w:val="single" w:color="000000" w:sz="4" w:space="0"/>
              <w:right w:val="nil"/>
              <w:tl2br w:val="nil"/>
              <w:tr2bl w:val="nil"/>
            </w:tcBorders>
            <w:noWrap w:val="0"/>
            <w:vAlign w:val="center"/>
          </w:tcPr>
          <w:p w14:paraId="6E9F1D3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2个</w:t>
            </w:r>
          </w:p>
        </w:tc>
        <w:tc>
          <w:tcPr>
            <w:tcW w:w="8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79A7EB">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6CCAF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34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6BC00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7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B0804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481" w:type="pct"/>
            <w:tcBorders>
              <w:top w:val="single" w:color="000000" w:sz="4" w:space="0"/>
              <w:left w:val="single" w:color="000000" w:sz="4" w:space="0"/>
              <w:bottom w:val="single" w:color="000000" w:sz="4" w:space="0"/>
              <w:right w:val="nil"/>
              <w:tl2br w:val="nil"/>
              <w:tr2bl w:val="nil"/>
            </w:tcBorders>
            <w:noWrap w:val="0"/>
            <w:vAlign w:val="center"/>
          </w:tcPr>
          <w:p w14:paraId="3CF8A25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质量指标</w:t>
            </w:r>
          </w:p>
        </w:tc>
        <w:tc>
          <w:tcPr>
            <w:tcW w:w="498" w:type="pct"/>
            <w:tcBorders>
              <w:top w:val="single" w:color="000000" w:sz="4" w:space="0"/>
              <w:left w:val="single" w:color="000000" w:sz="4" w:space="0"/>
              <w:bottom w:val="single" w:color="000000" w:sz="4" w:space="0"/>
              <w:right w:val="nil"/>
              <w:tl2br w:val="nil"/>
              <w:tr2bl w:val="nil"/>
            </w:tcBorders>
            <w:noWrap w:val="0"/>
            <w:vAlign w:val="center"/>
          </w:tcPr>
          <w:p w14:paraId="4EA81F5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866" w:type="pct"/>
            <w:tcBorders>
              <w:top w:val="single" w:color="000000" w:sz="4" w:space="0"/>
              <w:left w:val="single" w:color="000000" w:sz="4" w:space="0"/>
              <w:bottom w:val="single" w:color="000000" w:sz="4" w:space="0"/>
              <w:right w:val="nil"/>
              <w:tl2br w:val="nil"/>
              <w:tr2bl w:val="nil"/>
            </w:tcBorders>
            <w:noWrap w:val="0"/>
            <w:vAlign w:val="center"/>
          </w:tcPr>
          <w:p w14:paraId="3001A10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绿色、环保</w:t>
            </w:r>
          </w:p>
        </w:tc>
        <w:tc>
          <w:tcPr>
            <w:tcW w:w="599" w:type="pct"/>
            <w:tcBorders>
              <w:top w:val="single" w:color="000000" w:sz="4" w:space="0"/>
              <w:left w:val="single" w:color="000000" w:sz="4" w:space="0"/>
              <w:bottom w:val="single" w:color="000000" w:sz="4" w:space="0"/>
              <w:right w:val="nil"/>
              <w:tl2br w:val="nil"/>
              <w:tr2bl w:val="nil"/>
            </w:tcBorders>
            <w:noWrap w:val="0"/>
            <w:vAlign w:val="center"/>
          </w:tcPr>
          <w:p w14:paraId="4213953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效果明显</w:t>
            </w:r>
          </w:p>
        </w:tc>
        <w:tc>
          <w:tcPr>
            <w:tcW w:w="922" w:type="pct"/>
            <w:tcBorders>
              <w:top w:val="single" w:color="000000" w:sz="4" w:space="0"/>
              <w:left w:val="single" w:color="000000" w:sz="4" w:space="0"/>
              <w:bottom w:val="single" w:color="000000" w:sz="4" w:space="0"/>
              <w:right w:val="nil"/>
              <w:tl2br w:val="nil"/>
              <w:tr2bl w:val="nil"/>
            </w:tcBorders>
            <w:noWrap w:val="0"/>
            <w:vAlign w:val="center"/>
          </w:tcPr>
          <w:p w14:paraId="74CD5E4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效果明显</w:t>
            </w:r>
          </w:p>
        </w:tc>
        <w:tc>
          <w:tcPr>
            <w:tcW w:w="8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9188A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28A9C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34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E3B1F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7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C6B0A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481" w:type="pct"/>
            <w:tcBorders>
              <w:top w:val="single" w:color="000000" w:sz="4" w:space="0"/>
              <w:left w:val="single" w:color="000000" w:sz="4" w:space="0"/>
              <w:bottom w:val="single" w:color="000000" w:sz="4" w:space="0"/>
              <w:right w:val="nil"/>
              <w:tl2br w:val="nil"/>
              <w:tr2bl w:val="nil"/>
            </w:tcBorders>
            <w:noWrap w:val="0"/>
            <w:vAlign w:val="center"/>
          </w:tcPr>
          <w:p w14:paraId="68F3731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时效指标</w:t>
            </w:r>
          </w:p>
        </w:tc>
        <w:tc>
          <w:tcPr>
            <w:tcW w:w="498" w:type="pct"/>
            <w:tcBorders>
              <w:top w:val="single" w:color="000000" w:sz="4" w:space="0"/>
              <w:left w:val="single" w:color="000000" w:sz="4" w:space="0"/>
              <w:bottom w:val="single" w:color="000000" w:sz="4" w:space="0"/>
              <w:right w:val="nil"/>
              <w:tl2br w:val="nil"/>
              <w:tr2bl w:val="nil"/>
            </w:tcBorders>
            <w:noWrap w:val="0"/>
            <w:vAlign w:val="center"/>
          </w:tcPr>
          <w:p w14:paraId="0778E1E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866" w:type="pct"/>
            <w:tcBorders>
              <w:top w:val="single" w:color="000000" w:sz="4" w:space="0"/>
              <w:left w:val="single" w:color="000000" w:sz="4" w:space="0"/>
              <w:bottom w:val="single" w:color="000000" w:sz="4" w:space="0"/>
              <w:right w:val="nil"/>
              <w:tl2br w:val="nil"/>
              <w:tr2bl w:val="nil"/>
            </w:tcBorders>
            <w:noWrap w:val="0"/>
            <w:vAlign w:val="center"/>
          </w:tcPr>
          <w:p w14:paraId="40960F4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各项任务完成及时率（计划完成任务时间-实际完成任务时间）/计划完成任务时间*100%</w:t>
            </w:r>
          </w:p>
        </w:tc>
        <w:tc>
          <w:tcPr>
            <w:tcW w:w="599" w:type="pct"/>
            <w:tcBorders>
              <w:top w:val="single" w:color="000000" w:sz="4" w:space="0"/>
              <w:left w:val="single" w:color="000000" w:sz="4" w:space="0"/>
              <w:bottom w:val="single" w:color="000000" w:sz="4" w:space="0"/>
              <w:right w:val="nil"/>
              <w:tl2br w:val="nil"/>
              <w:tr2bl w:val="nil"/>
            </w:tcBorders>
            <w:noWrap w:val="0"/>
            <w:vAlign w:val="center"/>
          </w:tcPr>
          <w:p w14:paraId="3B83085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100%</w:t>
            </w:r>
          </w:p>
        </w:tc>
        <w:tc>
          <w:tcPr>
            <w:tcW w:w="922" w:type="pct"/>
            <w:tcBorders>
              <w:top w:val="single" w:color="000000" w:sz="4" w:space="0"/>
              <w:left w:val="single" w:color="000000" w:sz="4" w:space="0"/>
              <w:bottom w:val="single" w:color="000000" w:sz="4" w:space="0"/>
              <w:right w:val="nil"/>
              <w:tl2br w:val="nil"/>
              <w:tr2bl w:val="nil"/>
            </w:tcBorders>
            <w:noWrap w:val="0"/>
            <w:vAlign w:val="center"/>
          </w:tcPr>
          <w:p w14:paraId="428E538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100%</w:t>
            </w:r>
          </w:p>
        </w:tc>
        <w:tc>
          <w:tcPr>
            <w:tcW w:w="8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DA9245">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47A5D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34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79888C">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7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F99589">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481" w:type="pct"/>
            <w:tcBorders>
              <w:top w:val="single" w:color="000000" w:sz="4" w:space="0"/>
              <w:left w:val="single" w:color="000000" w:sz="4" w:space="0"/>
              <w:bottom w:val="single" w:color="000000" w:sz="4" w:space="0"/>
              <w:right w:val="nil"/>
              <w:tl2br w:val="nil"/>
              <w:tr2bl w:val="nil"/>
            </w:tcBorders>
            <w:noWrap w:val="0"/>
            <w:vAlign w:val="center"/>
          </w:tcPr>
          <w:p w14:paraId="69C7CAA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成本指标</w:t>
            </w:r>
          </w:p>
        </w:tc>
        <w:tc>
          <w:tcPr>
            <w:tcW w:w="498" w:type="pct"/>
            <w:tcBorders>
              <w:top w:val="single" w:color="000000" w:sz="4" w:space="0"/>
              <w:left w:val="single" w:color="000000" w:sz="4" w:space="0"/>
              <w:bottom w:val="single" w:color="000000" w:sz="4" w:space="0"/>
              <w:right w:val="nil"/>
              <w:tl2br w:val="nil"/>
              <w:tr2bl w:val="nil"/>
            </w:tcBorders>
            <w:noWrap w:val="0"/>
            <w:vAlign w:val="center"/>
          </w:tcPr>
          <w:p w14:paraId="393B25B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866" w:type="pct"/>
            <w:tcBorders>
              <w:top w:val="single" w:color="000000" w:sz="4" w:space="0"/>
              <w:left w:val="single" w:color="000000" w:sz="4" w:space="0"/>
              <w:bottom w:val="single" w:color="000000" w:sz="4" w:space="0"/>
              <w:right w:val="nil"/>
              <w:tl2br w:val="nil"/>
              <w:tr2bl w:val="nil"/>
            </w:tcBorders>
            <w:noWrap w:val="0"/>
            <w:vAlign w:val="center"/>
          </w:tcPr>
          <w:p w14:paraId="7A567DB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招商引资差旅费、资料费</w:t>
            </w:r>
          </w:p>
        </w:tc>
        <w:tc>
          <w:tcPr>
            <w:tcW w:w="599" w:type="pct"/>
            <w:tcBorders>
              <w:top w:val="single" w:color="000000" w:sz="4" w:space="0"/>
              <w:left w:val="single" w:color="000000" w:sz="4" w:space="0"/>
              <w:bottom w:val="single" w:color="000000" w:sz="4" w:space="0"/>
              <w:right w:val="nil"/>
              <w:tl2br w:val="nil"/>
              <w:tr2bl w:val="nil"/>
            </w:tcBorders>
            <w:noWrap w:val="0"/>
            <w:vAlign w:val="center"/>
          </w:tcPr>
          <w:p w14:paraId="1624232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2.5万元</w:t>
            </w:r>
          </w:p>
        </w:tc>
        <w:tc>
          <w:tcPr>
            <w:tcW w:w="922" w:type="pct"/>
            <w:tcBorders>
              <w:top w:val="single" w:color="000000" w:sz="4" w:space="0"/>
              <w:left w:val="single" w:color="000000" w:sz="4" w:space="0"/>
              <w:bottom w:val="single" w:color="000000" w:sz="4" w:space="0"/>
              <w:right w:val="nil"/>
              <w:tl2br w:val="nil"/>
              <w:tr2bl w:val="nil"/>
            </w:tcBorders>
            <w:noWrap w:val="0"/>
            <w:vAlign w:val="center"/>
          </w:tcPr>
          <w:p w14:paraId="7F8545D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2.5万元</w:t>
            </w:r>
          </w:p>
        </w:tc>
        <w:tc>
          <w:tcPr>
            <w:tcW w:w="8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0E9FB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629A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34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D5AFB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76"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B8012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效益指标</w:t>
            </w:r>
          </w:p>
        </w:tc>
        <w:tc>
          <w:tcPr>
            <w:tcW w:w="481" w:type="pct"/>
            <w:tcBorders>
              <w:top w:val="single" w:color="000000" w:sz="4" w:space="0"/>
              <w:left w:val="single" w:color="000000" w:sz="4" w:space="0"/>
              <w:bottom w:val="single" w:color="000000" w:sz="4" w:space="0"/>
              <w:right w:val="nil"/>
              <w:tl2br w:val="nil"/>
              <w:tr2bl w:val="nil"/>
            </w:tcBorders>
            <w:noWrap w:val="0"/>
            <w:vAlign w:val="center"/>
          </w:tcPr>
          <w:p w14:paraId="5D00B17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经济效益</w:t>
            </w:r>
            <w:r>
              <w:rPr>
                <w:rFonts w:hint="default" w:ascii="Times New Roman" w:hAnsi="Times New Roman" w:cs="Times New Roman"/>
                <w:color w:val="000000" w:themeColor="text1"/>
                <w:spacing w:val="0"/>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0"/>
                <w:sz w:val="18"/>
                <w:szCs w:val="18"/>
                <w:lang w:bidi="ar"/>
                <w14:textFill>
                  <w14:solidFill>
                    <w14:schemeClr w14:val="tx1"/>
                  </w14:solidFill>
                </w14:textFill>
              </w:rPr>
              <w:t>指标</w:t>
            </w:r>
          </w:p>
        </w:tc>
        <w:tc>
          <w:tcPr>
            <w:tcW w:w="498" w:type="pct"/>
            <w:tcBorders>
              <w:top w:val="single" w:color="000000" w:sz="4" w:space="0"/>
              <w:left w:val="single" w:color="000000" w:sz="4" w:space="0"/>
              <w:bottom w:val="single" w:color="000000" w:sz="4" w:space="0"/>
              <w:right w:val="nil"/>
              <w:tl2br w:val="nil"/>
              <w:tr2bl w:val="nil"/>
            </w:tcBorders>
            <w:noWrap w:val="0"/>
            <w:vAlign w:val="center"/>
          </w:tcPr>
          <w:p w14:paraId="2B3BA11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866" w:type="pct"/>
            <w:tcBorders>
              <w:top w:val="single" w:color="000000" w:sz="4" w:space="0"/>
              <w:left w:val="single" w:color="000000" w:sz="4" w:space="0"/>
              <w:bottom w:val="single" w:color="000000" w:sz="4" w:space="0"/>
              <w:right w:val="nil"/>
              <w:tl2br w:val="nil"/>
              <w:tr2bl w:val="nil"/>
            </w:tcBorders>
            <w:noWrap w:val="0"/>
            <w:vAlign w:val="center"/>
          </w:tcPr>
          <w:p w14:paraId="0F19BF5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提高地方经济增长率</w:t>
            </w:r>
          </w:p>
        </w:tc>
        <w:tc>
          <w:tcPr>
            <w:tcW w:w="599" w:type="pct"/>
            <w:tcBorders>
              <w:top w:val="single" w:color="000000" w:sz="4" w:space="0"/>
              <w:left w:val="single" w:color="000000" w:sz="4" w:space="0"/>
              <w:bottom w:val="single" w:color="000000" w:sz="4" w:space="0"/>
              <w:right w:val="nil"/>
              <w:tl2br w:val="nil"/>
              <w:tr2bl w:val="nil"/>
            </w:tcBorders>
            <w:noWrap w:val="0"/>
            <w:vAlign w:val="center"/>
          </w:tcPr>
          <w:p w14:paraId="44050B1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效果明显</w:t>
            </w:r>
          </w:p>
        </w:tc>
        <w:tc>
          <w:tcPr>
            <w:tcW w:w="922" w:type="pct"/>
            <w:tcBorders>
              <w:top w:val="single" w:color="000000" w:sz="4" w:space="0"/>
              <w:left w:val="single" w:color="000000" w:sz="4" w:space="0"/>
              <w:bottom w:val="single" w:color="000000" w:sz="4" w:space="0"/>
              <w:right w:val="nil"/>
              <w:tl2br w:val="nil"/>
              <w:tr2bl w:val="nil"/>
            </w:tcBorders>
            <w:noWrap w:val="0"/>
            <w:vAlign w:val="center"/>
          </w:tcPr>
          <w:p w14:paraId="3C76ED6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效果明显</w:t>
            </w:r>
          </w:p>
        </w:tc>
        <w:tc>
          <w:tcPr>
            <w:tcW w:w="8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298363">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4509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34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FCDD2B">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7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DE0C3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481" w:type="pct"/>
            <w:tcBorders>
              <w:top w:val="single" w:color="000000" w:sz="4" w:space="0"/>
              <w:left w:val="single" w:color="000000" w:sz="4" w:space="0"/>
              <w:bottom w:val="single" w:color="000000" w:sz="4" w:space="0"/>
              <w:right w:val="nil"/>
              <w:tl2br w:val="nil"/>
              <w:tr2bl w:val="nil"/>
            </w:tcBorders>
            <w:noWrap w:val="0"/>
            <w:vAlign w:val="center"/>
          </w:tcPr>
          <w:p w14:paraId="0B2228E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社会效益</w:t>
            </w:r>
            <w:r>
              <w:rPr>
                <w:rFonts w:hint="default" w:ascii="Times New Roman" w:hAnsi="Times New Roman" w:cs="Times New Roman"/>
                <w:color w:val="000000" w:themeColor="text1"/>
                <w:spacing w:val="0"/>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0"/>
                <w:sz w:val="18"/>
                <w:szCs w:val="18"/>
                <w:lang w:bidi="ar"/>
                <w14:textFill>
                  <w14:solidFill>
                    <w14:schemeClr w14:val="tx1"/>
                  </w14:solidFill>
                </w14:textFill>
              </w:rPr>
              <w:t>指标</w:t>
            </w:r>
          </w:p>
        </w:tc>
        <w:tc>
          <w:tcPr>
            <w:tcW w:w="498" w:type="pct"/>
            <w:tcBorders>
              <w:top w:val="single" w:color="000000" w:sz="4" w:space="0"/>
              <w:left w:val="single" w:color="000000" w:sz="4" w:space="0"/>
              <w:bottom w:val="single" w:color="000000" w:sz="4" w:space="0"/>
              <w:right w:val="nil"/>
              <w:tl2br w:val="nil"/>
              <w:tr2bl w:val="nil"/>
            </w:tcBorders>
            <w:noWrap w:val="0"/>
            <w:vAlign w:val="center"/>
          </w:tcPr>
          <w:p w14:paraId="7932300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866" w:type="pct"/>
            <w:tcBorders>
              <w:top w:val="single" w:color="000000" w:sz="4" w:space="0"/>
              <w:left w:val="single" w:color="000000" w:sz="4" w:space="0"/>
              <w:bottom w:val="single" w:color="000000" w:sz="4" w:space="0"/>
              <w:right w:val="nil"/>
              <w:tl2br w:val="nil"/>
              <w:tr2bl w:val="nil"/>
            </w:tcBorders>
            <w:noWrap w:val="0"/>
            <w:vAlign w:val="center"/>
          </w:tcPr>
          <w:p w14:paraId="4F90423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提高就业人数</w:t>
            </w:r>
          </w:p>
        </w:tc>
        <w:tc>
          <w:tcPr>
            <w:tcW w:w="599" w:type="pct"/>
            <w:tcBorders>
              <w:top w:val="single" w:color="000000" w:sz="4" w:space="0"/>
              <w:left w:val="single" w:color="000000" w:sz="4" w:space="0"/>
              <w:bottom w:val="single" w:color="000000" w:sz="4" w:space="0"/>
              <w:right w:val="nil"/>
              <w:tl2br w:val="nil"/>
              <w:tr2bl w:val="nil"/>
            </w:tcBorders>
            <w:noWrap w:val="0"/>
            <w:vAlign w:val="center"/>
          </w:tcPr>
          <w:p w14:paraId="0344764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50人</w:t>
            </w:r>
          </w:p>
        </w:tc>
        <w:tc>
          <w:tcPr>
            <w:tcW w:w="922" w:type="pct"/>
            <w:tcBorders>
              <w:top w:val="single" w:color="000000" w:sz="4" w:space="0"/>
              <w:left w:val="single" w:color="000000" w:sz="4" w:space="0"/>
              <w:bottom w:val="single" w:color="000000" w:sz="4" w:space="0"/>
              <w:right w:val="nil"/>
              <w:tl2br w:val="nil"/>
              <w:tr2bl w:val="nil"/>
            </w:tcBorders>
            <w:noWrap w:val="0"/>
            <w:vAlign w:val="center"/>
          </w:tcPr>
          <w:p w14:paraId="03210B9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50人</w:t>
            </w:r>
          </w:p>
        </w:tc>
        <w:tc>
          <w:tcPr>
            <w:tcW w:w="8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F8A8B8">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6F652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jc w:val="center"/>
        </w:trPr>
        <w:tc>
          <w:tcPr>
            <w:tcW w:w="34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1FA565">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76"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4E084A">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481" w:type="pct"/>
            <w:tcBorders>
              <w:top w:val="single" w:color="000000" w:sz="4" w:space="0"/>
              <w:left w:val="single" w:color="000000" w:sz="4" w:space="0"/>
              <w:bottom w:val="single" w:color="000000" w:sz="4" w:space="0"/>
              <w:right w:val="nil"/>
              <w:tl2br w:val="nil"/>
              <w:tr2bl w:val="nil"/>
            </w:tcBorders>
            <w:noWrap w:val="0"/>
            <w:vAlign w:val="center"/>
          </w:tcPr>
          <w:p w14:paraId="17EC089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生态效益</w:t>
            </w:r>
            <w:r>
              <w:rPr>
                <w:rFonts w:hint="default" w:ascii="Times New Roman" w:hAnsi="Times New Roman" w:cs="Times New Roman"/>
                <w:color w:val="000000" w:themeColor="text1"/>
                <w:spacing w:val="0"/>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0"/>
                <w:sz w:val="18"/>
                <w:szCs w:val="18"/>
                <w:lang w:bidi="ar"/>
                <w14:textFill>
                  <w14:solidFill>
                    <w14:schemeClr w14:val="tx1"/>
                  </w14:solidFill>
                </w14:textFill>
              </w:rPr>
              <w:t>指标</w:t>
            </w:r>
          </w:p>
        </w:tc>
        <w:tc>
          <w:tcPr>
            <w:tcW w:w="498" w:type="pct"/>
            <w:tcBorders>
              <w:top w:val="single" w:color="000000" w:sz="4" w:space="0"/>
              <w:left w:val="single" w:color="000000" w:sz="4" w:space="0"/>
              <w:bottom w:val="single" w:color="000000" w:sz="4" w:space="0"/>
              <w:right w:val="nil"/>
              <w:tl2br w:val="nil"/>
              <w:tr2bl w:val="nil"/>
            </w:tcBorders>
            <w:noWrap w:val="0"/>
            <w:vAlign w:val="center"/>
          </w:tcPr>
          <w:p w14:paraId="50BAD37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866" w:type="pct"/>
            <w:tcBorders>
              <w:top w:val="single" w:color="000000" w:sz="4" w:space="0"/>
              <w:left w:val="single" w:color="000000" w:sz="4" w:space="0"/>
              <w:bottom w:val="single" w:color="000000" w:sz="4" w:space="0"/>
              <w:right w:val="nil"/>
              <w:tl2br w:val="nil"/>
              <w:tr2bl w:val="nil"/>
            </w:tcBorders>
            <w:noWrap w:val="0"/>
            <w:vAlign w:val="center"/>
          </w:tcPr>
          <w:p w14:paraId="6748B2D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绿色发展</w:t>
            </w:r>
          </w:p>
        </w:tc>
        <w:tc>
          <w:tcPr>
            <w:tcW w:w="599" w:type="pct"/>
            <w:tcBorders>
              <w:top w:val="single" w:color="000000" w:sz="4" w:space="0"/>
              <w:left w:val="single" w:color="000000" w:sz="4" w:space="0"/>
              <w:bottom w:val="single" w:color="000000" w:sz="4" w:space="0"/>
              <w:right w:val="nil"/>
              <w:tl2br w:val="nil"/>
              <w:tr2bl w:val="nil"/>
            </w:tcBorders>
            <w:noWrap w:val="0"/>
            <w:vAlign w:val="center"/>
          </w:tcPr>
          <w:p w14:paraId="366311E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10年</w:t>
            </w:r>
          </w:p>
        </w:tc>
        <w:tc>
          <w:tcPr>
            <w:tcW w:w="922" w:type="pct"/>
            <w:tcBorders>
              <w:top w:val="single" w:color="000000" w:sz="4" w:space="0"/>
              <w:left w:val="single" w:color="000000" w:sz="4" w:space="0"/>
              <w:bottom w:val="single" w:color="000000" w:sz="4" w:space="0"/>
              <w:right w:val="nil"/>
              <w:tl2br w:val="nil"/>
              <w:tr2bl w:val="nil"/>
            </w:tcBorders>
            <w:noWrap w:val="0"/>
            <w:vAlign w:val="center"/>
          </w:tcPr>
          <w:p w14:paraId="55BA2CF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10年</w:t>
            </w:r>
          </w:p>
        </w:tc>
        <w:tc>
          <w:tcPr>
            <w:tcW w:w="8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C25C8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06FC7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340"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DDF5F0">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7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7E527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满意度</w:t>
            </w:r>
            <w:r>
              <w:rPr>
                <w:rFonts w:hint="default" w:ascii="Times New Roman" w:hAnsi="Times New Roman" w:cs="Times New Roman"/>
                <w:color w:val="000000" w:themeColor="text1"/>
                <w:spacing w:val="0"/>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0"/>
                <w:sz w:val="18"/>
                <w:szCs w:val="18"/>
                <w:lang w:bidi="ar"/>
                <w14:textFill>
                  <w14:solidFill>
                    <w14:schemeClr w14:val="tx1"/>
                  </w14:solidFill>
                </w14:textFill>
              </w:rPr>
              <w:t>指标</w:t>
            </w:r>
          </w:p>
        </w:tc>
        <w:tc>
          <w:tcPr>
            <w:tcW w:w="481" w:type="pct"/>
            <w:tcBorders>
              <w:top w:val="single" w:color="000000" w:sz="4" w:space="0"/>
              <w:left w:val="single" w:color="000000" w:sz="4" w:space="0"/>
              <w:bottom w:val="single" w:color="000000" w:sz="4" w:space="0"/>
              <w:right w:val="nil"/>
              <w:tl2br w:val="nil"/>
              <w:tr2bl w:val="nil"/>
            </w:tcBorders>
            <w:noWrap w:val="0"/>
            <w:vAlign w:val="center"/>
          </w:tcPr>
          <w:p w14:paraId="01F2ECF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服务对象满意度指标</w:t>
            </w:r>
          </w:p>
        </w:tc>
        <w:tc>
          <w:tcPr>
            <w:tcW w:w="498" w:type="pct"/>
            <w:tcBorders>
              <w:top w:val="single" w:color="000000" w:sz="4" w:space="0"/>
              <w:left w:val="single" w:color="000000" w:sz="4" w:space="0"/>
              <w:bottom w:val="single" w:color="000000" w:sz="4" w:space="0"/>
              <w:right w:val="nil"/>
              <w:tl2br w:val="nil"/>
              <w:tr2bl w:val="nil"/>
            </w:tcBorders>
            <w:noWrap w:val="0"/>
            <w:vAlign w:val="center"/>
          </w:tcPr>
          <w:p w14:paraId="1FC5F8E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866" w:type="pct"/>
            <w:tcBorders>
              <w:top w:val="single" w:color="000000" w:sz="4" w:space="0"/>
              <w:left w:val="single" w:color="000000" w:sz="4" w:space="0"/>
              <w:bottom w:val="single" w:color="000000" w:sz="4" w:space="0"/>
              <w:right w:val="nil"/>
              <w:tl2br w:val="nil"/>
              <w:tr2bl w:val="nil"/>
            </w:tcBorders>
            <w:noWrap w:val="0"/>
            <w:vAlign w:val="center"/>
          </w:tcPr>
          <w:p w14:paraId="36E7267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满意度</w:t>
            </w:r>
          </w:p>
        </w:tc>
        <w:tc>
          <w:tcPr>
            <w:tcW w:w="599" w:type="pct"/>
            <w:tcBorders>
              <w:top w:val="single" w:color="000000" w:sz="4" w:space="0"/>
              <w:left w:val="single" w:color="000000" w:sz="4" w:space="0"/>
              <w:bottom w:val="single" w:color="000000" w:sz="4" w:space="0"/>
              <w:right w:val="nil"/>
              <w:tl2br w:val="nil"/>
              <w:tr2bl w:val="nil"/>
            </w:tcBorders>
            <w:noWrap w:val="0"/>
            <w:vAlign w:val="center"/>
          </w:tcPr>
          <w:p w14:paraId="5C6BDD3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90%</w:t>
            </w:r>
          </w:p>
        </w:tc>
        <w:tc>
          <w:tcPr>
            <w:tcW w:w="922" w:type="pct"/>
            <w:tcBorders>
              <w:top w:val="single" w:color="000000" w:sz="4" w:space="0"/>
              <w:left w:val="single" w:color="000000" w:sz="4" w:space="0"/>
              <w:bottom w:val="single" w:color="000000" w:sz="4" w:space="0"/>
              <w:right w:val="nil"/>
              <w:tl2br w:val="nil"/>
              <w:tr2bl w:val="nil"/>
            </w:tcBorders>
            <w:noWrap w:val="0"/>
            <w:vAlign w:val="center"/>
          </w:tcPr>
          <w:p w14:paraId="56419D6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90%</w:t>
            </w:r>
          </w:p>
        </w:tc>
        <w:tc>
          <w:tcPr>
            <w:tcW w:w="885"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02212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bl>
    <w:p w14:paraId="5202ACF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eastAsia="方正小标宋简体" w:cs="Times New Roman"/>
          <w:color w:val="000000" w:themeColor="text1"/>
          <w:spacing w:val="0"/>
          <w:sz w:val="36"/>
          <w:szCs w:val="36"/>
          <w14:textFill>
            <w14:solidFill>
              <w14:schemeClr w14:val="tx1"/>
            </w14:solidFill>
          </w14:textFill>
        </w:rPr>
      </w:pPr>
      <w:r>
        <w:rPr>
          <w:rFonts w:hint="default" w:ascii="Times New Roman" w:hAnsi="Times New Roman" w:eastAsia="方正小标宋简体" w:cs="Times New Roman"/>
          <w:color w:val="000000" w:themeColor="text1"/>
          <w:spacing w:val="0"/>
          <w:sz w:val="36"/>
          <w:szCs w:val="36"/>
          <w:lang w:bidi="ar"/>
          <w14:textFill>
            <w14:solidFill>
              <w14:schemeClr w14:val="tx1"/>
            </w14:solidFill>
          </w14:textFill>
        </w:rPr>
        <w:t>广元市昭化区财政项目（政策）支出绩效自评表</w:t>
      </w:r>
    </w:p>
    <w:p w14:paraId="2548B02D">
      <w:pPr>
        <w:keepNext w:val="0"/>
        <w:keepLines w:val="0"/>
        <w:pageBreakBefore w:val="0"/>
        <w:widowControl w:val="0"/>
        <w:kinsoku/>
        <w:wordWrap/>
        <w:topLinePunct w:val="0"/>
        <w:bidi w:val="0"/>
        <w:adjustRightInd w:val="0"/>
        <w:snapToGrid w:val="0"/>
        <w:spacing w:beforeLines="0" w:afterLines="0"/>
        <w:jc w:val="center"/>
        <w:textAlignment w:val="top"/>
        <w:rPr>
          <w:rFonts w:hint="default" w:ascii="Times New Roman" w:hAnsi="Times New Roman" w:cs="Times New Roman"/>
          <w:b/>
          <w:color w:val="000000" w:themeColor="text1"/>
          <w:spacing w:val="0"/>
          <w:sz w:val="24"/>
          <w:szCs w:val="24"/>
          <w14:textFill>
            <w14:solidFill>
              <w14:schemeClr w14:val="tx1"/>
            </w14:solidFill>
          </w14:textFill>
        </w:rPr>
      </w:pPr>
      <w:r>
        <w:rPr>
          <w:rFonts w:hint="default" w:ascii="Times New Roman" w:hAnsi="Times New Roman" w:cs="Times New Roman"/>
          <w:b/>
          <w:color w:val="000000" w:themeColor="text1"/>
          <w:spacing w:val="0"/>
          <w:sz w:val="24"/>
          <w:szCs w:val="24"/>
          <w:lang w:bidi="ar"/>
          <w14:textFill>
            <w14:solidFill>
              <w14:schemeClr w14:val="tx1"/>
            </w14:solidFill>
          </w14:textFill>
        </w:rPr>
        <w:t>（ 2023年度）</w:t>
      </w:r>
    </w:p>
    <w:tbl>
      <w:tblPr>
        <w:tblStyle w:val="11"/>
        <w:tblW w:w="491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96"/>
        <w:gridCol w:w="582"/>
        <w:gridCol w:w="840"/>
        <w:gridCol w:w="596"/>
        <w:gridCol w:w="2732"/>
        <w:gridCol w:w="972"/>
        <w:gridCol w:w="972"/>
        <w:gridCol w:w="1509"/>
      </w:tblGrid>
      <w:tr w14:paraId="01254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1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5B6D0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项目（政策）名称</w:t>
            </w:r>
          </w:p>
        </w:tc>
        <w:tc>
          <w:tcPr>
            <w:tcW w:w="4281" w:type="pct"/>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8C06A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争取项目资金工作经费</w:t>
            </w:r>
          </w:p>
        </w:tc>
      </w:tr>
      <w:tr w14:paraId="3B4EA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1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3D162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主管部门</w:t>
            </w:r>
          </w:p>
        </w:tc>
        <w:tc>
          <w:tcPr>
            <w:tcW w:w="2341"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ECBF7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广元市昭化区供销合作社联合社部门</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C4F8E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实施单位</w:t>
            </w:r>
          </w:p>
        </w:tc>
        <w:tc>
          <w:tcPr>
            <w:tcW w:w="1393" w:type="pct"/>
            <w:gridSpan w:val="2"/>
            <w:tcBorders>
              <w:top w:val="single" w:color="000000" w:sz="4" w:space="0"/>
              <w:left w:val="single" w:color="000000" w:sz="4" w:space="0"/>
              <w:bottom w:val="single" w:color="000000" w:sz="4" w:space="0"/>
              <w:right w:val="single" w:color="auto" w:sz="4" w:space="0"/>
              <w:tl2br w:val="nil"/>
              <w:tr2bl w:val="nil"/>
            </w:tcBorders>
            <w:noWrap w:val="0"/>
            <w:vAlign w:val="center"/>
          </w:tcPr>
          <w:p w14:paraId="7F45CC2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广元市昭化区供销合作社联合社</w:t>
            </w:r>
          </w:p>
        </w:tc>
      </w:tr>
      <w:tr w14:paraId="4D9CF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18" w:type="pct"/>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53FA05C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项目（政策）资金（万元）</w:t>
            </w:r>
          </w:p>
        </w:tc>
        <w:tc>
          <w:tcPr>
            <w:tcW w:w="807" w:type="pct"/>
            <w:gridSpan w:val="2"/>
            <w:tcBorders>
              <w:top w:val="nil"/>
              <w:left w:val="single" w:color="000000" w:sz="4" w:space="0"/>
              <w:bottom w:val="single" w:color="000000" w:sz="4" w:space="0"/>
              <w:right w:val="single" w:color="000000" w:sz="4" w:space="0"/>
              <w:tl2br w:val="nil"/>
              <w:tr2bl w:val="nil"/>
            </w:tcBorders>
            <w:noWrap w:val="0"/>
            <w:vAlign w:val="center"/>
          </w:tcPr>
          <w:p w14:paraId="315D9D9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年度预算数（万元）</w:t>
            </w:r>
          </w:p>
        </w:tc>
        <w:tc>
          <w:tcPr>
            <w:tcW w:w="1533" w:type="pct"/>
            <w:tcBorders>
              <w:top w:val="nil"/>
              <w:left w:val="single" w:color="000000" w:sz="4" w:space="0"/>
              <w:bottom w:val="single" w:color="000000" w:sz="4" w:space="0"/>
              <w:right w:val="single" w:color="000000" w:sz="4" w:space="0"/>
              <w:tl2br w:val="nil"/>
              <w:tr2bl w:val="nil"/>
            </w:tcBorders>
            <w:noWrap w:val="0"/>
            <w:vAlign w:val="center"/>
          </w:tcPr>
          <w:p w14:paraId="58AEEF6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年初预算数</w:t>
            </w:r>
          </w:p>
        </w:tc>
        <w:tc>
          <w:tcPr>
            <w:tcW w:w="546" w:type="pct"/>
            <w:tcBorders>
              <w:top w:val="nil"/>
              <w:left w:val="single" w:color="000000" w:sz="4" w:space="0"/>
              <w:bottom w:val="single" w:color="000000" w:sz="4" w:space="0"/>
              <w:right w:val="single" w:color="000000" w:sz="4" w:space="0"/>
              <w:tl2br w:val="nil"/>
              <w:tr2bl w:val="nil"/>
            </w:tcBorders>
            <w:noWrap w:val="0"/>
            <w:vAlign w:val="center"/>
          </w:tcPr>
          <w:p w14:paraId="4D58CC6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全年预算数</w:t>
            </w:r>
          </w:p>
        </w:tc>
        <w:tc>
          <w:tcPr>
            <w:tcW w:w="546" w:type="pct"/>
            <w:tcBorders>
              <w:top w:val="nil"/>
              <w:left w:val="single" w:color="000000" w:sz="4" w:space="0"/>
              <w:bottom w:val="single" w:color="000000" w:sz="4" w:space="0"/>
              <w:right w:val="single" w:color="000000" w:sz="4" w:space="0"/>
              <w:tl2br w:val="nil"/>
              <w:tr2bl w:val="nil"/>
            </w:tcBorders>
            <w:noWrap w:val="0"/>
            <w:vAlign w:val="center"/>
          </w:tcPr>
          <w:p w14:paraId="23BB96A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全年执行数</w:t>
            </w:r>
          </w:p>
        </w:tc>
        <w:tc>
          <w:tcPr>
            <w:tcW w:w="846" w:type="pct"/>
            <w:tcBorders>
              <w:top w:val="nil"/>
              <w:left w:val="single" w:color="000000" w:sz="4" w:space="0"/>
              <w:bottom w:val="single" w:color="000000" w:sz="4" w:space="0"/>
              <w:right w:val="single" w:color="000000" w:sz="4" w:space="0"/>
              <w:tl2br w:val="nil"/>
              <w:tr2bl w:val="nil"/>
            </w:tcBorders>
            <w:noWrap w:val="0"/>
            <w:vAlign w:val="center"/>
          </w:tcPr>
          <w:p w14:paraId="1560B59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执行率</w:t>
            </w:r>
          </w:p>
        </w:tc>
      </w:tr>
      <w:tr w14:paraId="520B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18"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69C3F92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80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5B504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年度资金总额</w:t>
            </w:r>
          </w:p>
        </w:tc>
        <w:tc>
          <w:tcPr>
            <w:tcW w:w="15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B018F2">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5</w:t>
            </w:r>
          </w:p>
        </w:tc>
        <w:tc>
          <w:tcPr>
            <w:tcW w:w="546" w:type="pct"/>
            <w:tcBorders>
              <w:top w:val="single" w:color="000000" w:sz="4" w:space="0"/>
              <w:left w:val="single" w:color="000000" w:sz="4" w:space="0"/>
              <w:bottom w:val="single" w:color="auto" w:sz="4" w:space="0"/>
              <w:right w:val="single" w:color="000000" w:sz="4" w:space="0"/>
              <w:tl2br w:val="nil"/>
              <w:tr2bl w:val="nil"/>
            </w:tcBorders>
            <w:noWrap w:val="0"/>
            <w:vAlign w:val="center"/>
          </w:tcPr>
          <w:p w14:paraId="0279ECE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5</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906EE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5</w:t>
            </w:r>
          </w:p>
        </w:tc>
        <w:tc>
          <w:tcPr>
            <w:tcW w:w="846" w:type="pct"/>
            <w:tcBorders>
              <w:top w:val="nil"/>
              <w:left w:val="single" w:color="000000" w:sz="4" w:space="0"/>
              <w:bottom w:val="single" w:color="000000" w:sz="4" w:space="0"/>
              <w:right w:val="single" w:color="000000" w:sz="4" w:space="0"/>
              <w:tl2br w:val="nil"/>
              <w:tr2bl w:val="nil"/>
            </w:tcBorders>
            <w:noWrap w:val="0"/>
            <w:vAlign w:val="center"/>
          </w:tcPr>
          <w:p w14:paraId="775FB84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100%</w:t>
            </w:r>
          </w:p>
        </w:tc>
      </w:tr>
      <w:tr w14:paraId="31695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18"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CD00CB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80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073D99">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（一）财政拨款小计</w:t>
            </w:r>
          </w:p>
        </w:tc>
        <w:tc>
          <w:tcPr>
            <w:tcW w:w="15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36D46A">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5</w:t>
            </w:r>
          </w:p>
        </w:tc>
        <w:tc>
          <w:tcPr>
            <w:tcW w:w="546" w:type="pct"/>
            <w:tcBorders>
              <w:top w:val="single" w:color="auto" w:sz="4" w:space="0"/>
              <w:left w:val="single" w:color="000000" w:sz="4" w:space="0"/>
              <w:bottom w:val="single" w:color="000000" w:sz="4" w:space="0"/>
              <w:right w:val="single" w:color="000000" w:sz="4" w:space="0"/>
              <w:tl2br w:val="nil"/>
              <w:tr2bl w:val="nil"/>
            </w:tcBorders>
            <w:noWrap w:val="0"/>
            <w:vAlign w:val="center"/>
          </w:tcPr>
          <w:p w14:paraId="730432E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5</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F7EC0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5</w:t>
            </w:r>
          </w:p>
        </w:tc>
        <w:tc>
          <w:tcPr>
            <w:tcW w:w="846" w:type="pct"/>
            <w:tcBorders>
              <w:top w:val="nil"/>
              <w:left w:val="single" w:color="000000" w:sz="4" w:space="0"/>
              <w:bottom w:val="single" w:color="000000" w:sz="4" w:space="0"/>
              <w:right w:val="single" w:color="000000" w:sz="4" w:space="0"/>
              <w:tl2br w:val="nil"/>
              <w:tr2bl w:val="nil"/>
            </w:tcBorders>
            <w:noWrap w:val="0"/>
            <w:vAlign w:val="center"/>
          </w:tcPr>
          <w:p w14:paraId="769E44B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100%</w:t>
            </w:r>
          </w:p>
        </w:tc>
      </w:tr>
      <w:tr w14:paraId="53159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718" w:type="pct"/>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5467735C">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807"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02D1E1">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 xml:space="preserve">   1.一般公共预算</w:t>
            </w:r>
          </w:p>
        </w:tc>
        <w:tc>
          <w:tcPr>
            <w:tcW w:w="15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D85524">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5</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13312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5</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01F8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5</w:t>
            </w:r>
          </w:p>
        </w:tc>
        <w:tc>
          <w:tcPr>
            <w:tcW w:w="846" w:type="pct"/>
            <w:tcBorders>
              <w:top w:val="nil"/>
              <w:left w:val="single" w:color="000000" w:sz="4" w:space="0"/>
              <w:bottom w:val="single" w:color="000000" w:sz="4" w:space="0"/>
              <w:right w:val="single" w:color="000000" w:sz="4" w:space="0"/>
              <w:tl2br w:val="nil"/>
              <w:tr2bl w:val="nil"/>
            </w:tcBorders>
            <w:noWrap w:val="0"/>
            <w:vAlign w:val="center"/>
          </w:tcPr>
          <w:p w14:paraId="596C212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100%</w:t>
            </w:r>
          </w:p>
        </w:tc>
      </w:tr>
      <w:tr w14:paraId="0B498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9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14E2C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年度总体目标</w:t>
            </w:r>
          </w:p>
        </w:tc>
        <w:tc>
          <w:tcPr>
            <w:tcW w:w="2668"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F9F82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预期目标</w:t>
            </w:r>
          </w:p>
        </w:tc>
        <w:tc>
          <w:tcPr>
            <w:tcW w:w="194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294D6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全年实际完成情况</w:t>
            </w:r>
          </w:p>
        </w:tc>
      </w:tr>
      <w:tr w14:paraId="2E1E9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9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4CBBA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2668" w:type="pct"/>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13482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积极向省、市供销社对接，完成2023年向上争取资金50万元，用于提升基层社建设。</w:t>
            </w:r>
          </w:p>
        </w:tc>
        <w:tc>
          <w:tcPr>
            <w:tcW w:w="1940" w:type="pct"/>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E8A4E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积极向省、市供销社对接，完成2023年向上争取资金50万元，用于提升基层社建设。</w:t>
            </w:r>
          </w:p>
        </w:tc>
      </w:tr>
      <w:tr w14:paraId="4D089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91"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B6601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绩效</w:t>
            </w:r>
            <w:r>
              <w:rPr>
                <w:rFonts w:hint="default" w:ascii="Times New Roman" w:hAnsi="Times New Roman" w:cs="Times New Roman"/>
                <w:color w:val="000000" w:themeColor="text1"/>
                <w:spacing w:val="0"/>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0"/>
                <w:sz w:val="18"/>
                <w:szCs w:val="18"/>
                <w:lang w:bidi="ar"/>
                <w14:textFill>
                  <w14:solidFill>
                    <w14:schemeClr w14:val="tx1"/>
                  </w14:solidFill>
                </w14:textFill>
              </w:rPr>
              <w:t>指标</w:t>
            </w:r>
          </w:p>
        </w:tc>
        <w:tc>
          <w:tcPr>
            <w:tcW w:w="3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D95FC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一级指标</w:t>
            </w:r>
          </w:p>
        </w:tc>
        <w:tc>
          <w:tcPr>
            <w:tcW w:w="4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7CDC0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二级指标</w:t>
            </w:r>
          </w:p>
        </w:tc>
        <w:tc>
          <w:tcPr>
            <w:tcW w:w="1868" w:type="pct"/>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4AF9D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三级指标</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E437D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年度指标值</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D74EA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实际完成值</w:t>
            </w:r>
          </w:p>
        </w:tc>
        <w:tc>
          <w:tcPr>
            <w:tcW w:w="8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8D222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偏差原因分析及改进措施</w:t>
            </w:r>
          </w:p>
        </w:tc>
      </w:tr>
      <w:tr w14:paraId="5E4A1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9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86388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2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A6A21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产出指标</w:t>
            </w:r>
          </w:p>
        </w:tc>
        <w:tc>
          <w:tcPr>
            <w:tcW w:w="4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0A5A5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数量指标</w:t>
            </w:r>
          </w:p>
        </w:tc>
        <w:tc>
          <w:tcPr>
            <w:tcW w:w="3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6D990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15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D8C996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到省、市供销社对接工作</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2A91F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8次</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558D3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8次</w:t>
            </w:r>
          </w:p>
        </w:tc>
        <w:tc>
          <w:tcPr>
            <w:tcW w:w="8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46A27D">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01E5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9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8D711B">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2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981FF5">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BD461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质量指标</w:t>
            </w:r>
          </w:p>
        </w:tc>
        <w:tc>
          <w:tcPr>
            <w:tcW w:w="3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B6782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15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1B722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完成向上争取资金额度50万元</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E8A76A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50万元</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FDC41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50万元</w:t>
            </w:r>
          </w:p>
        </w:tc>
        <w:tc>
          <w:tcPr>
            <w:tcW w:w="8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60626A">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536DB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jc w:val="center"/>
        </w:trPr>
        <w:tc>
          <w:tcPr>
            <w:tcW w:w="39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754398">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2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DDBA3B">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19DDB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时效指标</w:t>
            </w:r>
          </w:p>
        </w:tc>
        <w:tc>
          <w:tcPr>
            <w:tcW w:w="3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171105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15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7C7A84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各项任务完成及时率（计划完成任务时间-实际完成任务时间）/计划完成任务时间*100%</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66912B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100%</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CFDD2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100%</w:t>
            </w:r>
          </w:p>
        </w:tc>
        <w:tc>
          <w:tcPr>
            <w:tcW w:w="8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BA42FF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78017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9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9B407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2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84C29F">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2FC23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成本指标</w:t>
            </w:r>
          </w:p>
        </w:tc>
        <w:tc>
          <w:tcPr>
            <w:tcW w:w="3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633CD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15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57309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向上争取资金办公费、差旅费、资料费</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3FEE12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5万元</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3F0F6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5万元</w:t>
            </w:r>
          </w:p>
        </w:tc>
        <w:tc>
          <w:tcPr>
            <w:tcW w:w="8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616175">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71328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39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E3ED5F">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27" w:type="pct"/>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78C86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效益指标</w:t>
            </w:r>
          </w:p>
        </w:tc>
        <w:tc>
          <w:tcPr>
            <w:tcW w:w="4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617C8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经济效益</w:t>
            </w:r>
            <w:r>
              <w:rPr>
                <w:rFonts w:hint="default" w:ascii="Times New Roman" w:hAnsi="Times New Roman" w:cs="Times New Roman"/>
                <w:color w:val="000000" w:themeColor="text1"/>
                <w:spacing w:val="0"/>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0"/>
                <w:sz w:val="18"/>
                <w:szCs w:val="18"/>
                <w:lang w:bidi="ar"/>
                <w14:textFill>
                  <w14:solidFill>
                    <w14:schemeClr w14:val="tx1"/>
                  </w14:solidFill>
                </w14:textFill>
              </w:rPr>
              <w:t>指标</w:t>
            </w:r>
          </w:p>
        </w:tc>
        <w:tc>
          <w:tcPr>
            <w:tcW w:w="3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571FA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15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FC022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提升地方经济增长率</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ACAC5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效果明显</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FE14A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效果明显</w:t>
            </w:r>
          </w:p>
        </w:tc>
        <w:tc>
          <w:tcPr>
            <w:tcW w:w="8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04EF3A">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1CF0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jc w:val="center"/>
        </w:trPr>
        <w:tc>
          <w:tcPr>
            <w:tcW w:w="39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CAF58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27"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2DA96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4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F9428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社会效益</w:t>
            </w:r>
            <w:r>
              <w:rPr>
                <w:rFonts w:hint="default" w:ascii="Times New Roman" w:hAnsi="Times New Roman" w:cs="Times New Roman"/>
                <w:color w:val="000000" w:themeColor="text1"/>
                <w:spacing w:val="0"/>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0"/>
                <w:sz w:val="18"/>
                <w:szCs w:val="18"/>
                <w:lang w:bidi="ar"/>
                <w14:textFill>
                  <w14:solidFill>
                    <w14:schemeClr w14:val="tx1"/>
                  </w14:solidFill>
                </w14:textFill>
              </w:rPr>
              <w:t>指标</w:t>
            </w:r>
          </w:p>
        </w:tc>
        <w:tc>
          <w:tcPr>
            <w:tcW w:w="3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8D286E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15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09A12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带动地方经济发展增长率</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1307C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效果明显</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A44CA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效果明显</w:t>
            </w:r>
          </w:p>
        </w:tc>
        <w:tc>
          <w:tcPr>
            <w:tcW w:w="8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039DD5">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r w14:paraId="4F880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9" w:hRule="atLeast"/>
          <w:jc w:val="center"/>
        </w:trPr>
        <w:tc>
          <w:tcPr>
            <w:tcW w:w="391" w:type="pct"/>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60E403">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c>
          <w:tcPr>
            <w:tcW w:w="32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3117C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满意度</w:t>
            </w:r>
            <w:r>
              <w:rPr>
                <w:rFonts w:hint="default" w:ascii="Times New Roman" w:hAnsi="Times New Roman" w:cs="Times New Roman"/>
                <w:color w:val="000000" w:themeColor="text1"/>
                <w:spacing w:val="0"/>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0"/>
                <w:sz w:val="18"/>
                <w:szCs w:val="18"/>
                <w:lang w:bidi="ar"/>
                <w14:textFill>
                  <w14:solidFill>
                    <w14:schemeClr w14:val="tx1"/>
                  </w14:solidFill>
                </w14:textFill>
              </w:rPr>
              <w:t>指标</w:t>
            </w:r>
          </w:p>
        </w:tc>
        <w:tc>
          <w:tcPr>
            <w:tcW w:w="47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8B44B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服务对象满意度指标</w:t>
            </w:r>
          </w:p>
        </w:tc>
        <w:tc>
          <w:tcPr>
            <w:tcW w:w="33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FE19B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指标1：</w:t>
            </w:r>
          </w:p>
        </w:tc>
        <w:tc>
          <w:tcPr>
            <w:tcW w:w="153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B2F69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群众满意度</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AD985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90%</w:t>
            </w:r>
          </w:p>
        </w:tc>
        <w:tc>
          <w:tcPr>
            <w:tcW w:w="5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A716E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0"/>
                <w:sz w:val="18"/>
                <w:szCs w:val="18"/>
                <w14:textFill>
                  <w14:solidFill>
                    <w14:schemeClr w14:val="tx1"/>
                  </w14:solidFill>
                </w14:textFill>
              </w:rPr>
            </w:pPr>
            <w:r>
              <w:rPr>
                <w:rFonts w:hint="default" w:ascii="Times New Roman" w:hAnsi="Times New Roman" w:cs="Times New Roman"/>
                <w:color w:val="000000" w:themeColor="text1"/>
                <w:spacing w:val="0"/>
                <w:sz w:val="18"/>
                <w:szCs w:val="18"/>
                <w:lang w:bidi="ar"/>
                <w14:textFill>
                  <w14:solidFill>
                    <w14:schemeClr w14:val="tx1"/>
                  </w14:solidFill>
                </w14:textFill>
              </w:rPr>
              <w:t>90%</w:t>
            </w:r>
          </w:p>
        </w:tc>
        <w:tc>
          <w:tcPr>
            <w:tcW w:w="84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4ACE3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0"/>
                <w:sz w:val="18"/>
                <w:szCs w:val="18"/>
                <w14:textFill>
                  <w14:solidFill>
                    <w14:schemeClr w14:val="tx1"/>
                  </w14:solidFill>
                </w14:textFill>
              </w:rPr>
            </w:pPr>
          </w:p>
        </w:tc>
      </w:tr>
    </w:tbl>
    <w:p w14:paraId="1635D78E">
      <w:pPr>
        <w:keepNext w:val="0"/>
        <w:keepLines w:val="0"/>
        <w:pageBreakBefore w:val="0"/>
        <w:widowControl w:val="0"/>
        <w:kinsoku/>
        <w:wordWrap/>
        <w:topLinePunct w:val="0"/>
        <w:bidi w:val="0"/>
        <w:adjustRightInd w:val="0"/>
        <w:snapToGrid w:val="0"/>
        <w:spacing w:beforeLines="0" w:afterLines="0" w:line="576" w:lineRule="exact"/>
        <w:jc w:val="both"/>
        <w:textAlignment w:val="auto"/>
        <w:outlineLvl w:val="1"/>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bookmarkStart w:id="24" w:name="_Toc18162"/>
      <w:r>
        <w:rPr>
          <w:rFonts w:hint="default" w:ascii="Times New Roman" w:hAnsi="Times New Roman" w:eastAsia="黑体" w:cs="Times New Roman"/>
          <w:color w:val="000000" w:themeColor="text1"/>
          <w:spacing w:val="0"/>
          <w:kern w:val="2"/>
          <w:sz w:val="32"/>
          <w:szCs w:val="24"/>
          <w14:textFill>
            <w14:solidFill>
              <w14:schemeClr w14:val="tx1"/>
            </w14:solidFill>
          </w14:textFill>
        </w:rPr>
        <w:t>附件2</w:t>
      </w:r>
      <w:bookmarkEnd w:id="24"/>
    </w:p>
    <w:p w14:paraId="24BD010F">
      <w:pPr>
        <w:keepNext w:val="0"/>
        <w:keepLines w:val="0"/>
        <w:pageBreakBefore w:val="0"/>
        <w:widowControl w:val="0"/>
        <w:kinsoku/>
        <w:wordWrap/>
        <w:topLinePunct w:val="0"/>
        <w:bidi w:val="0"/>
        <w:adjustRightInd w:val="0"/>
        <w:snapToGrid w:val="0"/>
        <w:spacing w:beforeLines="0" w:afterLines="0" w:line="576" w:lineRule="exact"/>
        <w:jc w:val="both"/>
        <w:textAlignment w:val="auto"/>
        <w:rPr>
          <w:rFonts w:hint="default" w:ascii="Times New Roman" w:hAnsi="Times New Roman" w:eastAsia="方正小标宋简体" w:cs="Times New Roman"/>
          <w:color w:val="000000" w:themeColor="text1"/>
          <w:spacing w:val="0"/>
          <w:kern w:val="2"/>
          <w:sz w:val="44"/>
          <w:szCs w:val="44"/>
          <w14:textFill>
            <w14:solidFill>
              <w14:schemeClr w14:val="tx1"/>
            </w14:solidFill>
          </w14:textFill>
        </w:rPr>
      </w:pPr>
    </w:p>
    <w:p w14:paraId="73072156">
      <w:pPr>
        <w:keepNext w:val="0"/>
        <w:keepLines w:val="0"/>
        <w:pageBreakBefore w:val="0"/>
        <w:widowControl w:val="0"/>
        <w:kinsoku/>
        <w:wordWrap/>
        <w:topLinePunct w:val="0"/>
        <w:bidi w:val="0"/>
        <w:adjustRightInd w:val="0"/>
        <w:snapToGrid w:val="0"/>
        <w:spacing w:beforeLines="0" w:afterLines="0" w:line="576" w:lineRule="exact"/>
        <w:jc w:val="center"/>
        <w:textAlignment w:val="auto"/>
        <w:rPr>
          <w:rFonts w:hint="default" w:ascii="Times New Roman" w:hAnsi="Times New Roman" w:eastAsia="方正小标宋简体" w:cs="Times New Roman"/>
          <w:color w:val="000000" w:themeColor="text1"/>
          <w:spacing w:val="0"/>
          <w:kern w:val="2"/>
          <w:sz w:val="44"/>
          <w:szCs w:val="44"/>
          <w:lang w:val="zh-CN"/>
          <w14:textFill>
            <w14:solidFill>
              <w14:schemeClr w14:val="tx1"/>
            </w14:solidFill>
          </w14:textFill>
        </w:rPr>
      </w:pPr>
      <w:r>
        <w:rPr>
          <w:rFonts w:hint="default" w:ascii="Times New Roman" w:hAnsi="Times New Roman" w:eastAsia="方正小标宋简体" w:cs="Times New Roman"/>
          <w:color w:val="000000" w:themeColor="text1"/>
          <w:spacing w:val="0"/>
          <w:kern w:val="2"/>
          <w:sz w:val="44"/>
          <w:szCs w:val="44"/>
          <w14:textFill>
            <w14:solidFill>
              <w14:schemeClr w14:val="tx1"/>
            </w14:solidFill>
          </w14:textFill>
        </w:rPr>
        <w:t>2023年东西部协作项目资金支出</w:t>
      </w:r>
      <w:r>
        <w:rPr>
          <w:rFonts w:hint="default" w:ascii="Times New Roman" w:hAnsi="Times New Roman" w:eastAsia="方正小标宋简体" w:cs="Times New Roman"/>
          <w:color w:val="000000" w:themeColor="text1"/>
          <w:spacing w:val="0"/>
          <w:kern w:val="2"/>
          <w:sz w:val="44"/>
          <w:szCs w:val="44"/>
          <w:lang w:val="zh-CN"/>
          <w14:textFill>
            <w14:solidFill>
              <w14:schemeClr w14:val="tx1"/>
            </w14:solidFill>
          </w14:textFill>
        </w:rPr>
        <w:t>专项预算项目</w:t>
      </w:r>
    </w:p>
    <w:p w14:paraId="32A355F5">
      <w:pPr>
        <w:keepNext w:val="0"/>
        <w:keepLines w:val="0"/>
        <w:pageBreakBefore w:val="0"/>
        <w:widowControl w:val="0"/>
        <w:kinsoku/>
        <w:wordWrap/>
        <w:topLinePunct w:val="0"/>
        <w:bidi w:val="0"/>
        <w:adjustRightInd w:val="0"/>
        <w:snapToGrid w:val="0"/>
        <w:spacing w:beforeLines="0" w:afterLines="0" w:line="576" w:lineRule="exact"/>
        <w:jc w:val="center"/>
        <w:textAlignment w:val="auto"/>
        <w:rPr>
          <w:rFonts w:hint="default" w:ascii="Times New Roman" w:hAnsi="Times New Roman" w:eastAsia="方正小标宋简体" w:cs="Times New Roman"/>
          <w:color w:val="000000" w:themeColor="text1"/>
          <w:spacing w:val="0"/>
          <w:kern w:val="2"/>
          <w:sz w:val="44"/>
          <w:szCs w:val="44"/>
          <w:lang w:val="zh-CN"/>
          <w14:textFill>
            <w14:solidFill>
              <w14:schemeClr w14:val="tx1"/>
            </w14:solidFill>
          </w14:textFill>
        </w:rPr>
      </w:pPr>
      <w:r>
        <w:rPr>
          <w:rFonts w:hint="default" w:ascii="Times New Roman" w:hAnsi="Times New Roman" w:eastAsia="方正小标宋简体" w:cs="Times New Roman"/>
          <w:color w:val="000000" w:themeColor="text1"/>
          <w:spacing w:val="0"/>
          <w:kern w:val="2"/>
          <w:sz w:val="44"/>
          <w:szCs w:val="44"/>
          <w:lang w:val="zh-CN"/>
          <w14:textFill>
            <w14:solidFill>
              <w14:schemeClr w14:val="tx1"/>
            </w14:solidFill>
          </w14:textFill>
        </w:rPr>
        <w:t>绩效评价报告</w:t>
      </w:r>
    </w:p>
    <w:p w14:paraId="407DD461">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outlineLvl w:val="1"/>
        <w:rPr>
          <w:rFonts w:hint="default" w:ascii="Times New Roman" w:hAnsi="Times New Roman" w:eastAsia="黑体" w:cs="Times New Roman"/>
          <w:color w:val="000000" w:themeColor="text1"/>
          <w:spacing w:val="0"/>
          <w:sz w:val="32"/>
          <w:szCs w:val="32"/>
          <w:u w:val="none" w:color="auto"/>
          <w:lang w:val="zh-CN" w:eastAsia="zh-CN" w:bidi="ar-SA"/>
          <w14:textFill>
            <w14:solidFill>
              <w14:schemeClr w14:val="tx1"/>
            </w14:solidFill>
          </w14:textFill>
        </w:rPr>
      </w:pPr>
      <w:bookmarkStart w:id="25" w:name="_Toc24605"/>
    </w:p>
    <w:p w14:paraId="2F00732A">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outlineLvl w:val="1"/>
        <w:rPr>
          <w:rFonts w:hint="default" w:ascii="Times New Roman" w:hAnsi="Times New Roman" w:eastAsia="黑体" w:cs="Times New Roman"/>
          <w:color w:val="000000" w:themeColor="text1"/>
          <w:spacing w:val="0"/>
          <w:sz w:val="32"/>
          <w:szCs w:val="32"/>
          <w:lang w:val="zh-CN"/>
          <w14:textFill>
            <w14:solidFill>
              <w14:schemeClr w14:val="tx1"/>
            </w14:solidFill>
          </w14:textFill>
        </w:rPr>
      </w:pPr>
      <w:r>
        <w:rPr>
          <w:rFonts w:hint="default" w:ascii="Times New Roman" w:hAnsi="Times New Roman" w:eastAsia="黑体" w:cs="Times New Roman"/>
          <w:color w:val="000000" w:themeColor="text1"/>
          <w:spacing w:val="0"/>
          <w:sz w:val="32"/>
          <w:szCs w:val="32"/>
          <w:u w:val="none" w:color="auto"/>
          <w:lang w:val="zh-CN" w:eastAsia="zh-CN" w:bidi="ar-SA"/>
          <w14:textFill>
            <w14:solidFill>
              <w14:schemeClr w14:val="tx1"/>
            </w14:solidFill>
          </w14:textFill>
        </w:rPr>
        <w:t>一、</w:t>
      </w:r>
      <w:r>
        <w:rPr>
          <w:rFonts w:hint="default" w:ascii="Times New Roman" w:hAnsi="Times New Roman" w:eastAsia="黑体" w:cs="Times New Roman"/>
          <w:color w:val="000000" w:themeColor="text1"/>
          <w:spacing w:val="0"/>
          <w:sz w:val="32"/>
          <w:szCs w:val="32"/>
          <w:lang w:val="zh-CN"/>
          <w14:textFill>
            <w14:solidFill>
              <w14:schemeClr w14:val="tx1"/>
            </w14:solidFill>
          </w14:textFill>
        </w:rPr>
        <w:t>项目概况</w:t>
      </w:r>
      <w:bookmarkEnd w:id="25"/>
    </w:p>
    <w:p w14:paraId="733632F3">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根据昭财农（2023）3号文件要求，建设杭广消费协作平台及体系，实施农超对接、农特产品推介、电商直播提升、鼓励提升销售规模等，把广元农特产品全面推向浙江市场。提升农村电商平台及体系建设，加强电商人才培养，规范提升电商档次。推动文创产品开发，实施文创产品推广，发展文创产业。加强以天雄村等村为试点的村级供销体系建设。加大对“昭化造”农特产品的宣传和销售，助推相关产业提档升级，推动区域经济发展。</w:t>
      </w:r>
    </w:p>
    <w:p w14:paraId="552B165E">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黑体" w:cs="Times New Roman"/>
          <w:b w:val="0"/>
          <w:bCs w:val="0"/>
          <w:color w:val="000000" w:themeColor="text1"/>
          <w:spacing w:val="0"/>
          <w:sz w:val="32"/>
          <w:szCs w:val="32"/>
          <w14:textFill>
            <w14:solidFill>
              <w14:schemeClr w14:val="tx1"/>
            </w14:solidFill>
          </w14:textFill>
        </w:rPr>
        <w:t xml:space="preserve">    </w:t>
      </w:r>
      <w:r>
        <w:rPr>
          <w:rFonts w:hint="default" w:ascii="Times New Roman" w:hAnsi="Times New Roman" w:eastAsia="楷体_GB2312" w:cs="Times New Roman"/>
          <w:b w:val="0"/>
          <w:bCs w:val="0"/>
          <w:color w:val="000000" w:themeColor="text1"/>
          <w:spacing w:val="0"/>
          <w:sz w:val="32"/>
          <w:szCs w:val="32"/>
          <w14:textFill>
            <w14:solidFill>
              <w14:schemeClr w14:val="tx1"/>
            </w14:solidFill>
          </w14:textFill>
        </w:rPr>
        <w:t>（一）</w:t>
      </w: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项目资金申报及批复情况。</w:t>
      </w:r>
    </w:p>
    <w:p w14:paraId="32BD6211">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2023年，根据区财政局、区乡村振兴局关于下达2023年东西部协作项目资金计划的通知，下达该项目资金计划总额200万元，资金来源于东西部协作项目资金，我单位资金计划总额为20万元。</w:t>
      </w:r>
    </w:p>
    <w:p w14:paraId="4B2A2D52">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u w:val="none" w:color="auto"/>
          <w:lang w:val="zh-CN" w:eastAsia="zh-CN" w:bidi="ar-SA"/>
          <w14:textFill>
            <w14:solidFill>
              <w14:schemeClr w14:val="tx1"/>
            </w14:solidFill>
          </w14:textFill>
        </w:rPr>
        <w:t>（二）</w:t>
      </w: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项目绩效目标。</w:t>
      </w:r>
    </w:p>
    <w:p w14:paraId="5C7E181C">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加强以天雄村为试点的村级供销体系建设，加大对“昭化造”农特产品的宣传和销售，助推相关产业提档升级，服务辐射周边不低于3000人。</w:t>
      </w:r>
    </w:p>
    <w:p w14:paraId="56CB2EF3">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u w:val="none" w:color="auto"/>
          <w:lang w:val="zh-CN" w:eastAsia="zh-CN" w:bidi="ar-SA"/>
          <w14:textFill>
            <w14:solidFill>
              <w14:schemeClr w14:val="tx1"/>
            </w14:solidFill>
          </w14:textFill>
        </w:rPr>
        <w:t>（三）</w:t>
      </w: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项目资金申报相符性。</w:t>
      </w:r>
    </w:p>
    <w:p w14:paraId="724E4425">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建设期间，该项目严格按照申报内容与资金下达文件内容开展建设，实施过程科学、合理、可行，项目申报内容与具体实施内容相符合。</w:t>
      </w:r>
    </w:p>
    <w:p w14:paraId="6131CDB7">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（四）自评步骤及方法</w:t>
      </w:r>
    </w:p>
    <w:p w14:paraId="1A7C962E">
      <w:pPr>
        <w:keepNext w:val="0"/>
        <w:keepLines w:val="0"/>
        <w:pageBreakBefore w:val="0"/>
        <w:widowControl w:val="0"/>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一是组织相关业务股室人员，认真学习领会《广元市昭化区财政局关于开展202</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4</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年部门、政策和项目支出绩效评价工作的通知》</w:t>
      </w:r>
      <w:r>
        <w:rPr>
          <w:rFonts w:hint="eastAsia"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昭财发〔202</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4</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〕1</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1</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号</w:t>
      </w:r>
      <w:r>
        <w:rPr>
          <w:rFonts w:hint="eastAsia"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精神，明确绩效评价要求;二是对照《广元市昭化区202</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3</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年财政项目支出绩效评价指标体系》的评价指标，开展自查自评，遵循客观公正、实事求是的原则，对项目绩效情况进行定量、定性分析，量化打分;三是根据项目实施情况，采取现场访问村干部、农户、经营主体收集反馈相关情况，并组织项目相关人员现场勘验、检查、核实情况。</w:t>
      </w:r>
    </w:p>
    <w:p w14:paraId="6FA94714">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outlineLvl w:val="1"/>
        <w:rPr>
          <w:rFonts w:hint="default" w:ascii="Times New Roman" w:hAnsi="Times New Roman" w:eastAsia="黑体" w:cs="Times New Roman"/>
          <w:b w:val="0"/>
          <w:bCs w:val="0"/>
          <w:color w:val="000000" w:themeColor="text1"/>
          <w:spacing w:val="0"/>
          <w:sz w:val="32"/>
          <w:szCs w:val="32"/>
          <w14:textFill>
            <w14:solidFill>
              <w14:schemeClr w14:val="tx1"/>
            </w14:solidFill>
          </w14:textFill>
        </w:rPr>
      </w:pPr>
      <w:bookmarkStart w:id="26" w:name="_Toc14135"/>
      <w:r>
        <w:rPr>
          <w:rFonts w:hint="default" w:ascii="Times New Roman" w:hAnsi="Times New Roman" w:eastAsia="黑体" w:cs="Times New Roman"/>
          <w:b w:val="0"/>
          <w:bCs w:val="0"/>
          <w:color w:val="000000" w:themeColor="text1"/>
          <w:spacing w:val="0"/>
          <w:sz w:val="32"/>
          <w:szCs w:val="32"/>
          <w14:textFill>
            <w14:solidFill>
              <w14:schemeClr w14:val="tx1"/>
            </w14:solidFill>
          </w14:textFill>
        </w:rPr>
        <w:t>二、项目实施及管理情况</w:t>
      </w:r>
      <w:bookmarkEnd w:id="26"/>
    </w:p>
    <w:p w14:paraId="7702209E">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（一）资金计划、到位及使用情况</w:t>
      </w:r>
    </w:p>
    <w:p w14:paraId="77076243">
      <w:pPr>
        <w:keepNext w:val="0"/>
        <w:keepLines w:val="0"/>
        <w:pageBreakBefore w:val="0"/>
        <w:widowControl w:val="0"/>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1.资金计划及到位。202</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3</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年，广元市昭化区财政局、广元市昭化区乡村振兴局《关于下达202</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3</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年东西部协作项目资金计划的通知》</w:t>
      </w:r>
      <w:r>
        <w:rPr>
          <w:rFonts w:hint="eastAsia"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昭财农〔202</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3</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〕3号</w:t>
      </w:r>
      <w:r>
        <w:rPr>
          <w:rFonts w:hint="eastAsia"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，下达该项目资金20万元，已全部到位，资金到位率100%，来源于东西部协作项目资金。</w:t>
      </w:r>
    </w:p>
    <w:p w14:paraId="7C345832">
      <w:pPr>
        <w:keepNext w:val="0"/>
        <w:keepLines w:val="0"/>
        <w:pageBreakBefore w:val="0"/>
        <w:widowControl w:val="0"/>
        <w:kinsoku/>
        <w:wordWrap/>
        <w:overflowPunct w:val="0"/>
        <w:topLinePunct w:val="0"/>
        <w:bidi w:val="0"/>
        <w:adjustRightInd w:val="0"/>
        <w:snapToGrid w:val="0"/>
        <w:spacing w:beforeLines="0" w:afterLines="0" w:line="576" w:lineRule="exact"/>
        <w:ind w:firstLine="592" w:firstLineChars="200"/>
        <w:jc w:val="both"/>
        <w:textAlignment w:val="auto"/>
        <w:rPr>
          <w:rFonts w:hint="default" w:ascii="Times New Roman" w:hAnsi="Times New Roman"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2.资金使用。截至目前，项目资金已于按工程约定拨付资金</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18.16</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万元，资金支付率</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90.8</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%。资金开支范围、支付标准、支付进度、支付依据合规合法、与预算相符。</w:t>
      </w:r>
    </w:p>
    <w:p w14:paraId="51D46C93">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（二）项目财务管理情况</w:t>
      </w:r>
    </w:p>
    <w:p w14:paraId="035937F0">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在项目资金管理方面，局党组高度重视，严格按照相关项目资金管理办法、“三重一大”集体决策制度和财务管理制度执行</w:t>
      </w:r>
      <w:r>
        <w:rPr>
          <w:rFonts w:hint="eastAsia"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并自觉接受纪检监督，听取各方面的意见和建议，确保资金使用规范、及时、公正、透明，为项目绩效目标的完成提供了充分的保障。财务管理制度健全，严格执行财务管理制度，账务处理及时，会计核算规范。</w:t>
      </w:r>
    </w:p>
    <w:p w14:paraId="64496FB5">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（三）项目组织实施及管理情况</w:t>
      </w:r>
    </w:p>
    <w:p w14:paraId="65C8B036">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1.项目管理组织架构。</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为加强项目的监督、管理，切实保障项目资金使用安全性，我</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社</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高度重视，认真研究，成立了以党组书记、</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主任冯子东</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同志为组长的建设项目工作推进领导小组。项目下达后，我</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社</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作为项目主管部门，按项目基本建设程序，工程建设委托广元</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葭萌供销投资集团有限公司</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实施，经财政局组织财评，严格按照政府招投标的要求对外开展招投标，择优遴选后进行结果公示与项目实施。政府采购项目按照由广元市昭化区</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供销合作社联合社</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负责采购，由分管项目领导牵头，</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专人</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负责项目具体实施，财务股负责资金拨付。</w:t>
      </w:r>
    </w:p>
    <w:p w14:paraId="750F160A">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14:textFill>
            <w14:solidFill>
              <w14:schemeClr w14:val="tx1"/>
            </w14:solidFill>
          </w14:textFill>
        </w:rPr>
        <w:t>2.项目管理情况。</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该项目严格按照相关法律法规及工程建设程序进行实施，制定严格的监管措施。</w:t>
      </w:r>
    </w:p>
    <w:p w14:paraId="12E5C211">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outlineLvl w:val="1"/>
        <w:rPr>
          <w:rFonts w:hint="default" w:ascii="Times New Roman" w:hAnsi="Times New Roman" w:cs="Times New Roman"/>
          <w:b w:val="0"/>
          <w:bCs w:val="0"/>
          <w:color w:val="000000" w:themeColor="text1"/>
          <w:spacing w:val="0"/>
          <w:sz w:val="32"/>
          <w:szCs w:val="32"/>
          <w:lang w:val="zh-CN"/>
          <w14:textFill>
            <w14:solidFill>
              <w14:schemeClr w14:val="tx1"/>
            </w14:solidFill>
          </w14:textFill>
        </w:rPr>
      </w:pPr>
      <w:bookmarkStart w:id="27" w:name="_Toc22215"/>
      <w:r>
        <w:rPr>
          <w:rFonts w:hint="default" w:ascii="Times New Roman" w:hAnsi="Times New Roman" w:eastAsia="黑体" w:cs="Times New Roman"/>
          <w:b w:val="0"/>
          <w:bCs w:val="0"/>
          <w:color w:val="000000" w:themeColor="text1"/>
          <w:spacing w:val="0"/>
          <w:sz w:val="32"/>
          <w:szCs w:val="32"/>
          <w14:textFill>
            <w14:solidFill>
              <w14:schemeClr w14:val="tx1"/>
            </w14:solidFill>
          </w14:textFill>
        </w:rPr>
        <w:t>三、项目绩效情况</w:t>
      </w:r>
      <w:bookmarkEnd w:id="27"/>
      <w:r>
        <w:rPr>
          <w:rFonts w:hint="default" w:ascii="Times New Roman" w:hAnsi="Times New Roman" w:cs="Times New Roman"/>
          <w:b w:val="0"/>
          <w:bCs w:val="0"/>
          <w:color w:val="000000" w:themeColor="text1"/>
          <w:spacing w:val="0"/>
          <w:sz w:val="32"/>
          <w:szCs w:val="32"/>
          <w:lang w:val="zh-CN"/>
          <w14:textFill>
            <w14:solidFill>
              <w14:schemeClr w14:val="tx1"/>
            </w14:solidFill>
          </w14:textFill>
        </w:rPr>
        <w:tab/>
      </w:r>
    </w:p>
    <w:p w14:paraId="0A40332B">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（一）项目完成情况。</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项目在规定时间内完成了各项建设指标，未发生绩效目标偏离的现象，达到了预期目标。工程项目已于202</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3</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年</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5</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月1</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3</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日开展竣工验收。</w:t>
      </w:r>
    </w:p>
    <w:p w14:paraId="22BD4488">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2.效益指标完成情况分析</w:t>
      </w:r>
    </w:p>
    <w:p w14:paraId="1912D4E0">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社会效益指标。加大对“昭化造”农特产品的宣传和销售，助推相关产业提档升级，促进“昭化造”产品销售。</w:t>
      </w:r>
    </w:p>
    <w:p w14:paraId="7FE15068">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3.满意度指标完成情况分析</w:t>
      </w:r>
    </w:p>
    <w:p w14:paraId="2EF190D2">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受益人口满意度和经营主体满意度均达9</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0</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%以上</w:t>
      </w:r>
      <w:r>
        <w:rPr>
          <w:rFonts w:hint="eastAsia"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项目得到广大群众认可。</w:t>
      </w:r>
    </w:p>
    <w:p w14:paraId="4FF8C191">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u w:val="none" w:color="auto"/>
          <w:lang w:val="zh-CN" w:eastAsia="zh-CN" w:bidi="ar-SA"/>
          <w14:textFill>
            <w14:solidFill>
              <w14:schemeClr w14:val="tx1"/>
            </w14:solidFill>
          </w14:textFill>
        </w:rPr>
        <w:t>（二）</w:t>
      </w: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项目效益情况。</w:t>
      </w:r>
    </w:p>
    <w:p w14:paraId="70C0D64E">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1.产出指标完成情况分析</w:t>
      </w:r>
    </w:p>
    <w:p w14:paraId="121C352F">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）数量指标。新建建设、装修建设社区综合服务社面积</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260平方米，新购镜子、桌子、凳子、货架等10件，新制作社区综合服务社广告牌、吊牌、制度牌面积大于50平方米。</w:t>
      </w:r>
    </w:p>
    <w:p w14:paraId="4CEFC87E">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）质量指标。采购、建设工程验收合格率</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100%。</w:t>
      </w:r>
    </w:p>
    <w:p w14:paraId="2DDC922A">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en-US" w:eastAsia="zh-CN"/>
          <w14:textFill>
            <w14:solidFill>
              <w14:schemeClr w14:val="tx1"/>
            </w14:solidFill>
          </w14:textFill>
        </w:rPr>
        <w:t>3</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）时效指标。工程项目已于202</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3</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年</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5</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月1</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3</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日完成竣工验收。指标完成率100%。</w:t>
      </w:r>
    </w:p>
    <w:p w14:paraId="235FA36E">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）成本指标。东西部协作资金控制在</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20</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万元以内。</w:t>
      </w:r>
    </w:p>
    <w:p w14:paraId="60FEDF80">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（三）违规记录。</w:t>
      </w:r>
    </w:p>
    <w:p w14:paraId="10C41121">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根据自评年度审计监督、财会监督和决算审查结果反映专项预算管理合规。</w:t>
      </w:r>
    </w:p>
    <w:p w14:paraId="2C1A5791">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outlineLvl w:val="1"/>
        <w:rPr>
          <w:rFonts w:hint="default" w:ascii="Times New Roman" w:hAnsi="Times New Roman" w:eastAsia="黑体" w:cs="Times New Roman"/>
          <w:b w:val="0"/>
          <w:bCs w:val="0"/>
          <w:color w:val="000000" w:themeColor="text1"/>
          <w:spacing w:val="0"/>
          <w:sz w:val="32"/>
          <w:szCs w:val="32"/>
          <w14:textFill>
            <w14:solidFill>
              <w14:schemeClr w14:val="tx1"/>
            </w14:solidFill>
          </w14:textFill>
        </w:rPr>
      </w:pPr>
      <w:bookmarkStart w:id="28" w:name="_Toc9069"/>
      <w:r>
        <w:rPr>
          <w:rFonts w:hint="default" w:ascii="Times New Roman" w:hAnsi="Times New Roman" w:eastAsia="黑体" w:cs="Times New Roman"/>
          <w:b w:val="0"/>
          <w:bCs w:val="0"/>
          <w:color w:val="000000" w:themeColor="text1"/>
          <w:spacing w:val="0"/>
          <w:sz w:val="32"/>
          <w:szCs w:val="32"/>
          <w14:textFill>
            <w14:solidFill>
              <w14:schemeClr w14:val="tx1"/>
            </w14:solidFill>
          </w14:textFill>
        </w:rPr>
        <w:t>四、自评结论及建议</w:t>
      </w:r>
      <w:bookmarkEnd w:id="28"/>
    </w:p>
    <w:p w14:paraId="0A043B74">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（一）自评结论。</w:t>
      </w:r>
    </w:p>
    <w:p w14:paraId="0A354FB3">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项目决策符合国家政策方针，管理符合相关制度，严格完成改造、维护和回收任务，项目的实施达到了预期的社会效益，受益群众满意度较好，我社自评分数为99分。</w:t>
      </w:r>
    </w:p>
    <w:p w14:paraId="57660154">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（二）存在的问题。</w:t>
      </w:r>
    </w:p>
    <w:p w14:paraId="5B1228CB">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无。</w:t>
      </w:r>
    </w:p>
    <w:p w14:paraId="78822C80">
      <w:pPr>
        <w:keepNext w:val="0"/>
        <w:keepLines w:val="0"/>
        <w:pageBreakBefore w:val="0"/>
        <w:widowControl w:val="0"/>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（三）相关措施或建议。</w:t>
      </w:r>
    </w:p>
    <w:p w14:paraId="17E61D2A">
      <w:pPr>
        <w:keepNext w:val="0"/>
        <w:keepLines w:val="0"/>
        <w:pageBreakBefore w:val="0"/>
        <w:widowControl w:val="0"/>
        <w:numPr>
          <w:ilvl w:val="0"/>
          <w:numId w:val="0"/>
        </w:numPr>
        <w:kinsoku/>
        <w:wordWrap/>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无。</w:t>
      </w:r>
    </w:p>
    <w:p w14:paraId="7DC47C86">
      <w:pPr>
        <w:pStyle w:val="6"/>
        <w:keepNext w:val="0"/>
        <w:keepLines w:val="0"/>
        <w:pageBreakBefore w:val="0"/>
        <w:widowControl w:val="0"/>
        <w:kinsoku/>
        <w:wordWrap/>
        <w:topLinePunct w:val="0"/>
        <w:bidi w:val="0"/>
        <w:adjustRightInd w:val="0"/>
        <w:snapToGrid w:val="0"/>
        <w:spacing w:beforeLines="0" w:afterLines="0" w:line="576" w:lineRule="exact"/>
        <w:ind w:firstLine="592" w:firstLineChars="200"/>
        <w:jc w:val="both"/>
        <w:textAlignment w:val="auto"/>
        <w:rPr>
          <w:rFonts w:hint="default" w:ascii="Times New Roman" w:hAnsi="Times New Roman" w:cs="Times New Roman"/>
          <w:b w:val="0"/>
          <w:bCs w:val="0"/>
          <w:color w:val="000000" w:themeColor="text1"/>
          <w:spacing w:val="0"/>
          <w:kern w:val="2"/>
          <w:sz w:val="32"/>
          <w:szCs w:val="32"/>
          <w14:textFill>
            <w14:solidFill>
              <w14:schemeClr w14:val="tx1"/>
            </w14:solidFill>
          </w14:textFill>
        </w:rPr>
      </w:pPr>
    </w:p>
    <w:p w14:paraId="335970C6">
      <w:pPr>
        <w:pStyle w:val="6"/>
        <w:keepNext w:val="0"/>
        <w:keepLines w:val="0"/>
        <w:pageBreakBefore w:val="0"/>
        <w:widowControl w:val="0"/>
        <w:kinsoku/>
        <w:wordWrap/>
        <w:topLinePunct w:val="0"/>
        <w:bidi w:val="0"/>
        <w:adjustRightInd w:val="0"/>
        <w:snapToGrid w:val="0"/>
        <w:spacing w:beforeLines="0" w:afterLines="0" w:line="576" w:lineRule="exact"/>
        <w:ind w:left="1517" w:leftChars="274" w:hanging="926" w:hangingChars="313"/>
        <w:jc w:val="both"/>
        <w:textAlignment w:val="auto"/>
        <w:rPr>
          <w:rFonts w:hint="default" w:ascii="Times New Roman" w:hAnsi="Times New Roman" w:cs="Times New Roman"/>
          <w:b w:val="0"/>
          <w:bCs w:val="0"/>
          <w:color w:val="000000" w:themeColor="text1"/>
          <w:spacing w:val="0"/>
          <w:sz w:val="32"/>
          <w:szCs w:val="32"/>
          <w14:textFill>
            <w14:solidFill>
              <w14:schemeClr w14:val="tx1"/>
            </w14:solidFill>
          </w14:textFill>
        </w:rPr>
      </w:pPr>
      <w:r>
        <w:rPr>
          <w:rFonts w:hint="default" w:ascii="Times New Roman" w:hAnsi="Times New Roman" w:cs="Times New Roman"/>
          <w:b w:val="0"/>
          <w:bCs w:val="0"/>
          <w:color w:val="000000" w:themeColor="text1"/>
          <w:spacing w:val="0"/>
          <w:kern w:val="2"/>
          <w:sz w:val="32"/>
          <w:szCs w:val="32"/>
          <w14:textFill>
            <w14:solidFill>
              <w14:schemeClr w14:val="tx1"/>
            </w14:solidFill>
          </w14:textFill>
        </w:rPr>
        <w:t>附表：东西部协作项目资金2023年“昭化造”农特产品线上线下市场体系建设项目绩效目标自评表（2023年度）</w:t>
      </w:r>
    </w:p>
    <w:p w14:paraId="71452EA7">
      <w:pPr>
        <w:rPr>
          <w:rFonts w:hint="default" w:ascii="Times New Roman" w:hAnsi="Times New Roman" w:cs="Times New Roman"/>
          <w:b w:val="0"/>
          <w:bCs w:val="0"/>
          <w:color w:val="000000" w:themeColor="text1"/>
          <w:spacing w:val="0"/>
          <w:kern w:val="2"/>
          <w:sz w:val="32"/>
          <w:szCs w:val="32"/>
          <w14:textFill>
            <w14:solidFill>
              <w14:schemeClr w14:val="tx1"/>
            </w14:solidFill>
          </w14:textFill>
        </w:rPr>
      </w:pPr>
      <w:r>
        <w:rPr>
          <w:rFonts w:hint="default" w:ascii="Times New Roman" w:hAnsi="Times New Roman" w:cs="Times New Roman"/>
          <w:b w:val="0"/>
          <w:bCs w:val="0"/>
          <w:color w:val="000000" w:themeColor="text1"/>
          <w:spacing w:val="0"/>
          <w:kern w:val="2"/>
          <w:sz w:val="32"/>
          <w:szCs w:val="32"/>
          <w14:textFill>
            <w14:solidFill>
              <w14:schemeClr w14:val="tx1"/>
            </w14:solidFill>
          </w14:textFill>
        </w:rPr>
        <w:br w:type="page"/>
      </w:r>
    </w:p>
    <w:p w14:paraId="2057C2B8">
      <w:pPr>
        <w:pStyle w:val="6"/>
        <w:keepNext w:val="0"/>
        <w:keepLines w:val="0"/>
        <w:pageBreakBefore w:val="0"/>
        <w:widowControl w:val="0"/>
        <w:kinsoku/>
        <w:wordWrap/>
        <w:topLinePunct w:val="0"/>
        <w:bidi w:val="0"/>
        <w:adjustRightInd w:val="0"/>
        <w:snapToGrid w:val="0"/>
        <w:spacing w:afterLines="0"/>
        <w:rPr>
          <w:rFonts w:hint="eastAsia" w:ascii="Times New Roman" w:hAnsi="Times New Roman" w:eastAsia="仿宋_GB2312" w:cs="Times New Roman"/>
          <w:b w:val="0"/>
          <w:bCs w:val="0"/>
          <w:color w:val="000000" w:themeColor="text1"/>
          <w:spacing w:val="0"/>
          <w:kern w:val="2"/>
          <w:sz w:val="32"/>
          <w:szCs w:val="32"/>
          <w:lang w:eastAsia="zh-CN"/>
          <w14:textFill>
            <w14:solidFill>
              <w14:schemeClr w14:val="tx1"/>
            </w14:solidFill>
          </w14:textFill>
        </w:rPr>
      </w:pPr>
      <w:r>
        <w:rPr>
          <w:rFonts w:hint="eastAsia" w:ascii="黑体" w:hAnsi="黑体" w:eastAsia="黑体" w:cs="黑体"/>
          <w:b w:val="0"/>
          <w:bCs w:val="0"/>
          <w:color w:val="000000" w:themeColor="text1"/>
          <w:spacing w:val="0"/>
          <w:kern w:val="2"/>
          <w:sz w:val="32"/>
          <w:szCs w:val="32"/>
          <w:lang w:eastAsia="zh-CN"/>
          <w14:textFill>
            <w14:solidFill>
              <w14:schemeClr w14:val="tx1"/>
            </w14:solidFill>
          </w14:textFill>
        </w:rPr>
        <w:t>附表</w:t>
      </w:r>
    </w:p>
    <w:p w14:paraId="1EA7D3B6">
      <w:pPr>
        <w:pStyle w:val="6"/>
        <w:keepNext w:val="0"/>
        <w:keepLines w:val="0"/>
        <w:pageBreakBefore w:val="0"/>
        <w:widowControl w:val="0"/>
        <w:kinsoku/>
        <w:wordWrap/>
        <w:topLinePunct w:val="0"/>
        <w:bidi w:val="0"/>
        <w:adjustRightInd w:val="0"/>
        <w:snapToGrid w:val="0"/>
        <w:spacing w:afterLines="0"/>
        <w:rPr>
          <w:rFonts w:hint="default" w:ascii="Times New Roman" w:hAnsi="Times New Roman" w:cs="Times New Roman"/>
          <w:color w:val="000000" w:themeColor="text1"/>
          <w:spacing w:val="0"/>
          <w:kern w:val="2"/>
          <w:sz w:val="32"/>
          <w:szCs w:val="32"/>
          <w14:textFill>
            <w14:solidFill>
              <w14:schemeClr w14:val="tx1"/>
            </w14:solidFill>
          </w14:textFill>
        </w:rPr>
      </w:pPr>
    </w:p>
    <w:p w14:paraId="7DE3DA6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eastAsia="方正小标宋简体" w:cs="Times New Roman"/>
          <w:color w:val="000000" w:themeColor="text1"/>
          <w:spacing w:val="0"/>
          <w:sz w:val="36"/>
          <w:szCs w:val="36"/>
          <w14:textFill>
            <w14:solidFill>
              <w14:schemeClr w14:val="tx1"/>
            </w14:solidFill>
          </w14:textFill>
        </w:rPr>
      </w:pPr>
      <w:r>
        <w:rPr>
          <w:rFonts w:hint="default" w:ascii="Times New Roman" w:hAnsi="Times New Roman" w:eastAsia="方正小标宋简体" w:cs="Times New Roman"/>
          <w:color w:val="000000" w:themeColor="text1"/>
          <w:spacing w:val="0"/>
          <w:sz w:val="36"/>
          <w:szCs w:val="36"/>
          <w:lang w:bidi="ar"/>
          <w14:textFill>
            <w14:solidFill>
              <w14:schemeClr w14:val="tx1"/>
            </w14:solidFill>
          </w14:textFill>
        </w:rPr>
        <w:t>广元市昭化区财政项目支出绩效自评表</w:t>
      </w:r>
    </w:p>
    <w:p w14:paraId="041CEDCE">
      <w:pPr>
        <w:keepNext w:val="0"/>
        <w:keepLines w:val="0"/>
        <w:pageBreakBefore w:val="0"/>
        <w:widowControl w:val="0"/>
        <w:kinsoku/>
        <w:wordWrap/>
        <w:topLinePunct w:val="0"/>
        <w:bidi w:val="0"/>
        <w:adjustRightInd w:val="0"/>
        <w:snapToGrid w:val="0"/>
        <w:spacing w:beforeLines="0" w:afterLines="0"/>
        <w:jc w:val="center"/>
        <w:textAlignment w:val="top"/>
        <w:rPr>
          <w:rFonts w:hint="default" w:ascii="Times New Roman" w:hAnsi="Times New Roman" w:cs="Times New Roman"/>
          <w:b/>
          <w:color w:val="000000" w:themeColor="text1"/>
          <w:spacing w:val="0"/>
          <w:sz w:val="24"/>
          <w:szCs w:val="24"/>
          <w14:textFill>
            <w14:solidFill>
              <w14:schemeClr w14:val="tx1"/>
            </w14:solidFill>
          </w14:textFill>
        </w:rPr>
      </w:pPr>
      <w:r>
        <w:rPr>
          <w:rFonts w:hint="default" w:ascii="Times New Roman" w:hAnsi="Times New Roman" w:cs="Times New Roman"/>
          <w:b/>
          <w:color w:val="000000" w:themeColor="text1"/>
          <w:spacing w:val="0"/>
          <w:sz w:val="24"/>
          <w:szCs w:val="24"/>
          <w:lang w:bidi="ar"/>
          <w14:textFill>
            <w14:solidFill>
              <w14:schemeClr w14:val="tx1"/>
            </w14:solidFill>
          </w14:textFill>
        </w:rPr>
        <w:t>（ 2023年度）</w:t>
      </w:r>
    </w:p>
    <w:tbl>
      <w:tblPr>
        <w:tblStyle w:val="11"/>
        <w:tblW w:w="92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719"/>
        <w:gridCol w:w="801"/>
        <w:gridCol w:w="1062"/>
        <w:gridCol w:w="1074"/>
        <w:gridCol w:w="1918"/>
        <w:gridCol w:w="1299"/>
        <w:gridCol w:w="1242"/>
        <w:gridCol w:w="1164"/>
      </w:tblGrid>
      <w:tr w14:paraId="1C34A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1520" w:type="dxa"/>
            <w:gridSpan w:val="2"/>
            <w:tcBorders>
              <w:tl2br w:val="nil"/>
              <w:tr2bl w:val="nil"/>
            </w:tcBorders>
            <w:noWrap w:val="0"/>
            <w:vAlign w:val="center"/>
          </w:tcPr>
          <w:p w14:paraId="1CDC9F3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项目（政策）名称</w:t>
            </w:r>
          </w:p>
        </w:tc>
        <w:tc>
          <w:tcPr>
            <w:tcW w:w="7759" w:type="dxa"/>
            <w:gridSpan w:val="6"/>
            <w:tcBorders>
              <w:tl2br w:val="nil"/>
              <w:tr2bl w:val="nil"/>
            </w:tcBorders>
            <w:noWrap w:val="0"/>
            <w:vAlign w:val="center"/>
          </w:tcPr>
          <w:p w14:paraId="005925D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东西部协作项目资金2023年“昭化造”农特产品线上线下市场体系建设项目</w:t>
            </w:r>
          </w:p>
        </w:tc>
      </w:tr>
      <w:tr w14:paraId="6803F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520" w:type="dxa"/>
            <w:gridSpan w:val="2"/>
            <w:tcBorders>
              <w:tl2br w:val="nil"/>
              <w:tr2bl w:val="nil"/>
            </w:tcBorders>
            <w:noWrap w:val="0"/>
            <w:vAlign w:val="center"/>
          </w:tcPr>
          <w:p w14:paraId="3E72E48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主管部门</w:t>
            </w:r>
          </w:p>
        </w:tc>
        <w:tc>
          <w:tcPr>
            <w:tcW w:w="4054" w:type="dxa"/>
            <w:gridSpan w:val="3"/>
            <w:tcBorders>
              <w:tl2br w:val="nil"/>
              <w:tr2bl w:val="nil"/>
            </w:tcBorders>
            <w:noWrap w:val="0"/>
            <w:vAlign w:val="center"/>
          </w:tcPr>
          <w:p w14:paraId="3A77B71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广元市昭化区供销合作社联合社部门</w:t>
            </w:r>
          </w:p>
        </w:tc>
        <w:tc>
          <w:tcPr>
            <w:tcW w:w="1299" w:type="dxa"/>
            <w:tcBorders>
              <w:tl2br w:val="nil"/>
              <w:tr2bl w:val="nil"/>
            </w:tcBorders>
            <w:noWrap w:val="0"/>
            <w:vAlign w:val="center"/>
          </w:tcPr>
          <w:p w14:paraId="3988297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实施单位</w:t>
            </w:r>
          </w:p>
        </w:tc>
        <w:tc>
          <w:tcPr>
            <w:tcW w:w="2406" w:type="dxa"/>
            <w:gridSpan w:val="2"/>
            <w:tcBorders>
              <w:tl2br w:val="nil"/>
              <w:tr2bl w:val="nil"/>
            </w:tcBorders>
            <w:noWrap w:val="0"/>
            <w:vAlign w:val="center"/>
          </w:tcPr>
          <w:p w14:paraId="1D8ACFA6">
            <w:pPr>
              <w:keepNext w:val="0"/>
              <w:keepLines w:val="0"/>
              <w:pageBreakBefore w:val="0"/>
              <w:widowControl w:val="0"/>
              <w:kinsoku/>
              <w:wordWrap/>
              <w:overflowPunct/>
              <w:topLinePunct w:val="0"/>
              <w:autoSpaceDE w:val="0"/>
              <w:autoSpaceDN w:val="0"/>
              <w:bidi w:val="0"/>
              <w:adjustRightInd w:val="0"/>
              <w:snapToGrid w:val="0"/>
              <w:spacing w:beforeLines="0" w:afterLines="0"/>
              <w:ind w:left="-108" w:leftChars="-50" w:right="-108" w:rightChars="-5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广元市昭化区供销合作社联合社</w:t>
            </w:r>
          </w:p>
        </w:tc>
      </w:tr>
      <w:tr w14:paraId="222F7B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520" w:type="dxa"/>
            <w:gridSpan w:val="2"/>
            <w:vMerge w:val="restart"/>
            <w:tcBorders>
              <w:tl2br w:val="nil"/>
              <w:tr2bl w:val="nil"/>
            </w:tcBorders>
            <w:noWrap w:val="0"/>
            <w:vAlign w:val="center"/>
          </w:tcPr>
          <w:p w14:paraId="1A22402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项目（政策）资金（万元）</w:t>
            </w:r>
          </w:p>
        </w:tc>
        <w:tc>
          <w:tcPr>
            <w:tcW w:w="2136" w:type="dxa"/>
            <w:gridSpan w:val="2"/>
            <w:tcBorders>
              <w:tl2br w:val="nil"/>
              <w:tr2bl w:val="nil"/>
            </w:tcBorders>
            <w:noWrap w:val="0"/>
            <w:vAlign w:val="center"/>
          </w:tcPr>
          <w:p w14:paraId="4923972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年度预算数（万元）</w:t>
            </w:r>
          </w:p>
        </w:tc>
        <w:tc>
          <w:tcPr>
            <w:tcW w:w="1918" w:type="dxa"/>
            <w:tcBorders>
              <w:tl2br w:val="nil"/>
              <w:tr2bl w:val="nil"/>
            </w:tcBorders>
            <w:noWrap w:val="0"/>
            <w:vAlign w:val="center"/>
          </w:tcPr>
          <w:p w14:paraId="445C9D4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年初预算数</w:t>
            </w:r>
          </w:p>
        </w:tc>
        <w:tc>
          <w:tcPr>
            <w:tcW w:w="1299" w:type="dxa"/>
            <w:tcBorders>
              <w:tl2br w:val="nil"/>
              <w:tr2bl w:val="nil"/>
            </w:tcBorders>
            <w:noWrap w:val="0"/>
            <w:vAlign w:val="center"/>
          </w:tcPr>
          <w:p w14:paraId="11441AD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全年预算数</w:t>
            </w:r>
          </w:p>
        </w:tc>
        <w:tc>
          <w:tcPr>
            <w:tcW w:w="1242" w:type="dxa"/>
            <w:tcBorders>
              <w:tl2br w:val="nil"/>
              <w:tr2bl w:val="nil"/>
            </w:tcBorders>
            <w:noWrap w:val="0"/>
            <w:vAlign w:val="center"/>
          </w:tcPr>
          <w:p w14:paraId="2FA926E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全年执行数</w:t>
            </w:r>
          </w:p>
        </w:tc>
        <w:tc>
          <w:tcPr>
            <w:tcW w:w="1164" w:type="dxa"/>
            <w:tcBorders>
              <w:tl2br w:val="nil"/>
              <w:tr2bl w:val="nil"/>
            </w:tcBorders>
            <w:noWrap w:val="0"/>
            <w:vAlign w:val="center"/>
          </w:tcPr>
          <w:p w14:paraId="7CB8A43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执行率</w:t>
            </w:r>
          </w:p>
        </w:tc>
      </w:tr>
      <w:tr w14:paraId="4BD7D8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520" w:type="dxa"/>
            <w:gridSpan w:val="2"/>
            <w:vMerge w:val="continue"/>
            <w:tcBorders>
              <w:tl2br w:val="nil"/>
              <w:tr2bl w:val="nil"/>
            </w:tcBorders>
            <w:noWrap w:val="0"/>
            <w:vAlign w:val="center"/>
          </w:tcPr>
          <w:p w14:paraId="6178A037">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2136" w:type="dxa"/>
            <w:gridSpan w:val="2"/>
            <w:tcBorders>
              <w:tl2br w:val="nil"/>
              <w:tr2bl w:val="nil"/>
            </w:tcBorders>
            <w:noWrap w:val="0"/>
            <w:vAlign w:val="center"/>
          </w:tcPr>
          <w:p w14:paraId="40023C0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年度资金总额</w:t>
            </w:r>
          </w:p>
        </w:tc>
        <w:tc>
          <w:tcPr>
            <w:tcW w:w="1918" w:type="dxa"/>
            <w:tcBorders>
              <w:tl2br w:val="nil"/>
              <w:tr2bl w:val="nil"/>
            </w:tcBorders>
            <w:noWrap w:val="0"/>
            <w:vAlign w:val="center"/>
          </w:tcPr>
          <w:p w14:paraId="3C5D28A4">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20</w:t>
            </w:r>
          </w:p>
        </w:tc>
        <w:tc>
          <w:tcPr>
            <w:tcW w:w="1299" w:type="dxa"/>
            <w:tcBorders>
              <w:tl2br w:val="nil"/>
              <w:tr2bl w:val="nil"/>
            </w:tcBorders>
            <w:noWrap w:val="0"/>
            <w:vAlign w:val="center"/>
          </w:tcPr>
          <w:p w14:paraId="36154A00">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20</w:t>
            </w:r>
          </w:p>
        </w:tc>
        <w:tc>
          <w:tcPr>
            <w:tcW w:w="1242" w:type="dxa"/>
            <w:tcBorders>
              <w:tl2br w:val="nil"/>
              <w:tr2bl w:val="nil"/>
            </w:tcBorders>
            <w:noWrap w:val="0"/>
            <w:vAlign w:val="center"/>
          </w:tcPr>
          <w:p w14:paraId="01F56D4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18.16</w:t>
            </w:r>
          </w:p>
        </w:tc>
        <w:tc>
          <w:tcPr>
            <w:tcW w:w="1164" w:type="dxa"/>
            <w:tcBorders>
              <w:tl2br w:val="nil"/>
              <w:tr2bl w:val="nil"/>
            </w:tcBorders>
            <w:noWrap w:val="0"/>
            <w:vAlign w:val="center"/>
          </w:tcPr>
          <w:p w14:paraId="077F610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90.80%</w:t>
            </w:r>
          </w:p>
        </w:tc>
      </w:tr>
      <w:tr w14:paraId="3527F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520" w:type="dxa"/>
            <w:gridSpan w:val="2"/>
            <w:vMerge w:val="continue"/>
            <w:tcBorders>
              <w:tl2br w:val="nil"/>
              <w:tr2bl w:val="nil"/>
            </w:tcBorders>
            <w:noWrap w:val="0"/>
            <w:vAlign w:val="center"/>
          </w:tcPr>
          <w:p w14:paraId="1C39F13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2136" w:type="dxa"/>
            <w:gridSpan w:val="2"/>
            <w:tcBorders>
              <w:tl2br w:val="nil"/>
              <w:tr2bl w:val="nil"/>
            </w:tcBorders>
            <w:noWrap w:val="0"/>
            <w:vAlign w:val="center"/>
          </w:tcPr>
          <w:p w14:paraId="3CC5AFB3">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（一）财政拨款小计</w:t>
            </w:r>
          </w:p>
        </w:tc>
        <w:tc>
          <w:tcPr>
            <w:tcW w:w="1918" w:type="dxa"/>
            <w:tcBorders>
              <w:tl2br w:val="nil"/>
              <w:tr2bl w:val="nil"/>
            </w:tcBorders>
            <w:noWrap w:val="0"/>
            <w:vAlign w:val="center"/>
          </w:tcPr>
          <w:p w14:paraId="3BFB5FAE">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20</w:t>
            </w:r>
          </w:p>
        </w:tc>
        <w:tc>
          <w:tcPr>
            <w:tcW w:w="1299" w:type="dxa"/>
            <w:tcBorders>
              <w:tl2br w:val="nil"/>
              <w:tr2bl w:val="nil"/>
            </w:tcBorders>
            <w:noWrap w:val="0"/>
            <w:vAlign w:val="center"/>
          </w:tcPr>
          <w:p w14:paraId="1F41F638">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20</w:t>
            </w:r>
          </w:p>
        </w:tc>
        <w:tc>
          <w:tcPr>
            <w:tcW w:w="1242" w:type="dxa"/>
            <w:tcBorders>
              <w:tl2br w:val="nil"/>
              <w:tr2bl w:val="nil"/>
            </w:tcBorders>
            <w:noWrap w:val="0"/>
            <w:vAlign w:val="center"/>
          </w:tcPr>
          <w:p w14:paraId="02DB438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18.16</w:t>
            </w:r>
          </w:p>
        </w:tc>
        <w:tc>
          <w:tcPr>
            <w:tcW w:w="1164" w:type="dxa"/>
            <w:tcBorders>
              <w:tl2br w:val="nil"/>
              <w:tr2bl w:val="nil"/>
            </w:tcBorders>
            <w:noWrap w:val="0"/>
            <w:vAlign w:val="center"/>
          </w:tcPr>
          <w:p w14:paraId="2D267A3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90.80%</w:t>
            </w:r>
          </w:p>
        </w:tc>
      </w:tr>
      <w:tr w14:paraId="3E468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2" w:hRule="atLeast"/>
          <w:jc w:val="center"/>
        </w:trPr>
        <w:tc>
          <w:tcPr>
            <w:tcW w:w="1520" w:type="dxa"/>
            <w:gridSpan w:val="2"/>
            <w:vMerge w:val="continue"/>
            <w:tcBorders>
              <w:tl2br w:val="nil"/>
              <w:tr2bl w:val="nil"/>
            </w:tcBorders>
            <w:noWrap w:val="0"/>
            <w:vAlign w:val="center"/>
          </w:tcPr>
          <w:p w14:paraId="5A416AF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2136" w:type="dxa"/>
            <w:gridSpan w:val="2"/>
            <w:tcBorders>
              <w:tl2br w:val="nil"/>
              <w:tr2bl w:val="nil"/>
            </w:tcBorders>
            <w:noWrap w:val="0"/>
            <w:vAlign w:val="center"/>
          </w:tcPr>
          <w:p w14:paraId="7E15D9A5">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 xml:space="preserve">   1.一般公共预算</w:t>
            </w:r>
          </w:p>
        </w:tc>
        <w:tc>
          <w:tcPr>
            <w:tcW w:w="1918" w:type="dxa"/>
            <w:tcBorders>
              <w:tl2br w:val="nil"/>
              <w:tr2bl w:val="nil"/>
            </w:tcBorders>
            <w:noWrap w:val="0"/>
            <w:vAlign w:val="center"/>
          </w:tcPr>
          <w:p w14:paraId="252E2DBE">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20</w:t>
            </w:r>
          </w:p>
        </w:tc>
        <w:tc>
          <w:tcPr>
            <w:tcW w:w="1299" w:type="dxa"/>
            <w:tcBorders>
              <w:tl2br w:val="nil"/>
              <w:tr2bl w:val="nil"/>
            </w:tcBorders>
            <w:noWrap w:val="0"/>
            <w:vAlign w:val="center"/>
          </w:tcPr>
          <w:p w14:paraId="3E544C08">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20</w:t>
            </w:r>
          </w:p>
        </w:tc>
        <w:tc>
          <w:tcPr>
            <w:tcW w:w="1242" w:type="dxa"/>
            <w:tcBorders>
              <w:tl2br w:val="nil"/>
              <w:tr2bl w:val="nil"/>
            </w:tcBorders>
            <w:noWrap w:val="0"/>
            <w:vAlign w:val="center"/>
          </w:tcPr>
          <w:p w14:paraId="55BC4CC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18.16</w:t>
            </w:r>
          </w:p>
        </w:tc>
        <w:tc>
          <w:tcPr>
            <w:tcW w:w="1164" w:type="dxa"/>
            <w:tcBorders>
              <w:tl2br w:val="nil"/>
              <w:tr2bl w:val="nil"/>
            </w:tcBorders>
            <w:noWrap w:val="0"/>
            <w:vAlign w:val="center"/>
          </w:tcPr>
          <w:p w14:paraId="6309439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90.80%</w:t>
            </w:r>
          </w:p>
        </w:tc>
      </w:tr>
      <w:tr w14:paraId="28501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719" w:type="dxa"/>
            <w:vMerge w:val="restart"/>
            <w:tcBorders>
              <w:tl2br w:val="nil"/>
              <w:tr2bl w:val="nil"/>
            </w:tcBorders>
            <w:noWrap w:val="0"/>
            <w:vAlign w:val="center"/>
          </w:tcPr>
          <w:p w14:paraId="05F081A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年度总体目标</w:t>
            </w:r>
          </w:p>
        </w:tc>
        <w:tc>
          <w:tcPr>
            <w:tcW w:w="4855" w:type="dxa"/>
            <w:gridSpan w:val="4"/>
            <w:tcBorders>
              <w:tl2br w:val="nil"/>
              <w:tr2bl w:val="nil"/>
            </w:tcBorders>
            <w:noWrap w:val="0"/>
            <w:vAlign w:val="center"/>
          </w:tcPr>
          <w:p w14:paraId="7DA47B5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预期目标</w:t>
            </w:r>
          </w:p>
        </w:tc>
        <w:tc>
          <w:tcPr>
            <w:tcW w:w="3705" w:type="dxa"/>
            <w:gridSpan w:val="3"/>
            <w:tcBorders>
              <w:tl2br w:val="nil"/>
              <w:tr2bl w:val="nil"/>
            </w:tcBorders>
            <w:noWrap w:val="0"/>
            <w:vAlign w:val="center"/>
          </w:tcPr>
          <w:p w14:paraId="7777816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全年实际完成情况</w:t>
            </w:r>
          </w:p>
        </w:tc>
      </w:tr>
      <w:tr w14:paraId="7F414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5" w:hRule="atLeast"/>
          <w:jc w:val="center"/>
        </w:trPr>
        <w:tc>
          <w:tcPr>
            <w:tcW w:w="719" w:type="dxa"/>
            <w:vMerge w:val="continue"/>
            <w:tcBorders>
              <w:tl2br w:val="nil"/>
              <w:tr2bl w:val="nil"/>
            </w:tcBorders>
            <w:noWrap w:val="0"/>
            <w:vAlign w:val="center"/>
          </w:tcPr>
          <w:p w14:paraId="3C84A4F5">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855" w:type="dxa"/>
            <w:gridSpan w:val="4"/>
            <w:tcBorders>
              <w:tl2br w:val="nil"/>
              <w:tr2bl w:val="nil"/>
            </w:tcBorders>
            <w:noWrap w:val="0"/>
            <w:vAlign w:val="center"/>
          </w:tcPr>
          <w:p w14:paraId="389843E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加强以天雄村为试点的村级供销体系建设，加大对“昭化造”农特产品的宣传和销售，助推相关产业提档升级，服务辐射周边不低于3000人。</w:t>
            </w:r>
          </w:p>
        </w:tc>
        <w:tc>
          <w:tcPr>
            <w:tcW w:w="3705" w:type="dxa"/>
            <w:gridSpan w:val="3"/>
            <w:tcBorders>
              <w:tl2br w:val="nil"/>
              <w:tr2bl w:val="nil"/>
            </w:tcBorders>
            <w:noWrap w:val="0"/>
            <w:vAlign w:val="center"/>
          </w:tcPr>
          <w:p w14:paraId="21EE89D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以天雄村为试点的村级供销体系建设，加大对“昭化造”农特产品的宣传和销售，助推相关产业提档升级，服务辐射周边不低于3000人。</w:t>
            </w:r>
          </w:p>
        </w:tc>
      </w:tr>
      <w:tr w14:paraId="6D9A1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719" w:type="dxa"/>
            <w:vMerge w:val="restart"/>
            <w:tcBorders>
              <w:tl2br w:val="nil"/>
              <w:tr2bl w:val="nil"/>
            </w:tcBorders>
            <w:noWrap w:val="0"/>
            <w:vAlign w:val="center"/>
          </w:tcPr>
          <w:p w14:paraId="4C8EF6B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绩效</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指标</w:t>
            </w:r>
          </w:p>
        </w:tc>
        <w:tc>
          <w:tcPr>
            <w:tcW w:w="801" w:type="dxa"/>
            <w:tcBorders>
              <w:tl2br w:val="nil"/>
              <w:tr2bl w:val="nil"/>
            </w:tcBorders>
            <w:noWrap w:val="0"/>
            <w:vAlign w:val="center"/>
          </w:tcPr>
          <w:p w14:paraId="20AD5ED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一级指标</w:t>
            </w:r>
          </w:p>
        </w:tc>
        <w:tc>
          <w:tcPr>
            <w:tcW w:w="1062" w:type="dxa"/>
            <w:tcBorders>
              <w:tl2br w:val="nil"/>
              <w:tr2bl w:val="nil"/>
            </w:tcBorders>
            <w:noWrap w:val="0"/>
            <w:vAlign w:val="center"/>
          </w:tcPr>
          <w:p w14:paraId="7DF0DDD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二级指标</w:t>
            </w:r>
          </w:p>
        </w:tc>
        <w:tc>
          <w:tcPr>
            <w:tcW w:w="2992" w:type="dxa"/>
            <w:gridSpan w:val="2"/>
            <w:tcBorders>
              <w:tl2br w:val="nil"/>
              <w:tr2bl w:val="nil"/>
            </w:tcBorders>
            <w:noWrap w:val="0"/>
            <w:vAlign w:val="center"/>
          </w:tcPr>
          <w:p w14:paraId="3573013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三级指标</w:t>
            </w:r>
          </w:p>
        </w:tc>
        <w:tc>
          <w:tcPr>
            <w:tcW w:w="1299" w:type="dxa"/>
            <w:tcBorders>
              <w:tl2br w:val="nil"/>
              <w:tr2bl w:val="nil"/>
            </w:tcBorders>
            <w:noWrap w:val="0"/>
            <w:vAlign w:val="center"/>
          </w:tcPr>
          <w:p w14:paraId="41B8C5C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年度指标值</w:t>
            </w:r>
          </w:p>
        </w:tc>
        <w:tc>
          <w:tcPr>
            <w:tcW w:w="1242" w:type="dxa"/>
            <w:tcBorders>
              <w:tl2br w:val="nil"/>
              <w:tr2bl w:val="nil"/>
            </w:tcBorders>
            <w:noWrap w:val="0"/>
            <w:vAlign w:val="center"/>
          </w:tcPr>
          <w:p w14:paraId="4A762B9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实际完成值</w:t>
            </w:r>
          </w:p>
        </w:tc>
        <w:tc>
          <w:tcPr>
            <w:tcW w:w="1164" w:type="dxa"/>
            <w:tcBorders>
              <w:tl2br w:val="nil"/>
              <w:tr2bl w:val="nil"/>
            </w:tcBorders>
            <w:noWrap w:val="0"/>
            <w:vAlign w:val="center"/>
          </w:tcPr>
          <w:p w14:paraId="3C722FA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偏差原因分析及改进措施</w:t>
            </w:r>
          </w:p>
        </w:tc>
      </w:tr>
      <w:tr w14:paraId="0DE9E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719" w:type="dxa"/>
            <w:vMerge w:val="continue"/>
            <w:tcBorders>
              <w:tl2br w:val="nil"/>
              <w:tr2bl w:val="nil"/>
            </w:tcBorders>
            <w:noWrap w:val="0"/>
            <w:vAlign w:val="center"/>
          </w:tcPr>
          <w:p w14:paraId="6B873EC5">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01" w:type="dxa"/>
            <w:vMerge w:val="restart"/>
            <w:tcBorders>
              <w:tl2br w:val="nil"/>
              <w:tr2bl w:val="nil"/>
            </w:tcBorders>
            <w:noWrap w:val="0"/>
            <w:vAlign w:val="center"/>
          </w:tcPr>
          <w:p w14:paraId="4357E67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产出指标</w:t>
            </w:r>
          </w:p>
        </w:tc>
        <w:tc>
          <w:tcPr>
            <w:tcW w:w="1062" w:type="dxa"/>
            <w:vMerge w:val="restart"/>
            <w:tcBorders>
              <w:tl2br w:val="nil"/>
              <w:tr2bl w:val="nil"/>
            </w:tcBorders>
            <w:noWrap w:val="0"/>
            <w:vAlign w:val="center"/>
          </w:tcPr>
          <w:p w14:paraId="4FA59D6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数量指标</w:t>
            </w:r>
          </w:p>
        </w:tc>
        <w:tc>
          <w:tcPr>
            <w:tcW w:w="1074" w:type="dxa"/>
            <w:tcBorders>
              <w:tl2br w:val="nil"/>
              <w:tr2bl w:val="nil"/>
            </w:tcBorders>
            <w:noWrap w:val="0"/>
            <w:vAlign w:val="center"/>
          </w:tcPr>
          <w:p w14:paraId="192F5B3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918" w:type="dxa"/>
            <w:tcBorders>
              <w:tl2br w:val="nil"/>
              <w:tr2bl w:val="nil"/>
            </w:tcBorders>
            <w:noWrap w:val="0"/>
            <w:vAlign w:val="center"/>
          </w:tcPr>
          <w:p w14:paraId="479BDBC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建设、装修建设社区综合服务社面积</w:t>
            </w:r>
          </w:p>
        </w:tc>
        <w:tc>
          <w:tcPr>
            <w:tcW w:w="1299" w:type="dxa"/>
            <w:tcBorders>
              <w:tl2br w:val="nil"/>
              <w:tr2bl w:val="nil"/>
            </w:tcBorders>
            <w:noWrap w:val="0"/>
            <w:vAlign w:val="center"/>
          </w:tcPr>
          <w:p w14:paraId="2F6BE114">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260平方米</w:t>
            </w:r>
          </w:p>
        </w:tc>
        <w:tc>
          <w:tcPr>
            <w:tcW w:w="1242" w:type="dxa"/>
            <w:tcBorders>
              <w:tl2br w:val="nil"/>
              <w:tr2bl w:val="nil"/>
            </w:tcBorders>
            <w:noWrap w:val="0"/>
            <w:vAlign w:val="center"/>
          </w:tcPr>
          <w:p w14:paraId="066AC847">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260平方米</w:t>
            </w:r>
          </w:p>
        </w:tc>
        <w:tc>
          <w:tcPr>
            <w:tcW w:w="1164" w:type="dxa"/>
            <w:tcBorders>
              <w:tl2br w:val="nil"/>
              <w:tr2bl w:val="nil"/>
            </w:tcBorders>
            <w:noWrap w:val="0"/>
            <w:vAlign w:val="center"/>
          </w:tcPr>
          <w:p w14:paraId="65FAA95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5CC21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5" w:hRule="atLeast"/>
          <w:jc w:val="center"/>
        </w:trPr>
        <w:tc>
          <w:tcPr>
            <w:tcW w:w="719" w:type="dxa"/>
            <w:vMerge w:val="continue"/>
            <w:tcBorders>
              <w:tl2br w:val="nil"/>
              <w:tr2bl w:val="nil"/>
            </w:tcBorders>
            <w:noWrap w:val="0"/>
            <w:vAlign w:val="center"/>
          </w:tcPr>
          <w:p w14:paraId="5215519D">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01" w:type="dxa"/>
            <w:vMerge w:val="continue"/>
            <w:tcBorders>
              <w:tl2br w:val="nil"/>
              <w:tr2bl w:val="nil"/>
            </w:tcBorders>
            <w:noWrap w:val="0"/>
            <w:vAlign w:val="center"/>
          </w:tcPr>
          <w:p w14:paraId="18FA213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62" w:type="dxa"/>
            <w:vMerge w:val="continue"/>
            <w:tcBorders>
              <w:tl2br w:val="nil"/>
              <w:tr2bl w:val="nil"/>
            </w:tcBorders>
            <w:noWrap w:val="0"/>
            <w:vAlign w:val="center"/>
          </w:tcPr>
          <w:p w14:paraId="75FC9FE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74" w:type="dxa"/>
            <w:tcBorders>
              <w:tl2br w:val="nil"/>
              <w:tr2bl w:val="nil"/>
            </w:tcBorders>
            <w:noWrap w:val="0"/>
            <w:vAlign w:val="center"/>
          </w:tcPr>
          <w:p w14:paraId="173AD6E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指标2：</w:t>
            </w:r>
          </w:p>
        </w:tc>
        <w:tc>
          <w:tcPr>
            <w:tcW w:w="1918" w:type="dxa"/>
            <w:tcBorders>
              <w:tl2br w:val="nil"/>
              <w:tr2bl w:val="nil"/>
            </w:tcBorders>
            <w:noWrap w:val="0"/>
            <w:vAlign w:val="center"/>
          </w:tcPr>
          <w:p w14:paraId="188E61B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购买镜子、桌子、凳子、货架等物品</w:t>
            </w:r>
          </w:p>
        </w:tc>
        <w:tc>
          <w:tcPr>
            <w:tcW w:w="1299" w:type="dxa"/>
            <w:tcBorders>
              <w:tl2br w:val="nil"/>
              <w:tr2bl w:val="nil"/>
            </w:tcBorders>
            <w:noWrap w:val="0"/>
            <w:vAlign w:val="center"/>
          </w:tcPr>
          <w:p w14:paraId="305DF1B0">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10件</w:t>
            </w:r>
          </w:p>
        </w:tc>
        <w:tc>
          <w:tcPr>
            <w:tcW w:w="1242" w:type="dxa"/>
            <w:tcBorders>
              <w:tl2br w:val="nil"/>
              <w:tr2bl w:val="nil"/>
            </w:tcBorders>
            <w:noWrap w:val="0"/>
            <w:vAlign w:val="center"/>
          </w:tcPr>
          <w:p w14:paraId="4B3A5033">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10件</w:t>
            </w:r>
          </w:p>
        </w:tc>
        <w:tc>
          <w:tcPr>
            <w:tcW w:w="1164" w:type="dxa"/>
            <w:tcBorders>
              <w:tl2br w:val="nil"/>
              <w:tr2bl w:val="nil"/>
            </w:tcBorders>
            <w:noWrap w:val="0"/>
            <w:vAlign w:val="center"/>
          </w:tcPr>
          <w:p w14:paraId="410A7579">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7AF55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7" w:hRule="atLeast"/>
          <w:jc w:val="center"/>
        </w:trPr>
        <w:tc>
          <w:tcPr>
            <w:tcW w:w="719" w:type="dxa"/>
            <w:vMerge w:val="continue"/>
            <w:tcBorders>
              <w:tl2br w:val="nil"/>
              <w:tr2bl w:val="nil"/>
            </w:tcBorders>
            <w:noWrap w:val="0"/>
            <w:vAlign w:val="center"/>
          </w:tcPr>
          <w:p w14:paraId="07CBE92C">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01" w:type="dxa"/>
            <w:vMerge w:val="continue"/>
            <w:tcBorders>
              <w:tl2br w:val="nil"/>
              <w:tr2bl w:val="nil"/>
            </w:tcBorders>
            <w:noWrap w:val="0"/>
            <w:vAlign w:val="center"/>
          </w:tcPr>
          <w:p w14:paraId="7FC3847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62" w:type="dxa"/>
            <w:vMerge w:val="continue"/>
            <w:tcBorders>
              <w:tl2br w:val="nil"/>
              <w:tr2bl w:val="nil"/>
            </w:tcBorders>
            <w:noWrap w:val="0"/>
            <w:vAlign w:val="center"/>
          </w:tcPr>
          <w:p w14:paraId="17CB5A18">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74" w:type="dxa"/>
            <w:tcBorders>
              <w:tl2br w:val="nil"/>
              <w:tr2bl w:val="nil"/>
            </w:tcBorders>
            <w:noWrap w:val="0"/>
            <w:vAlign w:val="center"/>
          </w:tcPr>
          <w:p w14:paraId="1859A79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指标3：</w:t>
            </w:r>
          </w:p>
        </w:tc>
        <w:tc>
          <w:tcPr>
            <w:tcW w:w="1918" w:type="dxa"/>
            <w:tcBorders>
              <w:tl2br w:val="nil"/>
              <w:tr2bl w:val="nil"/>
            </w:tcBorders>
            <w:noWrap w:val="0"/>
            <w:vAlign w:val="center"/>
          </w:tcPr>
          <w:p w14:paraId="1CE8A0E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制作社区综合服务社广告牌、吊牌、制度牌面积</w:t>
            </w:r>
          </w:p>
        </w:tc>
        <w:tc>
          <w:tcPr>
            <w:tcW w:w="1299" w:type="dxa"/>
            <w:tcBorders>
              <w:tl2br w:val="nil"/>
              <w:tr2bl w:val="nil"/>
            </w:tcBorders>
            <w:noWrap w:val="0"/>
            <w:vAlign w:val="center"/>
          </w:tcPr>
          <w:p w14:paraId="12848C34">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50平方米</w:t>
            </w:r>
          </w:p>
        </w:tc>
        <w:tc>
          <w:tcPr>
            <w:tcW w:w="1242" w:type="dxa"/>
            <w:tcBorders>
              <w:tl2br w:val="nil"/>
              <w:tr2bl w:val="nil"/>
            </w:tcBorders>
            <w:noWrap w:val="0"/>
            <w:vAlign w:val="center"/>
          </w:tcPr>
          <w:p w14:paraId="694233B9">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50平方米</w:t>
            </w:r>
          </w:p>
        </w:tc>
        <w:tc>
          <w:tcPr>
            <w:tcW w:w="1164" w:type="dxa"/>
            <w:tcBorders>
              <w:tl2br w:val="nil"/>
              <w:tr2bl w:val="nil"/>
            </w:tcBorders>
            <w:noWrap w:val="0"/>
            <w:vAlign w:val="center"/>
          </w:tcPr>
          <w:p w14:paraId="2379D9BA">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1B08F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719" w:type="dxa"/>
            <w:vMerge w:val="continue"/>
            <w:tcBorders>
              <w:tl2br w:val="nil"/>
              <w:tr2bl w:val="nil"/>
            </w:tcBorders>
            <w:noWrap w:val="0"/>
            <w:vAlign w:val="center"/>
          </w:tcPr>
          <w:p w14:paraId="7875035F">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01" w:type="dxa"/>
            <w:vMerge w:val="continue"/>
            <w:tcBorders>
              <w:tl2br w:val="nil"/>
              <w:tr2bl w:val="nil"/>
            </w:tcBorders>
            <w:noWrap w:val="0"/>
            <w:vAlign w:val="center"/>
          </w:tcPr>
          <w:p w14:paraId="436A2C9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62" w:type="dxa"/>
            <w:tcBorders>
              <w:tl2br w:val="nil"/>
              <w:tr2bl w:val="nil"/>
            </w:tcBorders>
            <w:noWrap w:val="0"/>
            <w:vAlign w:val="center"/>
          </w:tcPr>
          <w:p w14:paraId="24BEA7A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质量指标</w:t>
            </w:r>
          </w:p>
        </w:tc>
        <w:tc>
          <w:tcPr>
            <w:tcW w:w="1074" w:type="dxa"/>
            <w:tcBorders>
              <w:tl2br w:val="nil"/>
              <w:tr2bl w:val="nil"/>
            </w:tcBorders>
            <w:noWrap w:val="0"/>
            <w:vAlign w:val="center"/>
          </w:tcPr>
          <w:p w14:paraId="51DB452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918" w:type="dxa"/>
            <w:tcBorders>
              <w:tl2br w:val="nil"/>
              <w:tr2bl w:val="nil"/>
            </w:tcBorders>
            <w:noWrap w:val="0"/>
            <w:vAlign w:val="center"/>
          </w:tcPr>
          <w:p w14:paraId="5271B9A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采购、建设工程验收合格率：验收合格/验收总量x100%</w:t>
            </w:r>
          </w:p>
        </w:tc>
        <w:tc>
          <w:tcPr>
            <w:tcW w:w="1299" w:type="dxa"/>
            <w:tcBorders>
              <w:tl2br w:val="nil"/>
              <w:tr2bl w:val="nil"/>
            </w:tcBorders>
            <w:noWrap w:val="0"/>
            <w:vAlign w:val="center"/>
          </w:tcPr>
          <w:p w14:paraId="439BB3B1">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100%</w:t>
            </w:r>
          </w:p>
        </w:tc>
        <w:tc>
          <w:tcPr>
            <w:tcW w:w="1242" w:type="dxa"/>
            <w:tcBorders>
              <w:tl2br w:val="nil"/>
              <w:tr2bl w:val="nil"/>
            </w:tcBorders>
            <w:noWrap w:val="0"/>
            <w:vAlign w:val="center"/>
          </w:tcPr>
          <w:p w14:paraId="2CAA09DD">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100%</w:t>
            </w:r>
          </w:p>
        </w:tc>
        <w:tc>
          <w:tcPr>
            <w:tcW w:w="1164" w:type="dxa"/>
            <w:tcBorders>
              <w:tl2br w:val="nil"/>
              <w:tr2bl w:val="nil"/>
            </w:tcBorders>
            <w:noWrap w:val="0"/>
            <w:vAlign w:val="center"/>
          </w:tcPr>
          <w:p w14:paraId="312B20A3">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36AC8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719" w:type="dxa"/>
            <w:vMerge w:val="continue"/>
            <w:tcBorders>
              <w:tl2br w:val="nil"/>
              <w:tr2bl w:val="nil"/>
            </w:tcBorders>
            <w:noWrap w:val="0"/>
            <w:vAlign w:val="center"/>
          </w:tcPr>
          <w:p w14:paraId="299BF0F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01" w:type="dxa"/>
            <w:vMerge w:val="continue"/>
            <w:tcBorders>
              <w:tl2br w:val="nil"/>
              <w:tr2bl w:val="nil"/>
            </w:tcBorders>
            <w:noWrap w:val="0"/>
            <w:vAlign w:val="center"/>
          </w:tcPr>
          <w:p w14:paraId="3812E65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62" w:type="dxa"/>
            <w:tcBorders>
              <w:tl2br w:val="nil"/>
              <w:tr2bl w:val="nil"/>
            </w:tcBorders>
            <w:noWrap w:val="0"/>
            <w:vAlign w:val="center"/>
          </w:tcPr>
          <w:p w14:paraId="5E8943A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时效指标</w:t>
            </w:r>
          </w:p>
        </w:tc>
        <w:tc>
          <w:tcPr>
            <w:tcW w:w="1074" w:type="dxa"/>
            <w:tcBorders>
              <w:tl2br w:val="nil"/>
              <w:tr2bl w:val="nil"/>
            </w:tcBorders>
            <w:noWrap w:val="0"/>
            <w:vAlign w:val="center"/>
          </w:tcPr>
          <w:p w14:paraId="059A497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918" w:type="dxa"/>
            <w:tcBorders>
              <w:tl2br w:val="nil"/>
              <w:tr2bl w:val="nil"/>
            </w:tcBorders>
            <w:noWrap w:val="0"/>
            <w:vAlign w:val="center"/>
          </w:tcPr>
          <w:p w14:paraId="4EAD9A3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采购及建设工期</w:t>
            </w:r>
          </w:p>
        </w:tc>
        <w:tc>
          <w:tcPr>
            <w:tcW w:w="1299" w:type="dxa"/>
            <w:tcBorders>
              <w:tl2br w:val="nil"/>
              <w:tr2bl w:val="nil"/>
            </w:tcBorders>
            <w:noWrap w:val="0"/>
            <w:vAlign w:val="center"/>
          </w:tcPr>
          <w:p w14:paraId="3270982E">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100天</w:t>
            </w:r>
          </w:p>
        </w:tc>
        <w:tc>
          <w:tcPr>
            <w:tcW w:w="1242" w:type="dxa"/>
            <w:tcBorders>
              <w:tl2br w:val="nil"/>
              <w:tr2bl w:val="nil"/>
            </w:tcBorders>
            <w:noWrap w:val="0"/>
            <w:vAlign w:val="center"/>
          </w:tcPr>
          <w:p w14:paraId="383F69C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100天</w:t>
            </w:r>
          </w:p>
        </w:tc>
        <w:tc>
          <w:tcPr>
            <w:tcW w:w="1164" w:type="dxa"/>
            <w:tcBorders>
              <w:tl2br w:val="nil"/>
              <w:tr2bl w:val="nil"/>
            </w:tcBorders>
            <w:noWrap w:val="0"/>
            <w:vAlign w:val="center"/>
          </w:tcPr>
          <w:p w14:paraId="3A7350C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19B19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6" w:hRule="atLeast"/>
          <w:jc w:val="center"/>
        </w:trPr>
        <w:tc>
          <w:tcPr>
            <w:tcW w:w="719" w:type="dxa"/>
            <w:vMerge w:val="continue"/>
            <w:tcBorders>
              <w:tl2br w:val="nil"/>
              <w:tr2bl w:val="nil"/>
            </w:tcBorders>
            <w:noWrap w:val="0"/>
            <w:vAlign w:val="center"/>
          </w:tcPr>
          <w:p w14:paraId="1985630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01" w:type="dxa"/>
            <w:vMerge w:val="continue"/>
            <w:tcBorders>
              <w:tl2br w:val="nil"/>
              <w:tr2bl w:val="nil"/>
            </w:tcBorders>
            <w:noWrap w:val="0"/>
            <w:vAlign w:val="center"/>
          </w:tcPr>
          <w:p w14:paraId="30DBDEB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62" w:type="dxa"/>
            <w:tcBorders>
              <w:tl2br w:val="nil"/>
              <w:tr2bl w:val="nil"/>
            </w:tcBorders>
            <w:noWrap w:val="0"/>
            <w:vAlign w:val="center"/>
          </w:tcPr>
          <w:p w14:paraId="7DE96E3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成本指标</w:t>
            </w:r>
          </w:p>
        </w:tc>
        <w:tc>
          <w:tcPr>
            <w:tcW w:w="1074" w:type="dxa"/>
            <w:tcBorders>
              <w:tl2br w:val="nil"/>
              <w:tr2bl w:val="nil"/>
            </w:tcBorders>
            <w:noWrap w:val="0"/>
            <w:vAlign w:val="center"/>
          </w:tcPr>
          <w:p w14:paraId="5500BC7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918" w:type="dxa"/>
            <w:tcBorders>
              <w:tl2br w:val="nil"/>
              <w:tr2bl w:val="nil"/>
            </w:tcBorders>
            <w:noWrap w:val="0"/>
            <w:vAlign w:val="center"/>
          </w:tcPr>
          <w:p w14:paraId="40D8457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综合服务社建设费</w:t>
            </w:r>
          </w:p>
        </w:tc>
        <w:tc>
          <w:tcPr>
            <w:tcW w:w="1299" w:type="dxa"/>
            <w:tcBorders>
              <w:tl2br w:val="nil"/>
              <w:tr2bl w:val="nil"/>
            </w:tcBorders>
            <w:noWrap w:val="0"/>
            <w:vAlign w:val="center"/>
          </w:tcPr>
          <w:p w14:paraId="38966FEA">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20万元</w:t>
            </w:r>
          </w:p>
        </w:tc>
        <w:tc>
          <w:tcPr>
            <w:tcW w:w="1242" w:type="dxa"/>
            <w:tcBorders>
              <w:tl2br w:val="nil"/>
              <w:tr2bl w:val="nil"/>
            </w:tcBorders>
            <w:noWrap w:val="0"/>
            <w:vAlign w:val="center"/>
          </w:tcPr>
          <w:p w14:paraId="2C71A31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20万元</w:t>
            </w:r>
          </w:p>
        </w:tc>
        <w:tc>
          <w:tcPr>
            <w:tcW w:w="1164" w:type="dxa"/>
            <w:tcBorders>
              <w:tl2br w:val="nil"/>
              <w:tr2bl w:val="nil"/>
            </w:tcBorders>
            <w:noWrap w:val="0"/>
            <w:vAlign w:val="center"/>
          </w:tcPr>
          <w:p w14:paraId="28161139">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7D7E26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91" w:hRule="atLeast"/>
          <w:jc w:val="center"/>
        </w:trPr>
        <w:tc>
          <w:tcPr>
            <w:tcW w:w="719" w:type="dxa"/>
            <w:vMerge w:val="continue"/>
            <w:tcBorders>
              <w:tl2br w:val="nil"/>
              <w:tr2bl w:val="nil"/>
            </w:tcBorders>
            <w:noWrap w:val="0"/>
            <w:vAlign w:val="center"/>
          </w:tcPr>
          <w:p w14:paraId="2C222E9C">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01" w:type="dxa"/>
            <w:tcBorders>
              <w:tl2br w:val="nil"/>
              <w:tr2bl w:val="nil"/>
            </w:tcBorders>
            <w:noWrap w:val="0"/>
            <w:vAlign w:val="center"/>
          </w:tcPr>
          <w:p w14:paraId="448D057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效益指标</w:t>
            </w:r>
          </w:p>
        </w:tc>
        <w:tc>
          <w:tcPr>
            <w:tcW w:w="1062" w:type="dxa"/>
            <w:tcBorders>
              <w:tl2br w:val="nil"/>
              <w:tr2bl w:val="nil"/>
            </w:tcBorders>
            <w:noWrap w:val="0"/>
            <w:vAlign w:val="center"/>
          </w:tcPr>
          <w:p w14:paraId="297D454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社会效益</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指标</w:t>
            </w:r>
          </w:p>
        </w:tc>
        <w:tc>
          <w:tcPr>
            <w:tcW w:w="1074" w:type="dxa"/>
            <w:tcBorders>
              <w:tl2br w:val="nil"/>
              <w:tr2bl w:val="nil"/>
            </w:tcBorders>
            <w:noWrap w:val="0"/>
            <w:vAlign w:val="center"/>
          </w:tcPr>
          <w:p w14:paraId="538447C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918" w:type="dxa"/>
            <w:tcBorders>
              <w:tl2br w:val="nil"/>
              <w:tr2bl w:val="nil"/>
            </w:tcBorders>
            <w:noWrap w:val="0"/>
            <w:vAlign w:val="center"/>
          </w:tcPr>
          <w:p w14:paraId="1334C7F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加大对“昭化造”农特产品的宣传和销售，助推相关产业提档升级，促进“昭化造”产品销售</w:t>
            </w:r>
          </w:p>
        </w:tc>
        <w:tc>
          <w:tcPr>
            <w:tcW w:w="1299" w:type="dxa"/>
            <w:tcBorders>
              <w:tl2br w:val="nil"/>
              <w:tr2bl w:val="nil"/>
            </w:tcBorders>
            <w:noWrap w:val="0"/>
            <w:vAlign w:val="center"/>
          </w:tcPr>
          <w:p w14:paraId="52B771D5">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效果明显</w:t>
            </w:r>
          </w:p>
        </w:tc>
        <w:tc>
          <w:tcPr>
            <w:tcW w:w="1242" w:type="dxa"/>
            <w:tcBorders>
              <w:tl2br w:val="nil"/>
              <w:tr2bl w:val="nil"/>
            </w:tcBorders>
            <w:noWrap w:val="0"/>
            <w:vAlign w:val="center"/>
          </w:tcPr>
          <w:p w14:paraId="2F434EA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效果明显</w:t>
            </w:r>
          </w:p>
        </w:tc>
        <w:tc>
          <w:tcPr>
            <w:tcW w:w="1164" w:type="dxa"/>
            <w:tcBorders>
              <w:tl2br w:val="nil"/>
              <w:tr2bl w:val="nil"/>
            </w:tcBorders>
            <w:noWrap w:val="0"/>
            <w:vAlign w:val="center"/>
          </w:tcPr>
          <w:p w14:paraId="455EA105">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0A217B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9" w:hRule="atLeast"/>
          <w:jc w:val="center"/>
        </w:trPr>
        <w:tc>
          <w:tcPr>
            <w:tcW w:w="719" w:type="dxa"/>
            <w:vMerge w:val="continue"/>
            <w:tcBorders>
              <w:tl2br w:val="nil"/>
              <w:tr2bl w:val="nil"/>
            </w:tcBorders>
            <w:noWrap w:val="0"/>
            <w:vAlign w:val="center"/>
          </w:tcPr>
          <w:p w14:paraId="1C74C855">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01" w:type="dxa"/>
            <w:tcBorders>
              <w:tl2br w:val="nil"/>
              <w:tr2bl w:val="nil"/>
            </w:tcBorders>
            <w:noWrap w:val="0"/>
            <w:vAlign w:val="center"/>
          </w:tcPr>
          <w:p w14:paraId="16B14FD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满意度</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指标</w:t>
            </w:r>
          </w:p>
        </w:tc>
        <w:tc>
          <w:tcPr>
            <w:tcW w:w="1062" w:type="dxa"/>
            <w:tcBorders>
              <w:tl2br w:val="nil"/>
              <w:tr2bl w:val="nil"/>
            </w:tcBorders>
            <w:noWrap w:val="0"/>
            <w:vAlign w:val="center"/>
          </w:tcPr>
          <w:p w14:paraId="5AB53AC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服务对象满意度指标</w:t>
            </w:r>
          </w:p>
        </w:tc>
        <w:tc>
          <w:tcPr>
            <w:tcW w:w="1074" w:type="dxa"/>
            <w:tcBorders>
              <w:tl2br w:val="nil"/>
              <w:tr2bl w:val="nil"/>
            </w:tcBorders>
            <w:noWrap w:val="0"/>
            <w:vAlign w:val="center"/>
          </w:tcPr>
          <w:p w14:paraId="293CFFF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918" w:type="dxa"/>
            <w:tcBorders>
              <w:tl2br w:val="nil"/>
              <w:tr2bl w:val="nil"/>
            </w:tcBorders>
            <w:noWrap w:val="0"/>
            <w:vAlign w:val="center"/>
          </w:tcPr>
          <w:p w14:paraId="61DFF3E6">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受益群众满意度</w:t>
            </w:r>
          </w:p>
        </w:tc>
        <w:tc>
          <w:tcPr>
            <w:tcW w:w="1299" w:type="dxa"/>
            <w:tcBorders>
              <w:tl2br w:val="nil"/>
              <w:tr2bl w:val="nil"/>
            </w:tcBorders>
            <w:noWrap w:val="0"/>
            <w:vAlign w:val="center"/>
          </w:tcPr>
          <w:p w14:paraId="2BBD837F">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90%</w:t>
            </w:r>
          </w:p>
        </w:tc>
        <w:tc>
          <w:tcPr>
            <w:tcW w:w="1242" w:type="dxa"/>
            <w:tcBorders>
              <w:tl2br w:val="nil"/>
              <w:tr2bl w:val="nil"/>
            </w:tcBorders>
            <w:noWrap w:val="0"/>
            <w:vAlign w:val="center"/>
          </w:tcPr>
          <w:p w14:paraId="54D4660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90%</w:t>
            </w:r>
          </w:p>
        </w:tc>
        <w:tc>
          <w:tcPr>
            <w:tcW w:w="1164" w:type="dxa"/>
            <w:tcBorders>
              <w:tl2br w:val="nil"/>
              <w:tr2bl w:val="nil"/>
            </w:tcBorders>
            <w:noWrap w:val="0"/>
            <w:vAlign w:val="center"/>
          </w:tcPr>
          <w:p w14:paraId="14BD850B">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bl>
    <w:p w14:paraId="00684BF6">
      <w:pPr>
        <w:keepNext w:val="0"/>
        <w:keepLines w:val="0"/>
        <w:pageBreakBefore w:val="0"/>
        <w:widowControl w:val="0"/>
        <w:kinsoku/>
        <w:wordWrap/>
        <w:overflowPunct/>
        <w:topLinePunct w:val="0"/>
        <w:bidi w:val="0"/>
        <w:adjustRightInd w:val="0"/>
        <w:snapToGrid w:val="0"/>
        <w:spacing w:beforeLines="0" w:afterLines="0" w:line="576" w:lineRule="exact"/>
        <w:jc w:val="both"/>
        <w:textAlignment w:val="auto"/>
        <w:outlineLvl w:val="1"/>
        <w:rPr>
          <w:rFonts w:hint="default" w:ascii="Times New Roman" w:hAnsi="Times New Roman" w:eastAsia="黑体" w:cs="Times New Roman"/>
          <w:color w:val="000000" w:themeColor="text1"/>
          <w:spacing w:val="0"/>
          <w:kern w:val="2"/>
          <w:sz w:val="32"/>
          <w:szCs w:val="24"/>
          <w:lang w:val="en-US" w:eastAsia="zh-CN"/>
          <w14:textFill>
            <w14:solidFill>
              <w14:schemeClr w14:val="tx1"/>
            </w14:solidFill>
          </w14:textFill>
        </w:rPr>
      </w:pPr>
      <w:r>
        <w:rPr>
          <w:rFonts w:hint="default" w:ascii="Times New Roman" w:hAnsi="Times New Roman" w:eastAsia="黑体" w:cs="Times New Roman"/>
          <w:color w:val="000000" w:themeColor="text1"/>
          <w:spacing w:val="0"/>
          <w:kern w:val="2"/>
          <w:sz w:val="32"/>
          <w:szCs w:val="24"/>
          <w14:textFill>
            <w14:solidFill>
              <w14:schemeClr w14:val="tx1"/>
            </w14:solidFill>
          </w14:textFill>
        </w:rPr>
        <w:t>附件</w:t>
      </w:r>
      <w:r>
        <w:rPr>
          <w:rFonts w:hint="default" w:ascii="Times New Roman" w:hAnsi="Times New Roman" w:eastAsia="黑体" w:cs="Times New Roman"/>
          <w:color w:val="000000" w:themeColor="text1"/>
          <w:spacing w:val="0"/>
          <w:kern w:val="2"/>
          <w:sz w:val="32"/>
          <w:szCs w:val="24"/>
          <w:lang w:val="en-US" w:eastAsia="zh-CN"/>
          <w14:textFill>
            <w14:solidFill>
              <w14:schemeClr w14:val="tx1"/>
            </w14:solidFill>
          </w14:textFill>
        </w:rPr>
        <w:t>3</w:t>
      </w:r>
    </w:p>
    <w:p w14:paraId="38572B98">
      <w:pPr>
        <w:pStyle w:val="2"/>
        <w:keepNext w:val="0"/>
        <w:keepLines w:val="0"/>
        <w:pageBreakBefore w:val="0"/>
        <w:widowControl w:val="0"/>
        <w:kinsoku/>
        <w:wordWrap/>
        <w:overflowPunct/>
        <w:topLinePunct w:val="0"/>
        <w:bidi w:val="0"/>
        <w:adjustRightInd w:val="0"/>
        <w:snapToGrid w:val="0"/>
        <w:spacing w:beforeLines="0" w:line="576" w:lineRule="exact"/>
        <w:jc w:val="both"/>
        <w:textAlignment w:val="auto"/>
        <w:rPr>
          <w:rFonts w:hint="default" w:ascii="Times New Roman" w:hAnsi="Times New Roman" w:cs="Times New Roman"/>
          <w:color w:val="000000" w:themeColor="text1"/>
          <w:spacing w:val="0"/>
          <w:lang w:val="en-US" w:eastAsia="zh-CN"/>
          <w14:textFill>
            <w14:solidFill>
              <w14:schemeClr w14:val="tx1"/>
            </w14:solidFill>
          </w14:textFill>
        </w:rPr>
      </w:pPr>
    </w:p>
    <w:p w14:paraId="7E7BEF31">
      <w:pPr>
        <w:keepNext w:val="0"/>
        <w:keepLines w:val="0"/>
        <w:pageBreakBefore w:val="0"/>
        <w:widowControl w:val="0"/>
        <w:kinsoku/>
        <w:wordWrap/>
        <w:overflowPunct/>
        <w:topLinePunct w:val="0"/>
        <w:bidi w:val="0"/>
        <w:adjustRightInd w:val="0"/>
        <w:snapToGrid w:val="0"/>
        <w:spacing w:beforeLines="0" w:afterLines="0" w:line="576" w:lineRule="exact"/>
        <w:jc w:val="center"/>
        <w:textAlignment w:val="auto"/>
        <w:rPr>
          <w:rFonts w:hint="default" w:ascii="Times New Roman" w:hAnsi="Times New Roman" w:eastAsia="方正小标宋简体" w:cs="Times New Roman"/>
          <w:color w:val="000000" w:themeColor="text1"/>
          <w:spacing w:val="0"/>
          <w:kern w:val="2"/>
          <w:sz w:val="44"/>
          <w:szCs w:val="44"/>
          <w:lang w:val="zh-CN"/>
          <w14:textFill>
            <w14:solidFill>
              <w14:schemeClr w14:val="tx1"/>
            </w14:solidFill>
          </w14:textFill>
        </w:rPr>
      </w:pPr>
      <w:r>
        <w:rPr>
          <w:rFonts w:hint="default" w:ascii="Times New Roman" w:hAnsi="Times New Roman" w:eastAsia="方正小标宋简体" w:cs="Times New Roman"/>
          <w:color w:val="000000" w:themeColor="text1"/>
          <w:spacing w:val="0"/>
          <w:kern w:val="2"/>
          <w:sz w:val="44"/>
          <w:szCs w:val="44"/>
          <w:lang w:val="zh-CN"/>
          <w14:textFill>
            <w14:solidFill>
              <w14:schemeClr w14:val="tx1"/>
            </w14:solidFill>
          </w14:textFill>
        </w:rPr>
        <w:t>2021年、</w:t>
      </w:r>
      <w:r>
        <w:rPr>
          <w:rFonts w:hint="default" w:ascii="Times New Roman" w:hAnsi="Times New Roman" w:eastAsia="方正小标宋简体" w:cs="Times New Roman"/>
          <w:color w:val="000000" w:themeColor="text1"/>
          <w:spacing w:val="0"/>
          <w:kern w:val="2"/>
          <w:sz w:val="44"/>
          <w:szCs w:val="44"/>
          <w14:textFill>
            <w14:solidFill>
              <w14:schemeClr w14:val="tx1"/>
            </w14:solidFill>
          </w14:textFill>
        </w:rPr>
        <w:t>2022年</w:t>
      </w:r>
      <w:r>
        <w:rPr>
          <w:rFonts w:hint="default" w:ascii="Times New Roman" w:hAnsi="Times New Roman" w:eastAsia="方正小标宋简体" w:cs="Times New Roman"/>
          <w:color w:val="000000" w:themeColor="text1"/>
          <w:spacing w:val="0"/>
          <w:kern w:val="2"/>
          <w:sz w:val="44"/>
          <w:szCs w:val="44"/>
          <w:lang w:val="zh-CN"/>
          <w14:textFill>
            <w14:solidFill>
              <w14:schemeClr w14:val="tx1"/>
            </w14:solidFill>
          </w14:textFill>
        </w:rPr>
        <w:t>省级供销综合改革及发展专项</w:t>
      </w:r>
    </w:p>
    <w:p w14:paraId="1D47DC39">
      <w:pPr>
        <w:keepNext w:val="0"/>
        <w:keepLines w:val="0"/>
        <w:pageBreakBefore w:val="0"/>
        <w:widowControl w:val="0"/>
        <w:kinsoku/>
        <w:wordWrap/>
        <w:overflowPunct/>
        <w:topLinePunct w:val="0"/>
        <w:bidi w:val="0"/>
        <w:adjustRightInd w:val="0"/>
        <w:snapToGrid w:val="0"/>
        <w:spacing w:beforeLines="0" w:afterLines="0" w:line="576" w:lineRule="exact"/>
        <w:jc w:val="center"/>
        <w:textAlignment w:val="auto"/>
        <w:rPr>
          <w:rFonts w:hint="default" w:ascii="Times New Roman" w:hAnsi="Times New Roman" w:eastAsia="方正小标宋简体" w:cs="Times New Roman"/>
          <w:color w:val="000000" w:themeColor="text1"/>
          <w:spacing w:val="0"/>
          <w:kern w:val="2"/>
          <w:sz w:val="44"/>
          <w:szCs w:val="44"/>
          <w:lang w:val="zh-CN"/>
          <w14:textFill>
            <w14:solidFill>
              <w14:schemeClr w14:val="tx1"/>
            </w14:solidFill>
          </w14:textFill>
        </w:rPr>
      </w:pPr>
      <w:r>
        <w:rPr>
          <w:rFonts w:hint="default" w:ascii="Times New Roman" w:hAnsi="Times New Roman" w:eastAsia="方正小标宋简体" w:cs="Times New Roman"/>
          <w:color w:val="000000" w:themeColor="text1"/>
          <w:spacing w:val="0"/>
          <w:kern w:val="2"/>
          <w:sz w:val="44"/>
          <w:szCs w:val="44"/>
          <w:lang w:val="zh-CN"/>
          <w14:textFill>
            <w14:solidFill>
              <w14:schemeClr w14:val="tx1"/>
            </w14:solidFill>
          </w14:textFill>
        </w:rPr>
        <w:t>资金</w:t>
      </w:r>
      <w:r>
        <w:rPr>
          <w:rFonts w:hint="default" w:ascii="Times New Roman" w:hAnsi="Times New Roman" w:eastAsia="方正小标宋简体" w:cs="Times New Roman"/>
          <w:color w:val="000000" w:themeColor="text1"/>
          <w:spacing w:val="0"/>
          <w:kern w:val="2"/>
          <w:sz w:val="44"/>
          <w:szCs w:val="44"/>
          <w14:textFill>
            <w14:solidFill>
              <w14:schemeClr w14:val="tx1"/>
            </w14:solidFill>
          </w14:textFill>
        </w:rPr>
        <w:t>项目</w:t>
      </w:r>
      <w:r>
        <w:rPr>
          <w:rFonts w:hint="default" w:ascii="Times New Roman" w:hAnsi="Times New Roman" w:eastAsia="方正小标宋简体" w:cs="Times New Roman"/>
          <w:color w:val="000000" w:themeColor="text1"/>
          <w:spacing w:val="0"/>
          <w:kern w:val="2"/>
          <w:sz w:val="44"/>
          <w:szCs w:val="44"/>
          <w:lang w:val="zh-CN"/>
          <w14:textFill>
            <w14:solidFill>
              <w14:schemeClr w14:val="tx1"/>
            </w14:solidFill>
          </w14:textFill>
        </w:rPr>
        <w:t>绩效评价报告</w:t>
      </w:r>
    </w:p>
    <w:p w14:paraId="10FE948D">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432" w:firstLineChars="200"/>
        <w:jc w:val="both"/>
        <w:textAlignment w:val="auto"/>
        <w:rPr>
          <w:rFonts w:hint="default"/>
          <w:lang w:val="zh-CN"/>
        </w:rPr>
      </w:pPr>
    </w:p>
    <w:p w14:paraId="5964A703">
      <w:pPr>
        <w:keepNext w:val="0"/>
        <w:keepLines w:val="0"/>
        <w:pageBreakBefore w:val="0"/>
        <w:widowControl w:val="0"/>
        <w:numPr>
          <w:ilvl w:val="0"/>
          <w:numId w:val="1"/>
        </w:numPr>
        <w:kinsoku/>
        <w:wordWrap/>
        <w:overflowPunct/>
        <w:topLinePunct w:val="0"/>
        <w:autoSpaceDE/>
        <w:autoSpaceDN/>
        <w:bidi w:val="0"/>
        <w:adjustRightInd w:val="0"/>
        <w:snapToGrid w:val="0"/>
        <w:spacing w:beforeLines="0" w:afterLines="0" w:line="576" w:lineRule="exact"/>
        <w:ind w:firstLine="592" w:firstLineChars="200"/>
        <w:jc w:val="both"/>
        <w:textAlignment w:val="auto"/>
        <w:outlineLvl w:val="1"/>
        <w:rPr>
          <w:rFonts w:hint="default" w:ascii="Times New Roman" w:hAnsi="Times New Roman" w:eastAsia="黑体" w:cs="Times New Roman"/>
          <w:b w:val="0"/>
          <w:bCs w:val="0"/>
          <w:color w:val="000000" w:themeColor="text1"/>
          <w:spacing w:val="0"/>
          <w:sz w:val="32"/>
          <w:szCs w:val="32"/>
          <w:lang w:val="zh-CN"/>
          <w14:textFill>
            <w14:solidFill>
              <w14:schemeClr w14:val="tx1"/>
            </w14:solidFill>
          </w14:textFill>
        </w:rPr>
      </w:pPr>
      <w:bookmarkStart w:id="29" w:name="_Toc11688"/>
      <w:r>
        <w:rPr>
          <w:rFonts w:hint="default" w:ascii="Times New Roman" w:hAnsi="Times New Roman" w:eastAsia="黑体" w:cs="Times New Roman"/>
          <w:b w:val="0"/>
          <w:bCs w:val="0"/>
          <w:color w:val="000000" w:themeColor="text1"/>
          <w:spacing w:val="0"/>
          <w:sz w:val="32"/>
          <w:szCs w:val="32"/>
          <w:lang w:val="zh-CN"/>
          <w14:textFill>
            <w14:solidFill>
              <w14:schemeClr w14:val="tx1"/>
            </w14:solidFill>
          </w14:textFill>
        </w:rPr>
        <w:t>项目概况</w:t>
      </w:r>
      <w:bookmarkEnd w:id="29"/>
    </w:p>
    <w:p w14:paraId="306C39D8">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cs="Times New Roman"/>
          <w:b w:val="0"/>
          <w:bCs w:val="0"/>
          <w:color w:val="000000" w:themeColor="text1"/>
          <w:spacing w:val="0"/>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培育基层社高质量发展，完善乡镇和村社服务网络，改善服务设施，提升综合服务能力，推动集体经济发展壮大。推动社有企业转型升级，促进增加投资，完善经营设施，优化网络布局，提升信息化能力。促进区域服务资源整合，推动流通主业向农业生产，管理服务拓展，探索建立一、二、三产业融合的农业社会化服务生态。</w:t>
      </w:r>
    </w:p>
    <w:p w14:paraId="0C018D8A">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u w:val="none" w:color="auto"/>
          <w:lang w:val="zh-CN" w:eastAsia="zh-CN" w:bidi="ar-SA"/>
          <w14:textFill>
            <w14:solidFill>
              <w14:schemeClr w14:val="tx1"/>
            </w14:solidFill>
          </w14:textFill>
        </w:rPr>
        <w:t>（一）</w:t>
      </w: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项目资金申报及批复情况。</w:t>
      </w:r>
    </w:p>
    <w:p w14:paraId="4A7F3079">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根据广元市财政局《关于下达2021年省级供销综合改革及发展专项资金预算的通知》</w:t>
      </w:r>
      <w:r>
        <w:rPr>
          <w:rFonts w:hint="eastAsia"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广财建〔2021〕95号</w:t>
      </w:r>
      <w:r>
        <w:rPr>
          <w:rFonts w:hint="eastAsia"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文件、《关于下达202</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2</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年省级供销综合改革及发展专项资金预算的通知》（广财建〔202</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2</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80</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号）文件，下达我区2021年、</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2022年</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省级供销综合改革及发展专项资金</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94</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万元，用于支持基层社示范社、区域性为农服务中心和流通服务网络建设。和现代流通体系建设。</w:t>
      </w:r>
    </w:p>
    <w:p w14:paraId="6217EE74">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u w:val="none" w:color="auto"/>
          <w:lang w:val="zh-CN" w:eastAsia="zh-CN" w:bidi="ar-SA"/>
          <w14:textFill>
            <w14:solidFill>
              <w14:schemeClr w14:val="tx1"/>
            </w14:solidFill>
          </w14:textFill>
        </w:rPr>
        <w:t>（二）</w:t>
      </w: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项目绩效目标。</w:t>
      </w:r>
    </w:p>
    <w:p w14:paraId="2BBFD02F">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一是培育基层社高质量发展，完善乡镇和村社服务网络，改善服务设施，提升综合服务能力，推动集体经济发展壮大。二是推动社有企业转型升级，促进增加投资，完善经营设施，优化网络布局，提升信息化能力。三是促进区域服务资源整合，推动流通主业向农业生产，管理服务拓展，探索建立一、二、三产业融合的农业社会化服务生态。</w:t>
      </w:r>
    </w:p>
    <w:p w14:paraId="2869672B">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u w:val="none" w:color="auto"/>
          <w:lang w:val="zh-CN" w:eastAsia="zh-CN" w:bidi="ar-SA"/>
          <w14:textFill>
            <w14:solidFill>
              <w14:schemeClr w14:val="tx1"/>
            </w14:solidFill>
          </w14:textFill>
        </w:rPr>
        <w:t>（三）</w:t>
      </w: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项目资金申报相符性。</w:t>
      </w:r>
    </w:p>
    <w:p w14:paraId="69C7F0AA">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建设期间，该项目严格按照申报内容与资金下达文件内容开展建设，实施过程科学、合理、可行，项目申报内容与具体实施内容相符合。</w:t>
      </w:r>
    </w:p>
    <w:p w14:paraId="5846EBEF">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（四）自评步骤及方法</w:t>
      </w:r>
    </w:p>
    <w:p w14:paraId="69D8FA51">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一是组织相关业务股室人员，认真学习领会《广元市昭化区财政局关于开展202</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4</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年部门、政策和项目支出绩效评价工作的通知》</w:t>
      </w:r>
      <w:r>
        <w:rPr>
          <w:rFonts w:hint="eastAsia"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昭财发〔202</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4</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〕1</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1</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号</w:t>
      </w:r>
      <w:r>
        <w:rPr>
          <w:rFonts w:hint="eastAsia"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精神，明确绩效评价要求;二是对照《广元市昭化区202</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3</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年财政项目支出绩效评价指标体系》的评价指标，开展自查自评，遵循客观公正、实事求是的原则，对项目绩效情况进行定量、定性分析，量化打分;三是根据项目实施情况，采取现场访问村干部、农户、经营主体收集反馈相关情况，并组织项目相关人员现场勘验、检查、核实情况。</w:t>
      </w:r>
    </w:p>
    <w:p w14:paraId="089E68D0">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outlineLvl w:val="1"/>
        <w:rPr>
          <w:rFonts w:hint="default" w:ascii="Times New Roman" w:hAnsi="Times New Roman" w:eastAsia="黑体" w:cs="Times New Roman"/>
          <w:b w:val="0"/>
          <w:bCs w:val="0"/>
          <w:color w:val="000000" w:themeColor="text1"/>
          <w:spacing w:val="0"/>
          <w:sz w:val="32"/>
          <w:szCs w:val="32"/>
          <w14:textFill>
            <w14:solidFill>
              <w14:schemeClr w14:val="tx1"/>
            </w14:solidFill>
          </w14:textFill>
        </w:rPr>
      </w:pPr>
      <w:bookmarkStart w:id="30" w:name="_Toc10212"/>
      <w:r>
        <w:rPr>
          <w:rFonts w:hint="default" w:ascii="Times New Roman" w:hAnsi="Times New Roman" w:eastAsia="黑体" w:cs="Times New Roman"/>
          <w:b w:val="0"/>
          <w:bCs w:val="0"/>
          <w:color w:val="000000" w:themeColor="text1"/>
          <w:spacing w:val="0"/>
          <w:sz w:val="32"/>
          <w:szCs w:val="32"/>
          <w14:textFill>
            <w14:solidFill>
              <w14:schemeClr w14:val="tx1"/>
            </w14:solidFill>
          </w14:textFill>
        </w:rPr>
        <w:t>二、项目实施及管理情况</w:t>
      </w:r>
      <w:bookmarkEnd w:id="30"/>
    </w:p>
    <w:p w14:paraId="59D2D56C">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（一）资金计划、到位及使用情况</w:t>
      </w:r>
    </w:p>
    <w:p w14:paraId="6DFFACF7">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1.资金计划及到位。202</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3</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年，广元市财政局《关于下达2021年省级供销综合改革及发展专项资金预算的通知》</w:t>
      </w:r>
      <w:r>
        <w:rPr>
          <w:rFonts w:hint="eastAsia"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广财建〔2021〕95号</w:t>
      </w:r>
      <w:r>
        <w:rPr>
          <w:rFonts w:hint="eastAsia"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文件、《关于下达202</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2</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年省级供销综合改革及发展专项资金预算的通知》（广财建〔202</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2</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80</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号）文件</w:t>
      </w:r>
      <w:r>
        <w:rPr>
          <w:rFonts w:hint="eastAsia" w:ascii="Times New Roman" w:hAnsi="Times New Roman" w:eastAsia="仿宋_GB2312" w:cs="Times New Roman"/>
          <w:b w:val="0"/>
          <w:bCs w:val="0"/>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下达该项目资金</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94</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万元，已全部到位，资金到位率100%。2021年省级供销综合改革及发展专项</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资金项目：1、</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拟安排资金25</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万</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元，用于王家、昭化、太公、元坝等基层供销社的房屋维修；</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2、</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拟安排资金2万元，用于广元自体投资有限公司会计服务体系建设。3、拟安排结余资金25万元，用于清水镇、卫子镇2个镇级供销社示范社和紫云村级供销社的建设。202</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2</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年省级供销综合改革及发展专项资金</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项目：1、拟安排资金12万元，用于朝阳、射箭基层供销社示范社建设。资金采取入股的方式投入基层社，企业按照“三社融合”</w:t>
      </w:r>
      <w:r>
        <w:rPr>
          <w:rFonts w:hint="eastAsia" w:ascii="Times New Roman" w:hAnsi="Times New Roman" w:eastAsia="仿宋_GB2312" w:cs="Times New Roman"/>
          <w:b w:val="0"/>
          <w:bCs w:val="0"/>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基层供销社+村集体经济组织+专业合作社</w:t>
      </w:r>
      <w:r>
        <w:rPr>
          <w:rFonts w:hint="eastAsia" w:ascii="Times New Roman" w:hAnsi="Times New Roman" w:eastAsia="仿宋_GB2312" w:cs="Times New Roman"/>
          <w:b w:val="0"/>
          <w:bCs w:val="0"/>
          <w:color w:val="000000" w:themeColor="text1"/>
          <w:spacing w:val="0"/>
          <w:kern w:val="2"/>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组建方式，围绕现代农业园区特色产业发展和射箭农贸市场建设，做好产前、产中、产后的农业社会化服务；2、拟安排资金15万元，用于元坝镇为农服务中心建设资金采取入股方式投入昭化区月光村水稻专业合作社，围绕农资配送、土地托管、农产品销售等环节开展系列社会化服务；3、拟安排资金15万元，用于流通服务网络建设。资金按照以奖代补方式使用，由广元福惠商贸有限公司重点围绕区级仓储物流配送中心和集镇标准化超市建设组织实施。</w:t>
      </w:r>
    </w:p>
    <w:p w14:paraId="13D478AC">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2.资金使用。项目资金已于按工程约定拨付资金</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94</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万元，资金支付率</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100</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%。资金开支范围、支付标准、支付进度、支付依据合规合法、与预算相符。</w:t>
      </w:r>
    </w:p>
    <w:p w14:paraId="61EE92D9">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（二）项目财务管理情况</w:t>
      </w:r>
    </w:p>
    <w:p w14:paraId="28FA0693">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在项目资金管理方面，局党组高度重视，严格按照相关项目资金管理办法、“三重一大”集体决策制度和财务管理制度执行</w:t>
      </w:r>
      <w:r>
        <w:rPr>
          <w:rFonts w:hint="eastAsia"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并自觉接受纪检监督，听取各方面的意见和建议，确保资金使用规范、及时、公正、透明，为项目绩效目标的完成提供了充分的保障。财务管理制度健全，严格执行财务管理制度，账务处理及时，会计核算规范。</w:t>
      </w:r>
    </w:p>
    <w:p w14:paraId="295568FE">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（三）项目组织实施及管理情况</w:t>
      </w:r>
    </w:p>
    <w:p w14:paraId="6366D1B6">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1.项目管理组织架构。</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为加强项目的监督、管理，切实保障项目资金使用安全性，我</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社</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高度重视，认真研究，成立了以党组书记、</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主任冯子东</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同志为组长的建设项目工作推进领导小组。项目下达后，我</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社</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作为项目主管部门，按项目基本建设程序，经财政局组织财评。政府采购项目按照由广元市昭化区</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供销合作社联合社</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负责采购，由分管项目领导牵头，</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专人</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负责项目具体实施，财务股负责资金拨付。</w:t>
      </w:r>
    </w:p>
    <w:p w14:paraId="43124084">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14:textFill>
            <w14:solidFill>
              <w14:schemeClr w14:val="tx1"/>
            </w14:solidFill>
          </w14:textFill>
        </w:rPr>
        <w:t>2.项目管理情况。</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该项目严格按照相关法律法规及工程建设程序进行实施，制定严格的监管措施。</w:t>
      </w:r>
    </w:p>
    <w:p w14:paraId="46D4ABE8">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outlineLvl w:val="1"/>
        <w:rPr>
          <w:rFonts w:hint="default" w:ascii="Times New Roman" w:hAnsi="Times New Roman" w:cs="Times New Roman"/>
          <w:b w:val="0"/>
          <w:bCs w:val="0"/>
          <w:color w:val="000000" w:themeColor="text1"/>
          <w:spacing w:val="0"/>
          <w:sz w:val="32"/>
          <w:szCs w:val="32"/>
          <w:lang w:val="zh-CN"/>
          <w14:textFill>
            <w14:solidFill>
              <w14:schemeClr w14:val="tx1"/>
            </w14:solidFill>
          </w14:textFill>
        </w:rPr>
      </w:pPr>
      <w:bookmarkStart w:id="31" w:name="_Toc29209"/>
      <w:r>
        <w:rPr>
          <w:rFonts w:hint="default" w:ascii="Times New Roman" w:hAnsi="Times New Roman" w:eastAsia="黑体" w:cs="Times New Roman"/>
          <w:b w:val="0"/>
          <w:bCs w:val="0"/>
          <w:color w:val="000000" w:themeColor="text1"/>
          <w:spacing w:val="0"/>
          <w:sz w:val="32"/>
          <w:szCs w:val="32"/>
          <w14:textFill>
            <w14:solidFill>
              <w14:schemeClr w14:val="tx1"/>
            </w14:solidFill>
          </w14:textFill>
        </w:rPr>
        <w:t>三、项目绩效情况</w:t>
      </w:r>
      <w:bookmarkEnd w:id="31"/>
      <w:r>
        <w:rPr>
          <w:rFonts w:hint="default" w:ascii="Times New Roman" w:hAnsi="Times New Roman" w:cs="Times New Roman"/>
          <w:b w:val="0"/>
          <w:bCs w:val="0"/>
          <w:color w:val="000000" w:themeColor="text1"/>
          <w:spacing w:val="0"/>
          <w:sz w:val="32"/>
          <w:szCs w:val="32"/>
          <w:lang w:val="zh-CN"/>
          <w14:textFill>
            <w14:solidFill>
              <w14:schemeClr w14:val="tx1"/>
            </w14:solidFill>
          </w14:textFill>
        </w:rPr>
        <w:tab/>
      </w:r>
    </w:p>
    <w:p w14:paraId="77BBAAE3">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（一）项目完成情况。</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项目在规定时间内完成了各项建设指标，未发生绩效目标偏离的现象，达到了预期目标。</w:t>
      </w:r>
    </w:p>
    <w:p w14:paraId="33511D39">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（二）项目效益情况。</w:t>
      </w:r>
    </w:p>
    <w:p w14:paraId="1C54DFAB">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1.产出指标完成情况分析</w:t>
      </w:r>
    </w:p>
    <w:p w14:paraId="5BAE4750">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en-US" w:eastAsia="zh-CN"/>
          <w14:textFill>
            <w14:solidFill>
              <w14:schemeClr w14:val="tx1"/>
            </w14:solidFill>
          </w14:textFill>
        </w:rPr>
        <w:t>1</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）数量指标。基层社示范社数量</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6</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个，全资会计服务中心1个，新增区域性为农服务中心。</w:t>
      </w:r>
    </w:p>
    <w:p w14:paraId="5B87D8AE">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）质量指标。全资控股基层社营业总收入增长率</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≥7%，全资控股基层社营业总收入≥15%</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p>
    <w:p w14:paraId="05A15F69">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3</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）社会效益指标。供销系统服务设施和能力、社会化服务能力明显。</w:t>
      </w:r>
    </w:p>
    <w:p w14:paraId="650F79F0">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r>
        <w:rPr>
          <w:rFonts w:hint="default" w:ascii="Times New Roman" w:hAnsi="Times New Roman" w:eastAsia="仿宋_GB2312" w:cs="Times New Roman"/>
          <w:b w:val="0"/>
          <w:bCs w:val="0"/>
          <w:color w:val="000000" w:themeColor="text1"/>
          <w:spacing w:val="0"/>
          <w:kern w:val="2"/>
          <w:sz w:val="32"/>
          <w:szCs w:val="32"/>
          <w:lang w:val="en-US" w:eastAsia="zh-CN"/>
          <w14:textFill>
            <w14:solidFill>
              <w14:schemeClr w14:val="tx1"/>
            </w14:solidFill>
          </w14:textFill>
        </w:rPr>
        <w:t>4</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）满意度指标。服务对象满意度</w:t>
      </w: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≥95%</w:t>
      </w: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w:t>
      </w:r>
    </w:p>
    <w:p w14:paraId="4320F42D">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（三）违规记录。</w:t>
      </w:r>
    </w:p>
    <w:p w14:paraId="54A3492F">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无。</w:t>
      </w:r>
    </w:p>
    <w:p w14:paraId="4C2ADEBA">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outlineLvl w:val="1"/>
        <w:rPr>
          <w:rFonts w:hint="default" w:ascii="Times New Roman" w:hAnsi="Times New Roman" w:eastAsia="黑体" w:cs="Times New Roman"/>
          <w:b w:val="0"/>
          <w:bCs w:val="0"/>
          <w:color w:val="000000" w:themeColor="text1"/>
          <w:spacing w:val="0"/>
          <w:sz w:val="32"/>
          <w:szCs w:val="32"/>
          <w14:textFill>
            <w14:solidFill>
              <w14:schemeClr w14:val="tx1"/>
            </w14:solidFill>
          </w14:textFill>
        </w:rPr>
      </w:pPr>
      <w:bookmarkStart w:id="32" w:name="_Toc7600"/>
      <w:r>
        <w:rPr>
          <w:rFonts w:hint="default" w:ascii="Times New Roman" w:hAnsi="Times New Roman" w:eastAsia="黑体" w:cs="Times New Roman"/>
          <w:b w:val="0"/>
          <w:bCs w:val="0"/>
          <w:color w:val="000000" w:themeColor="text1"/>
          <w:spacing w:val="0"/>
          <w:sz w:val="32"/>
          <w:szCs w:val="32"/>
          <w14:textFill>
            <w14:solidFill>
              <w14:schemeClr w14:val="tx1"/>
            </w14:solidFill>
          </w14:textFill>
        </w:rPr>
        <w:t>四、自评结论及建议</w:t>
      </w:r>
      <w:bookmarkEnd w:id="32"/>
    </w:p>
    <w:p w14:paraId="59F37033">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（一）自评结论。</w:t>
      </w:r>
    </w:p>
    <w:p w14:paraId="1B63C832">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t>项目决策符合国家政策方针，管理符合相关制度，严格完成改造、维护和回收任务，项目的实施达到了预期的社会效益，受益群众满意度较好，我社自评分数为99分。</w:t>
      </w:r>
    </w:p>
    <w:p w14:paraId="7EB59CE2">
      <w:pPr>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u w:val="none" w:color="auto"/>
          <w:lang w:val="zh-CN" w:eastAsia="zh-CN" w:bidi="ar-SA"/>
          <w14:textFill>
            <w14:solidFill>
              <w14:schemeClr w14:val="tx1"/>
            </w14:solidFill>
          </w14:textFill>
        </w:rPr>
        <w:t>（二）</w:t>
      </w: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存在的问题。</w:t>
      </w:r>
    </w:p>
    <w:p w14:paraId="1B5A5FE9">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lang w:val="zh-CN"/>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无。</w:t>
      </w:r>
    </w:p>
    <w:p w14:paraId="64664889">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pPr>
      <w:r>
        <w:rPr>
          <w:rFonts w:hint="default" w:ascii="Times New Roman" w:hAnsi="Times New Roman" w:eastAsia="楷体_GB2312" w:cs="Times New Roman"/>
          <w:b w:val="0"/>
          <w:bCs w:val="0"/>
          <w:color w:val="000000" w:themeColor="text1"/>
          <w:spacing w:val="0"/>
          <w:sz w:val="32"/>
          <w:szCs w:val="32"/>
          <w:lang w:val="zh-CN"/>
          <w14:textFill>
            <w14:solidFill>
              <w14:schemeClr w14:val="tx1"/>
            </w14:solidFill>
          </w14:textFill>
        </w:rPr>
        <w:t>（三）相关措施或建议。</w:t>
      </w:r>
    </w:p>
    <w:p w14:paraId="3357B075">
      <w:pPr>
        <w:keepNext w:val="0"/>
        <w:keepLines w:val="0"/>
        <w:pageBreakBefore w:val="0"/>
        <w:widowControl w:val="0"/>
        <w:kinsoku/>
        <w:wordWrap/>
        <w:overflowPunct/>
        <w:topLinePunct w:val="0"/>
        <w:autoSpaceDE/>
        <w:autoSpaceDN/>
        <w:bidi w:val="0"/>
        <w:adjustRightInd w:val="0"/>
        <w:snapToGrid w:val="0"/>
        <w:spacing w:beforeLines="0" w:afterLines="0" w:line="576" w:lineRule="exact"/>
        <w:ind w:firstLine="592" w:firstLineChars="200"/>
        <w:jc w:val="both"/>
        <w:textAlignment w:val="auto"/>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pPr>
      <w:r>
        <w:rPr>
          <w:rFonts w:hint="default" w:ascii="Times New Roman" w:hAnsi="Times New Roman" w:eastAsia="仿宋_GB2312" w:cs="Times New Roman"/>
          <w:b w:val="0"/>
          <w:bCs w:val="0"/>
          <w:color w:val="000000" w:themeColor="text1"/>
          <w:spacing w:val="0"/>
          <w:kern w:val="2"/>
          <w:sz w:val="32"/>
          <w:szCs w:val="32"/>
          <w14:textFill>
            <w14:solidFill>
              <w14:schemeClr w14:val="tx1"/>
            </w14:solidFill>
          </w14:textFill>
        </w:rPr>
        <w:t>无。</w:t>
      </w:r>
    </w:p>
    <w:p w14:paraId="250568E4">
      <w:pPr>
        <w:pStyle w:val="6"/>
        <w:keepNext w:val="0"/>
        <w:keepLines w:val="0"/>
        <w:pageBreakBefore w:val="0"/>
        <w:widowControl w:val="0"/>
        <w:kinsoku/>
        <w:wordWrap/>
        <w:overflowPunct/>
        <w:topLinePunct w:val="0"/>
        <w:bidi w:val="0"/>
        <w:adjustRightInd w:val="0"/>
        <w:snapToGrid w:val="0"/>
        <w:spacing w:beforeLines="0" w:afterLines="0" w:line="576" w:lineRule="exact"/>
        <w:ind w:firstLine="592" w:firstLineChars="200"/>
        <w:jc w:val="both"/>
        <w:textAlignment w:val="auto"/>
        <w:rPr>
          <w:rFonts w:hint="default" w:ascii="Times New Roman" w:hAnsi="Times New Roman" w:cs="Times New Roman"/>
          <w:b w:val="0"/>
          <w:bCs w:val="0"/>
          <w:color w:val="000000" w:themeColor="text1"/>
          <w:spacing w:val="0"/>
          <w:kern w:val="2"/>
          <w:sz w:val="32"/>
          <w:szCs w:val="32"/>
          <w14:textFill>
            <w14:solidFill>
              <w14:schemeClr w14:val="tx1"/>
            </w14:solidFill>
          </w14:textFill>
        </w:rPr>
      </w:pPr>
    </w:p>
    <w:p w14:paraId="09D9F872">
      <w:pPr>
        <w:pStyle w:val="6"/>
        <w:keepNext w:val="0"/>
        <w:keepLines w:val="0"/>
        <w:pageBreakBefore w:val="0"/>
        <w:widowControl w:val="0"/>
        <w:kinsoku/>
        <w:wordWrap/>
        <w:overflowPunct/>
        <w:topLinePunct w:val="0"/>
        <w:bidi w:val="0"/>
        <w:adjustRightInd w:val="0"/>
        <w:snapToGrid w:val="0"/>
        <w:spacing w:beforeLines="0" w:afterLines="0" w:line="576" w:lineRule="exact"/>
        <w:ind w:left="1719" w:leftChars="274" w:hanging="1128" w:hangingChars="381"/>
        <w:jc w:val="both"/>
        <w:textAlignment w:val="auto"/>
        <w:rPr>
          <w:rFonts w:hint="default" w:ascii="Times New Roman" w:hAnsi="Times New Roman" w:cs="Times New Roman"/>
          <w:b w:val="0"/>
          <w:bCs w:val="0"/>
          <w:color w:val="000000" w:themeColor="text1"/>
          <w:spacing w:val="0"/>
          <w:kern w:val="2"/>
          <w:sz w:val="32"/>
          <w:szCs w:val="32"/>
          <w14:textFill>
            <w14:solidFill>
              <w14:schemeClr w14:val="tx1"/>
            </w14:solidFill>
          </w14:textFill>
        </w:rPr>
      </w:pPr>
      <w:r>
        <w:rPr>
          <w:rFonts w:hint="default" w:ascii="Times New Roman" w:hAnsi="Times New Roman" w:cs="Times New Roman"/>
          <w:b w:val="0"/>
          <w:bCs w:val="0"/>
          <w:color w:val="000000" w:themeColor="text1"/>
          <w:spacing w:val="0"/>
          <w:kern w:val="2"/>
          <w:sz w:val="32"/>
          <w:szCs w:val="32"/>
          <w14:textFill>
            <w14:solidFill>
              <w14:schemeClr w14:val="tx1"/>
            </w14:solidFill>
          </w14:textFill>
        </w:rPr>
        <w:t>附表：1.2021年省级综合改革及发展专项资金绩效目标自评表（2023年度）</w:t>
      </w:r>
    </w:p>
    <w:p w14:paraId="0F5685AB">
      <w:pPr>
        <w:pStyle w:val="6"/>
        <w:keepNext w:val="0"/>
        <w:keepLines w:val="0"/>
        <w:pageBreakBefore w:val="0"/>
        <w:widowControl w:val="0"/>
        <w:kinsoku/>
        <w:wordWrap/>
        <w:overflowPunct/>
        <w:topLinePunct w:val="0"/>
        <w:bidi w:val="0"/>
        <w:adjustRightInd w:val="0"/>
        <w:snapToGrid w:val="0"/>
        <w:spacing w:beforeLines="0" w:afterLines="0" w:line="576" w:lineRule="exact"/>
        <w:ind w:left="1684" w:leftChars="673" w:hanging="231" w:hangingChars="78"/>
        <w:jc w:val="both"/>
        <w:textAlignment w:val="auto"/>
        <w:rPr>
          <w:rFonts w:hint="default" w:ascii="Times New Roman" w:hAnsi="Times New Roman" w:cs="Times New Roman"/>
          <w:b w:val="0"/>
          <w:bCs w:val="0"/>
          <w:color w:val="000000" w:themeColor="text1"/>
          <w:spacing w:val="0"/>
          <w:sz w:val="32"/>
          <w:szCs w:val="32"/>
          <w14:textFill>
            <w14:solidFill>
              <w14:schemeClr w14:val="tx1"/>
            </w14:solidFill>
          </w14:textFill>
        </w:rPr>
      </w:pPr>
      <w:r>
        <w:rPr>
          <w:rFonts w:hint="default" w:ascii="Times New Roman" w:hAnsi="Times New Roman" w:cs="Times New Roman"/>
          <w:b w:val="0"/>
          <w:bCs w:val="0"/>
          <w:color w:val="000000" w:themeColor="text1"/>
          <w:spacing w:val="0"/>
          <w:kern w:val="2"/>
          <w:sz w:val="32"/>
          <w:szCs w:val="32"/>
          <w14:textFill>
            <w14:solidFill>
              <w14:schemeClr w14:val="tx1"/>
            </w14:solidFill>
          </w14:textFill>
        </w:rPr>
        <w:t>2.2022年省级综合改革及发展专项资金绩效目标自评表（2023年度）</w:t>
      </w:r>
    </w:p>
    <w:p w14:paraId="2212FFB3">
      <w:pPr>
        <w:keepNext w:val="0"/>
        <w:keepLines w:val="0"/>
        <w:pageBreakBefore w:val="0"/>
        <w:widowControl w:val="0"/>
        <w:kinsoku/>
        <w:wordWrap/>
        <w:overflowPunct/>
        <w:topLinePunct w:val="0"/>
        <w:bidi w:val="0"/>
        <w:adjustRightInd w:val="0"/>
        <w:snapToGrid w:val="0"/>
        <w:spacing w:beforeLines="0" w:afterLines="0" w:line="576" w:lineRule="exact"/>
        <w:ind w:firstLine="512" w:firstLineChars="200"/>
        <w:jc w:val="both"/>
        <w:textAlignment w:val="auto"/>
        <w:rPr>
          <w:rFonts w:hint="default" w:ascii="Times New Roman" w:hAnsi="Times New Roman" w:cs="Times New Roman"/>
          <w:color w:val="000000" w:themeColor="text1"/>
          <w:spacing w:val="0"/>
          <w:sz w:val="28"/>
          <w:szCs w:val="28"/>
          <w14:textFill>
            <w14:solidFill>
              <w14:schemeClr w14:val="tx1"/>
            </w14:solidFill>
          </w14:textFill>
        </w:rPr>
      </w:pPr>
    </w:p>
    <w:p w14:paraId="347A925E">
      <w:pPr>
        <w:keepNext w:val="0"/>
        <w:keepLines w:val="0"/>
        <w:pageBreakBefore w:val="0"/>
        <w:widowControl w:val="0"/>
        <w:kinsoku/>
        <w:wordWrap/>
        <w:topLinePunct w:val="0"/>
        <w:bidi w:val="0"/>
        <w:adjustRightInd w:val="0"/>
        <w:snapToGrid w:val="0"/>
        <w:spacing w:beforeLines="0" w:afterLines="0" w:line="576" w:lineRule="exact"/>
        <w:ind w:firstLine="640"/>
        <w:jc w:val="both"/>
        <w:rPr>
          <w:rFonts w:hint="default" w:ascii="Times New Roman" w:hAnsi="Times New Roman" w:cs="Times New Roman"/>
          <w:color w:val="000000" w:themeColor="text1"/>
          <w:spacing w:val="0"/>
          <w:sz w:val="28"/>
          <w:szCs w:val="28"/>
          <w14:textFill>
            <w14:solidFill>
              <w14:schemeClr w14:val="tx1"/>
            </w14:solidFill>
          </w14:textFill>
        </w:rPr>
      </w:pPr>
    </w:p>
    <w:p w14:paraId="3EB3A050">
      <w:pPr>
        <w:rPr>
          <w:rFonts w:hint="default" w:ascii="Times New Roman" w:hAnsi="Times New Roman" w:cs="Times New Roman"/>
          <w:color w:val="000000" w:themeColor="text1"/>
          <w:spacing w:val="0"/>
          <w:sz w:val="28"/>
          <w:szCs w:val="28"/>
          <w14:textFill>
            <w14:solidFill>
              <w14:schemeClr w14:val="tx1"/>
            </w14:solidFill>
          </w14:textFill>
        </w:rPr>
      </w:pPr>
      <w:r>
        <w:rPr>
          <w:rFonts w:hint="default" w:ascii="Times New Roman" w:hAnsi="Times New Roman" w:cs="Times New Roman"/>
          <w:color w:val="000000" w:themeColor="text1"/>
          <w:spacing w:val="0"/>
          <w:sz w:val="28"/>
          <w:szCs w:val="28"/>
          <w14:textFill>
            <w14:solidFill>
              <w14:schemeClr w14:val="tx1"/>
            </w14:solidFill>
          </w14:textFill>
        </w:rPr>
        <w:br w:type="page"/>
      </w:r>
    </w:p>
    <w:p w14:paraId="6F20DEFC">
      <w:pPr>
        <w:pStyle w:val="2"/>
        <w:ind w:left="0" w:leftChars="0" w:firstLine="0" w:firstLineChars="0"/>
        <w:rPr>
          <w:rFonts w:hint="eastAsia" w:eastAsia="宋体"/>
          <w:lang w:val="en-US" w:eastAsia="zh-CN"/>
        </w:rPr>
      </w:pPr>
      <w:r>
        <w:rPr>
          <w:rFonts w:hint="eastAsia" w:ascii="黑体" w:hAnsi="黑体" w:eastAsia="黑体" w:cs="黑体"/>
          <w:b w:val="0"/>
          <w:bCs w:val="0"/>
          <w:color w:val="000000" w:themeColor="text1"/>
          <w:spacing w:val="0"/>
          <w:kern w:val="2"/>
          <w:sz w:val="32"/>
          <w:szCs w:val="32"/>
          <w14:textFill>
            <w14:solidFill>
              <w14:schemeClr w14:val="tx1"/>
            </w14:solidFill>
          </w14:textFill>
        </w:rPr>
        <w:t>附表</w:t>
      </w:r>
      <w:r>
        <w:rPr>
          <w:rFonts w:hint="eastAsia" w:ascii="Times New Roman" w:cs="Times New Roman"/>
          <w:b w:val="0"/>
          <w:bCs w:val="0"/>
          <w:color w:val="000000" w:themeColor="text1"/>
          <w:spacing w:val="0"/>
          <w:kern w:val="2"/>
          <w:sz w:val="32"/>
          <w:szCs w:val="32"/>
          <w:lang w:val="en-US" w:eastAsia="zh-CN"/>
          <w14:textFill>
            <w14:solidFill>
              <w14:schemeClr w14:val="tx1"/>
            </w14:solidFill>
          </w14:textFill>
        </w:rPr>
        <w:t>1</w:t>
      </w:r>
    </w:p>
    <w:p w14:paraId="1620A67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eastAsia="方正小标宋简体" w:cs="Times New Roman"/>
          <w:color w:val="000000" w:themeColor="text1"/>
          <w:spacing w:val="6"/>
          <w:sz w:val="36"/>
          <w:szCs w:val="36"/>
          <w14:textFill>
            <w14:solidFill>
              <w14:schemeClr w14:val="tx1"/>
            </w14:solidFill>
          </w14:textFill>
        </w:rPr>
      </w:pPr>
      <w:r>
        <w:rPr>
          <w:rFonts w:hint="default" w:ascii="Times New Roman" w:hAnsi="Times New Roman" w:eastAsia="方正小标宋简体" w:cs="Times New Roman"/>
          <w:color w:val="000000" w:themeColor="text1"/>
          <w:spacing w:val="6"/>
          <w:sz w:val="36"/>
          <w:szCs w:val="36"/>
          <w:lang w:bidi="ar"/>
          <w14:textFill>
            <w14:solidFill>
              <w14:schemeClr w14:val="tx1"/>
            </w14:solidFill>
          </w14:textFill>
        </w:rPr>
        <w:t>广元市昭化区财政项目支出绩效自评表</w:t>
      </w:r>
    </w:p>
    <w:p w14:paraId="652047F1">
      <w:pPr>
        <w:keepNext w:val="0"/>
        <w:keepLines w:val="0"/>
        <w:pageBreakBefore w:val="0"/>
        <w:widowControl w:val="0"/>
        <w:kinsoku/>
        <w:wordWrap/>
        <w:topLinePunct w:val="0"/>
        <w:bidi w:val="0"/>
        <w:adjustRightInd w:val="0"/>
        <w:snapToGrid w:val="0"/>
        <w:spacing w:beforeLines="0" w:afterLines="0"/>
        <w:jc w:val="center"/>
        <w:textAlignment w:val="top"/>
        <w:rPr>
          <w:rFonts w:hint="default" w:ascii="Times New Roman" w:hAnsi="Times New Roman" w:cs="Times New Roman"/>
          <w:b/>
          <w:color w:val="000000" w:themeColor="text1"/>
          <w:spacing w:val="6"/>
          <w:sz w:val="24"/>
          <w:szCs w:val="24"/>
          <w14:textFill>
            <w14:solidFill>
              <w14:schemeClr w14:val="tx1"/>
            </w14:solidFill>
          </w14:textFill>
        </w:rPr>
      </w:pPr>
      <w:r>
        <w:rPr>
          <w:rFonts w:hint="default" w:ascii="Times New Roman" w:hAnsi="Times New Roman" w:cs="Times New Roman"/>
          <w:b/>
          <w:color w:val="000000" w:themeColor="text1"/>
          <w:spacing w:val="6"/>
          <w:sz w:val="24"/>
          <w:szCs w:val="24"/>
          <w:lang w:bidi="ar"/>
          <w14:textFill>
            <w14:solidFill>
              <w14:schemeClr w14:val="tx1"/>
            </w14:solidFill>
          </w14:textFill>
        </w:rPr>
        <w:t>（ 2023年度）</w:t>
      </w:r>
    </w:p>
    <w:tbl>
      <w:tblPr>
        <w:tblStyle w:val="11"/>
        <w:tblW w:w="93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8"/>
        <w:gridCol w:w="813"/>
        <w:gridCol w:w="1076"/>
        <w:gridCol w:w="1088"/>
        <w:gridCol w:w="1943"/>
        <w:gridCol w:w="1316"/>
        <w:gridCol w:w="1258"/>
        <w:gridCol w:w="1177"/>
      </w:tblGrid>
      <w:tr w14:paraId="1330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E456D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项目（政策）名称</w:t>
            </w:r>
          </w:p>
        </w:tc>
        <w:tc>
          <w:tcPr>
            <w:tcW w:w="7858"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3D5F4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2021省级综合改革及发展专项资金</w:t>
            </w:r>
          </w:p>
        </w:tc>
      </w:tr>
      <w:tr w14:paraId="1E4C6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F015D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主管部门</w:t>
            </w:r>
          </w:p>
        </w:tc>
        <w:tc>
          <w:tcPr>
            <w:tcW w:w="410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9458D6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广元市昭化区供销合作社联合社部门</w:t>
            </w:r>
          </w:p>
        </w:tc>
        <w:tc>
          <w:tcPr>
            <w:tcW w:w="1316" w:type="dxa"/>
            <w:tcBorders>
              <w:top w:val="single" w:color="000000" w:sz="4" w:space="0"/>
              <w:left w:val="single" w:color="000000" w:sz="4" w:space="0"/>
              <w:bottom w:val="single" w:color="000000" w:sz="4" w:space="0"/>
              <w:right w:val="single" w:color="auto" w:sz="4" w:space="0"/>
              <w:tl2br w:val="nil"/>
              <w:tr2bl w:val="nil"/>
            </w:tcBorders>
            <w:noWrap w:val="0"/>
            <w:vAlign w:val="center"/>
          </w:tcPr>
          <w:p w14:paraId="591D3DB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实施单位</w:t>
            </w:r>
          </w:p>
        </w:tc>
        <w:tc>
          <w:tcPr>
            <w:tcW w:w="2435" w:type="dxa"/>
            <w:gridSpan w:val="2"/>
            <w:tcBorders>
              <w:top w:val="single" w:color="auto" w:sz="4" w:space="0"/>
              <w:left w:val="single" w:color="auto" w:sz="4" w:space="0"/>
              <w:bottom w:val="single" w:color="000000" w:sz="4" w:space="0"/>
              <w:right w:val="single" w:color="auto" w:sz="4" w:space="0"/>
              <w:tl2br w:val="nil"/>
              <w:tr2bl w:val="nil"/>
            </w:tcBorders>
            <w:noWrap w:val="0"/>
            <w:vAlign w:val="center"/>
          </w:tcPr>
          <w:p w14:paraId="7F7A5E4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广元市昭化区供销合作社联合社</w:t>
            </w:r>
          </w:p>
        </w:tc>
      </w:tr>
      <w:tr w14:paraId="47CC9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541"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0C29346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项目（政策）资金（万元）</w:t>
            </w:r>
          </w:p>
        </w:tc>
        <w:tc>
          <w:tcPr>
            <w:tcW w:w="2164" w:type="dxa"/>
            <w:gridSpan w:val="2"/>
            <w:tcBorders>
              <w:top w:val="nil"/>
              <w:left w:val="single" w:color="000000" w:sz="4" w:space="0"/>
              <w:bottom w:val="single" w:color="000000" w:sz="4" w:space="0"/>
              <w:right w:val="single" w:color="000000" w:sz="4" w:space="0"/>
              <w:tl2br w:val="nil"/>
              <w:tr2bl w:val="nil"/>
            </w:tcBorders>
            <w:noWrap w:val="0"/>
            <w:vAlign w:val="center"/>
          </w:tcPr>
          <w:p w14:paraId="67CD04C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年度预算数（万元）</w:t>
            </w:r>
          </w:p>
        </w:tc>
        <w:tc>
          <w:tcPr>
            <w:tcW w:w="1943" w:type="dxa"/>
            <w:tcBorders>
              <w:top w:val="nil"/>
              <w:left w:val="single" w:color="000000" w:sz="4" w:space="0"/>
              <w:bottom w:val="single" w:color="000000" w:sz="4" w:space="0"/>
              <w:right w:val="single" w:color="000000" w:sz="4" w:space="0"/>
              <w:tl2br w:val="nil"/>
              <w:tr2bl w:val="nil"/>
            </w:tcBorders>
            <w:noWrap w:val="0"/>
            <w:vAlign w:val="center"/>
          </w:tcPr>
          <w:p w14:paraId="75DA9F8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年初预算数</w:t>
            </w:r>
          </w:p>
        </w:tc>
        <w:tc>
          <w:tcPr>
            <w:tcW w:w="1316" w:type="dxa"/>
            <w:tcBorders>
              <w:top w:val="nil"/>
              <w:left w:val="single" w:color="000000" w:sz="4" w:space="0"/>
              <w:bottom w:val="single" w:color="000000" w:sz="4" w:space="0"/>
              <w:right w:val="single" w:color="auto" w:sz="4" w:space="0"/>
              <w:tl2br w:val="nil"/>
              <w:tr2bl w:val="nil"/>
            </w:tcBorders>
            <w:noWrap w:val="0"/>
            <w:vAlign w:val="center"/>
          </w:tcPr>
          <w:p w14:paraId="078903C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全年预算数</w:t>
            </w:r>
          </w:p>
        </w:tc>
        <w:tc>
          <w:tcPr>
            <w:tcW w:w="1258" w:type="dxa"/>
            <w:tcBorders>
              <w:top w:val="nil"/>
              <w:left w:val="single" w:color="auto" w:sz="4" w:space="0"/>
              <w:bottom w:val="single" w:color="auto" w:sz="4" w:space="0"/>
              <w:right w:val="single" w:color="000000" w:sz="4" w:space="0"/>
              <w:tl2br w:val="nil"/>
              <w:tr2bl w:val="nil"/>
            </w:tcBorders>
            <w:noWrap w:val="0"/>
            <w:vAlign w:val="center"/>
          </w:tcPr>
          <w:p w14:paraId="4FCCAF9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全年执行数</w:t>
            </w:r>
          </w:p>
        </w:tc>
        <w:tc>
          <w:tcPr>
            <w:tcW w:w="1177" w:type="dxa"/>
            <w:tcBorders>
              <w:top w:val="nil"/>
              <w:left w:val="single" w:color="000000" w:sz="4" w:space="0"/>
              <w:bottom w:val="single" w:color="auto" w:sz="4" w:space="0"/>
              <w:right w:val="single" w:color="auto" w:sz="4" w:space="0"/>
              <w:tl2br w:val="nil"/>
              <w:tr2bl w:val="nil"/>
            </w:tcBorders>
            <w:noWrap w:val="0"/>
            <w:vAlign w:val="center"/>
          </w:tcPr>
          <w:p w14:paraId="02C9F20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执行率</w:t>
            </w:r>
          </w:p>
        </w:tc>
      </w:tr>
      <w:tr w14:paraId="6E72B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54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1A1B4DD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21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BD383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年度资金总额</w:t>
            </w:r>
          </w:p>
        </w:tc>
        <w:tc>
          <w:tcPr>
            <w:tcW w:w="1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2CEBAE2">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52</w:t>
            </w:r>
          </w:p>
        </w:tc>
        <w:tc>
          <w:tcPr>
            <w:tcW w:w="13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F74EF6">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52</w:t>
            </w:r>
          </w:p>
        </w:tc>
        <w:tc>
          <w:tcPr>
            <w:tcW w:w="1258"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10DE5FBC">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52</w:t>
            </w:r>
          </w:p>
        </w:tc>
        <w:tc>
          <w:tcPr>
            <w:tcW w:w="1177" w:type="dxa"/>
            <w:tcBorders>
              <w:top w:val="single" w:color="auto" w:sz="4" w:space="0"/>
              <w:left w:val="single" w:color="000000" w:sz="4" w:space="0"/>
              <w:bottom w:val="single" w:color="000000" w:sz="4" w:space="0"/>
              <w:right w:val="single" w:color="000000" w:sz="4" w:space="0"/>
              <w:tl2br w:val="nil"/>
              <w:tr2bl w:val="nil"/>
            </w:tcBorders>
            <w:noWrap w:val="0"/>
            <w:vAlign w:val="center"/>
          </w:tcPr>
          <w:p w14:paraId="0266CEF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100%</w:t>
            </w:r>
          </w:p>
        </w:tc>
      </w:tr>
      <w:tr w14:paraId="28D51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54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747C9FF3">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21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CAB357">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（一）财政拨款小计</w:t>
            </w:r>
          </w:p>
        </w:tc>
        <w:tc>
          <w:tcPr>
            <w:tcW w:w="1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40A067">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52</w:t>
            </w:r>
          </w:p>
        </w:tc>
        <w:tc>
          <w:tcPr>
            <w:tcW w:w="13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7B86FE">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52</w:t>
            </w:r>
          </w:p>
        </w:tc>
        <w:tc>
          <w:tcPr>
            <w:tcW w:w="12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809C21">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52</w:t>
            </w:r>
          </w:p>
        </w:tc>
        <w:tc>
          <w:tcPr>
            <w:tcW w:w="1177" w:type="dxa"/>
            <w:tcBorders>
              <w:top w:val="nil"/>
              <w:left w:val="single" w:color="000000" w:sz="4" w:space="0"/>
              <w:bottom w:val="single" w:color="000000" w:sz="4" w:space="0"/>
              <w:right w:val="single" w:color="000000" w:sz="4" w:space="0"/>
              <w:tl2br w:val="nil"/>
              <w:tr2bl w:val="nil"/>
            </w:tcBorders>
            <w:noWrap w:val="0"/>
            <w:vAlign w:val="center"/>
          </w:tcPr>
          <w:p w14:paraId="0BF0A16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100%</w:t>
            </w:r>
          </w:p>
        </w:tc>
      </w:tr>
      <w:tr w14:paraId="0D8A9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1541"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F1128B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2164"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A57DEC">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 xml:space="preserve">   1.一般公共预算</w:t>
            </w:r>
          </w:p>
        </w:tc>
        <w:tc>
          <w:tcPr>
            <w:tcW w:w="1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7DD9BE">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52</w:t>
            </w:r>
          </w:p>
        </w:tc>
        <w:tc>
          <w:tcPr>
            <w:tcW w:w="13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C06120">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52</w:t>
            </w:r>
          </w:p>
        </w:tc>
        <w:tc>
          <w:tcPr>
            <w:tcW w:w="12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3DF1A0">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52</w:t>
            </w:r>
          </w:p>
        </w:tc>
        <w:tc>
          <w:tcPr>
            <w:tcW w:w="1177" w:type="dxa"/>
            <w:tcBorders>
              <w:top w:val="nil"/>
              <w:left w:val="single" w:color="000000" w:sz="4" w:space="0"/>
              <w:bottom w:val="single" w:color="000000" w:sz="4" w:space="0"/>
              <w:right w:val="single" w:color="000000" w:sz="4" w:space="0"/>
              <w:tl2br w:val="nil"/>
              <w:tr2bl w:val="nil"/>
            </w:tcBorders>
            <w:noWrap w:val="0"/>
            <w:vAlign w:val="center"/>
          </w:tcPr>
          <w:p w14:paraId="37112BF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100%</w:t>
            </w:r>
          </w:p>
        </w:tc>
      </w:tr>
      <w:tr w14:paraId="3ACF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2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A6A4B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年度总体目标</w:t>
            </w:r>
          </w:p>
        </w:tc>
        <w:tc>
          <w:tcPr>
            <w:tcW w:w="49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81A819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预期目标</w:t>
            </w:r>
          </w:p>
        </w:tc>
        <w:tc>
          <w:tcPr>
            <w:tcW w:w="375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6D84A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全年实际完成情况</w:t>
            </w:r>
          </w:p>
        </w:tc>
      </w:tr>
      <w:tr w14:paraId="3766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8" w:hRule="atLeast"/>
          <w:jc w:val="center"/>
        </w:trPr>
        <w:tc>
          <w:tcPr>
            <w:tcW w:w="72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F2094C8">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9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00D851">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目标1.培育基层社高质量发展，完善乡镇和村社服务网络，改善服务设施，提升综合服务能力，推动集体经济发展壮大。</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目标2.推动社有企业转型升级，促进增加投资，完善经营设施，优化网络布局，提升信息化能力。</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目标3.促进区域服务资源整合，推动流通主业向农业生产，管理服务拓展，探索建立一二三产业融合的农业社会化服务生态。</w:t>
            </w:r>
          </w:p>
        </w:tc>
        <w:tc>
          <w:tcPr>
            <w:tcW w:w="375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D9077D">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培育基层社高质量发展，完善乡镇和村社服务网络，改善服务设施，提升综合服务能力，推动集体经济发展壮大。推动社有企业转型升级，促进增加投资，完善经营设施，优化网络布局，提升信息化能力。促进区域服务资源整合，推动流通主业向农业生产，管理服务拓展，探索建立一二三产业融合的农业社会化服务生态。</w:t>
            </w:r>
          </w:p>
        </w:tc>
      </w:tr>
      <w:tr w14:paraId="1FEA5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28"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346B75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绩效</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指标</w:t>
            </w:r>
          </w:p>
        </w:tc>
        <w:tc>
          <w:tcPr>
            <w:tcW w:w="8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704465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一级指标</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986F3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二级指标</w:t>
            </w:r>
          </w:p>
        </w:tc>
        <w:tc>
          <w:tcPr>
            <w:tcW w:w="303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42AEB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三级指标</w:t>
            </w:r>
          </w:p>
        </w:tc>
        <w:tc>
          <w:tcPr>
            <w:tcW w:w="13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0B669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年度指标值</w:t>
            </w:r>
          </w:p>
        </w:tc>
        <w:tc>
          <w:tcPr>
            <w:tcW w:w="12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54AE7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实际完成值</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17858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偏差原因分析及改进措施</w:t>
            </w:r>
          </w:p>
        </w:tc>
      </w:tr>
      <w:tr w14:paraId="642AB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2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937C89">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0DB33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产出指标</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69C28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数量指标</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5E8FD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AD5AE7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基层社示范社数量4个，全资会计服务中心1个</w:t>
            </w:r>
          </w:p>
        </w:tc>
        <w:tc>
          <w:tcPr>
            <w:tcW w:w="13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7E5A1D">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5个</w:t>
            </w:r>
          </w:p>
        </w:tc>
        <w:tc>
          <w:tcPr>
            <w:tcW w:w="12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E876C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5个</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70DCCA">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19E3D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2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E28CCA">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A8F19D">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A5466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质量指标</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3E570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AC82D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基层社综合服务功能明细提升</w:t>
            </w:r>
          </w:p>
        </w:tc>
        <w:tc>
          <w:tcPr>
            <w:tcW w:w="13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5C1B783">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效果明显</w:t>
            </w:r>
          </w:p>
        </w:tc>
        <w:tc>
          <w:tcPr>
            <w:tcW w:w="12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6766CD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效果明显</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2277B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2D822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2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57F0EC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80C998">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AAC5C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时效指标</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C5F71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1FC3AF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供销系统农资、农产品流通设施和能力明显改善</w:t>
            </w:r>
          </w:p>
        </w:tc>
        <w:tc>
          <w:tcPr>
            <w:tcW w:w="13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45015E2">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30元/年</w:t>
            </w:r>
          </w:p>
        </w:tc>
        <w:tc>
          <w:tcPr>
            <w:tcW w:w="12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4138B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30元/年</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94D0AE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3617C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2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CFFA4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13"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85CBA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效益指标</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F97BB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经济效益</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指标</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02989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9CBE4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全资控股基层营业收入</w:t>
            </w:r>
          </w:p>
        </w:tc>
        <w:tc>
          <w:tcPr>
            <w:tcW w:w="13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76B38A">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效果明显</w:t>
            </w:r>
          </w:p>
        </w:tc>
        <w:tc>
          <w:tcPr>
            <w:tcW w:w="12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4303C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效果明显</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516F23">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6DA89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72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0CEBFA">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13"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92C654">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DC515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社会效益</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指标</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CFD3C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48564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全资控股社有企业实现税费</w:t>
            </w:r>
          </w:p>
        </w:tc>
        <w:tc>
          <w:tcPr>
            <w:tcW w:w="13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DA838C">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10元/年</w:t>
            </w:r>
          </w:p>
        </w:tc>
        <w:tc>
          <w:tcPr>
            <w:tcW w:w="12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7FEF5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10元/年</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83983C8">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7DC32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728"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06019">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1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8E409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满意度</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指标</w:t>
            </w:r>
          </w:p>
        </w:tc>
        <w:tc>
          <w:tcPr>
            <w:tcW w:w="107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CBFFE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服务对象满意度指标</w:t>
            </w:r>
          </w:p>
        </w:tc>
        <w:tc>
          <w:tcPr>
            <w:tcW w:w="108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48102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94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6A103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群众满意度</w:t>
            </w:r>
          </w:p>
        </w:tc>
        <w:tc>
          <w:tcPr>
            <w:tcW w:w="131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54AC52A">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95%</w:t>
            </w:r>
          </w:p>
        </w:tc>
        <w:tc>
          <w:tcPr>
            <w:tcW w:w="125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60C63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95%</w:t>
            </w:r>
          </w:p>
        </w:tc>
        <w:tc>
          <w:tcPr>
            <w:tcW w:w="11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4ECA5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bl>
    <w:p w14:paraId="1548BFB1">
      <w:pPr>
        <w:keepNext w:val="0"/>
        <w:keepLines w:val="0"/>
        <w:pageBreakBefore w:val="0"/>
        <w:widowControl w:val="0"/>
        <w:kinsoku/>
        <w:wordWrap/>
        <w:topLinePunct w:val="0"/>
        <w:bidi w:val="0"/>
        <w:adjustRightInd w:val="0"/>
        <w:snapToGrid w:val="0"/>
        <w:spacing w:beforeLines="0" w:afterLines="0" w:line="576" w:lineRule="exact"/>
        <w:ind w:firstLine="640"/>
        <w:jc w:val="both"/>
        <w:rPr>
          <w:rFonts w:hint="default" w:ascii="Times New Roman" w:hAnsi="Times New Roman" w:cs="Times New Roman"/>
          <w:color w:val="000000" w:themeColor="text1"/>
          <w:spacing w:val="0"/>
          <w:sz w:val="28"/>
          <w:szCs w:val="28"/>
          <w14:textFill>
            <w14:solidFill>
              <w14:schemeClr w14:val="tx1"/>
            </w14:solidFill>
          </w14:textFill>
        </w:rPr>
      </w:pPr>
    </w:p>
    <w:p w14:paraId="3206C3AA">
      <w:pPr>
        <w:pStyle w:val="2"/>
        <w:ind w:left="0" w:leftChars="0" w:firstLine="0" w:firstLineChars="0"/>
        <w:rPr>
          <w:rFonts w:hint="eastAsia" w:eastAsia="宋体"/>
          <w:lang w:val="en-US" w:eastAsia="zh-CN"/>
        </w:rPr>
      </w:pPr>
      <w:r>
        <w:rPr>
          <w:rFonts w:hint="eastAsia" w:ascii="黑体" w:hAnsi="黑体" w:eastAsia="黑体" w:cs="黑体"/>
          <w:b w:val="0"/>
          <w:bCs w:val="0"/>
          <w:color w:val="000000" w:themeColor="text1"/>
          <w:spacing w:val="0"/>
          <w:kern w:val="2"/>
          <w:sz w:val="32"/>
          <w:szCs w:val="32"/>
          <w14:textFill>
            <w14:solidFill>
              <w14:schemeClr w14:val="tx1"/>
            </w14:solidFill>
          </w14:textFill>
        </w:rPr>
        <w:t>附表</w:t>
      </w:r>
      <w:r>
        <w:rPr>
          <w:rFonts w:hint="eastAsia" w:ascii="Times New Roman" w:cs="Times New Roman"/>
          <w:b w:val="0"/>
          <w:bCs w:val="0"/>
          <w:color w:val="000000" w:themeColor="text1"/>
          <w:spacing w:val="0"/>
          <w:kern w:val="2"/>
          <w:sz w:val="32"/>
          <w:szCs w:val="32"/>
          <w:lang w:val="en-US" w:eastAsia="zh-CN"/>
          <w14:textFill>
            <w14:solidFill>
              <w14:schemeClr w14:val="tx1"/>
            </w14:solidFill>
          </w14:textFill>
        </w:rPr>
        <w:t>2</w:t>
      </w:r>
    </w:p>
    <w:p w14:paraId="2B1FC9DE">
      <w:pPr>
        <w:pStyle w:val="6"/>
        <w:keepNext w:val="0"/>
        <w:keepLines w:val="0"/>
        <w:pageBreakBefore w:val="0"/>
        <w:widowControl w:val="0"/>
        <w:kinsoku/>
        <w:wordWrap/>
        <w:topLinePunct w:val="0"/>
        <w:bidi w:val="0"/>
        <w:adjustRightInd w:val="0"/>
        <w:snapToGrid w:val="0"/>
        <w:spacing w:afterLines="0"/>
        <w:rPr>
          <w:rFonts w:hint="default" w:ascii="Times New Roman" w:hAnsi="Times New Roman" w:cs="Times New Roman"/>
          <w:color w:val="000000" w:themeColor="text1"/>
          <w:spacing w:val="0"/>
          <w:sz w:val="28"/>
          <w:szCs w:val="28"/>
          <w14:textFill>
            <w14:solidFill>
              <w14:schemeClr w14:val="tx1"/>
            </w14:solidFill>
          </w14:textFill>
        </w:rPr>
      </w:pPr>
    </w:p>
    <w:p w14:paraId="11DB2D0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eastAsia="方正小标宋简体" w:cs="Times New Roman"/>
          <w:color w:val="000000" w:themeColor="text1"/>
          <w:spacing w:val="6"/>
          <w:sz w:val="36"/>
          <w:szCs w:val="36"/>
          <w14:textFill>
            <w14:solidFill>
              <w14:schemeClr w14:val="tx1"/>
            </w14:solidFill>
          </w14:textFill>
        </w:rPr>
      </w:pPr>
      <w:r>
        <w:rPr>
          <w:rFonts w:hint="default" w:ascii="Times New Roman" w:hAnsi="Times New Roman" w:eastAsia="方正小标宋简体" w:cs="Times New Roman"/>
          <w:color w:val="000000" w:themeColor="text1"/>
          <w:spacing w:val="6"/>
          <w:sz w:val="36"/>
          <w:szCs w:val="36"/>
          <w:lang w:bidi="ar"/>
          <w14:textFill>
            <w14:solidFill>
              <w14:schemeClr w14:val="tx1"/>
            </w14:solidFill>
          </w14:textFill>
        </w:rPr>
        <w:t>广元市昭化区财政项目（政策）支出绩效自评表</w:t>
      </w:r>
    </w:p>
    <w:p w14:paraId="1BBDA670">
      <w:pPr>
        <w:keepNext w:val="0"/>
        <w:keepLines w:val="0"/>
        <w:pageBreakBefore w:val="0"/>
        <w:widowControl w:val="0"/>
        <w:kinsoku/>
        <w:wordWrap/>
        <w:topLinePunct w:val="0"/>
        <w:bidi w:val="0"/>
        <w:adjustRightInd w:val="0"/>
        <w:snapToGrid w:val="0"/>
        <w:spacing w:beforeLines="0" w:afterLines="0"/>
        <w:jc w:val="center"/>
        <w:textAlignment w:val="top"/>
        <w:rPr>
          <w:rFonts w:hint="default" w:ascii="Times New Roman" w:hAnsi="Times New Roman" w:cs="Times New Roman"/>
          <w:b/>
          <w:color w:val="000000" w:themeColor="text1"/>
          <w:spacing w:val="6"/>
          <w:sz w:val="24"/>
          <w:szCs w:val="24"/>
          <w14:textFill>
            <w14:solidFill>
              <w14:schemeClr w14:val="tx1"/>
            </w14:solidFill>
          </w14:textFill>
        </w:rPr>
      </w:pPr>
      <w:r>
        <w:rPr>
          <w:rFonts w:hint="default" w:ascii="Times New Roman" w:hAnsi="Times New Roman" w:cs="Times New Roman"/>
          <w:b/>
          <w:color w:val="000000" w:themeColor="text1"/>
          <w:spacing w:val="6"/>
          <w:sz w:val="24"/>
          <w:szCs w:val="24"/>
          <w:lang w:bidi="ar"/>
          <w14:textFill>
            <w14:solidFill>
              <w14:schemeClr w14:val="tx1"/>
            </w14:solidFill>
          </w14:textFill>
        </w:rPr>
        <w:t>（ 2023年度）</w:t>
      </w:r>
    </w:p>
    <w:tbl>
      <w:tblPr>
        <w:tblStyle w:val="11"/>
        <w:tblW w:w="92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32"/>
        <w:gridCol w:w="817"/>
        <w:gridCol w:w="1082"/>
        <w:gridCol w:w="1093"/>
        <w:gridCol w:w="1784"/>
        <w:gridCol w:w="1323"/>
        <w:gridCol w:w="1265"/>
        <w:gridCol w:w="1183"/>
      </w:tblGrid>
      <w:tr w14:paraId="69BF3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5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CDD09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项目（政策）名称</w:t>
            </w:r>
          </w:p>
        </w:tc>
        <w:tc>
          <w:tcPr>
            <w:tcW w:w="7730" w:type="dxa"/>
            <w:gridSpan w:val="6"/>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B8E0B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2022省级综合改革及发展专项资金</w:t>
            </w:r>
          </w:p>
        </w:tc>
      </w:tr>
      <w:tr w14:paraId="46BCC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49"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84C938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主管部门</w:t>
            </w:r>
          </w:p>
        </w:tc>
        <w:tc>
          <w:tcPr>
            <w:tcW w:w="3959"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F5512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广元市昭化区供销合作社联合社部门</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3BB07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实施单位</w:t>
            </w:r>
          </w:p>
        </w:tc>
        <w:tc>
          <w:tcPr>
            <w:tcW w:w="2448" w:type="dxa"/>
            <w:gridSpan w:val="2"/>
            <w:tcBorders>
              <w:top w:val="single" w:color="000000" w:sz="4" w:space="0"/>
              <w:left w:val="single" w:color="000000" w:sz="4" w:space="0"/>
              <w:bottom w:val="single" w:color="000000" w:sz="4" w:space="0"/>
              <w:right w:val="single" w:color="auto" w:sz="4" w:space="0"/>
              <w:tl2br w:val="nil"/>
              <w:tr2bl w:val="nil"/>
            </w:tcBorders>
            <w:noWrap w:val="0"/>
            <w:vAlign w:val="center"/>
          </w:tcPr>
          <w:p w14:paraId="52FE9B7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广元市昭化区供销合作社联合社</w:t>
            </w:r>
          </w:p>
        </w:tc>
      </w:tr>
      <w:tr w14:paraId="02301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49" w:type="dxa"/>
            <w:gridSpan w:val="2"/>
            <w:vMerge w:val="restart"/>
            <w:tcBorders>
              <w:top w:val="single" w:color="000000" w:sz="4" w:space="0"/>
              <w:left w:val="single" w:color="000000" w:sz="4" w:space="0"/>
              <w:bottom w:val="nil"/>
              <w:right w:val="single" w:color="000000" w:sz="4" w:space="0"/>
              <w:tl2br w:val="nil"/>
              <w:tr2bl w:val="nil"/>
            </w:tcBorders>
            <w:noWrap w:val="0"/>
            <w:vAlign w:val="center"/>
          </w:tcPr>
          <w:p w14:paraId="611236C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项目（政策）资金（万元）</w:t>
            </w:r>
          </w:p>
        </w:tc>
        <w:tc>
          <w:tcPr>
            <w:tcW w:w="2175" w:type="dxa"/>
            <w:gridSpan w:val="2"/>
            <w:tcBorders>
              <w:top w:val="nil"/>
              <w:left w:val="single" w:color="000000" w:sz="4" w:space="0"/>
              <w:bottom w:val="single" w:color="000000" w:sz="4" w:space="0"/>
              <w:right w:val="single" w:color="000000" w:sz="4" w:space="0"/>
              <w:tl2br w:val="nil"/>
              <w:tr2bl w:val="nil"/>
            </w:tcBorders>
            <w:noWrap w:val="0"/>
            <w:vAlign w:val="center"/>
          </w:tcPr>
          <w:p w14:paraId="650C7D5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年度预算数（万元）</w:t>
            </w:r>
          </w:p>
        </w:tc>
        <w:tc>
          <w:tcPr>
            <w:tcW w:w="1784" w:type="dxa"/>
            <w:tcBorders>
              <w:top w:val="nil"/>
              <w:left w:val="single" w:color="000000" w:sz="4" w:space="0"/>
              <w:bottom w:val="single" w:color="000000" w:sz="4" w:space="0"/>
              <w:right w:val="single" w:color="000000" w:sz="4" w:space="0"/>
              <w:tl2br w:val="nil"/>
              <w:tr2bl w:val="nil"/>
            </w:tcBorders>
            <w:noWrap w:val="0"/>
            <w:vAlign w:val="center"/>
          </w:tcPr>
          <w:p w14:paraId="3E098358">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年初预算数</w:t>
            </w:r>
          </w:p>
        </w:tc>
        <w:tc>
          <w:tcPr>
            <w:tcW w:w="1323" w:type="dxa"/>
            <w:tcBorders>
              <w:top w:val="nil"/>
              <w:left w:val="single" w:color="000000" w:sz="4" w:space="0"/>
              <w:bottom w:val="single" w:color="000000" w:sz="4" w:space="0"/>
              <w:right w:val="single" w:color="000000" w:sz="4" w:space="0"/>
              <w:tl2br w:val="nil"/>
              <w:tr2bl w:val="nil"/>
            </w:tcBorders>
            <w:noWrap w:val="0"/>
            <w:vAlign w:val="center"/>
          </w:tcPr>
          <w:p w14:paraId="2367F5B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全年预算数</w:t>
            </w:r>
          </w:p>
        </w:tc>
        <w:tc>
          <w:tcPr>
            <w:tcW w:w="1265" w:type="dxa"/>
            <w:tcBorders>
              <w:top w:val="nil"/>
              <w:left w:val="single" w:color="000000" w:sz="4" w:space="0"/>
              <w:bottom w:val="single" w:color="000000" w:sz="4" w:space="0"/>
              <w:right w:val="single" w:color="000000" w:sz="4" w:space="0"/>
              <w:tl2br w:val="nil"/>
              <w:tr2bl w:val="nil"/>
            </w:tcBorders>
            <w:noWrap w:val="0"/>
            <w:vAlign w:val="center"/>
          </w:tcPr>
          <w:p w14:paraId="5FF67FB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全年执行数</w:t>
            </w:r>
          </w:p>
        </w:tc>
        <w:tc>
          <w:tcPr>
            <w:tcW w:w="1183" w:type="dxa"/>
            <w:tcBorders>
              <w:top w:val="nil"/>
              <w:left w:val="single" w:color="000000" w:sz="4" w:space="0"/>
              <w:bottom w:val="single" w:color="000000" w:sz="4" w:space="0"/>
              <w:right w:val="single" w:color="auto" w:sz="4" w:space="0"/>
              <w:tl2br w:val="nil"/>
              <w:tr2bl w:val="nil"/>
            </w:tcBorders>
            <w:noWrap w:val="0"/>
            <w:vAlign w:val="center"/>
          </w:tcPr>
          <w:p w14:paraId="5D02B2F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执行率</w:t>
            </w:r>
          </w:p>
        </w:tc>
      </w:tr>
      <w:tr w14:paraId="5DC77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49"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332DFE2C">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CC999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年度资金总额</w:t>
            </w:r>
          </w:p>
        </w:tc>
        <w:tc>
          <w:tcPr>
            <w:tcW w:w="1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80CE81">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42</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FA325EF">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42</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5BC3DF">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42</w:t>
            </w:r>
          </w:p>
        </w:tc>
        <w:tc>
          <w:tcPr>
            <w:tcW w:w="1183" w:type="dxa"/>
            <w:tcBorders>
              <w:top w:val="nil"/>
              <w:left w:val="single" w:color="000000" w:sz="4" w:space="0"/>
              <w:bottom w:val="single" w:color="000000" w:sz="4" w:space="0"/>
              <w:right w:val="single" w:color="000000" w:sz="4" w:space="0"/>
              <w:tl2br w:val="nil"/>
              <w:tr2bl w:val="nil"/>
            </w:tcBorders>
            <w:noWrap w:val="0"/>
            <w:vAlign w:val="center"/>
          </w:tcPr>
          <w:p w14:paraId="095B13B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100%</w:t>
            </w:r>
          </w:p>
        </w:tc>
      </w:tr>
      <w:tr w14:paraId="371F3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49"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0E16081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A0166B">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（一）财政拨款小计</w:t>
            </w:r>
          </w:p>
        </w:tc>
        <w:tc>
          <w:tcPr>
            <w:tcW w:w="1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D8A280">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42</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CD174A">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42</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94585B">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42</w:t>
            </w:r>
          </w:p>
        </w:tc>
        <w:tc>
          <w:tcPr>
            <w:tcW w:w="1183" w:type="dxa"/>
            <w:tcBorders>
              <w:top w:val="nil"/>
              <w:left w:val="single" w:color="000000" w:sz="4" w:space="0"/>
              <w:bottom w:val="single" w:color="000000" w:sz="4" w:space="0"/>
              <w:right w:val="single" w:color="000000" w:sz="4" w:space="0"/>
              <w:tl2br w:val="nil"/>
              <w:tr2bl w:val="nil"/>
            </w:tcBorders>
            <w:noWrap w:val="0"/>
            <w:vAlign w:val="center"/>
          </w:tcPr>
          <w:p w14:paraId="60C3B8A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100%</w:t>
            </w:r>
          </w:p>
        </w:tc>
      </w:tr>
      <w:tr w14:paraId="5FCF5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549" w:type="dxa"/>
            <w:gridSpan w:val="2"/>
            <w:vMerge w:val="continue"/>
            <w:tcBorders>
              <w:top w:val="single" w:color="000000" w:sz="4" w:space="0"/>
              <w:left w:val="single" w:color="000000" w:sz="4" w:space="0"/>
              <w:bottom w:val="nil"/>
              <w:right w:val="single" w:color="000000" w:sz="4" w:space="0"/>
              <w:tl2br w:val="nil"/>
              <w:tr2bl w:val="nil"/>
            </w:tcBorders>
            <w:noWrap w:val="0"/>
            <w:vAlign w:val="center"/>
          </w:tcPr>
          <w:p w14:paraId="4DA4AAC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2175"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A162D3">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 xml:space="preserve">   1.一般公共预算</w:t>
            </w:r>
          </w:p>
        </w:tc>
        <w:tc>
          <w:tcPr>
            <w:tcW w:w="1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9AE4AC">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42</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E93766">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42</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858905">
            <w:pPr>
              <w:keepNext w:val="0"/>
              <w:keepLines w:val="0"/>
              <w:pageBreakBefore w:val="0"/>
              <w:widowControl w:val="0"/>
              <w:kinsoku/>
              <w:wordWrap/>
              <w:topLinePunct w:val="0"/>
              <w:bidi w:val="0"/>
              <w:adjustRightInd w:val="0"/>
              <w:snapToGrid w:val="0"/>
              <w:spacing w:beforeLines="0" w:afterLines="0"/>
              <w:jc w:val="both"/>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42</w:t>
            </w:r>
          </w:p>
        </w:tc>
        <w:tc>
          <w:tcPr>
            <w:tcW w:w="1183" w:type="dxa"/>
            <w:tcBorders>
              <w:top w:val="nil"/>
              <w:left w:val="single" w:color="000000" w:sz="4" w:space="0"/>
              <w:bottom w:val="single" w:color="000000" w:sz="4" w:space="0"/>
              <w:right w:val="single" w:color="000000" w:sz="4" w:space="0"/>
              <w:tl2br w:val="nil"/>
              <w:tr2bl w:val="nil"/>
            </w:tcBorders>
            <w:noWrap w:val="0"/>
            <w:vAlign w:val="center"/>
          </w:tcPr>
          <w:p w14:paraId="1EBA0A1A">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100%</w:t>
            </w:r>
          </w:p>
        </w:tc>
      </w:tr>
      <w:tr w14:paraId="4C778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3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7E8B29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年度总体目标</w:t>
            </w:r>
          </w:p>
        </w:tc>
        <w:tc>
          <w:tcPr>
            <w:tcW w:w="477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E3C17D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预期目标</w:t>
            </w:r>
          </w:p>
        </w:tc>
        <w:tc>
          <w:tcPr>
            <w:tcW w:w="377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7A96B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全年实际完成情况</w:t>
            </w:r>
          </w:p>
        </w:tc>
      </w:tr>
      <w:tr w14:paraId="0BFBE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8" w:hRule="atLeast"/>
          <w:jc w:val="center"/>
        </w:trPr>
        <w:tc>
          <w:tcPr>
            <w:tcW w:w="7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43F5A0">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4776"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6615C9">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1.促进基层社高质量发展，完善乡镇和村社服务网络，改善服务设施，提升综合服务能力。</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2.推动社有企业转型升级，促进增加投资，完善经营设施，优化网络布局，提升信息化能力。</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3.促进县域服务资源整合，推动流通主业向农业生产、管理服务拓展，探索建立一二三产业融合的农业社会化服务生态。</w:t>
            </w:r>
          </w:p>
        </w:tc>
        <w:tc>
          <w:tcPr>
            <w:tcW w:w="3771"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5EBB05">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培育基层社高质量发展，完善乡镇和村社服务网络，改善服务设施，提升综合服务能力，推动集体经济发展壮大。推动社有企业转型升级，促进增加投资，完善经营设施，优化网络布局，提升信息化能力。促进区域服务资源整合，推动流通主业向农业生产，管理服务拓展，探索建立一二三产业融合的农业社会化服务生态。</w:t>
            </w:r>
          </w:p>
        </w:tc>
      </w:tr>
      <w:tr w14:paraId="280D5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3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45565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绩效</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指标</w:t>
            </w:r>
          </w:p>
        </w:tc>
        <w:tc>
          <w:tcPr>
            <w:tcW w:w="8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ACFA69D">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一级指标</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6EA555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二级指标</w:t>
            </w:r>
          </w:p>
        </w:tc>
        <w:tc>
          <w:tcPr>
            <w:tcW w:w="287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F7A85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三级指标</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17C93A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年度指标值</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325EA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实际完成值</w:t>
            </w:r>
          </w:p>
        </w:tc>
        <w:tc>
          <w:tcPr>
            <w:tcW w:w="11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BC889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偏差原因分析及改进措施</w:t>
            </w:r>
          </w:p>
        </w:tc>
      </w:tr>
      <w:tr w14:paraId="0781B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B473E5F">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1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537E70">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产出指标</w:t>
            </w:r>
          </w:p>
        </w:tc>
        <w:tc>
          <w:tcPr>
            <w:tcW w:w="108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95E41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数量指标</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DC703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4307393">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新增区域性为农服务中心</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3A29F8D">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1个</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3772E7">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1个</w:t>
            </w:r>
          </w:p>
        </w:tc>
        <w:tc>
          <w:tcPr>
            <w:tcW w:w="11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ACC68A7">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66CD7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7C92EDA">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453C6C">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B0ADC3">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566396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指标2：</w:t>
            </w:r>
          </w:p>
        </w:tc>
        <w:tc>
          <w:tcPr>
            <w:tcW w:w="1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5F86D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新增基层社示范社</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683636E">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2个</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482F6C">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2个</w:t>
            </w:r>
          </w:p>
        </w:tc>
        <w:tc>
          <w:tcPr>
            <w:tcW w:w="11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74FE8A">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3CBE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35BE00">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81A688">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8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63B656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质量指标</w:t>
            </w:r>
          </w:p>
        </w:tc>
        <w:tc>
          <w:tcPr>
            <w:tcW w:w="1093" w:type="dxa"/>
            <w:tcBorders>
              <w:top w:val="single" w:color="000000" w:sz="4" w:space="0"/>
              <w:left w:val="single" w:color="000000" w:sz="4" w:space="0"/>
              <w:bottom w:val="single" w:color="000000" w:sz="4" w:space="0"/>
              <w:right w:val="nil"/>
              <w:tl2br w:val="nil"/>
              <w:tr2bl w:val="nil"/>
            </w:tcBorders>
            <w:noWrap w:val="0"/>
            <w:vAlign w:val="center"/>
          </w:tcPr>
          <w:p w14:paraId="63DB249B">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CDD369">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全资控股基层社营业总收入增长率</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2298221">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7%</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61B225">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7%</w:t>
            </w:r>
          </w:p>
        </w:tc>
        <w:tc>
          <w:tcPr>
            <w:tcW w:w="11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83444C">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411A7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CBF8D30">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B1626D">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552BB9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93" w:type="dxa"/>
            <w:tcBorders>
              <w:top w:val="single" w:color="000000" w:sz="4" w:space="0"/>
              <w:left w:val="single" w:color="000000" w:sz="4" w:space="0"/>
              <w:bottom w:val="single" w:color="000000" w:sz="4" w:space="0"/>
              <w:right w:val="nil"/>
              <w:tl2br w:val="nil"/>
              <w:tr2bl w:val="nil"/>
            </w:tcBorders>
            <w:noWrap w:val="0"/>
            <w:vAlign w:val="center"/>
          </w:tcPr>
          <w:p w14:paraId="27B7B07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指标2：</w:t>
            </w:r>
          </w:p>
        </w:tc>
        <w:tc>
          <w:tcPr>
            <w:tcW w:w="1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C1369F">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全资控股基层社营业总收入</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6F2F8C">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15%</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F70244F">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15%</w:t>
            </w:r>
          </w:p>
        </w:tc>
        <w:tc>
          <w:tcPr>
            <w:tcW w:w="11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A61C88">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50805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10D4F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17"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4DDF3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82"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7B0D803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社会效益</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指标</w:t>
            </w:r>
          </w:p>
        </w:tc>
        <w:tc>
          <w:tcPr>
            <w:tcW w:w="1093" w:type="dxa"/>
            <w:tcBorders>
              <w:top w:val="single" w:color="000000" w:sz="4" w:space="0"/>
              <w:left w:val="single" w:color="000000" w:sz="4" w:space="0"/>
              <w:bottom w:val="single" w:color="000000" w:sz="4" w:space="0"/>
              <w:right w:val="nil"/>
              <w:tl2br w:val="nil"/>
              <w:tr2bl w:val="nil"/>
            </w:tcBorders>
            <w:noWrap w:val="0"/>
            <w:vAlign w:val="center"/>
          </w:tcPr>
          <w:p w14:paraId="68408B95">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431F2D6">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供销系统服务设施和能力</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C3039D">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效果明显</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C57FB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效果明显</w:t>
            </w:r>
          </w:p>
        </w:tc>
        <w:tc>
          <w:tcPr>
            <w:tcW w:w="11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39282B">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6C8D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A3555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E61F06">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47F87F">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93" w:type="dxa"/>
            <w:tcBorders>
              <w:top w:val="single" w:color="000000" w:sz="4" w:space="0"/>
              <w:left w:val="single" w:color="000000" w:sz="4" w:space="0"/>
              <w:bottom w:val="single" w:color="000000" w:sz="4" w:space="0"/>
              <w:right w:val="nil"/>
              <w:tl2br w:val="nil"/>
              <w:tr2bl w:val="nil"/>
            </w:tcBorders>
            <w:noWrap w:val="0"/>
            <w:vAlign w:val="center"/>
          </w:tcPr>
          <w:p w14:paraId="56E9CA37">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指标2：</w:t>
            </w:r>
          </w:p>
        </w:tc>
        <w:tc>
          <w:tcPr>
            <w:tcW w:w="1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7124FE">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社会化服务能力</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0706E5">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效果明显</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830753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效果明显</w:t>
            </w:r>
          </w:p>
        </w:tc>
        <w:tc>
          <w:tcPr>
            <w:tcW w:w="11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AC1E90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7FA8E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7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C12310">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17"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E256B0">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8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0B5967EE">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1093" w:type="dxa"/>
            <w:tcBorders>
              <w:top w:val="single" w:color="000000" w:sz="4" w:space="0"/>
              <w:left w:val="single" w:color="000000" w:sz="4" w:space="0"/>
              <w:bottom w:val="single" w:color="000000" w:sz="4" w:space="0"/>
              <w:right w:val="nil"/>
              <w:tl2br w:val="nil"/>
              <w:tr2bl w:val="nil"/>
            </w:tcBorders>
            <w:noWrap w:val="0"/>
            <w:vAlign w:val="center"/>
          </w:tcPr>
          <w:p w14:paraId="28BBB4F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指标3：</w:t>
            </w:r>
          </w:p>
        </w:tc>
        <w:tc>
          <w:tcPr>
            <w:tcW w:w="1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31050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基层社综合服务功能</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33F7BC">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20人</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2583C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20人</w:t>
            </w:r>
          </w:p>
        </w:tc>
        <w:tc>
          <w:tcPr>
            <w:tcW w:w="11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C4B062">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r w14:paraId="3FCA2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32"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9F40F0">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c>
          <w:tcPr>
            <w:tcW w:w="81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1207AC1">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满意度</w:t>
            </w:r>
            <w:r>
              <w:rPr>
                <w:rFonts w:hint="default" w:ascii="Times New Roman" w:hAnsi="Times New Roman" w:cs="Times New Roman"/>
                <w:color w:val="000000" w:themeColor="text1"/>
                <w:spacing w:val="6"/>
                <w:sz w:val="18"/>
                <w:szCs w:val="18"/>
                <w:lang w:bidi="ar"/>
                <w14:textFill>
                  <w14:solidFill>
                    <w14:schemeClr w14:val="tx1"/>
                  </w14:solidFill>
                </w14:textFill>
              </w:rPr>
              <w:br w:type="textWrapping"/>
            </w:r>
            <w:r>
              <w:rPr>
                <w:rFonts w:hint="default" w:ascii="Times New Roman" w:hAnsi="Times New Roman" w:cs="Times New Roman"/>
                <w:color w:val="000000" w:themeColor="text1"/>
                <w:spacing w:val="6"/>
                <w:sz w:val="18"/>
                <w:szCs w:val="18"/>
                <w:lang w:bidi="ar"/>
                <w14:textFill>
                  <w14:solidFill>
                    <w14:schemeClr w14:val="tx1"/>
                  </w14:solidFill>
                </w14:textFill>
              </w:rPr>
              <w:t>指标</w:t>
            </w:r>
          </w:p>
        </w:tc>
        <w:tc>
          <w:tcPr>
            <w:tcW w:w="108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0B78312">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服务对象满意度指标</w:t>
            </w:r>
          </w:p>
        </w:tc>
        <w:tc>
          <w:tcPr>
            <w:tcW w:w="10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C17BA0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指标1：</w:t>
            </w:r>
          </w:p>
        </w:tc>
        <w:tc>
          <w:tcPr>
            <w:tcW w:w="178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62C8E4">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服务对象满意度</w:t>
            </w:r>
          </w:p>
        </w:tc>
        <w:tc>
          <w:tcPr>
            <w:tcW w:w="132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9584842">
            <w:pPr>
              <w:keepNext w:val="0"/>
              <w:keepLines w:val="0"/>
              <w:pageBreakBefore w:val="0"/>
              <w:widowControl w:val="0"/>
              <w:kinsoku/>
              <w:wordWrap/>
              <w:topLinePunct w:val="0"/>
              <w:bidi w:val="0"/>
              <w:adjustRightInd w:val="0"/>
              <w:snapToGrid w:val="0"/>
              <w:spacing w:beforeLines="0" w:afterLines="0"/>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90%</w:t>
            </w:r>
          </w:p>
        </w:tc>
        <w:tc>
          <w:tcPr>
            <w:tcW w:w="126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DF4E97C">
            <w:pPr>
              <w:keepNext w:val="0"/>
              <w:keepLines w:val="0"/>
              <w:pageBreakBefore w:val="0"/>
              <w:widowControl w:val="0"/>
              <w:kinsoku/>
              <w:wordWrap/>
              <w:topLinePunct w:val="0"/>
              <w:bidi w:val="0"/>
              <w:adjustRightInd w:val="0"/>
              <w:snapToGrid w:val="0"/>
              <w:spacing w:beforeLines="0" w:afterLines="0"/>
              <w:jc w:val="center"/>
              <w:textAlignment w:val="center"/>
              <w:rPr>
                <w:rFonts w:hint="default" w:ascii="Times New Roman" w:hAnsi="Times New Roman" w:cs="Times New Roman"/>
                <w:color w:val="000000" w:themeColor="text1"/>
                <w:spacing w:val="6"/>
                <w:sz w:val="18"/>
                <w:szCs w:val="18"/>
                <w14:textFill>
                  <w14:solidFill>
                    <w14:schemeClr w14:val="tx1"/>
                  </w14:solidFill>
                </w14:textFill>
              </w:rPr>
            </w:pPr>
            <w:r>
              <w:rPr>
                <w:rFonts w:hint="default" w:ascii="Times New Roman" w:hAnsi="Times New Roman" w:cs="Times New Roman"/>
                <w:color w:val="000000" w:themeColor="text1"/>
                <w:spacing w:val="6"/>
                <w:sz w:val="18"/>
                <w:szCs w:val="18"/>
                <w:lang w:bidi="ar"/>
                <w14:textFill>
                  <w14:solidFill>
                    <w14:schemeClr w14:val="tx1"/>
                  </w14:solidFill>
                </w14:textFill>
              </w:rPr>
              <w:t>90%</w:t>
            </w:r>
          </w:p>
        </w:tc>
        <w:tc>
          <w:tcPr>
            <w:tcW w:w="118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FE68B21">
            <w:pPr>
              <w:keepNext w:val="0"/>
              <w:keepLines w:val="0"/>
              <w:pageBreakBefore w:val="0"/>
              <w:widowControl w:val="0"/>
              <w:kinsoku/>
              <w:wordWrap/>
              <w:topLinePunct w:val="0"/>
              <w:bidi w:val="0"/>
              <w:adjustRightInd w:val="0"/>
              <w:snapToGrid w:val="0"/>
              <w:spacing w:beforeLines="0" w:afterLines="0"/>
              <w:jc w:val="center"/>
              <w:rPr>
                <w:rFonts w:hint="default" w:ascii="Times New Roman" w:hAnsi="Times New Roman" w:cs="Times New Roman"/>
                <w:color w:val="000000" w:themeColor="text1"/>
                <w:spacing w:val="6"/>
                <w:sz w:val="18"/>
                <w:szCs w:val="18"/>
                <w14:textFill>
                  <w14:solidFill>
                    <w14:schemeClr w14:val="tx1"/>
                  </w14:solidFill>
                </w14:textFill>
              </w:rPr>
            </w:pPr>
          </w:p>
        </w:tc>
      </w:tr>
    </w:tbl>
    <w:p w14:paraId="5EBA04D3">
      <w:pPr>
        <w:keepNext w:val="0"/>
        <w:keepLines w:val="0"/>
        <w:pageBreakBefore w:val="0"/>
        <w:widowControl w:val="0"/>
        <w:kinsoku/>
        <w:wordWrap/>
        <w:overflowPunct/>
        <w:topLinePunct w:val="0"/>
        <w:autoSpaceDE w:val="0"/>
        <w:autoSpaceDN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color w:val="000000" w:themeColor="text1"/>
          <w:spacing w:val="0"/>
          <w:kern w:val="2"/>
          <w:sz w:val="32"/>
          <w:szCs w:val="24"/>
          <w:highlight w:val="yellow"/>
          <w:lang w:val="zh-CN"/>
          <w14:textFill>
            <w14:solidFill>
              <w14:schemeClr w14:val="tx1"/>
            </w14:solidFill>
          </w14:textFill>
        </w:rPr>
      </w:pPr>
      <w:bookmarkStart w:id="46" w:name="_GoBack"/>
      <w:bookmarkEnd w:id="46"/>
    </w:p>
    <w:p w14:paraId="556AD64D">
      <w:pPr>
        <w:keepNext w:val="0"/>
        <w:keepLines w:val="0"/>
        <w:pageBreakBefore w:val="0"/>
        <w:widowControl w:val="0"/>
        <w:kinsoku/>
        <w:wordWrap/>
        <w:overflowPunct/>
        <w:topLinePunct w:val="0"/>
        <w:autoSpaceDE w:val="0"/>
        <w:autoSpaceDN w:val="0"/>
        <w:bidi w:val="0"/>
        <w:adjustRightInd w:val="0"/>
        <w:snapToGrid w:val="0"/>
        <w:spacing w:beforeLines="0" w:afterLines="0" w:line="576" w:lineRule="exact"/>
        <w:jc w:val="center"/>
        <w:textAlignment w:val="auto"/>
        <w:outlineLvl w:val="0"/>
        <w:rPr>
          <w:rFonts w:hint="eastAsia" w:ascii="方正小标宋简体" w:hAnsi="方正小标宋简体" w:eastAsia="方正小标宋简体" w:cs="方正小标宋简体"/>
          <w:color w:val="000000" w:themeColor="text1"/>
          <w:spacing w:val="0"/>
          <w:kern w:val="44"/>
          <w:sz w:val="44"/>
          <w:szCs w:val="24"/>
          <w14:textFill>
            <w14:solidFill>
              <w14:schemeClr w14:val="tx1"/>
            </w14:solidFill>
          </w14:textFill>
        </w:rPr>
      </w:pPr>
      <w:bookmarkStart w:id="33" w:name="_Toc7543"/>
      <w:r>
        <w:rPr>
          <w:rFonts w:hint="eastAsia" w:ascii="方正小标宋简体" w:hAnsi="方正小标宋简体" w:eastAsia="方正小标宋简体" w:cs="方正小标宋简体"/>
          <w:color w:val="000000" w:themeColor="text1"/>
          <w:spacing w:val="0"/>
          <w:kern w:val="2"/>
          <w:sz w:val="44"/>
          <w:szCs w:val="24"/>
          <w14:textFill>
            <w14:solidFill>
              <w14:schemeClr w14:val="tx1"/>
            </w14:solidFill>
          </w14:textFill>
        </w:rPr>
        <w:t>第</w:t>
      </w:r>
      <w:r>
        <w:rPr>
          <w:rFonts w:hint="eastAsia" w:ascii="方正小标宋简体" w:hAnsi="方正小标宋简体" w:eastAsia="方正小标宋简体" w:cs="方正小标宋简体"/>
          <w:color w:val="000000" w:themeColor="text1"/>
          <w:spacing w:val="0"/>
          <w:kern w:val="44"/>
          <w:sz w:val="44"/>
          <w:szCs w:val="24"/>
          <w14:textFill>
            <w14:solidFill>
              <w14:schemeClr w14:val="tx1"/>
            </w14:solidFill>
          </w14:textFill>
        </w:rPr>
        <w:t>五部分  附表</w:t>
      </w:r>
      <w:bookmarkEnd w:id="33"/>
    </w:p>
    <w:p w14:paraId="4F834B84">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bookmarkStart w:id="34" w:name="_Toc29421"/>
    </w:p>
    <w:p w14:paraId="5F008D5B">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一、收入支出决算总表</w:t>
      </w:r>
      <w:bookmarkEnd w:id="34"/>
    </w:p>
    <w:p w14:paraId="5F6C5677">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pPr>
      <w:bookmarkStart w:id="35" w:name="_Toc7898"/>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二、收入决算表</w:t>
      </w:r>
      <w:bookmarkEnd w:id="35"/>
    </w:p>
    <w:p w14:paraId="41DE75CA">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pPr>
      <w:bookmarkStart w:id="36" w:name="_Toc22036"/>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三、支出决算表</w:t>
      </w:r>
      <w:bookmarkEnd w:id="36"/>
    </w:p>
    <w:p w14:paraId="70B8451B">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bookmarkStart w:id="37" w:name="_Toc32655"/>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四、财政拨款收入支出决算总表</w:t>
      </w:r>
      <w:bookmarkEnd w:id="37"/>
    </w:p>
    <w:p w14:paraId="7623BB09">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bookmarkStart w:id="38" w:name="_Toc21780"/>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五、财政拨款支出决算明细表</w:t>
      </w:r>
      <w:bookmarkEnd w:id="38"/>
    </w:p>
    <w:p w14:paraId="3CC9C020">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pPr>
      <w:bookmarkStart w:id="39" w:name="_Toc24664"/>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六、一般公共预算财政拨款支出决算表</w:t>
      </w:r>
      <w:bookmarkEnd w:id="39"/>
    </w:p>
    <w:p w14:paraId="10EF6554">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pPr>
      <w:bookmarkStart w:id="40" w:name="_Toc22020"/>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七、一般公共预算财政拨款支出决算明细表</w:t>
      </w:r>
      <w:bookmarkEnd w:id="40"/>
    </w:p>
    <w:p w14:paraId="679DFAF8">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pPr>
      <w:bookmarkStart w:id="41" w:name="_Toc15810"/>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八、一般公共预算财政拨款基本支出决算表</w:t>
      </w:r>
      <w:bookmarkEnd w:id="41"/>
    </w:p>
    <w:p w14:paraId="650A8053">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pPr>
      <w:bookmarkStart w:id="42" w:name="_Toc16052"/>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九、一般公共预算财政拨款项目支出决算表</w:t>
      </w:r>
      <w:bookmarkEnd w:id="42"/>
    </w:p>
    <w:p w14:paraId="18014E89">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b/>
          <w:color w:val="000000" w:themeColor="text1"/>
          <w:spacing w:val="0"/>
          <w:kern w:val="2"/>
          <w:sz w:val="32"/>
          <w:szCs w:val="24"/>
          <w14:textFill>
            <w14:solidFill>
              <w14:schemeClr w14:val="tx1"/>
            </w14:solidFill>
          </w14:textFill>
        </w:rPr>
      </w:pPr>
      <w:bookmarkStart w:id="43" w:name="_Toc7182"/>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十、政府性基金预算财政拨款收入支出决算表</w:t>
      </w:r>
      <w:bookmarkEnd w:id="43"/>
    </w:p>
    <w:p w14:paraId="18E399F5">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bookmarkStart w:id="44" w:name="_Toc2400"/>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十一、国有资本经营预算财政拨款收入支出决算表</w:t>
      </w:r>
      <w:bookmarkEnd w:id="44"/>
    </w:p>
    <w:p w14:paraId="19A9AF7E">
      <w:pPr>
        <w:pStyle w:val="4"/>
        <w:keepNext w:val="0"/>
        <w:keepLines w:val="0"/>
        <w:pageBreakBefore w:val="0"/>
        <w:widowControl w:val="0"/>
        <w:kinsoku/>
        <w:wordWrap/>
        <w:overflowPunct/>
        <w:topLinePunct w:val="0"/>
        <w:autoSpaceDE w:val="0"/>
        <w:autoSpaceDN w:val="0"/>
        <w:bidi w:val="0"/>
        <w:adjustRightInd w:val="0"/>
        <w:snapToGrid w:val="0"/>
        <w:spacing w:beforeLines="0" w:afterLines="0" w:line="576" w:lineRule="exact"/>
        <w:ind w:firstLine="640"/>
        <w:jc w:val="both"/>
        <w:textAlignment w:val="auto"/>
        <w:rPr>
          <w:rFonts w:hint="default" w:ascii="Times New Roman" w:hAnsi="Times New Roman" w:eastAsia="仿宋_GB2312" w:cs="Times New Roman"/>
          <w:color w:val="000000" w:themeColor="text1"/>
          <w:spacing w:val="0"/>
          <w:kern w:val="2"/>
          <w:sz w:val="32"/>
          <w:szCs w:val="24"/>
          <w14:textFill>
            <w14:solidFill>
              <w14:schemeClr w14:val="tx1"/>
            </w14:solidFill>
          </w14:textFill>
        </w:rPr>
      </w:pPr>
      <w:bookmarkStart w:id="45" w:name="_Toc32640"/>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十二、国有资本经营预算财政拨款支出决算表</w:t>
      </w:r>
      <w:bookmarkEnd w:id="45"/>
    </w:p>
    <w:p w14:paraId="79A2F103">
      <w:pPr>
        <w:keepNext w:val="0"/>
        <w:keepLines w:val="0"/>
        <w:pageBreakBefore w:val="0"/>
        <w:widowControl w:val="0"/>
        <w:kinsoku/>
        <w:wordWrap/>
        <w:overflowPunct/>
        <w:topLinePunct w:val="0"/>
        <w:autoSpaceDE w:val="0"/>
        <w:autoSpaceDN w:val="0"/>
        <w:bidi w:val="0"/>
        <w:adjustRightInd w:val="0"/>
        <w:snapToGrid w:val="0"/>
        <w:spacing w:beforeLines="0" w:afterLines="0" w:line="576" w:lineRule="exact"/>
        <w:textAlignment w:val="auto"/>
        <w:rPr>
          <w:rFonts w:hint="default" w:ascii="Times New Roman" w:hAnsi="Times New Roman" w:eastAsia="方正小标宋简体" w:cs="Times New Roman"/>
          <w:color w:val="000000" w:themeColor="text1"/>
          <w:spacing w:val="0"/>
          <w:kern w:val="2"/>
          <w:sz w:val="30"/>
          <w:szCs w:val="24"/>
          <w14:textFill>
            <w14:solidFill>
              <w14:schemeClr w14:val="tx1"/>
            </w14:solidFill>
          </w14:textFill>
        </w:rPr>
      </w:pPr>
      <w:r>
        <w:rPr>
          <w:rFonts w:hint="default" w:ascii="Times New Roman" w:hAnsi="Times New Roman" w:eastAsia="仿宋_GB2312" w:cs="Times New Roman"/>
          <w:color w:val="000000" w:themeColor="text1"/>
          <w:spacing w:val="0"/>
          <w:kern w:val="2"/>
          <w:sz w:val="32"/>
          <w:szCs w:val="24"/>
          <w14:textFill>
            <w14:solidFill>
              <w14:schemeClr w14:val="tx1"/>
            </w14:solidFill>
          </w14:textFill>
        </w:rPr>
        <w:t xml:space="preserve">    十三、财政拨款“三公”经费支出决算表</w:t>
      </w:r>
    </w:p>
    <w:sectPr>
      <w:pgSz w:w="11905" w:h="16838"/>
      <w:pgMar w:top="2098" w:right="1474" w:bottom="1984" w:left="1587" w:header="720" w:footer="1587" w:gutter="0"/>
      <w:lnNumType w:countBy="0" w:distance="360"/>
      <w:pgNumType w:fmt="decimal"/>
      <w:cols w:space="0" w:num="1"/>
      <w:rtlGutter w:val="0"/>
      <w:docGrid w:type="linesAndChars" w:linePitch="0"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2A7B926-6F1C-4F41-87AC-A6E131B31F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9567750E-E3B4-4D10-BB91-7FE11311DB2C}"/>
  </w:font>
  <w:font w:name="仿宋">
    <w:panose1 w:val="02010609060101010101"/>
    <w:charset w:val="86"/>
    <w:family w:val="modern"/>
    <w:pitch w:val="default"/>
    <w:sig w:usb0="800002BF" w:usb1="38CF7CFA" w:usb2="00000016" w:usb3="00000000" w:csb0="00040001" w:csb1="00000000"/>
    <w:embedRegular r:id="rId3" w:fontKey="{FD7A8F48-4394-41C5-875C-705CC6DF82B5}"/>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embedRegular r:id="rId4" w:fontKey="{97367A79-7430-46C3-A5B4-1A0141D54B09}"/>
  </w:font>
  <w:font w:name="楷体_GB2312">
    <w:panose1 w:val="02010609030101010101"/>
    <w:charset w:val="86"/>
    <w:family w:val="modern"/>
    <w:pitch w:val="default"/>
    <w:sig w:usb0="00000001" w:usb1="080E0000" w:usb2="00000000" w:usb3="00000000" w:csb0="00040000" w:csb1="00000000"/>
    <w:embedRegular r:id="rId5" w:fontKey="{6A37A2CD-F47D-4D22-A4AB-96C8D187BF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DF963">
    <w:pPr>
      <w:pStyle w:val="8"/>
      <w:ind w:firstLine="180" w:firstLineChars="1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D1EF4">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F11D8">
    <w:pPr>
      <w:pStyle w:val="8"/>
      <w:ind w:firstLine="180" w:firstLineChars="1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A4FA3">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066FD3">
    <w:pPr>
      <w:pStyle w:val="8"/>
      <w:ind w:firstLine="180" w:firstLineChars="10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C9E8B">
    <w:pPr>
      <w:pStyle w:val="8"/>
      <w:wordWrap w:val="0"/>
      <w:jc w:val="right"/>
      <w:rPr>
        <w:rFonts w:hint="default" w:asciiTheme="minorEastAsia" w:hAnsiTheme="minorEastAsia" w:eastAsiaTheme="minorEastAsia" w:cstheme="minorEastAsia"/>
        <w:sz w:val="28"/>
        <w:szCs w:val="28"/>
        <w:lang w:val="en-US" w:eastAsia="zh-CN"/>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133040">
                          <w:pPr>
                            <w:pStyle w:val="8"/>
                            <w:wordWrap w:val="0"/>
                            <w:jc w:val="right"/>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14:paraId="35133040">
                    <w:pPr>
                      <w:pStyle w:val="8"/>
                      <w:wordWrap w:val="0"/>
                      <w:jc w:val="right"/>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4305A">
    <w:pPr>
      <w:pStyle w:val="8"/>
      <w:ind w:firstLine="180" w:firstLineChars="10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BDF8E">
                          <w:pPr>
                            <w:pStyle w:val="8"/>
                            <w:ind w:firstLine="280" w:firstLineChars="10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ACBDF8E">
                    <w:pPr>
                      <w:pStyle w:val="8"/>
                      <w:ind w:firstLine="280" w:firstLineChars="100"/>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CF0F9"/>
    <w:multiLevelType w:val="multilevel"/>
    <w:tmpl w:val="8ADCF0F9"/>
    <w:lvl w:ilvl="0" w:tentative="0">
      <w:start w:val="1"/>
      <w:numFmt w:val="chineseCounting"/>
      <w:suff w:val="nothing"/>
      <w:lvlText w:val="%1、"/>
      <w:lvlJc w:val="left"/>
      <w:rPr>
        <w:rFonts w:hint="default"/>
        <w:u w:val="none" w:color="auto"/>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evenAndOddHeaders w:val="1"/>
  <w:drawingGridHorizontalSpacing w:val="108"/>
  <w:drawingGridVerticalSpacing w:val="1"/>
  <w:displayHorizontalDrawingGridEvery w:val="2"/>
  <w:displayVerticalDrawingGridEvery w:val="2"/>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2YmIxYjAyZjU3ZmNjOTFiMzYxZGI2YzliOTlhNjkifQ=="/>
  </w:docVars>
  <w:rsids>
    <w:rsidRoot w:val="00172A27"/>
    <w:rsid w:val="03637CA1"/>
    <w:rsid w:val="04E07D8F"/>
    <w:rsid w:val="0BD87233"/>
    <w:rsid w:val="0C7E602C"/>
    <w:rsid w:val="0FBC160E"/>
    <w:rsid w:val="1E2249C1"/>
    <w:rsid w:val="21350360"/>
    <w:rsid w:val="26877C89"/>
    <w:rsid w:val="2996630C"/>
    <w:rsid w:val="2B084FE7"/>
    <w:rsid w:val="2B5C38ED"/>
    <w:rsid w:val="2E645C24"/>
    <w:rsid w:val="39783C80"/>
    <w:rsid w:val="39EC7678"/>
    <w:rsid w:val="3CE73A14"/>
    <w:rsid w:val="3D006A06"/>
    <w:rsid w:val="458C4D3B"/>
    <w:rsid w:val="4ABE0F1A"/>
    <w:rsid w:val="4CF5666D"/>
    <w:rsid w:val="4DDC25D7"/>
    <w:rsid w:val="50EC1B5E"/>
    <w:rsid w:val="57923D07"/>
    <w:rsid w:val="5D66240C"/>
    <w:rsid w:val="62620EA5"/>
    <w:rsid w:val="62B12440"/>
    <w:rsid w:val="66385254"/>
    <w:rsid w:val="7A7B1000"/>
    <w:rsid w:val="7C084414"/>
    <w:rsid w:val="7C6D2904"/>
    <w:rsid w:val="7FC050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iPriority="0"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99" w:semiHidden="0" w:name="Body Text"/>
    <w:lsdException w:qFormat="1"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iPriority="0"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autoSpaceDE w:val="0"/>
      <w:autoSpaceDN w:val="0"/>
      <w:adjustRightInd w:val="0"/>
      <w:spacing w:beforeLines="0" w:afterLines="0"/>
    </w:pPr>
    <w:rPr>
      <w:rFonts w:hint="default" w:ascii="宋体" w:hAnsi="Times New Roman" w:eastAsia="宋体" w:cs="Times New Roman"/>
      <w:sz w:val="24"/>
      <w:szCs w:val="24"/>
      <w:lang w:val="en-US" w:eastAsia="zh-CN" w:bidi="ar-SA"/>
    </w:rPr>
  </w:style>
  <w:style w:type="paragraph" w:styleId="3">
    <w:name w:val="heading 1"/>
    <w:basedOn w:val="1"/>
    <w:link w:val="13"/>
    <w:unhideWhenUsed/>
    <w:qFormat/>
    <w:uiPriority w:val="99"/>
    <w:pPr>
      <w:spacing w:beforeLines="0" w:afterLines="0"/>
      <w:outlineLvl w:val="0"/>
    </w:pPr>
    <w:rPr>
      <w:rFonts w:hint="default"/>
      <w:sz w:val="24"/>
      <w:szCs w:val="24"/>
    </w:rPr>
  </w:style>
  <w:style w:type="paragraph" w:styleId="4">
    <w:name w:val="heading 2"/>
    <w:basedOn w:val="1"/>
    <w:link w:val="16"/>
    <w:unhideWhenUsed/>
    <w:qFormat/>
    <w:uiPriority w:val="99"/>
    <w:pPr>
      <w:spacing w:beforeLines="0" w:afterLines="0"/>
      <w:outlineLvl w:val="1"/>
    </w:pPr>
    <w:rPr>
      <w:rFonts w:hint="default"/>
      <w:sz w:val="24"/>
      <w:szCs w:val="24"/>
    </w:rPr>
  </w:style>
  <w:style w:type="character" w:default="1" w:styleId="12">
    <w:name w:val="Default Paragraph Font"/>
    <w:unhideWhenUsed/>
    <w:qFormat/>
    <w:uiPriority w:val="99"/>
    <w:rPr>
      <w:rFonts w:hint="default"/>
      <w:sz w:val="24"/>
      <w:szCs w:val="24"/>
    </w:rPr>
  </w:style>
  <w:style w:type="table" w:default="1" w:styleId="11">
    <w:name w:val="Normal Table"/>
    <w:qFormat/>
    <w:uiPriority w:val="99"/>
    <w:tblPr>
      <w:tblCellMar>
        <w:top w:w="0" w:type="dxa"/>
        <w:left w:w="108" w:type="dxa"/>
        <w:bottom w:w="0" w:type="dxa"/>
        <w:right w:w="108" w:type="dxa"/>
      </w:tblCellMar>
    </w:tblPr>
  </w:style>
  <w:style w:type="paragraph" w:styleId="2">
    <w:name w:val="table of figures"/>
    <w:basedOn w:val="1"/>
    <w:next w:val="1"/>
    <w:unhideWhenUsed/>
    <w:qFormat/>
    <w:uiPriority w:val="0"/>
    <w:pPr>
      <w:spacing w:beforeLines="0" w:afterLines="0"/>
      <w:ind w:left="200" w:leftChars="200" w:hanging="200" w:hangingChars="200"/>
    </w:pPr>
    <w:rPr>
      <w:rFonts w:hint="eastAsia"/>
      <w:sz w:val="24"/>
      <w:szCs w:val="24"/>
    </w:rPr>
  </w:style>
  <w:style w:type="paragraph" w:styleId="5">
    <w:name w:val="Normal Indent"/>
    <w:basedOn w:val="1"/>
    <w:next w:val="1"/>
    <w:unhideWhenUsed/>
    <w:qFormat/>
    <w:uiPriority w:val="0"/>
    <w:pPr>
      <w:spacing w:beforeLines="0" w:afterLines="0"/>
      <w:ind w:firstLine="200" w:firstLineChars="200"/>
    </w:pPr>
    <w:rPr>
      <w:rFonts w:hint="default"/>
      <w:sz w:val="24"/>
      <w:szCs w:val="24"/>
    </w:rPr>
  </w:style>
  <w:style w:type="paragraph" w:styleId="6">
    <w:name w:val="Body Text"/>
    <w:basedOn w:val="1"/>
    <w:link w:val="18"/>
    <w:unhideWhenUsed/>
    <w:qFormat/>
    <w:uiPriority w:val="99"/>
    <w:pPr>
      <w:spacing w:beforeLines="30" w:afterLines="0"/>
    </w:pPr>
    <w:rPr>
      <w:rFonts w:hint="eastAsia" w:ascii="仿宋_GB2312" w:eastAsia="仿宋_GB2312"/>
      <w:sz w:val="30"/>
      <w:szCs w:val="24"/>
    </w:rPr>
  </w:style>
  <w:style w:type="paragraph" w:styleId="7">
    <w:name w:val="Body Text Indent"/>
    <w:basedOn w:val="1"/>
    <w:next w:val="5"/>
    <w:unhideWhenUsed/>
    <w:qFormat/>
    <w:uiPriority w:val="0"/>
    <w:pPr>
      <w:spacing w:beforeLines="0" w:afterLines="0"/>
      <w:ind w:left="420" w:leftChars="200"/>
    </w:pPr>
    <w:rPr>
      <w:rFonts w:hint="default"/>
      <w:sz w:val="24"/>
      <w:szCs w:val="24"/>
    </w:rPr>
  </w:style>
  <w:style w:type="paragraph" w:styleId="8">
    <w:name w:val="footer"/>
    <w:basedOn w:val="1"/>
    <w:link w:val="17"/>
    <w:unhideWhenUsed/>
    <w:qFormat/>
    <w:uiPriority w:val="99"/>
    <w:pPr>
      <w:tabs>
        <w:tab w:val="center" w:pos="4153"/>
        <w:tab w:val="right" w:pos="8306"/>
      </w:tabs>
      <w:snapToGrid w:val="0"/>
      <w:spacing w:beforeLines="0" w:afterLines="0"/>
    </w:pPr>
    <w:rPr>
      <w:rFonts w:hint="default"/>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spacing w:beforeLines="0" w:afterLines="0"/>
      <w:jc w:val="center"/>
    </w:pPr>
    <w:rPr>
      <w:rFonts w:hint="default"/>
      <w:sz w:val="18"/>
      <w:szCs w:val="18"/>
    </w:rPr>
  </w:style>
  <w:style w:type="paragraph" w:styleId="10">
    <w:name w:val="Body Text First Indent 2"/>
    <w:basedOn w:val="7"/>
    <w:next w:val="1"/>
    <w:unhideWhenUsed/>
    <w:qFormat/>
    <w:uiPriority w:val="0"/>
    <w:pPr>
      <w:spacing w:beforeLines="0" w:afterLines="0"/>
      <w:ind w:firstLine="420" w:firstLineChars="200"/>
    </w:pPr>
    <w:rPr>
      <w:rFonts w:hint="default"/>
      <w:sz w:val="24"/>
      <w:szCs w:val="24"/>
    </w:rPr>
  </w:style>
  <w:style w:type="character" w:customStyle="1" w:styleId="13">
    <w:name w:val="标题 1 Char"/>
    <w:basedOn w:val="12"/>
    <w:link w:val="3"/>
    <w:unhideWhenUsed/>
    <w:qFormat/>
    <w:locked/>
    <w:uiPriority w:val="9"/>
    <w:rPr>
      <w:rFonts w:hint="default" w:cs="Times New Roman"/>
      <w:b/>
      <w:kern w:val="44"/>
      <w:sz w:val="44"/>
      <w:szCs w:val="44"/>
    </w:rPr>
  </w:style>
  <w:style w:type="paragraph" w:customStyle="1" w:styleId="14">
    <w:name w:val="Default"/>
    <w:unhideWhenUsed/>
    <w:qFormat/>
    <w:uiPriority w:val="99"/>
    <w:pPr>
      <w:widowControl w:val="0"/>
      <w:autoSpaceDE w:val="0"/>
      <w:autoSpaceDN w:val="0"/>
      <w:adjustRightInd w:val="0"/>
    </w:pPr>
    <w:rPr>
      <w:rFonts w:hint="eastAsia" w:ascii="仿宋" w:hAnsi="Calibri" w:eastAsia="仿宋" w:cs="仿宋"/>
      <w:color w:val="000000"/>
      <w:sz w:val="24"/>
      <w:szCs w:val="24"/>
      <w:lang w:val="en-US" w:eastAsia="zh-CN" w:bidi="ar-SA"/>
    </w:rPr>
  </w:style>
  <w:style w:type="paragraph" w:styleId="15">
    <w:name w:val="List Paragraph"/>
    <w:basedOn w:val="1"/>
    <w:unhideWhenUsed/>
    <w:qFormat/>
    <w:uiPriority w:val="34"/>
    <w:pPr>
      <w:spacing w:beforeLines="0" w:afterLines="0"/>
      <w:ind w:firstLine="420" w:firstLineChars="200"/>
    </w:pPr>
    <w:rPr>
      <w:rFonts w:hint="default"/>
      <w:sz w:val="24"/>
      <w:szCs w:val="24"/>
    </w:rPr>
  </w:style>
  <w:style w:type="character" w:customStyle="1" w:styleId="16">
    <w:name w:val="标题 2 Char"/>
    <w:basedOn w:val="12"/>
    <w:link w:val="4"/>
    <w:unhideWhenUsed/>
    <w:qFormat/>
    <w:locked/>
    <w:uiPriority w:val="9"/>
    <w:rPr>
      <w:rFonts w:hint="default" w:ascii="宋体" w:hAnsi="Cambria" w:eastAsia="宋体" w:cs="Times New Roman"/>
      <w:b/>
      <w:sz w:val="32"/>
      <w:szCs w:val="32"/>
    </w:rPr>
  </w:style>
  <w:style w:type="character" w:customStyle="1" w:styleId="17">
    <w:name w:val="页脚 Char"/>
    <w:basedOn w:val="12"/>
    <w:link w:val="8"/>
    <w:unhideWhenUsed/>
    <w:qFormat/>
    <w:locked/>
    <w:uiPriority w:val="99"/>
    <w:rPr>
      <w:rFonts w:hint="default" w:cs="Times New Roman"/>
      <w:sz w:val="18"/>
      <w:szCs w:val="18"/>
    </w:rPr>
  </w:style>
  <w:style w:type="character" w:customStyle="1" w:styleId="18">
    <w:name w:val="正文文本 Char"/>
    <w:basedOn w:val="12"/>
    <w:link w:val="6"/>
    <w:unhideWhenUsed/>
    <w:qFormat/>
    <w:locked/>
    <w:uiPriority w:val="99"/>
    <w:rPr>
      <w:rFonts w:hint="default" w:cs="Times New Roman"/>
      <w:sz w:val="24"/>
      <w:szCs w:val="24"/>
    </w:rPr>
  </w:style>
  <w:style w:type="character" w:customStyle="1" w:styleId="19">
    <w:name w:val="页眉 Char"/>
    <w:basedOn w:val="12"/>
    <w:link w:val="9"/>
    <w:unhideWhenUsed/>
    <w:qFormat/>
    <w:locked/>
    <w:uiPriority w:val="99"/>
    <w:rPr>
      <w:rFonts w:hint="default" w:cs="Times New Roman"/>
      <w:sz w:val="18"/>
      <w:szCs w:val="18"/>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7.emf"/><Relationship Id="rId24" Type="http://schemas.openxmlformats.org/officeDocument/2006/relationships/oleObject" Target="embeddings/oleObject7.bin"/><Relationship Id="rId23" Type="http://schemas.openxmlformats.org/officeDocument/2006/relationships/image" Target="media/image6.emf"/><Relationship Id="rId22" Type="http://schemas.openxmlformats.org/officeDocument/2006/relationships/oleObject" Target="embeddings/oleObject6.bin"/><Relationship Id="rId21" Type="http://schemas.openxmlformats.org/officeDocument/2006/relationships/image" Target="media/image5.png"/><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4.emf"/><Relationship Id="rId18" Type="http://schemas.openxmlformats.org/officeDocument/2006/relationships/oleObject" Target="embeddings/oleObject4.bin"/><Relationship Id="rId17" Type="http://schemas.openxmlformats.org/officeDocument/2006/relationships/image" Target="media/image3.emf"/><Relationship Id="rId16" Type="http://schemas.openxmlformats.org/officeDocument/2006/relationships/oleObject" Target="embeddings/oleObject3.bin"/><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46</Pages>
  <Words>19243</Words>
  <Characters>20659</Characters>
  <TotalTime>1</TotalTime>
  <ScaleCrop>false</ScaleCrop>
  <LinksUpToDate>false</LinksUpToDate>
  <CharactersWithSpaces>20825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2024-09-25T07:21:00Z</dcterms:created>
  <dc:creator>pgk</dc:creator>
  <cp:lastModifiedBy>KANGJIA</cp:lastModifiedBy>
  <cp:lastPrinted>2024-09-26T02:55:39Z</cp:lastPrinted>
  <dcterms:modified xsi:type="dcterms:W3CDTF">2024-09-26T02:56:38Z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5467498283B6429089266611DC346F52_13</vt:lpwstr>
  </property>
</Properties>
</file>