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D91C5">
      <w:pPr>
        <w:spacing w:line="576" w:lineRule="exact"/>
        <w:jc w:val="center"/>
        <w:rPr>
          <w:rFonts w:hint="eastAsia" w:ascii="方正小标宋简体" w:hAnsi="方正小标宋简体" w:eastAsia="方正小标宋简体"/>
          <w:color w:val="000000"/>
          <w:kern w:val="2"/>
          <w:sz w:val="72"/>
          <w:szCs w:val="24"/>
          <w:lang w:val="zh-CN"/>
        </w:rPr>
      </w:pPr>
    </w:p>
    <w:p w14:paraId="640DE812">
      <w:pPr>
        <w:spacing w:line="576" w:lineRule="exact"/>
        <w:jc w:val="center"/>
        <w:rPr>
          <w:rFonts w:hint="eastAsia" w:ascii="方正小标宋简体" w:hAnsi="方正小标宋简体" w:eastAsia="方正小标宋简体"/>
          <w:color w:val="000000"/>
          <w:kern w:val="2"/>
          <w:sz w:val="72"/>
          <w:szCs w:val="24"/>
          <w:lang w:val="zh-CN"/>
        </w:rPr>
      </w:pPr>
    </w:p>
    <w:p w14:paraId="72181094">
      <w:pPr>
        <w:spacing w:line="576" w:lineRule="exact"/>
        <w:jc w:val="center"/>
        <w:rPr>
          <w:rFonts w:hint="eastAsia" w:ascii="方正小标宋简体" w:hAnsi="方正小标宋简体" w:eastAsia="方正小标宋简体"/>
          <w:color w:val="000000"/>
          <w:kern w:val="2"/>
          <w:sz w:val="72"/>
          <w:szCs w:val="24"/>
          <w:lang w:val="zh-CN"/>
        </w:rPr>
      </w:pPr>
    </w:p>
    <w:p w14:paraId="0292D422">
      <w:pPr>
        <w:snapToGrid w:val="0"/>
        <w:spacing w:beforeLines="0" w:afterLines="0" w:line="1400" w:lineRule="exact"/>
        <w:jc w:val="center"/>
        <w:rPr>
          <w:rFonts w:hint="eastAsia" w:ascii="方正小标宋简体" w:hAnsi="黑体" w:eastAsia="方正小标宋简体"/>
          <w:b/>
          <w:bCs/>
          <w:color w:val="000000"/>
          <w:kern w:val="2"/>
          <w:sz w:val="72"/>
          <w:szCs w:val="24"/>
          <w:lang w:eastAsia="zh-CN"/>
        </w:rPr>
      </w:pPr>
      <w:bookmarkStart w:id="0" w:name="OLE_LINK23"/>
      <w:r>
        <w:rPr>
          <w:rFonts w:hint="eastAsia" w:ascii="方正小标宋简体" w:hAnsi="黑体" w:eastAsia="方正小标宋简体"/>
          <w:b/>
          <w:bCs/>
          <w:color w:val="000000"/>
          <w:kern w:val="2"/>
          <w:sz w:val="72"/>
          <w:szCs w:val="24"/>
          <w:lang w:eastAsia="zh-CN"/>
        </w:rPr>
        <w:t>四川省广元市昭化区政协办</w:t>
      </w:r>
    </w:p>
    <w:p w14:paraId="4F84D8E6">
      <w:pPr>
        <w:snapToGrid w:val="0"/>
        <w:spacing w:line="1176"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b/>
          <w:bCs/>
          <w:color w:val="000000"/>
          <w:kern w:val="2"/>
          <w:sz w:val="72"/>
          <w:szCs w:val="24"/>
          <w:lang w:val="en-US" w:eastAsia="zh-CN"/>
        </w:rPr>
        <w:t>2023年度部门</w:t>
      </w:r>
      <w:r>
        <w:rPr>
          <w:rFonts w:hint="eastAsia" w:ascii="方正小标宋简体" w:hAnsi="黑体" w:eastAsia="方正小标宋简体"/>
          <w:b/>
          <w:bCs/>
          <w:color w:val="000000"/>
          <w:kern w:val="2"/>
          <w:sz w:val="72"/>
          <w:szCs w:val="24"/>
          <w:lang w:val="zh-CN" w:eastAsia="zh-CN"/>
        </w:rPr>
        <w:t>决算公开</w:t>
      </w:r>
    </w:p>
    <w:bookmarkEnd w:id="0"/>
    <w:p w14:paraId="29B74820">
      <w:pPr>
        <w:spacing w:line="576" w:lineRule="exact"/>
        <w:jc w:val="center"/>
        <w:rPr>
          <w:rFonts w:hint="eastAsia" w:ascii="黑体" w:hAnsi="黑体" w:eastAsia="黑体"/>
          <w:color w:val="000000"/>
          <w:kern w:val="2"/>
          <w:sz w:val="72"/>
          <w:szCs w:val="24"/>
          <w:lang w:val="zh-CN"/>
        </w:rPr>
      </w:pPr>
    </w:p>
    <w:p w14:paraId="4D167D09">
      <w:pPr>
        <w:snapToGrid w:val="0"/>
        <w:spacing w:line="1176" w:lineRule="exact"/>
        <w:jc w:val="center"/>
        <w:rPr>
          <w:rFonts w:hint="eastAsia" w:ascii="方正小标宋简体" w:hAnsi="宋体" w:eastAsia="方正小标宋简体"/>
          <w:sz w:val="52"/>
          <w:szCs w:val="24"/>
        </w:rPr>
      </w:pPr>
    </w:p>
    <w:p w14:paraId="2E09ADC3">
      <w:pPr>
        <w:pStyle w:val="4"/>
        <w:spacing w:beforeLines="0" w:line="576" w:lineRule="exact"/>
        <w:rPr>
          <w:rFonts w:hint="eastAsia"/>
          <w:sz w:val="30"/>
          <w:szCs w:val="24"/>
          <w:lang w:val="zh-CN"/>
        </w:rPr>
      </w:pPr>
    </w:p>
    <w:p w14:paraId="10BDB1D7">
      <w:pPr>
        <w:keepNext/>
        <w:keepLines/>
        <w:pageBreakBefore/>
        <w:spacing w:line="576" w:lineRule="exact"/>
        <w:jc w:val="center"/>
        <w:rPr>
          <w:rFonts w:hint="eastAsia" w:ascii="方正小标宋简体" w:hAnsi="方正小标宋简体" w:eastAsia="方正小标宋简体" w:cs="方正小标宋简体"/>
          <w:kern w:val="2"/>
          <w:sz w:val="44"/>
          <w:szCs w:val="44"/>
          <w:lang w:val="zh-CN"/>
        </w:rPr>
      </w:pPr>
      <w:r>
        <w:rPr>
          <w:rFonts w:hint="eastAsia" w:ascii="方正小标宋简体" w:hAnsi="方正小标宋简体" w:eastAsia="方正小标宋简体" w:cs="方正小标宋简体"/>
          <w:kern w:val="2"/>
          <w:sz w:val="44"/>
          <w:szCs w:val="44"/>
          <w:lang w:val="zh-CN"/>
        </w:rPr>
        <w:t>目   录</w:t>
      </w:r>
    </w:p>
    <w:p w14:paraId="5F5F50E3">
      <w:pPr>
        <w:spacing w:line="576" w:lineRule="exact"/>
        <w:jc w:val="center"/>
        <w:rPr>
          <w:rFonts w:hint="eastAsia" w:ascii="楷体_GB2312" w:eastAsia="楷体_GB2312"/>
          <w:sz w:val="32"/>
          <w:szCs w:val="32"/>
        </w:rPr>
      </w:pPr>
    </w:p>
    <w:p w14:paraId="0EA8BA7F">
      <w:pPr>
        <w:spacing w:line="576" w:lineRule="exact"/>
        <w:jc w:val="center"/>
        <w:rPr>
          <w:rFonts w:hint="eastAsia" w:ascii="楷体_GB2312" w:eastAsia="楷体_GB2312"/>
          <w:sz w:val="32"/>
          <w:szCs w:val="32"/>
        </w:rPr>
      </w:pPr>
    </w:p>
    <w:p w14:paraId="18BD21D0">
      <w:pPr>
        <w:tabs>
          <w:tab w:val="right" w:leader="dot" w:pos="8505"/>
        </w:tabs>
        <w:spacing w:line="576" w:lineRule="exact"/>
        <w:rPr>
          <w:rFonts w:hint="eastAsia" w:ascii="仿宋_GB2312" w:eastAsia="仿宋_GB2312"/>
          <w:sz w:val="32"/>
          <w:szCs w:val="32"/>
          <w:lang w:val="en-US" w:eastAsia="zh-CN"/>
        </w:rPr>
      </w:pPr>
      <w:r>
        <w:rPr>
          <w:rFonts w:hint="eastAsia" w:ascii="仿宋_GB2312" w:eastAsia="仿宋_GB2312"/>
          <w:sz w:val="32"/>
          <w:szCs w:val="32"/>
        </w:rPr>
        <w:t>第一部分 部门概况</w:t>
      </w:r>
      <w:r>
        <w:rPr>
          <w:rFonts w:hint="eastAsia" w:ascii="仿宋_GB2312" w:eastAsia="仿宋_GB2312"/>
          <w:sz w:val="32"/>
          <w:szCs w:val="32"/>
        </w:rPr>
        <w:tab/>
      </w:r>
      <w:r>
        <w:rPr>
          <w:rFonts w:hint="eastAsia" w:ascii="仿宋_GB2312" w:eastAsia="仿宋_GB2312"/>
          <w:sz w:val="32"/>
          <w:szCs w:val="32"/>
          <w:lang w:val="en-US" w:eastAsia="zh-CN"/>
        </w:rPr>
        <w:t>1</w:t>
      </w:r>
    </w:p>
    <w:p w14:paraId="4E4DB74E">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一、部门职责</w:t>
      </w:r>
      <w:r>
        <w:rPr>
          <w:rFonts w:hint="eastAsia" w:ascii="仿宋_GB2312" w:eastAsia="仿宋_GB2312"/>
          <w:sz w:val="32"/>
          <w:szCs w:val="32"/>
        </w:rPr>
        <w:tab/>
      </w:r>
      <w:r>
        <w:rPr>
          <w:rFonts w:hint="eastAsia" w:ascii="仿宋_GB2312" w:eastAsia="仿宋_GB2312"/>
          <w:sz w:val="32"/>
          <w:szCs w:val="32"/>
          <w:lang w:val="en-US" w:eastAsia="zh-CN"/>
        </w:rPr>
        <w:t>1</w:t>
      </w:r>
    </w:p>
    <w:p w14:paraId="752A74BA">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二、机构设置</w:t>
      </w:r>
      <w:r>
        <w:rPr>
          <w:rFonts w:hint="eastAsia" w:ascii="仿宋_GB2312" w:eastAsia="仿宋_GB2312"/>
          <w:sz w:val="32"/>
          <w:szCs w:val="32"/>
        </w:rPr>
        <w:tab/>
      </w:r>
      <w:r>
        <w:rPr>
          <w:rFonts w:hint="eastAsia" w:ascii="仿宋_GB2312" w:eastAsia="仿宋_GB2312"/>
          <w:sz w:val="32"/>
          <w:szCs w:val="32"/>
          <w:lang w:val="en-US" w:eastAsia="zh-CN"/>
        </w:rPr>
        <w:t>5</w:t>
      </w:r>
    </w:p>
    <w:p w14:paraId="0D30C3C1">
      <w:pPr>
        <w:tabs>
          <w:tab w:val="right" w:leader="dot" w:pos="8505"/>
        </w:tabs>
        <w:spacing w:line="576" w:lineRule="exact"/>
        <w:rPr>
          <w:rFonts w:hint="eastAsia" w:ascii="仿宋_GB2312" w:eastAsia="仿宋_GB2312"/>
          <w:sz w:val="32"/>
          <w:szCs w:val="32"/>
          <w:lang w:val="en-US" w:eastAsia="zh-CN"/>
        </w:rPr>
      </w:pPr>
      <w:r>
        <w:rPr>
          <w:rFonts w:hint="eastAsia" w:ascii="仿宋_GB2312" w:eastAsia="仿宋_GB2312"/>
          <w:sz w:val="32"/>
          <w:szCs w:val="32"/>
        </w:rPr>
        <w:t>第二部分 2023年度部门决算情况说明</w:t>
      </w:r>
      <w:r>
        <w:rPr>
          <w:rFonts w:hint="eastAsia" w:ascii="仿宋_GB2312" w:eastAsia="仿宋_GB2312"/>
          <w:sz w:val="32"/>
          <w:szCs w:val="32"/>
        </w:rPr>
        <w:tab/>
      </w:r>
      <w:r>
        <w:rPr>
          <w:rFonts w:hint="eastAsia" w:ascii="仿宋_GB2312" w:eastAsia="仿宋_GB2312"/>
          <w:sz w:val="32"/>
          <w:szCs w:val="32"/>
          <w:lang w:val="en-US" w:eastAsia="zh-CN"/>
        </w:rPr>
        <w:t>6</w:t>
      </w:r>
    </w:p>
    <w:p w14:paraId="483231F3">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一、收入支出决算总体情况说明</w:t>
      </w:r>
      <w:r>
        <w:rPr>
          <w:rFonts w:hint="eastAsia" w:ascii="仿宋_GB2312" w:eastAsia="仿宋_GB2312"/>
          <w:sz w:val="32"/>
          <w:szCs w:val="32"/>
        </w:rPr>
        <w:tab/>
      </w:r>
      <w:r>
        <w:rPr>
          <w:rFonts w:hint="eastAsia" w:ascii="仿宋_GB2312" w:eastAsia="仿宋_GB2312"/>
          <w:sz w:val="32"/>
          <w:szCs w:val="32"/>
          <w:lang w:val="en-US" w:eastAsia="zh-CN"/>
        </w:rPr>
        <w:t>6</w:t>
      </w:r>
    </w:p>
    <w:p w14:paraId="5A7808CD">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二、收入决算情况说明</w:t>
      </w:r>
      <w:r>
        <w:rPr>
          <w:rFonts w:hint="eastAsia" w:ascii="仿宋_GB2312" w:eastAsia="仿宋_GB2312"/>
          <w:sz w:val="32"/>
          <w:szCs w:val="32"/>
        </w:rPr>
        <w:tab/>
      </w:r>
      <w:r>
        <w:rPr>
          <w:rFonts w:hint="eastAsia" w:ascii="仿宋_GB2312" w:eastAsia="仿宋_GB2312"/>
          <w:sz w:val="32"/>
          <w:szCs w:val="32"/>
          <w:lang w:val="en-US" w:eastAsia="zh-CN"/>
        </w:rPr>
        <w:t>6</w:t>
      </w:r>
    </w:p>
    <w:p w14:paraId="72A4580F">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三、支出决算情况说明</w:t>
      </w:r>
      <w:r>
        <w:rPr>
          <w:rFonts w:hint="eastAsia" w:ascii="仿宋_GB2312" w:eastAsia="仿宋_GB2312"/>
          <w:sz w:val="32"/>
          <w:szCs w:val="32"/>
        </w:rPr>
        <w:tab/>
      </w:r>
      <w:r>
        <w:rPr>
          <w:rFonts w:hint="eastAsia" w:ascii="仿宋_GB2312" w:eastAsia="仿宋_GB2312"/>
          <w:sz w:val="32"/>
          <w:szCs w:val="32"/>
          <w:lang w:val="en-US" w:eastAsia="zh-CN"/>
        </w:rPr>
        <w:t>7</w:t>
      </w:r>
    </w:p>
    <w:p w14:paraId="4D755742">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四、财政拨款收入支出决算总体情况说明</w:t>
      </w:r>
      <w:r>
        <w:rPr>
          <w:rFonts w:hint="eastAsia" w:ascii="仿宋_GB2312" w:eastAsia="仿宋_GB2312"/>
          <w:sz w:val="32"/>
          <w:szCs w:val="32"/>
        </w:rPr>
        <w:tab/>
      </w:r>
      <w:r>
        <w:rPr>
          <w:rFonts w:hint="eastAsia" w:ascii="仿宋_GB2312" w:eastAsia="仿宋_GB2312"/>
          <w:sz w:val="32"/>
          <w:szCs w:val="32"/>
          <w:lang w:val="en-US" w:eastAsia="zh-CN"/>
        </w:rPr>
        <w:t>8</w:t>
      </w:r>
    </w:p>
    <w:p w14:paraId="55F79822">
      <w:pPr>
        <w:tabs>
          <w:tab w:val="right" w:leader="dot" w:pos="8505"/>
        </w:tabs>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五、一般公共预算财政拨款支出决算情况说明</w:t>
      </w:r>
      <w:r>
        <w:rPr>
          <w:rFonts w:hint="eastAsia" w:ascii="仿宋_GB2312" w:eastAsia="仿宋_GB2312"/>
          <w:sz w:val="32"/>
          <w:szCs w:val="32"/>
        </w:rPr>
        <w:tab/>
      </w:r>
      <w:r>
        <w:rPr>
          <w:rFonts w:hint="eastAsia" w:ascii="仿宋_GB2312" w:eastAsia="仿宋_GB2312"/>
          <w:sz w:val="32"/>
          <w:szCs w:val="32"/>
          <w:lang w:val="en-US" w:eastAsia="zh-CN"/>
        </w:rPr>
        <w:t>8</w:t>
      </w:r>
    </w:p>
    <w:p w14:paraId="6D2A0C24">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rPr>
        <w:tab/>
      </w:r>
      <w:r>
        <w:rPr>
          <w:rFonts w:hint="eastAsia" w:ascii="仿宋_GB2312" w:eastAsia="仿宋_GB2312"/>
          <w:sz w:val="32"/>
          <w:szCs w:val="32"/>
          <w:lang w:val="en-US" w:eastAsia="zh-CN"/>
        </w:rPr>
        <w:t>11</w:t>
      </w:r>
    </w:p>
    <w:p w14:paraId="4B248BE3">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七、财政拨款“三公”经费支出决算情况说明</w:t>
      </w:r>
      <w:r>
        <w:rPr>
          <w:rFonts w:hint="eastAsia" w:ascii="仿宋_GB2312" w:eastAsia="仿宋_GB2312"/>
          <w:sz w:val="32"/>
          <w:szCs w:val="32"/>
        </w:rPr>
        <w:tab/>
      </w:r>
      <w:r>
        <w:rPr>
          <w:rFonts w:hint="eastAsia" w:ascii="仿宋_GB2312" w:eastAsia="仿宋_GB2312"/>
          <w:sz w:val="32"/>
          <w:szCs w:val="32"/>
          <w:lang w:val="en-US" w:eastAsia="zh-CN"/>
        </w:rPr>
        <w:t>12</w:t>
      </w:r>
    </w:p>
    <w:p w14:paraId="5443DAA0">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八、政府性基金预算支出决算情况说明</w:t>
      </w:r>
      <w:r>
        <w:rPr>
          <w:rFonts w:hint="eastAsia" w:ascii="仿宋_GB2312" w:eastAsia="仿宋_GB2312"/>
          <w:sz w:val="32"/>
          <w:szCs w:val="32"/>
        </w:rPr>
        <w:tab/>
      </w:r>
      <w:r>
        <w:rPr>
          <w:rFonts w:hint="eastAsia" w:ascii="仿宋_GB2312" w:eastAsia="仿宋_GB2312"/>
          <w:sz w:val="32"/>
          <w:szCs w:val="32"/>
          <w:lang w:val="en-US" w:eastAsia="zh-CN"/>
        </w:rPr>
        <w:t>13</w:t>
      </w:r>
    </w:p>
    <w:p w14:paraId="2B4A2C2B">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九、国有资本经营预算支出决算情况说明</w:t>
      </w:r>
      <w:r>
        <w:rPr>
          <w:rFonts w:hint="eastAsia" w:ascii="仿宋_GB2312" w:eastAsia="仿宋_GB2312"/>
          <w:sz w:val="32"/>
          <w:szCs w:val="32"/>
        </w:rPr>
        <w:tab/>
      </w:r>
      <w:r>
        <w:rPr>
          <w:rFonts w:hint="eastAsia" w:ascii="仿宋_GB2312" w:eastAsia="仿宋_GB2312"/>
          <w:sz w:val="32"/>
          <w:szCs w:val="32"/>
          <w:lang w:val="en-US" w:eastAsia="zh-CN"/>
        </w:rPr>
        <w:t>14</w:t>
      </w:r>
    </w:p>
    <w:p w14:paraId="113F9B37">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十、其他重要事项的情况说明</w:t>
      </w:r>
      <w:r>
        <w:rPr>
          <w:rFonts w:hint="eastAsia" w:ascii="仿宋_GB2312" w:eastAsia="仿宋_GB2312"/>
          <w:sz w:val="32"/>
          <w:szCs w:val="32"/>
        </w:rPr>
        <w:tab/>
      </w:r>
      <w:r>
        <w:rPr>
          <w:rFonts w:hint="eastAsia" w:ascii="仿宋_GB2312" w:eastAsia="仿宋_GB2312"/>
          <w:sz w:val="32"/>
          <w:szCs w:val="32"/>
          <w:lang w:val="en-US" w:eastAsia="zh-CN"/>
        </w:rPr>
        <w:t>14</w:t>
      </w:r>
    </w:p>
    <w:p w14:paraId="753D8A54">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第三部分 名词解释</w:t>
      </w:r>
      <w:r>
        <w:rPr>
          <w:rFonts w:hint="eastAsia" w:ascii="仿宋_GB2312" w:eastAsia="仿宋_GB2312"/>
          <w:sz w:val="32"/>
          <w:szCs w:val="32"/>
        </w:rPr>
        <w:tab/>
      </w:r>
      <w:r>
        <w:rPr>
          <w:rFonts w:hint="eastAsia" w:ascii="仿宋_GB2312" w:eastAsia="仿宋_GB2312"/>
          <w:sz w:val="32"/>
          <w:szCs w:val="32"/>
          <w:lang w:val="en-US" w:eastAsia="zh-CN"/>
        </w:rPr>
        <w:t>16</w:t>
      </w:r>
    </w:p>
    <w:p w14:paraId="6D41F482">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lang w:val="en-US" w:eastAsia="zh-CN"/>
        </w:rPr>
        <w:t>19</w:t>
      </w:r>
    </w:p>
    <w:p w14:paraId="5554B8CF">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附件1</w:t>
      </w:r>
      <w:r>
        <w:rPr>
          <w:rFonts w:hint="eastAsia" w:ascii="仿宋_GB2312" w:eastAsia="仿宋_GB2312"/>
          <w:sz w:val="32"/>
          <w:szCs w:val="32"/>
        </w:rPr>
        <w:tab/>
      </w:r>
      <w:r>
        <w:rPr>
          <w:rFonts w:hint="eastAsia" w:ascii="仿宋_GB2312" w:eastAsia="仿宋_GB2312"/>
          <w:sz w:val="32"/>
          <w:szCs w:val="32"/>
          <w:lang w:val="en-US" w:eastAsia="zh-CN"/>
        </w:rPr>
        <w:t>23</w:t>
      </w:r>
    </w:p>
    <w:p w14:paraId="13BC936E">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附件2</w:t>
      </w:r>
      <w:r>
        <w:rPr>
          <w:rFonts w:hint="eastAsia" w:ascii="仿宋_GB2312" w:eastAsia="仿宋_GB2312"/>
          <w:sz w:val="32"/>
          <w:szCs w:val="32"/>
        </w:rPr>
        <w:tab/>
      </w:r>
      <w:r>
        <w:rPr>
          <w:rFonts w:hint="eastAsia" w:ascii="仿宋_GB2312" w:eastAsia="仿宋_GB2312"/>
          <w:sz w:val="32"/>
          <w:szCs w:val="32"/>
          <w:lang w:val="en-US" w:eastAsia="zh-CN"/>
        </w:rPr>
        <w:t>24</w:t>
      </w:r>
    </w:p>
    <w:p w14:paraId="11DA05FC">
      <w:pPr>
        <w:tabs>
          <w:tab w:val="right" w:leader="dot" w:pos="8505"/>
        </w:tabs>
        <w:spacing w:line="576" w:lineRule="exact"/>
        <w:rPr>
          <w:rFonts w:hint="default" w:ascii="仿宋_GB2312" w:eastAsia="仿宋_GB2312"/>
          <w:sz w:val="32"/>
          <w:szCs w:val="32"/>
          <w:lang w:val="en-US" w:eastAsia="zh-CN"/>
        </w:rPr>
      </w:pPr>
      <w:r>
        <w:rPr>
          <w:rFonts w:hint="eastAsia" w:ascii="仿宋_GB2312" w:eastAsia="仿宋_GB2312"/>
          <w:sz w:val="32"/>
          <w:szCs w:val="32"/>
        </w:rPr>
        <w:t>第五部分 附表</w:t>
      </w:r>
      <w:r>
        <w:rPr>
          <w:rFonts w:hint="eastAsia" w:ascii="仿宋_GB2312" w:eastAsia="仿宋_GB2312"/>
          <w:sz w:val="32"/>
          <w:szCs w:val="32"/>
        </w:rPr>
        <w:tab/>
      </w:r>
      <w:r>
        <w:rPr>
          <w:rFonts w:hint="eastAsia" w:ascii="仿宋_GB2312" w:eastAsia="仿宋_GB2312"/>
          <w:sz w:val="32"/>
          <w:szCs w:val="32"/>
          <w:lang w:val="en-US" w:eastAsia="zh-CN"/>
        </w:rPr>
        <w:t>28</w:t>
      </w:r>
    </w:p>
    <w:p w14:paraId="7AC45740">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lang w:val="en-US" w:eastAsia="zh-CN"/>
        </w:rPr>
        <w:t>28</w:t>
      </w:r>
    </w:p>
    <w:p w14:paraId="1B98B073">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10986BB5">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1C5CD9B7">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lang w:val="en-US" w:eastAsia="zh-CN"/>
        </w:rPr>
        <w:t>28</w:t>
      </w:r>
    </w:p>
    <w:p w14:paraId="27CE05DC">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五、财政拨款支出决算明细表</w:t>
      </w:r>
      <w:r>
        <w:rPr>
          <w:rFonts w:hint="eastAsia" w:ascii="仿宋_GB2312" w:eastAsia="仿宋_GB2312"/>
          <w:sz w:val="32"/>
          <w:szCs w:val="32"/>
        </w:rPr>
        <w:tab/>
      </w:r>
      <w:r>
        <w:rPr>
          <w:rFonts w:hint="eastAsia" w:ascii="仿宋_GB2312" w:eastAsia="仿宋_GB2312"/>
          <w:sz w:val="32"/>
          <w:szCs w:val="32"/>
          <w:lang w:val="en-US" w:eastAsia="zh-CN"/>
        </w:rPr>
        <w:t>28</w:t>
      </w:r>
    </w:p>
    <w:p w14:paraId="26F421BF">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六、一般公共预算财政拨款支出决算表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5409502A">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七、一般公共预算财政拨款支出决算明细表</w:t>
      </w:r>
      <w:r>
        <w:rPr>
          <w:rFonts w:hint="eastAsia" w:ascii="仿宋_GB2312" w:eastAsia="仿宋_GB2312"/>
          <w:sz w:val="32"/>
          <w:szCs w:val="32"/>
        </w:rPr>
        <w:tab/>
      </w:r>
      <w:r>
        <w:rPr>
          <w:rFonts w:hint="eastAsia" w:ascii="仿宋_GB2312" w:eastAsia="仿宋_GB2312"/>
          <w:sz w:val="32"/>
          <w:szCs w:val="32"/>
          <w:lang w:val="en-US" w:eastAsia="zh-CN"/>
        </w:rPr>
        <w:t>28</w:t>
      </w:r>
    </w:p>
    <w:p w14:paraId="3A5CDBA9">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八、一般公共预算财政拨款基本支出决算表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32F5D0BA">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九、一般公共预算财政拨款项目支出决算表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4EF0AAAC">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十、政府性基金预算财政拨款收入支出决算表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5439678D">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十一、国有资本经营预算财政拨款收入支出决算表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5A0F9347">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十二、国有资本经营预算财政拨款支出决算表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541337EB">
      <w:pPr>
        <w:tabs>
          <w:tab w:val="right" w:leader="dot" w:pos="8505"/>
        </w:tabs>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十三、财政拨款“三公”经费支出决算表</w:t>
      </w:r>
      <w:r>
        <w:rPr>
          <w:rFonts w:hint="eastAsia" w:ascii="仿宋_GB2312" w:eastAsia="仿宋_GB2312"/>
          <w:sz w:val="32"/>
          <w:szCs w:val="32"/>
        </w:rPr>
        <w:tab/>
      </w:r>
      <w:r>
        <w:rPr>
          <w:rFonts w:hint="eastAsia" w:ascii="仿宋_GB2312" w:eastAsia="仿宋_GB2312"/>
          <w:sz w:val="32"/>
          <w:szCs w:val="32"/>
          <w:lang w:val="en-US" w:eastAsia="zh-CN"/>
        </w:rPr>
        <w:t>28</w:t>
      </w:r>
    </w:p>
    <w:p w14:paraId="717CEA6D">
      <w:pPr>
        <w:spacing w:line="576" w:lineRule="exact"/>
        <w:rPr>
          <w:rFonts w:hint="eastAsia" w:eastAsia="Times New Roman"/>
          <w:sz w:val="24"/>
          <w:szCs w:val="24"/>
        </w:rPr>
      </w:pPr>
    </w:p>
    <w:p w14:paraId="1B6C2A65">
      <w:pPr>
        <w:pStyle w:val="4"/>
        <w:spacing w:beforeLines="0" w:line="576" w:lineRule="exact"/>
        <w:rPr>
          <w:rFonts w:hint="eastAsia"/>
          <w:sz w:val="30"/>
          <w:szCs w:val="24"/>
        </w:rPr>
        <w:sectPr>
          <w:pgSz w:w="12240" w:h="15840"/>
          <w:pgMar w:top="2098" w:right="1474" w:bottom="1984" w:left="1587" w:header="720" w:footer="720" w:gutter="0"/>
          <w:lnNumType w:countBy="0" w:distance="360"/>
          <w:cols w:space="720" w:num="1"/>
        </w:sectPr>
      </w:pPr>
    </w:p>
    <w:p w14:paraId="18434F08">
      <w:pPr>
        <w:pStyle w:val="2"/>
        <w:keepNext/>
        <w:keepLines/>
        <w:pageBreakBefore/>
        <w:widowControl w:val="0"/>
        <w:kinsoku/>
        <w:wordWrap/>
        <w:topLinePunct w:val="0"/>
        <w:bidi w:val="0"/>
        <w:snapToGrid/>
        <w:spacing w:line="576" w:lineRule="exact"/>
        <w:jc w:val="center"/>
        <w:textAlignment w:val="auto"/>
        <w:rPr>
          <w:rFonts w:hint="default" w:ascii="Times New Roman" w:hAnsi="Times New Roman" w:eastAsia="方正小标宋简体" w:cs="Times New Roman"/>
          <w:b/>
          <w:kern w:val="44"/>
          <w:sz w:val="44"/>
          <w:szCs w:val="24"/>
        </w:rPr>
      </w:pPr>
      <w:r>
        <w:rPr>
          <w:rFonts w:hint="default" w:ascii="Times New Roman" w:hAnsi="Times New Roman" w:eastAsia="方正小标宋简体" w:cs="Times New Roman"/>
          <w:kern w:val="44"/>
          <w:sz w:val="44"/>
          <w:szCs w:val="24"/>
        </w:rPr>
        <w:t>第一部分 部门概况</w:t>
      </w:r>
    </w:p>
    <w:p w14:paraId="2CE48436">
      <w:pPr>
        <w:pStyle w:val="3"/>
        <w:keepNext/>
        <w:keepLines/>
        <w:widowControl w:val="0"/>
        <w:kinsoku/>
        <w:wordWrap/>
        <w:topLinePunct w:val="0"/>
        <w:bidi w:val="0"/>
        <w:snapToGrid/>
        <w:spacing w:line="576" w:lineRule="exact"/>
        <w:ind w:firstLine="640"/>
        <w:jc w:val="both"/>
        <w:textAlignment w:val="auto"/>
        <w:rPr>
          <w:rFonts w:hint="default" w:ascii="Times New Roman" w:hAnsi="Times New Roman" w:eastAsia="黑体" w:cs="Times New Roman"/>
          <w:color w:val="000000"/>
          <w:kern w:val="2"/>
          <w:sz w:val="32"/>
          <w:szCs w:val="24"/>
        </w:rPr>
      </w:pPr>
    </w:p>
    <w:p w14:paraId="31AB7324">
      <w:pPr>
        <w:pStyle w:val="3"/>
        <w:keepNext/>
        <w:keepLines/>
        <w:widowControl w:val="0"/>
        <w:kinsoku/>
        <w:wordWrap/>
        <w:topLinePunct w:val="0"/>
        <w:bidi w:val="0"/>
        <w:snapToGrid/>
        <w:spacing w:line="576" w:lineRule="exact"/>
        <w:ind w:firstLine="640"/>
        <w:jc w:val="both"/>
        <w:textAlignment w:val="auto"/>
        <w:rPr>
          <w:rFonts w:hint="default" w:ascii="Times New Roman" w:hAnsi="Times New Roman" w:eastAsia="黑体" w:cs="Times New Roman"/>
          <w:kern w:val="2"/>
          <w:sz w:val="32"/>
          <w:szCs w:val="24"/>
        </w:rPr>
      </w:pPr>
      <w:r>
        <w:rPr>
          <w:rFonts w:hint="default" w:ascii="Times New Roman" w:hAnsi="Times New Roman" w:eastAsia="黑体" w:cs="Times New Roman"/>
          <w:color w:val="000000"/>
          <w:kern w:val="2"/>
          <w:sz w:val="32"/>
          <w:szCs w:val="24"/>
        </w:rPr>
        <w:t>一、部门职责</w:t>
      </w:r>
    </w:p>
    <w:p w14:paraId="649BC3B7">
      <w:pPr>
        <w:widowControl w:val="0"/>
        <w:kinsoku/>
        <w:wordWrap/>
        <w:topLinePunct w:val="0"/>
        <w:bidi w:val="0"/>
        <w:snapToGrid/>
        <w:spacing w:line="576" w:lineRule="exact"/>
        <w:ind w:firstLine="640"/>
        <w:jc w:val="both"/>
        <w:textAlignment w:val="auto"/>
        <w:rPr>
          <w:rFonts w:hint="default" w:ascii="Times New Roman" w:hAnsi="Times New Roman" w:eastAsia="楷体_GB2312" w:cs="Times New Roman"/>
          <w:kern w:val="2"/>
          <w:sz w:val="32"/>
          <w:szCs w:val="24"/>
        </w:rPr>
      </w:pPr>
      <w:r>
        <w:rPr>
          <w:rFonts w:hint="default" w:ascii="Times New Roman" w:hAnsi="Times New Roman" w:eastAsia="楷体_GB2312" w:cs="Times New Roman"/>
          <w:kern w:val="2"/>
          <w:sz w:val="32"/>
          <w:szCs w:val="24"/>
        </w:rPr>
        <w:t>（一）主要职能。</w:t>
      </w:r>
    </w:p>
    <w:p w14:paraId="43790246">
      <w:pPr>
        <w:pStyle w:val="3"/>
        <w:widowControl w:val="0"/>
        <w:numPr>
          <w:ilvl w:val="0"/>
          <w:numId w:val="0"/>
        </w:numPr>
        <w:kinsoku/>
        <w:wordWrap/>
        <w:topLinePunct w:val="0"/>
        <w:bidi w:val="0"/>
        <w:snapToGrid/>
        <w:spacing w:line="576" w:lineRule="exact"/>
        <w:ind w:firstLine="640" w:firstLineChars="200"/>
        <w:jc w:val="both"/>
        <w:textAlignment w:val="auto"/>
        <w:rPr>
          <w:rFonts w:hint="default" w:ascii="Times New Roman" w:hAnsi="Times New Roman" w:eastAsia="仿宋_GB2312" w:cs="Times New Roman"/>
          <w:color w:val="000000"/>
          <w:sz w:val="32"/>
          <w:szCs w:val="32"/>
        </w:rPr>
      </w:pPr>
      <w:bookmarkStart w:id="1" w:name="OLE_LINK24"/>
      <w:r>
        <w:rPr>
          <w:rFonts w:hint="default" w:ascii="Times New Roman" w:hAnsi="Times New Roman" w:eastAsia="仿宋_GB2312" w:cs="Times New Roman"/>
          <w:color w:val="000000"/>
          <w:sz w:val="32"/>
          <w:szCs w:val="32"/>
        </w:rPr>
        <w:t>政协广元市昭化区委员会办公室是政协广元市昭化区委员会的工作机构，承担为区政协履行政治协商、民主监督、参政议政职能服务的各项工作。主要负责政协广元市昭化区委员会全体会议、常务委员会会议、主席会议和其他重要会议的会务工作；组织实施区委、区政府、区政协年度协商计划和政协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bookmarkEnd w:id="1"/>
    </w:p>
    <w:p w14:paraId="2D197954">
      <w:pPr>
        <w:keepNext/>
        <w:keepLines/>
        <w:widowControl w:val="0"/>
        <w:kinsoku/>
        <w:wordWrap/>
        <w:topLinePunct w:val="0"/>
        <w:bidi w:val="0"/>
        <w:snapToGrid/>
        <w:spacing w:line="576" w:lineRule="exact"/>
        <w:ind w:firstLine="64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（二）2023年重点工作完成情况。</w:t>
      </w:r>
    </w:p>
    <w:p w14:paraId="5FF3D0EB">
      <w:pPr>
        <w:keepNext w:val="0"/>
        <w:keepLines w:val="0"/>
        <w:pageBreakBefore w:val="0"/>
        <w:widowControl w:val="0"/>
        <w:kinsoku/>
        <w:wordWrap/>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kern w:val="10"/>
          <w:sz w:val="32"/>
          <w:szCs w:val="32"/>
        </w:rPr>
      </w:pPr>
      <w:r>
        <w:rPr>
          <w:rFonts w:hint="eastAsia" w:ascii="仿宋_GB2312" w:hAnsi="仿宋_GB2312" w:eastAsia="仿宋_GB2312" w:cs="仿宋_GB2312"/>
          <w:b/>
          <w:bCs/>
          <w:color w:val="000000"/>
          <w:kern w:val="10"/>
          <w:sz w:val="32"/>
          <w:szCs w:val="32"/>
          <w:lang w:val="en-US" w:eastAsia="zh-CN"/>
        </w:rPr>
        <w:t>1、</w:t>
      </w:r>
      <w:r>
        <w:rPr>
          <w:rFonts w:hint="eastAsia" w:ascii="仿宋_GB2312" w:hAnsi="仿宋_GB2312" w:eastAsia="仿宋_GB2312" w:cs="仿宋_GB2312"/>
          <w:b/>
          <w:bCs/>
          <w:color w:val="000000"/>
          <w:kern w:val="10"/>
          <w:sz w:val="32"/>
          <w:szCs w:val="32"/>
        </w:rPr>
        <w:t>融入中心服务大局，深入协商力促发展</w:t>
      </w:r>
    </w:p>
    <w:p w14:paraId="1BEE951F">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color w:val="000000"/>
          <w:sz w:val="32"/>
          <w:szCs w:val="32"/>
        </w:rPr>
        <w:t>高质量举行全会协商。关注全区经济社会发展大局和民生热点，团结组织政协各参加单位和广大委员围绕政府工作报告积极建言献策，提出意见建议230余条。聚焦区委第八届三次全会精神，锚定“1456”发展战略，组织大会发言、联组会发言24篇，共收集大会提案106件，立案96件，为党政科学决策、有效施政提供重要参考。</w:t>
      </w:r>
      <w:r>
        <w:rPr>
          <w:rFonts w:hint="default" w:ascii="Times New Roman" w:hAnsi="Times New Roman" w:eastAsia="仿宋_GB2312" w:cs="Times New Roman"/>
          <w:b w:val="0"/>
          <w:bCs w:val="0"/>
          <w:sz w:val="32"/>
          <w:szCs w:val="32"/>
        </w:rPr>
        <w:t>深入开展议政性协商。区政协围绕县域经济高质量发展开展专题进行议政性协商，为拓展县域经济新视野建言献策</w:t>
      </w:r>
      <w:r>
        <w:rPr>
          <w:rFonts w:hint="default" w:ascii="Times New Roman" w:hAnsi="Times New Roman" w:eastAsia="仿宋_GB2312" w:cs="Times New Roman"/>
          <w:b w:val="0"/>
          <w:bCs w:val="0"/>
          <w:color w:val="000000"/>
          <w:sz w:val="32"/>
          <w:szCs w:val="32"/>
        </w:rPr>
        <w:t>，提出5个方面的意见建议，形成《在新起点上推进县域经济高质量发展路径选择专题议政性协商报告》。围绕“</w:t>
      </w:r>
      <w:r>
        <w:rPr>
          <w:rFonts w:hint="default" w:ascii="Times New Roman" w:hAnsi="Times New Roman" w:eastAsia="仿宋_GB2312" w:cs="Times New Roman"/>
          <w:b w:val="0"/>
          <w:bCs w:val="0"/>
          <w:sz w:val="32"/>
          <w:szCs w:val="32"/>
        </w:rPr>
        <w:t>深入挖掘昭大古蜀道文化内涵助力昭化古城5A级景区创建深入调研视察</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协商形成高质量协商报告。扎实开展多层次协商。聚焦统筹城乡发展积极建言献策，围绕加强农村居民聚居点后续建设治理、城乡污水处理设施建设与管护开展专题协商，形成了高质量的意见建设。围绕社会事业发展，坚持把人民最关心关切的民生领域作为重点，开展了加强传统村落保护与发展、推进全民健身擦亮“柔力球之乡”名片专题协商和对口协商</w:t>
      </w:r>
      <w:r>
        <w:rPr>
          <w:rFonts w:hint="default" w:ascii="Times New Roman" w:hAnsi="Times New Roman" w:eastAsia="仿宋_GB2312" w:cs="Times New Roman"/>
          <w:b w:val="0"/>
          <w:bCs w:val="0"/>
          <w:color w:val="000000"/>
          <w:sz w:val="32"/>
          <w:szCs w:val="32"/>
        </w:rPr>
        <w:t>，被有关部门认真吸纳采用。助力产业发展，开展了关于推进王家贡米产业健康发展、加快我区现代物流业发展、充分发挥科技在种养殖业发展中的作用等专题协商和界别协商。为推动社会治理现代化建设，聚焦完善基层综合执法机制建设深入开展调查研究，开展专题协商，形成高质量协商报告。</w:t>
      </w:r>
      <w:r>
        <w:rPr>
          <w:rFonts w:hint="default" w:ascii="Times New Roman" w:hAnsi="Times New Roman" w:eastAsia="仿宋_GB2312" w:cs="Times New Roman"/>
          <w:b w:val="0"/>
          <w:bCs w:val="0"/>
          <w:sz w:val="32"/>
          <w:szCs w:val="32"/>
        </w:rPr>
        <w:t>精准开展</w:t>
      </w:r>
      <w:r>
        <w:rPr>
          <w:rFonts w:hint="default" w:ascii="Times New Roman" w:hAnsi="Times New Roman" w:eastAsia="仿宋_GB2312" w:cs="Times New Roman"/>
          <w:b w:val="0"/>
          <w:bCs w:val="0"/>
          <w:kern w:val="2"/>
          <w:sz w:val="32"/>
          <w:szCs w:val="32"/>
        </w:rPr>
        <w:t>民主监督。</w:t>
      </w:r>
      <w:r>
        <w:rPr>
          <w:rFonts w:hint="default" w:ascii="Times New Roman" w:hAnsi="Times New Roman" w:eastAsia="仿宋_GB2312" w:cs="Times New Roman"/>
          <w:b w:val="0"/>
          <w:bCs w:val="0"/>
          <w:sz w:val="32"/>
          <w:szCs w:val="32"/>
        </w:rPr>
        <w:t>常委会围绕</w:t>
      </w:r>
      <w:r>
        <w:rPr>
          <w:rFonts w:hint="default" w:ascii="Times New Roman" w:hAnsi="Times New Roman" w:eastAsia="仿宋_GB2312" w:cs="Times New Roman"/>
          <w:b w:val="0"/>
          <w:bCs w:val="0"/>
          <w:color w:val="000000"/>
          <w:sz w:val="32"/>
          <w:szCs w:val="32"/>
        </w:rPr>
        <w:t>围绕营商环境、法治建设、重点项目等重点工作，开展了王家贡米产业发展、“枫桥式”派出所、智慧法庭、重大项目推进等情况视察监督，提出意见建设30余条，推动了区委重大决策部署和重点工作落实落地。常委会定期听取区纪委监委、区政协、区人民法院、区人民检察院以及相关部门工作情况通报。</w:t>
      </w:r>
    </w:p>
    <w:p w14:paraId="0A456DB0">
      <w:pPr>
        <w:keepNext w:val="0"/>
        <w:keepLines w:val="0"/>
        <w:pageBreakBefore w:val="0"/>
        <w:widowControl w:val="0"/>
        <w:kinsoku/>
        <w:wordWrap/>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2、</w:t>
      </w:r>
      <w:r>
        <w:rPr>
          <w:rFonts w:hint="eastAsia" w:ascii="仿宋_GB2312" w:hAnsi="仿宋_GB2312" w:eastAsia="仿宋_GB2312" w:cs="仿宋_GB2312"/>
          <w:b/>
          <w:bCs/>
          <w:kern w:val="10"/>
          <w:sz w:val="32"/>
          <w:szCs w:val="32"/>
        </w:rPr>
        <w:t>发挥优势凝聚共识，持续增进团结民主</w:t>
      </w:r>
    </w:p>
    <w:p w14:paraId="3CE3E317">
      <w:pPr>
        <w:keepNext w:val="0"/>
        <w:keepLines w:val="0"/>
        <w:pageBreakBefore w:val="0"/>
        <w:widowControl w:val="0"/>
        <w:kinsoku/>
        <w:wordWrap/>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积极搭建合作共识平台。</w:t>
      </w:r>
      <w:r>
        <w:rPr>
          <w:rFonts w:hint="default" w:ascii="Times New Roman" w:hAnsi="Times New Roman" w:eastAsia="仿宋_GB2312" w:cs="Times New Roman"/>
          <w:b w:val="0"/>
          <w:bCs w:val="0"/>
          <w:color w:val="000000"/>
          <w:sz w:val="32"/>
          <w:szCs w:val="32"/>
        </w:rPr>
        <w:t>全面落实党组成员联系 党派、界别制度，组织委员及时学习中央、省委、市委和区委的重要文件，传达会议精神，适时举行座谈会，邀请区委、区政府领导向委员通报经济社会发展、重大项目推进和民生工作落实情况，增进委员对区情的了解，回应关切、沟通思想、凝聚共识。不断做强团结联谊纽带。加强与省、市政协沟通联系，配合省、市政协来昭化调研视察10批次，积极争取省政协对昭化工作的关心支持。加强横向沟通交流联谊，组织政协委员、政协干部赴上海、浙江、北京、新疆等地开展投资促进、学习考察和联谊活动，与外省市政协联谊11场次，大力推介昭化，分享昭化经验，提升昭化美誉度和影响力。</w:t>
      </w:r>
      <w:r>
        <w:rPr>
          <w:rFonts w:hint="default" w:ascii="Times New Roman" w:hAnsi="Times New Roman" w:eastAsia="仿宋_GB2312" w:cs="Times New Roman"/>
          <w:b w:val="0"/>
          <w:bCs w:val="0"/>
          <w:color w:val="000000"/>
          <w:kern w:val="2"/>
          <w:sz w:val="32"/>
          <w:szCs w:val="32"/>
        </w:rPr>
        <w:t>加强同党外知识分子、非公有制经济人士、新的社会阶层人士的团结联谊，开展座谈交流2次。重视文史资料存史资政作用。</w:t>
      </w:r>
      <w:r>
        <w:rPr>
          <w:rFonts w:hint="default" w:ascii="Times New Roman" w:hAnsi="Times New Roman" w:eastAsia="仿宋_GB2312" w:cs="Times New Roman"/>
          <w:b w:val="0"/>
          <w:bCs w:val="0"/>
          <w:color w:val="000000"/>
          <w:sz w:val="32"/>
          <w:szCs w:val="32"/>
        </w:rPr>
        <w:t>紧扣区委“四城新区、诗意昭化”主题，编辑出版《诗意昭化》文史资料专辑,加强本土文史资料的征集、收集和研究，完成《柏林沟古镇文史资料》编撰工作。</w:t>
      </w:r>
      <w:r>
        <w:rPr>
          <w:rFonts w:hint="default" w:ascii="Times New Roman" w:hAnsi="Times New Roman" w:eastAsia="仿宋_GB2312" w:cs="Times New Roman"/>
          <w:b w:val="0"/>
          <w:bCs w:val="0"/>
          <w:sz w:val="32"/>
          <w:szCs w:val="32"/>
        </w:rPr>
        <w:t>制定第十五辑文史资料《蜀道葭萌》编纂方案，落实了部分撰稿人，收集史料10余万字。参与天雄村村史馆资料收集与提供，参与中央电视台“地理中国”栏目拍摄，宣传昭化古城和昭大古蜀道文化。</w:t>
      </w:r>
    </w:p>
    <w:p w14:paraId="18CCB251">
      <w:pPr>
        <w:keepNext w:val="0"/>
        <w:keepLines w:val="0"/>
        <w:pageBreakBefore w:val="0"/>
        <w:widowControl w:val="0"/>
        <w:kinsoku/>
        <w:wordWrap/>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bCs/>
          <w:sz w:val="32"/>
          <w:szCs w:val="32"/>
        </w:rPr>
      </w:pPr>
      <w:r>
        <w:rPr>
          <w:rFonts w:hint="eastAsia"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rPr>
        <w:t>关注民生履职尽责，牢记为民初心使命</w:t>
      </w:r>
    </w:p>
    <w:p w14:paraId="58B6F3EA">
      <w:pPr>
        <w:pStyle w:val="7"/>
        <w:keepNext w:val="0"/>
        <w:keepLines w:val="0"/>
        <w:pageBreakBefore w:val="0"/>
        <w:widowControl w:val="0"/>
        <w:numPr>
          <w:ilvl w:val="0"/>
          <w:numId w:val="0"/>
        </w:numPr>
        <w:kinsoku/>
        <w:wordWrap/>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全力打造“有事来协商”升级版。</w:t>
      </w:r>
      <w:r>
        <w:rPr>
          <w:rFonts w:hint="default" w:ascii="Times New Roman" w:hAnsi="Times New Roman" w:eastAsia="仿宋_GB2312" w:cs="Times New Roman"/>
          <w:b w:val="0"/>
          <w:bCs w:val="0"/>
          <w:sz w:val="32"/>
          <w:szCs w:val="32"/>
        </w:rPr>
        <w:t>突出昭化特色，建立“四个一”推动机制，打造“昭事协商·化雨润物”昭化协商品牌，助推形成共建共治共享的社会治理格局。</w:t>
      </w:r>
      <w:r>
        <w:rPr>
          <w:rFonts w:hint="eastAsia"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rPr>
        <w:t>年全区已经开展了38场次的小微协商，委员参与179人次，收集群众意见建议170条，解决实际问题89个。</w:t>
      </w:r>
      <w:r>
        <w:rPr>
          <w:rFonts w:hint="default" w:ascii="Times New Roman" w:hAnsi="Times New Roman" w:eastAsia="仿宋_GB2312" w:cs="Times New Roman"/>
          <w:b w:val="0"/>
          <w:bCs w:val="0"/>
          <w:color w:val="000000"/>
          <w:kern w:val="2"/>
          <w:sz w:val="32"/>
          <w:szCs w:val="32"/>
          <w:shd w:val="clear" w:color="auto" w:fill="FFFFFF"/>
        </w:rPr>
        <w:t>扎实开展“同心共建现代化四川”广元行动昭化实践活动。</w:t>
      </w:r>
      <w:r>
        <w:rPr>
          <w:rFonts w:hint="default" w:ascii="Times New Roman" w:hAnsi="Times New Roman" w:eastAsia="仿宋_GB2312" w:cs="Times New Roman"/>
          <w:b w:val="0"/>
          <w:bCs w:val="0"/>
          <w:sz w:val="32"/>
          <w:szCs w:val="32"/>
        </w:rPr>
        <w:t>区政协在推进“同心共建现代化四川”广元行动昭化实践工作中，结合昭化实践专题研究出台实施方案，坚持做到“三个结合”，切实做到“四同”，扎实开展“两个走在前”，实施“六个一”工作机制，为强力推进“同心共建现代化四川”广元行动昭化实践工作提供坚强的组织、措施、制度保障，</w:t>
      </w:r>
      <w:r>
        <w:rPr>
          <w:rFonts w:hint="default" w:ascii="Times New Roman" w:hAnsi="Times New Roman" w:eastAsia="仿宋_GB2312" w:cs="Times New Roman"/>
          <w:b w:val="0"/>
          <w:bCs w:val="0"/>
          <w:color w:val="auto"/>
          <w:sz w:val="32"/>
          <w:szCs w:val="32"/>
        </w:rPr>
        <w:t>形成了一体谋划、一体推进、一体落实的工作格局。</w:t>
      </w:r>
      <w:r>
        <w:rPr>
          <w:rFonts w:hint="default" w:ascii="Times New Roman" w:hAnsi="Times New Roman" w:eastAsia="仿宋_GB2312" w:cs="Times New Roman"/>
          <w:b w:val="0"/>
          <w:bCs w:val="0"/>
          <w:color w:val="000000"/>
          <w:kern w:val="2"/>
          <w:sz w:val="32"/>
          <w:szCs w:val="32"/>
          <w:shd w:val="clear" w:color="auto" w:fill="FFFFFF"/>
        </w:rPr>
        <w:t>全力打造“书香政协”。</w:t>
      </w:r>
      <w:r>
        <w:rPr>
          <w:rFonts w:hint="default" w:ascii="Times New Roman" w:hAnsi="Times New Roman" w:eastAsia="仿宋_GB2312" w:cs="Times New Roman"/>
          <w:b w:val="0"/>
          <w:bCs w:val="0"/>
          <w:sz w:val="32"/>
          <w:szCs w:val="32"/>
        </w:rPr>
        <w:t>建设“书香政协· 诗意昭化”特色品牌。制定实施方案，组建6个兴趣小组，引导政协委员开展读书、书画、摄影、健身等系列主题活动。充分利用各类网站、“昭化政协”微信公众号专栏、电视台“委员风采”等，广泛宣传活动中的先进典型事迹及好经验好做法，扩大社会影响力和思想引领力，切实形成政协人人读书、热爱读书的良好局面。</w:t>
      </w:r>
    </w:p>
    <w:p w14:paraId="3ADE8C1D">
      <w:pPr>
        <w:keepNext w:val="0"/>
        <w:keepLines w:val="0"/>
        <w:pageBreakBefore w:val="0"/>
        <w:widowControl w:val="0"/>
        <w:kinsoku/>
        <w:wordWrap/>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4、</w:t>
      </w:r>
      <w:r>
        <w:rPr>
          <w:rFonts w:hint="eastAsia" w:ascii="仿宋_GB2312" w:hAnsi="仿宋_GB2312" w:eastAsia="仿宋_GB2312" w:cs="仿宋_GB2312"/>
          <w:b/>
          <w:bCs/>
          <w:kern w:val="10"/>
          <w:sz w:val="32"/>
          <w:szCs w:val="32"/>
        </w:rPr>
        <w:t>强化政协自身建设，不断激发内生活力</w:t>
      </w:r>
    </w:p>
    <w:p w14:paraId="0C203D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000000"/>
          <w:kern w:val="2"/>
          <w:sz w:val="32"/>
          <w:szCs w:val="32"/>
        </w:rPr>
        <w:t>加强专门协商机构效能建设。</w:t>
      </w:r>
      <w:r>
        <w:rPr>
          <w:rFonts w:hint="default" w:ascii="Times New Roman" w:hAnsi="Times New Roman" w:eastAsia="仿宋_GB2312" w:cs="Times New Roman"/>
          <w:b w:val="0"/>
          <w:bCs w:val="0"/>
          <w:color w:val="000000"/>
          <w:sz w:val="32"/>
          <w:szCs w:val="32"/>
        </w:rPr>
        <w:t>大力推动政协协商力量下沉服务基层社会治理，引导广大委员进社区、进园区、进街巷楼宇、进学校医院，察民情、汇民意、集民智，形成“加强农村居民聚居点后续建设治理”“关于加强停产停业未注销、破产待清算企业职工社会基本保险的建议”等多篇提案和社情民意信息。</w:t>
      </w:r>
      <w:r>
        <w:rPr>
          <w:rFonts w:hint="default" w:ascii="Times New Roman" w:hAnsi="Times New Roman" w:eastAsia="仿宋_GB2312" w:cs="Times New Roman"/>
          <w:b w:val="0"/>
          <w:bCs w:val="0"/>
          <w:color w:val="000000"/>
          <w:kern w:val="2"/>
          <w:sz w:val="32"/>
          <w:szCs w:val="32"/>
        </w:rPr>
        <w:t>提升干部队伍履职能力和水平。</w:t>
      </w:r>
      <w:r>
        <w:rPr>
          <w:rFonts w:hint="default" w:ascii="Times New Roman" w:hAnsi="Times New Roman" w:eastAsia="仿宋_GB2312" w:cs="Times New Roman"/>
          <w:b w:val="0"/>
          <w:bCs w:val="0"/>
          <w:kern w:val="2"/>
          <w:sz w:val="32"/>
          <w:szCs w:val="32"/>
        </w:rPr>
        <w:t>常态化开展委员履职能力提升培训，各专委会扎实开展联系界别委员活动，</w:t>
      </w:r>
      <w:r>
        <w:rPr>
          <w:rFonts w:hint="default" w:ascii="Times New Roman" w:hAnsi="Times New Roman" w:eastAsia="仿宋_GB2312" w:cs="Times New Roman"/>
          <w:b w:val="0"/>
          <w:bCs w:val="0"/>
          <w:color w:val="000000"/>
          <w:sz w:val="32"/>
          <w:szCs w:val="32"/>
        </w:rPr>
        <w:t>组织委员、机关干部参加各类学习培训160人次，教育引导委员全面提升政治把握能力、调查研究能力、联系群众能力、合作共事能力。深入落实“干部争先提能行动”决策部署，</w:t>
      </w:r>
      <w:r>
        <w:rPr>
          <w:rFonts w:hint="default" w:ascii="Times New Roman" w:hAnsi="Times New Roman" w:eastAsia="仿宋_GB2312" w:cs="Times New Roman"/>
          <w:b w:val="0"/>
          <w:bCs w:val="0"/>
          <w:kern w:val="2"/>
          <w:sz w:val="32"/>
          <w:szCs w:val="32"/>
        </w:rPr>
        <w:t>5名县级干部</w:t>
      </w:r>
      <w:r>
        <w:rPr>
          <w:rFonts w:hint="default" w:ascii="Times New Roman" w:hAnsi="Times New Roman" w:eastAsia="仿宋_GB2312" w:cs="Times New Roman"/>
          <w:b w:val="0"/>
          <w:bCs w:val="0"/>
          <w:color w:val="000000"/>
          <w:sz w:val="32"/>
          <w:szCs w:val="32"/>
        </w:rPr>
        <w:t>分别参加市委党校培训学习，机关干部</w:t>
      </w:r>
      <w:r>
        <w:rPr>
          <w:rFonts w:hint="eastAsia" w:eastAsia="仿宋_GB2312" w:cs="Times New Roman"/>
          <w:b w:val="0"/>
          <w:bCs w:val="0"/>
          <w:color w:val="000000"/>
          <w:sz w:val="32"/>
          <w:szCs w:val="32"/>
          <w:lang w:eastAsia="zh-CN"/>
        </w:rPr>
        <w:t>常态化</w:t>
      </w:r>
      <w:r>
        <w:rPr>
          <w:rFonts w:hint="default" w:ascii="Times New Roman" w:hAnsi="Times New Roman" w:eastAsia="仿宋_GB2312" w:cs="Times New Roman"/>
          <w:b w:val="0"/>
          <w:bCs w:val="0"/>
          <w:color w:val="000000"/>
          <w:sz w:val="32"/>
          <w:szCs w:val="32"/>
        </w:rPr>
        <w:t>参加区委党校举办的各类培训学习、昭化大讲坛，提升了机关干部政治理论素质和业务能力水平。</w:t>
      </w:r>
    </w:p>
    <w:p w14:paraId="3BD754D3">
      <w:pPr>
        <w:pStyle w:val="3"/>
        <w:keepNext/>
        <w:keepLines/>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cs="Times New Roman"/>
          <w:kern w:val="2"/>
          <w:sz w:val="32"/>
          <w:szCs w:val="24"/>
        </w:rPr>
      </w:pPr>
      <w:r>
        <w:rPr>
          <w:rFonts w:hint="default" w:ascii="Times New Roman" w:hAnsi="Times New Roman" w:eastAsia="黑体" w:cs="Times New Roman"/>
          <w:color w:val="000000"/>
          <w:kern w:val="2"/>
          <w:sz w:val="32"/>
          <w:szCs w:val="24"/>
        </w:rPr>
        <w:t>二、机</w:t>
      </w:r>
      <w:r>
        <w:rPr>
          <w:rFonts w:hint="default" w:ascii="Times New Roman" w:hAnsi="Times New Roman" w:eastAsia="黑体" w:cs="Times New Roman"/>
          <w:kern w:val="2"/>
          <w:sz w:val="32"/>
          <w:szCs w:val="24"/>
        </w:rPr>
        <w:t>构设置</w:t>
      </w:r>
    </w:p>
    <w:p w14:paraId="3FBBB33E">
      <w:pPr>
        <w:kinsoku/>
        <w:wordWrap/>
        <w:autoSpaceDE w:val="0"/>
        <w:autoSpaceDN w:val="0"/>
        <w:bidi w:val="0"/>
        <w:adjustRightInd w:val="0"/>
        <w:spacing w:beforeLines="0" w:afterLines="0"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lang w:val="en-US" w:eastAsia="zh-CN"/>
        </w:rPr>
        <w:t>中国人民政治协商广元市昭化区委员会办公室</w:t>
      </w:r>
      <w:r>
        <w:rPr>
          <w:rFonts w:hint="eastAsia" w:ascii="仿宋_GB2312" w:hAnsi="仿宋_GB2312" w:eastAsia="仿宋_GB2312"/>
          <w:kern w:val="2"/>
          <w:sz w:val="32"/>
          <w:szCs w:val="24"/>
        </w:rPr>
        <w:t>属于一级预算单位，</w:t>
      </w:r>
      <w:r>
        <w:rPr>
          <w:rFonts w:hint="eastAsia" w:ascii="仿宋_GB2312" w:hAnsi="仿宋_GB2312" w:eastAsia="仿宋_GB2312"/>
          <w:kern w:val="2"/>
          <w:sz w:val="32"/>
          <w:szCs w:val="24"/>
          <w:lang w:eastAsia="zh-CN"/>
        </w:rPr>
        <w:t>无</w:t>
      </w:r>
      <w:r>
        <w:rPr>
          <w:rFonts w:hint="eastAsia" w:ascii="仿宋_GB2312" w:hAnsi="仿宋_GB2312" w:eastAsia="仿宋_GB2312"/>
          <w:kern w:val="2"/>
          <w:sz w:val="32"/>
          <w:szCs w:val="24"/>
        </w:rPr>
        <w:t>二级预算单位，其中行政单位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个，参照公务员法管理的事业单位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个，其他事业单位</w:t>
      </w:r>
      <w:r>
        <w:rPr>
          <w:rFonts w:hint="eastAsia" w:ascii="仿宋_GB2312" w:hAnsi="仿宋_GB2312" w:eastAsia="仿宋_GB2312"/>
          <w:kern w:val="2"/>
          <w:sz w:val="32"/>
          <w:szCs w:val="24"/>
          <w:lang w:val="en-US" w:eastAsia="zh-CN"/>
        </w:rPr>
        <w:t>0</w:t>
      </w:r>
      <w:r>
        <w:rPr>
          <w:rFonts w:hint="eastAsia" w:ascii="仿宋_GB2312" w:hAnsi="仿宋_GB2312" w:eastAsia="仿宋_GB2312"/>
          <w:kern w:val="2"/>
          <w:sz w:val="32"/>
          <w:szCs w:val="24"/>
        </w:rPr>
        <w:t>个。</w:t>
      </w:r>
    </w:p>
    <w:p w14:paraId="337EAD5E">
      <w:pPr>
        <w:kinsoku/>
        <w:wordWrap/>
        <w:autoSpaceDE w:val="0"/>
        <w:autoSpaceDN w:val="0"/>
        <w:bidi w:val="0"/>
        <w:adjustRightInd w:val="0"/>
        <w:spacing w:beforeLines="0" w:afterLines="0" w:line="576" w:lineRule="exact"/>
        <w:ind w:firstLine="640"/>
        <w:jc w:val="both"/>
        <w:textAlignment w:val="auto"/>
        <w:rPr>
          <w:rFonts w:hint="eastAsia" w:ascii="仿宋_GB2312" w:hAnsi="仿宋_GB2312" w:eastAsia="仿宋_GB2312"/>
          <w:color w:val="000000"/>
          <w:sz w:val="32"/>
          <w:szCs w:val="24"/>
          <w:highlight w:val="none"/>
          <w:lang w:eastAsia="zh-CN"/>
        </w:rPr>
      </w:pPr>
      <w:r>
        <w:rPr>
          <w:rFonts w:hint="eastAsia" w:ascii="仿宋_GB2312" w:hAnsi="仿宋_GB2312" w:eastAsia="仿宋_GB2312"/>
          <w:color w:val="000000"/>
          <w:sz w:val="32"/>
          <w:szCs w:val="24"/>
          <w:highlight w:val="none"/>
        </w:rPr>
        <w:t>纳入2023年度部门决算编制范围的</w:t>
      </w:r>
      <w:r>
        <w:rPr>
          <w:rFonts w:hint="eastAsia" w:ascii="仿宋_GB2312" w:hAnsi="仿宋_GB2312" w:eastAsia="仿宋_GB2312"/>
          <w:color w:val="000000"/>
          <w:sz w:val="32"/>
          <w:szCs w:val="24"/>
          <w:highlight w:val="none"/>
          <w:lang w:eastAsia="zh-CN"/>
        </w:rPr>
        <w:t>二级预算单位</w:t>
      </w:r>
      <w:r>
        <w:rPr>
          <w:rFonts w:hint="eastAsia" w:ascii="仿宋_GB2312" w:hAnsi="仿宋_GB2312" w:eastAsia="仿宋_GB2312"/>
          <w:color w:val="000000"/>
          <w:sz w:val="32"/>
          <w:szCs w:val="24"/>
          <w:highlight w:val="none"/>
        </w:rPr>
        <w:t>包括：</w:t>
      </w:r>
      <w:r>
        <w:rPr>
          <w:rFonts w:hint="eastAsia" w:ascii="仿宋_GB2312" w:hAnsi="仿宋_GB2312" w:eastAsia="仿宋_GB2312"/>
          <w:color w:val="000000"/>
          <w:sz w:val="32"/>
          <w:szCs w:val="24"/>
          <w:highlight w:val="none"/>
          <w:lang w:eastAsia="zh-CN"/>
        </w:rPr>
        <w:t>无</w:t>
      </w:r>
    </w:p>
    <w:p w14:paraId="44EA192B">
      <w:pPr>
        <w:pStyle w:val="4"/>
        <w:pageBreakBefore w:val="0"/>
        <w:widowControl w:val="0"/>
        <w:kinsoku/>
        <w:wordWrap/>
        <w:overflowPunct/>
        <w:topLinePunct w:val="0"/>
        <w:bidi w:val="0"/>
        <w:snapToGrid/>
        <w:spacing w:beforeLines="0" w:line="540" w:lineRule="exact"/>
        <w:textAlignment w:val="auto"/>
        <w:rPr>
          <w:rFonts w:hint="eastAsia"/>
          <w:sz w:val="30"/>
          <w:szCs w:val="24"/>
        </w:rPr>
      </w:pPr>
    </w:p>
    <w:p w14:paraId="347359A3">
      <w:pPr>
        <w:pStyle w:val="4"/>
        <w:spacing w:beforeLines="0" w:line="576" w:lineRule="exact"/>
        <w:rPr>
          <w:rFonts w:hint="eastAsia"/>
          <w:sz w:val="30"/>
          <w:szCs w:val="24"/>
        </w:rPr>
        <w:sectPr>
          <w:footerReference r:id="rId3" w:type="default"/>
          <w:pgSz w:w="12240" w:h="15840"/>
          <w:pgMar w:top="1440" w:right="1800" w:bottom="1440" w:left="1800" w:header="720" w:footer="720" w:gutter="0"/>
          <w:lnNumType w:countBy="0" w:distance="360"/>
          <w:pgNumType w:fmt="numberInDash" w:start="1"/>
          <w:cols w:space="720" w:num="1"/>
        </w:sectPr>
      </w:pPr>
    </w:p>
    <w:p w14:paraId="2E07E1B3">
      <w:pPr>
        <w:keepNext/>
        <w:keepLines/>
        <w:pageBreakBefore/>
        <w:spacing w:line="576" w:lineRule="exact"/>
        <w:jc w:val="center"/>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44"/>
          <w:sz w:val="44"/>
          <w:szCs w:val="44"/>
        </w:rPr>
        <w:t>第二部分  2023年度部门决算情况说明</w:t>
      </w:r>
    </w:p>
    <w:p w14:paraId="73AE6CC5">
      <w:pPr>
        <w:overflowPunct w:val="0"/>
        <w:topLinePunct/>
        <w:spacing w:line="576" w:lineRule="exact"/>
        <w:ind w:firstLine="640" w:firstLineChars="200"/>
        <w:jc w:val="both"/>
        <w:rPr>
          <w:rFonts w:hint="eastAsia" w:ascii="黑体" w:hAnsi="黑体" w:eastAsia="黑体"/>
          <w:color w:val="000000"/>
          <w:kern w:val="2"/>
          <w:sz w:val="32"/>
          <w:szCs w:val="24"/>
        </w:rPr>
      </w:pPr>
    </w:p>
    <w:p w14:paraId="07B6C04B">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5B8D2A33">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2023年度收、支总计均为1147.8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万元。与2022年度相比，收、支总计增加33.6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w:t>
      </w:r>
      <w:r>
        <w:rPr>
          <w:rFonts w:hint="eastAsia" w:eastAsia="仿宋_GB2312" w:cs="Times New Roman"/>
          <w:color w:val="000000"/>
          <w:kern w:val="2"/>
          <w:sz w:val="32"/>
          <w:szCs w:val="24"/>
          <w:lang w:val="en-US" w:eastAsia="zh-CN"/>
        </w:rPr>
        <w:t>2</w:t>
      </w:r>
      <w:r>
        <w:rPr>
          <w:rFonts w:hint="default" w:ascii="Times New Roman" w:hAnsi="Times New Roman" w:eastAsia="仿宋_GB2312" w:cs="Times New Roman"/>
          <w:color w:val="000000"/>
          <w:kern w:val="2"/>
          <w:sz w:val="32"/>
          <w:szCs w:val="24"/>
        </w:rPr>
        <w:t>%。主要变动原因是人员及公用经费增加。</w:t>
      </w:r>
    </w:p>
    <w:p w14:paraId="12768847">
      <w:pPr>
        <w:jc w:val="center"/>
        <w:rPr>
          <w:rFonts w:hint="eastAsia"/>
          <w:color w:val="000000" w:themeColor="text1"/>
          <w:lang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1410335</wp:posOffset>
                </wp:positionH>
                <wp:positionV relativeFrom="paragraph">
                  <wp:posOffset>3244850</wp:posOffset>
                </wp:positionV>
                <wp:extent cx="2880995" cy="4686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80995" cy="468630"/>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FC77F41">
                            <w:pPr>
                              <w:jc w:val="center"/>
                              <w:rPr>
                                <w:rFonts w:hint="eastAsia" w:eastAsia="宋体"/>
                                <w:b/>
                                <w:bCs/>
                                <w:sz w:val="30"/>
                                <w:szCs w:val="30"/>
                                <w:lang w:eastAsia="zh-CN"/>
                              </w:rPr>
                            </w:pPr>
                            <w:r>
                              <w:rPr>
                                <w:rFonts w:hint="eastAsia"/>
                                <w:b/>
                                <w:bCs/>
                                <w:sz w:val="32"/>
                                <w:szCs w:val="32"/>
                                <w:lang w:eastAsia="zh-CN"/>
                              </w:rPr>
                              <w:t>收、支决算总计变动情况</w:t>
                            </w:r>
                            <w:r>
                              <w:rPr>
                                <w:rFonts w:hint="eastAsia"/>
                                <w:b/>
                                <w:bCs/>
                                <w:sz w:val="30"/>
                                <w:szCs w:val="30"/>
                                <w:lang w:eastAsia="zh-CN"/>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05pt;margin-top:255.5pt;height:36.9pt;width:226.85pt;z-index:251660288;mso-width-relative:page;mso-height-relative:page;" filled="f" stroked="f" coordsize="21600,21600" o:gfxdata="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VgmFU2AAAAAsBAAAPAAAAAAAAAAEAIAAAACIAAABkcnMvZG93bnJldi54&#10;bWxQSwECFAAUAAAACACHTuJAv9KJd2wCAAC3BAAADgAAAAAAAAABACAAAAAnAQAAZHJzL2Uyb0Rv&#10;Yy54bWxQSwUGAAAAAAYABgBZAQAABQYAAAAA&#10;">
                <v:fill on="f" focussize="0,0"/>
                <v:stroke on="f" weight="1pt" miterlimit="8" joinstyle="miter" dashstyle="dash"/>
                <v:imagedata o:title=""/>
                <o:lock v:ext="edit" aspectratio="f"/>
                <v:textbox>
                  <w:txbxContent>
                    <w:p w14:paraId="6FC77F41">
                      <w:pPr>
                        <w:jc w:val="center"/>
                        <w:rPr>
                          <w:rFonts w:hint="eastAsia" w:eastAsia="宋体"/>
                          <w:b/>
                          <w:bCs/>
                          <w:sz w:val="30"/>
                          <w:szCs w:val="30"/>
                          <w:lang w:eastAsia="zh-CN"/>
                        </w:rPr>
                      </w:pPr>
                      <w:r>
                        <w:rPr>
                          <w:rFonts w:hint="eastAsia"/>
                          <w:b/>
                          <w:bCs/>
                          <w:sz w:val="32"/>
                          <w:szCs w:val="32"/>
                          <w:lang w:eastAsia="zh-CN"/>
                        </w:rPr>
                        <w:t>收、支决算总计变动情况</w:t>
                      </w:r>
                      <w:r>
                        <w:rPr>
                          <w:rFonts w:hint="eastAsia"/>
                          <w:b/>
                          <w:bCs/>
                          <w:sz w:val="30"/>
                          <w:szCs w:val="30"/>
                          <w:lang w:eastAsia="zh-CN"/>
                        </w:rPr>
                        <w:t>图</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51"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4410710</wp:posOffset>
                </wp:positionH>
                <wp:positionV relativeFrom="paragraph">
                  <wp:posOffset>80645</wp:posOffset>
                </wp:positionV>
                <wp:extent cx="896620" cy="248920"/>
                <wp:effectExtent l="0" t="0" r="17780" b="17780"/>
                <wp:wrapNone/>
                <wp:docPr id="8" name="文本框 8"/>
                <wp:cNvGraphicFramePr/>
                <a:graphic xmlns:a="http://schemas.openxmlformats.org/drawingml/2006/main">
                  <a:graphicData uri="http://schemas.microsoft.com/office/word/2010/wordprocessingShape">
                    <wps:wsp>
                      <wps:cNvSpPr txBox="1"/>
                      <wps:spPr>
                        <a:xfrm>
                          <a:off x="3101975" y="2959735"/>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94575F">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3pt;margin-top:6.35pt;height:19.6pt;width:70.6pt;z-index:251661312;mso-width-relative:page;mso-height-relative:page;" fillcolor="#FFFFFF [3201]" filled="t" stroked="f" coordsize="21600,21600" o:gfxdata="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PdD81QAA&#10;AAkBAAAPAAAAAAAAAAEAIAAAACIAAABkcnMvZG93bnJldi54bWxQSwECFAAUAAAACACHTuJA7veO&#10;DloCAACaBAAADgAAAAAAAAABACAAAAAkAQAAZHJzL2Uyb0RvYy54bWxQSwUGAAAAAAYABgBZAQAA&#10;8AUAAAAA&#10;">
                <v:fill on="t" focussize="0,0"/>
                <v:stroke on="f" weight="0.5pt"/>
                <v:imagedata o:title=""/>
                <o:lock v:ext="edit" aspectratio="f"/>
                <v:textbox>
                  <w:txbxContent>
                    <w:p w14:paraId="4094575F">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p>
    <w:p w14:paraId="12CD72E3">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27114B48">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2023年本年收入合计1147.8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万元，其中：</w:t>
      </w:r>
      <w:bookmarkStart w:id="2" w:name="OLE_LINK19"/>
      <w:r>
        <w:rPr>
          <w:rFonts w:hint="default" w:ascii="Times New Roman" w:hAnsi="Times New Roman" w:eastAsia="仿宋_GB2312" w:cs="Times New Roman"/>
          <w:color w:val="000000"/>
          <w:kern w:val="2"/>
          <w:sz w:val="32"/>
          <w:szCs w:val="24"/>
        </w:rPr>
        <w:t>一般公共预算财政拨款收入</w:t>
      </w:r>
      <w:bookmarkEnd w:id="2"/>
      <w:r>
        <w:rPr>
          <w:rFonts w:hint="default" w:ascii="Times New Roman" w:hAnsi="Times New Roman" w:eastAsia="仿宋_GB2312" w:cs="Times New Roman"/>
          <w:color w:val="000000"/>
          <w:kern w:val="2"/>
          <w:sz w:val="32"/>
          <w:szCs w:val="24"/>
        </w:rPr>
        <w:t>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万元，占100%。</w:t>
      </w:r>
    </w:p>
    <w:p w14:paraId="2546BC90">
      <w:pPr>
        <w:jc w:val="center"/>
        <w:rPr>
          <w:rFonts w:hint="eastAsia"/>
          <w:color w:val="000000" w:themeColor="text1"/>
          <w:lang w:eastAsia="zh-CN"/>
          <w14:textFill>
            <w14:solidFill>
              <w14:schemeClr w14:val="tx1"/>
            </w14:solidFill>
          </w14:textFill>
        </w:rPr>
      </w:pPr>
      <w:r>
        <w:rPr>
          <w:rFonts w:hint="eastAsia" w:eastAsia="仿宋"/>
          <w:color w:val="000000" w:themeColor="text1"/>
          <w:lang w:eastAsia="zh-CN"/>
          <w14:textFill>
            <w14:solidFill>
              <w14:schemeClr w14:val="tx1"/>
            </w14:solidFill>
          </w14:textFill>
        </w:rPr>
        <w:drawing>
          <wp:inline distT="0" distB="0" distL="114300" distR="114300">
            <wp:extent cx="4742180" cy="3263265"/>
            <wp:effectExtent l="4445" t="4445" r="15875" b="8890"/>
            <wp:docPr id="52"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198E7F">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04E43EE8">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bookmarkStart w:id="3" w:name="OLE_LINK20"/>
      <w:r>
        <w:rPr>
          <w:rFonts w:hint="default" w:ascii="Times New Roman" w:hAnsi="Times New Roman" w:eastAsia="仿宋_GB2312" w:cs="Times New Roman"/>
          <w:color w:val="000000"/>
          <w:kern w:val="2"/>
          <w:sz w:val="32"/>
          <w:szCs w:val="24"/>
        </w:rPr>
        <w:t>2023年本年支出合计1147.8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万元，其中：基本支出968.6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万元，占84.39%；项目支出179.16万元，占15.61%。</w:t>
      </w:r>
    </w:p>
    <w:bookmarkEnd w:id="3"/>
    <w:p w14:paraId="3B1A4D06">
      <w:pPr>
        <w:tabs>
          <w:tab w:val="left" w:pos="5073"/>
        </w:tabs>
        <w:bidi w:val="0"/>
        <w:jc w:val="center"/>
        <w:rPr>
          <w:rFonts w:hint="eastAsia"/>
          <w:lang w:val="en-US" w:eastAsia="zh-CN"/>
        </w:rPr>
      </w:pPr>
      <w:r>
        <w:rPr>
          <w:rFonts w:hint="eastAsia"/>
          <w:lang w:val="en-US" w:eastAsia="zh-CN"/>
        </w:rPr>
        <w:drawing>
          <wp:inline distT="0" distB="0" distL="114300" distR="114300">
            <wp:extent cx="4799965" cy="2924810"/>
            <wp:effectExtent l="4445" t="5080" r="15240" b="228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6666ED">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6917622C">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2023年度财政拨款收、支总计均为1147.8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万元。与2022年度相比，财政拨款收、支总计各增加/减少33.6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万元，增长3.02%。主要变动原因是</w:t>
      </w:r>
      <w:bookmarkStart w:id="4" w:name="OLE_LINK1"/>
      <w:r>
        <w:rPr>
          <w:rFonts w:hint="default" w:ascii="Times New Roman" w:hAnsi="Times New Roman" w:eastAsia="仿宋_GB2312" w:cs="Times New Roman"/>
          <w:color w:val="000000"/>
          <w:kern w:val="2"/>
          <w:sz w:val="32"/>
          <w:szCs w:val="24"/>
        </w:rPr>
        <w:t>人员及公用经费增加</w:t>
      </w:r>
      <w:bookmarkEnd w:id="4"/>
      <w:r>
        <w:rPr>
          <w:rFonts w:hint="default" w:ascii="Times New Roman" w:hAnsi="Times New Roman" w:eastAsia="仿宋_GB2312" w:cs="Times New Roman"/>
          <w:color w:val="000000"/>
          <w:kern w:val="2"/>
          <w:sz w:val="32"/>
          <w:szCs w:val="24"/>
        </w:rPr>
        <w:t>。</w:t>
      </w:r>
    </w:p>
    <w:p w14:paraId="2D56B5C0">
      <w:pPr>
        <w:tabs>
          <w:tab w:val="left" w:pos="5073"/>
        </w:tabs>
        <w:bidi w:val="0"/>
        <w:jc w:val="center"/>
        <w:rPr>
          <w:rFonts w:hint="eastAsia"/>
          <w:color w:val="000000" w:themeColor="text1"/>
          <w:lang w:eastAsia="zh-CN"/>
          <w14:textFill>
            <w14:solidFill>
              <w14:schemeClr w14:val="tx1"/>
            </w14:solidFill>
          </w14:textFill>
        </w:rPr>
      </w:pPr>
      <w:r>
        <w:rPr>
          <w:sz w:val="32"/>
        </w:rPr>
        <mc:AlternateContent>
          <mc:Choice Requires="wps">
            <w:drawing>
              <wp:anchor distT="0" distB="0" distL="114300" distR="114300" simplePos="0" relativeHeight="251663360" behindDoc="0" locked="0" layoutInCell="1" allowOverlap="1">
                <wp:simplePos x="0" y="0"/>
                <wp:positionH relativeFrom="column">
                  <wp:posOffset>4616450</wp:posOffset>
                </wp:positionH>
                <wp:positionV relativeFrom="paragraph">
                  <wp:posOffset>61595</wp:posOffset>
                </wp:positionV>
                <wp:extent cx="896620" cy="248920"/>
                <wp:effectExtent l="0" t="0" r="17780" b="17780"/>
                <wp:wrapNone/>
                <wp:docPr id="13" name="文本框 13"/>
                <wp:cNvGraphicFramePr/>
                <a:graphic xmlns:a="http://schemas.openxmlformats.org/drawingml/2006/main">
                  <a:graphicData uri="http://schemas.microsoft.com/office/word/2010/wordprocessingShape">
                    <wps:wsp>
                      <wps:cNvSpPr txBox="1"/>
                      <wps:spPr>
                        <a:xfrm>
                          <a:off x="0" y="0"/>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26F136">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5pt;margin-top:4.85pt;height:19.6pt;width:70.6pt;z-index:251663360;mso-width-relative:page;mso-height-relative:page;" fillcolor="#FFFFFF [3201]" filled="t" stroked="f" coordsize="21600,21600" o:gfxdata="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HwaK1QAAAAgBAAAPAAAAAAAA&#10;AAEAIAAAACIAAABkcnMvZG93bnJldi54bWxQSwECFAAUAAAACACHTuJAHffYGE4CAACQBAAADgAA&#10;AAAAAAABACAAAAAkAQAAZHJzL2Uyb0RvYy54bWxQSwUGAAAAAAYABgBZAQAA5AUAAAAA&#10;">
                <v:fill on="t" focussize="0,0"/>
                <v:stroke on="f" weight="0.5pt"/>
                <v:imagedata o:title=""/>
                <o:lock v:ext="edit" aspectratio="f"/>
                <v:textbox>
                  <w:txbxContent>
                    <w:p w14:paraId="3826F136">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1189355</wp:posOffset>
                </wp:positionH>
                <wp:positionV relativeFrom="paragraph">
                  <wp:posOffset>3206750</wp:posOffset>
                </wp:positionV>
                <wp:extent cx="3391535" cy="4686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391535" cy="468630"/>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F6B743E">
                            <w:pPr>
                              <w:jc w:val="center"/>
                              <w:rPr>
                                <w:rFonts w:hint="eastAsia" w:eastAsia="宋体"/>
                                <w:b/>
                                <w:bCs/>
                                <w:sz w:val="30"/>
                                <w:szCs w:val="30"/>
                                <w:lang w:eastAsia="zh-CN"/>
                              </w:rPr>
                            </w:pPr>
                            <w:r>
                              <w:rPr>
                                <w:rFonts w:hint="eastAsia"/>
                                <w:b/>
                                <w:bCs/>
                                <w:sz w:val="32"/>
                                <w:szCs w:val="32"/>
                                <w:lang w:eastAsia="zh-CN"/>
                              </w:rPr>
                              <w:t>财政拨款收、支决算总计变动情况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65pt;margin-top:252.5pt;height:36.9pt;width:267.05pt;z-index:251662336;mso-width-relative:page;mso-height-relative:page;" filled="f" stroked="f" coordsize="21600,21600" o:gfxdata="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eYSrtgAAAALAQAADwAAAAAAAAABACAAAAAiAAAAZHJzL2Rvd25yZXYueG1s&#10;UEsBAhQAFAAAAAgAh07iQLDY5EdqAgAAuQQAAA4AAAAAAAAAAQAgAAAAJwEAAGRycy9lMm9Eb2Mu&#10;eG1sUEsFBgAAAAAGAAYAWQEAAAMGAAAAAA==&#10;">
                <v:fill on="f" focussize="0,0"/>
                <v:stroke on="f" weight="1pt" miterlimit="8" joinstyle="miter" dashstyle="dash"/>
                <v:imagedata o:title=""/>
                <o:lock v:ext="edit" aspectratio="f"/>
                <v:textbox>
                  <w:txbxContent>
                    <w:p w14:paraId="0F6B743E">
                      <w:pPr>
                        <w:jc w:val="center"/>
                        <w:rPr>
                          <w:rFonts w:hint="eastAsia" w:eastAsia="宋体"/>
                          <w:b/>
                          <w:bCs/>
                          <w:sz w:val="30"/>
                          <w:szCs w:val="30"/>
                          <w:lang w:eastAsia="zh-CN"/>
                        </w:rPr>
                      </w:pPr>
                      <w:r>
                        <w:rPr>
                          <w:rFonts w:hint="eastAsia"/>
                          <w:b/>
                          <w:bCs/>
                          <w:sz w:val="32"/>
                          <w:szCs w:val="32"/>
                          <w:lang w:eastAsia="zh-CN"/>
                        </w:rPr>
                        <w:t>财政拨款收、支决算总计变动情况</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11"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9579C">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525C1D10">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（一）一般公共预算财政拨款支出决算总体情况</w:t>
      </w:r>
    </w:p>
    <w:p w14:paraId="476C996F">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2023年度一般公共预算财政拨款支出1147.8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万元，占本年支出合计的100%。与2022年度相比，一般公共预算财政拨款支出增加33.6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万元，增长3.02%。主要变动原因是人员及公用经费增加。</w:t>
      </w:r>
    </w:p>
    <w:p w14:paraId="7DAB4D71">
      <w:pPr>
        <w:tabs>
          <w:tab w:val="left" w:pos="5073"/>
        </w:tabs>
        <w:bidi w:val="0"/>
        <w:jc w:val="center"/>
        <w:rPr>
          <w:rFonts w:hint="eastAsia"/>
          <w:color w:val="000000" w:themeColor="text1"/>
          <w:lang w:eastAsia="zh-CN"/>
          <w14:textFill>
            <w14:solidFill>
              <w14:schemeClr w14:val="tx1"/>
            </w14:solidFill>
          </w14:textFill>
        </w:rPr>
      </w:pPr>
      <w:r>
        <w:rPr>
          <w:sz w:val="32"/>
        </w:rPr>
        <mc:AlternateContent>
          <mc:Choice Requires="wps">
            <w:drawing>
              <wp:anchor distT="0" distB="0" distL="114300" distR="114300" simplePos="0" relativeHeight="251665408" behindDoc="0" locked="0" layoutInCell="1" allowOverlap="1">
                <wp:simplePos x="0" y="0"/>
                <wp:positionH relativeFrom="column">
                  <wp:posOffset>4616450</wp:posOffset>
                </wp:positionH>
                <wp:positionV relativeFrom="paragraph">
                  <wp:posOffset>60325</wp:posOffset>
                </wp:positionV>
                <wp:extent cx="896620" cy="248920"/>
                <wp:effectExtent l="0" t="0" r="17780" b="17780"/>
                <wp:wrapNone/>
                <wp:docPr id="16" name="文本框 16"/>
                <wp:cNvGraphicFramePr/>
                <a:graphic xmlns:a="http://schemas.openxmlformats.org/drawingml/2006/main">
                  <a:graphicData uri="http://schemas.microsoft.com/office/word/2010/wordprocessingShape">
                    <wps:wsp>
                      <wps:cNvSpPr txBox="1"/>
                      <wps:spPr>
                        <a:xfrm>
                          <a:off x="0" y="0"/>
                          <a:ext cx="89662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2F4A9A">
                            <w:pPr>
                              <w:rPr>
                                <w:rFonts w:hint="eastAsia" w:eastAsia="宋体"/>
                                <w:b/>
                                <w:bCs/>
                                <w:sz w:val="21"/>
                                <w:szCs w:val="21"/>
                                <w:lang w:eastAsia="zh-CN"/>
                              </w:rPr>
                            </w:pPr>
                            <w:r>
                              <w:rPr>
                                <w:rFonts w:hint="eastAsia"/>
                                <w:b/>
                                <w:bCs/>
                                <w:sz w:val="21"/>
                                <w:szCs w:val="21"/>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5pt;margin-top:4.75pt;height:19.6pt;width:70.6pt;z-index:251665408;mso-width-relative:page;mso-height-relative:page;" fillcolor="#FFFFFF [3201]" filled="t" stroked="f" coordsize="21600,21600" o:gfxdata="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uvv1QAAAAgBAAAPAAAAAAAA&#10;AAEAIAAAACIAAABkcnMvZG93bnJldi54bWxQSwECFAAUAAAACACHTuJAfhSjRU4CAACQBAAADgAA&#10;AAAAAAABACAAAAAkAQAAZHJzL2Uyb0RvYy54bWxQSwUGAAAAAAYABgBZAQAA5AUAAAAA&#10;">
                <v:fill on="t" focussize="0,0"/>
                <v:stroke on="f" weight="0.5pt"/>
                <v:imagedata o:title=""/>
                <o:lock v:ext="edit" aspectratio="f"/>
                <v:textbox>
                  <w:txbxContent>
                    <w:p w14:paraId="462F4A9A">
                      <w:pPr>
                        <w:rPr>
                          <w:rFonts w:hint="eastAsia" w:eastAsia="宋体"/>
                          <w:b/>
                          <w:bCs/>
                          <w:sz w:val="21"/>
                          <w:szCs w:val="21"/>
                          <w:lang w:eastAsia="zh-CN"/>
                        </w:rPr>
                      </w:pPr>
                      <w:r>
                        <w:rPr>
                          <w:rFonts w:hint="eastAsia"/>
                          <w:b/>
                          <w:bCs/>
                          <w:sz w:val="21"/>
                          <w:szCs w:val="21"/>
                          <w:lang w:eastAsia="zh-CN"/>
                        </w:rPr>
                        <w:t>单位：万元</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654050</wp:posOffset>
                </wp:positionH>
                <wp:positionV relativeFrom="paragraph">
                  <wp:posOffset>3220720</wp:posOffset>
                </wp:positionV>
                <wp:extent cx="4383405" cy="5314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383405" cy="531495"/>
                        </a:xfrm>
                        <a:prstGeom prst="rect">
                          <a:avLst/>
                        </a:prstGeom>
                        <a:ln w="1270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1456DD">
                            <w:pPr>
                              <w:jc w:val="center"/>
                              <w:rPr>
                                <w:rFonts w:hint="eastAsia" w:eastAsia="宋体"/>
                                <w:b/>
                                <w:bCs/>
                                <w:sz w:val="30"/>
                                <w:szCs w:val="30"/>
                                <w:lang w:eastAsia="zh-CN"/>
                              </w:rPr>
                            </w:pPr>
                            <w:r>
                              <w:rPr>
                                <w:rFonts w:hint="eastAsia"/>
                                <w:b/>
                                <w:bCs/>
                                <w:sz w:val="32"/>
                                <w:szCs w:val="32"/>
                                <w:lang w:eastAsia="zh-CN"/>
                              </w:rPr>
                              <w:t>一般公共预算财政拨款支出决算变动情况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53.6pt;height:41.85pt;width:345.15pt;z-index:251664384;mso-width-relative:page;mso-height-relative:page;" filled="f" stroked="f" coordsize="21600,21600" o:gfxdata="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709VvYAAAACwEAAA8AAAAAAAAAAQAgAAAAIgAAAGRycy9kb3ducmV2Lnht&#10;bFBLAQIUABQAAAAIAIdO4kDqUDorawIAALkEAAAOAAAAAAAAAAEAIAAAACcBAABkcnMvZTJvRG9j&#10;LnhtbFBLBQYAAAAABgAGAFkBAAAEBgAAAAA=&#10;">
                <v:fill on="f" focussize="0,0"/>
                <v:stroke on="f" weight="1pt" miterlimit="8" joinstyle="miter" dashstyle="dash"/>
                <v:imagedata o:title=""/>
                <o:lock v:ext="edit" aspectratio="f"/>
                <v:textbox>
                  <w:txbxContent>
                    <w:p w14:paraId="5B1456DD">
                      <w:pPr>
                        <w:jc w:val="center"/>
                        <w:rPr>
                          <w:rFonts w:hint="eastAsia" w:eastAsia="宋体"/>
                          <w:b/>
                          <w:bCs/>
                          <w:sz w:val="30"/>
                          <w:szCs w:val="30"/>
                          <w:lang w:eastAsia="zh-CN"/>
                        </w:rPr>
                      </w:pPr>
                      <w:r>
                        <w:rPr>
                          <w:rFonts w:hint="eastAsia"/>
                          <w:b/>
                          <w:bCs/>
                          <w:sz w:val="32"/>
                          <w:szCs w:val="32"/>
                          <w:lang w:eastAsia="zh-CN"/>
                        </w:rPr>
                        <w:t>一般公共预算财政拨款支出决算变动情况</w:t>
                      </w:r>
                    </w:p>
                  </w:txbxContent>
                </v:textbox>
              </v:shape>
            </w:pict>
          </mc:Fallback>
        </mc:AlternateContent>
      </w:r>
      <w:r>
        <w:rPr>
          <w:rFonts w:hint="eastAsia"/>
          <w:color w:val="000000" w:themeColor="text1"/>
          <w:lang w:eastAsia="zh-CN"/>
          <w14:textFill>
            <w14:solidFill>
              <w14:schemeClr w14:val="tx1"/>
            </w14:solidFill>
          </w14:textFill>
        </w:rPr>
        <w:drawing>
          <wp:inline distT="0" distB="0" distL="114300" distR="114300">
            <wp:extent cx="5607050" cy="3815080"/>
            <wp:effectExtent l="4445" t="4445" r="8255" b="9525"/>
            <wp:docPr id="14"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AE9301">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（二）一般公共预算财政拨款支出决算结构情况</w:t>
      </w:r>
    </w:p>
    <w:p w14:paraId="4FDF6C65">
      <w:pPr>
        <w:overflowPunct w:val="0"/>
        <w:topLinePunct/>
        <w:spacing w:line="576" w:lineRule="exact"/>
        <w:ind w:firstLine="640" w:firstLineChars="200"/>
        <w:jc w:val="both"/>
        <w:rPr>
          <w:rFonts w:hint="default" w:ascii="Times New Roman" w:hAnsi="Times New Roman" w:eastAsia="仿宋_GB2312" w:cs="Times New Roman"/>
          <w:b/>
          <w:color w:val="000000"/>
          <w:kern w:val="2"/>
          <w:sz w:val="32"/>
          <w:szCs w:val="24"/>
        </w:rPr>
      </w:pPr>
      <w:bookmarkStart w:id="5" w:name="OLE_LINK21"/>
      <w:r>
        <w:rPr>
          <w:rFonts w:hint="default" w:ascii="Times New Roman" w:hAnsi="Times New Roman" w:eastAsia="仿宋_GB2312" w:cs="Times New Roman"/>
          <w:color w:val="000000"/>
          <w:kern w:val="2"/>
          <w:sz w:val="32"/>
          <w:szCs w:val="24"/>
        </w:rPr>
        <w:t>2023年度一般公共预算财政拨款支出1147.8</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万元，主要用于以下方面: 一般公共服务支出930.15万元，占81.04%；社会保障和就业支出124.88万元，占10.88%；卫生健康支出29.68万元，占2.59%；住房保障支出63.11万元，占5.49%。</w:t>
      </w:r>
    </w:p>
    <w:bookmarkEnd w:id="5"/>
    <w:p w14:paraId="10932B0E">
      <w:pPr>
        <w:tabs>
          <w:tab w:val="left" w:pos="5073"/>
        </w:tabs>
        <w:bidi w:val="0"/>
        <w:jc w:val="center"/>
        <w:rPr>
          <w:rFonts w:hint="eastAsia"/>
          <w:color w:val="000000" w:themeColor="text1"/>
          <w:lang w:eastAsia="zh-CN"/>
          <w14:textFill>
            <w14:solidFill>
              <w14:schemeClr w14:val="tx1"/>
            </w14:solidFill>
          </w14:textFill>
        </w:rPr>
      </w:pPr>
    </w:p>
    <w:p w14:paraId="1F369830">
      <w:pPr>
        <w:tabs>
          <w:tab w:val="left" w:pos="5073"/>
        </w:tabs>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5177790" cy="3499485"/>
            <wp:effectExtent l="4445" t="4445" r="18415" b="2032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2011A8">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（三）一般公共预算财政拨款支出决算具体情况</w:t>
      </w:r>
    </w:p>
    <w:p w14:paraId="3129D8C5">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2023年度一般公共预算支出全年预算数为1147.8</w:t>
      </w:r>
      <w:r>
        <w:rPr>
          <w:rFonts w:hint="eastAsia" w:eastAsia="仿宋_GB2312" w:cs="Times New Roman"/>
          <w:b/>
          <w:color w:val="000000"/>
          <w:kern w:val="2"/>
          <w:sz w:val="32"/>
          <w:szCs w:val="24"/>
          <w:lang w:val="en-US" w:eastAsia="zh-CN"/>
        </w:rPr>
        <w:t>3</w:t>
      </w:r>
      <w:r>
        <w:rPr>
          <w:rFonts w:hint="default" w:ascii="Times New Roman" w:hAnsi="Times New Roman" w:eastAsia="仿宋_GB2312" w:cs="Times New Roman"/>
          <w:b/>
          <w:color w:val="000000"/>
          <w:kern w:val="2"/>
          <w:sz w:val="32"/>
          <w:szCs w:val="24"/>
        </w:rPr>
        <w:t>万元，支出决算数为1147.8</w:t>
      </w:r>
      <w:r>
        <w:rPr>
          <w:rFonts w:hint="eastAsia" w:eastAsia="仿宋_GB2312" w:cs="Times New Roman"/>
          <w:b/>
          <w:color w:val="000000"/>
          <w:kern w:val="2"/>
          <w:sz w:val="32"/>
          <w:szCs w:val="24"/>
          <w:lang w:val="en-US" w:eastAsia="zh-CN"/>
        </w:rPr>
        <w:t>3</w:t>
      </w:r>
      <w:r>
        <w:rPr>
          <w:rFonts w:hint="default" w:ascii="Times New Roman" w:hAnsi="Times New Roman" w:eastAsia="仿宋_GB2312" w:cs="Times New Roman"/>
          <w:b/>
          <w:color w:val="000000"/>
          <w:kern w:val="2"/>
          <w:sz w:val="32"/>
          <w:szCs w:val="24"/>
        </w:rPr>
        <w:t>万元，完成全年预算数的100%。其中：</w:t>
      </w:r>
    </w:p>
    <w:p w14:paraId="1133743F">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bCs w:val="0"/>
          <w:color w:val="000000"/>
          <w:kern w:val="2"/>
          <w:sz w:val="32"/>
          <w:szCs w:val="24"/>
        </w:rPr>
        <w:t>1.一般公共服务支出（类）</w:t>
      </w:r>
      <w:bookmarkStart w:id="6" w:name="OLE_LINK7"/>
      <w:r>
        <w:rPr>
          <w:rFonts w:hint="default" w:ascii="Times New Roman" w:hAnsi="Times New Roman" w:eastAsia="仿宋_GB2312" w:cs="Times New Roman"/>
          <w:b/>
          <w:bCs w:val="0"/>
          <w:color w:val="000000"/>
          <w:sz w:val="32"/>
          <w:szCs w:val="32"/>
        </w:rPr>
        <w:t>政协事务</w:t>
      </w:r>
      <w:bookmarkEnd w:id="6"/>
      <w:r>
        <w:rPr>
          <w:rFonts w:hint="default" w:ascii="Times New Roman" w:hAnsi="Times New Roman" w:eastAsia="仿宋_GB2312" w:cs="Times New Roman"/>
          <w:b/>
          <w:bCs w:val="0"/>
          <w:color w:val="000000"/>
          <w:kern w:val="2"/>
          <w:sz w:val="32"/>
          <w:szCs w:val="24"/>
        </w:rPr>
        <w:t>（款）</w:t>
      </w:r>
      <w:bookmarkStart w:id="7" w:name="OLE_LINK8"/>
      <w:r>
        <w:rPr>
          <w:rFonts w:hint="default" w:ascii="Times New Roman" w:hAnsi="Times New Roman" w:eastAsia="仿宋_GB2312" w:cs="Times New Roman"/>
          <w:b/>
          <w:bCs w:val="0"/>
          <w:color w:val="000000"/>
          <w:sz w:val="32"/>
          <w:szCs w:val="32"/>
        </w:rPr>
        <w:t>行政运行</w:t>
      </w:r>
      <w:bookmarkEnd w:id="7"/>
      <w:r>
        <w:rPr>
          <w:rFonts w:hint="default" w:ascii="Times New Roman" w:hAnsi="Times New Roman" w:eastAsia="仿宋_GB2312" w:cs="Times New Roman"/>
          <w:b/>
          <w:bCs w:val="0"/>
          <w:color w:val="000000"/>
          <w:kern w:val="2"/>
          <w:sz w:val="32"/>
          <w:szCs w:val="24"/>
        </w:rPr>
        <w:t>（项）:</w:t>
      </w:r>
      <w:r>
        <w:rPr>
          <w:rFonts w:hint="default" w:ascii="Times New Roman" w:hAnsi="Times New Roman" w:eastAsia="仿宋_GB2312" w:cs="Times New Roman"/>
          <w:color w:val="000000"/>
          <w:kern w:val="2"/>
          <w:sz w:val="32"/>
          <w:szCs w:val="24"/>
        </w:rPr>
        <w:t>全年预算为930.1</w:t>
      </w:r>
      <w:r>
        <w:rPr>
          <w:rFonts w:hint="eastAsia" w:eastAsia="仿宋_GB2312" w:cs="Times New Roman"/>
          <w:color w:val="000000"/>
          <w:kern w:val="2"/>
          <w:sz w:val="32"/>
          <w:szCs w:val="24"/>
          <w:lang w:val="en-US" w:eastAsia="zh-CN"/>
        </w:rPr>
        <w:t>5</w:t>
      </w:r>
      <w:r>
        <w:rPr>
          <w:rFonts w:hint="default" w:ascii="Times New Roman" w:hAnsi="Times New Roman" w:eastAsia="仿宋_GB2312" w:cs="Times New Roman"/>
          <w:color w:val="000000"/>
          <w:kern w:val="2"/>
          <w:sz w:val="32"/>
          <w:szCs w:val="24"/>
        </w:rPr>
        <w:t>元，支出决算为930.1</w:t>
      </w:r>
      <w:r>
        <w:rPr>
          <w:rFonts w:hint="eastAsia" w:eastAsia="仿宋_GB2312" w:cs="Times New Roman"/>
          <w:color w:val="000000"/>
          <w:kern w:val="2"/>
          <w:sz w:val="32"/>
          <w:szCs w:val="24"/>
          <w:lang w:val="en-US" w:eastAsia="zh-CN"/>
        </w:rPr>
        <w:t>5</w:t>
      </w:r>
      <w:r>
        <w:rPr>
          <w:rFonts w:hint="default" w:ascii="Times New Roman" w:hAnsi="Times New Roman" w:eastAsia="仿宋_GB2312" w:cs="Times New Roman"/>
          <w:color w:val="000000"/>
          <w:kern w:val="2"/>
          <w:sz w:val="32"/>
          <w:szCs w:val="24"/>
        </w:rPr>
        <w:t>万元，完成全年预算的100%。</w:t>
      </w:r>
    </w:p>
    <w:p w14:paraId="3520ECC4">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2.社会保障和就业支出（类）</w:t>
      </w:r>
      <w:bookmarkStart w:id="8" w:name="OLE_LINK10"/>
      <w:r>
        <w:rPr>
          <w:rStyle w:val="12"/>
          <w:rFonts w:hint="default" w:ascii="Times New Roman" w:hAnsi="Times New Roman" w:eastAsia="仿宋" w:cs="Times New Roman"/>
          <w:color w:val="000000"/>
          <w:sz w:val="32"/>
          <w:szCs w:val="24"/>
        </w:rPr>
        <w:t>行政事业单位养老</w:t>
      </w:r>
      <w:bookmarkEnd w:id="8"/>
      <w:r>
        <w:rPr>
          <w:rFonts w:hint="default" w:ascii="Times New Roman" w:hAnsi="Times New Roman" w:eastAsia="仿宋_GB2312" w:cs="Times New Roman"/>
          <w:b/>
          <w:color w:val="000000"/>
          <w:kern w:val="2"/>
          <w:sz w:val="32"/>
          <w:szCs w:val="24"/>
        </w:rPr>
        <w:t>（款）</w:t>
      </w:r>
      <w:bookmarkStart w:id="9" w:name="OLE_LINK11"/>
      <w:r>
        <w:rPr>
          <w:rStyle w:val="12"/>
          <w:rFonts w:hint="default" w:ascii="Times New Roman" w:hAnsi="Times New Roman" w:eastAsia="仿宋" w:cs="Times New Roman"/>
          <w:color w:val="000000"/>
          <w:sz w:val="32"/>
          <w:szCs w:val="24"/>
        </w:rPr>
        <w:t>机关事业单位养老保险、机关事业单位职业年金</w:t>
      </w:r>
      <w:bookmarkEnd w:id="9"/>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全年预算为124.88万元，支出决算为124.88万元，完成全年预算的100%。</w:t>
      </w:r>
    </w:p>
    <w:p w14:paraId="541DDC45">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3.卫生健康支出（类）</w:t>
      </w:r>
      <w:bookmarkStart w:id="10" w:name="OLE_LINK12"/>
      <w:r>
        <w:rPr>
          <w:rStyle w:val="12"/>
          <w:rFonts w:hint="default" w:ascii="Times New Roman" w:hAnsi="Times New Roman" w:eastAsia="仿宋" w:cs="Times New Roman"/>
          <w:color w:val="000000"/>
          <w:sz w:val="32"/>
          <w:szCs w:val="24"/>
        </w:rPr>
        <w:t>行政事业单位医疗</w:t>
      </w:r>
      <w:bookmarkEnd w:id="10"/>
      <w:r>
        <w:rPr>
          <w:rFonts w:hint="default" w:ascii="Times New Roman" w:hAnsi="Times New Roman" w:eastAsia="仿宋_GB2312" w:cs="Times New Roman"/>
          <w:b/>
          <w:color w:val="000000"/>
          <w:kern w:val="2"/>
          <w:sz w:val="32"/>
          <w:szCs w:val="24"/>
        </w:rPr>
        <w:t>（款）</w:t>
      </w:r>
      <w:bookmarkStart w:id="11" w:name="OLE_LINK13"/>
      <w:r>
        <w:rPr>
          <w:rStyle w:val="12"/>
          <w:rFonts w:hint="default" w:ascii="Times New Roman" w:hAnsi="Times New Roman" w:eastAsia="仿宋" w:cs="Times New Roman"/>
          <w:color w:val="000000"/>
          <w:sz w:val="32"/>
          <w:szCs w:val="24"/>
        </w:rPr>
        <w:t>行政单位医疗</w:t>
      </w:r>
      <w:bookmarkEnd w:id="11"/>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全年预算为29.1万元，支出决算为29.1万元，完成全年预算的100%。</w:t>
      </w:r>
    </w:p>
    <w:p w14:paraId="45F577C6">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4.卫生健康支出（类）</w:t>
      </w:r>
      <w:r>
        <w:rPr>
          <w:rStyle w:val="12"/>
          <w:rFonts w:hint="default" w:ascii="Times New Roman" w:hAnsi="Times New Roman" w:eastAsia="仿宋" w:cs="Times New Roman"/>
          <w:color w:val="000000"/>
          <w:sz w:val="32"/>
          <w:szCs w:val="24"/>
        </w:rPr>
        <w:t>行政事业单位医疗</w:t>
      </w:r>
      <w:r>
        <w:rPr>
          <w:rFonts w:hint="default" w:ascii="Times New Roman" w:hAnsi="Times New Roman" w:eastAsia="仿宋_GB2312" w:cs="Times New Roman"/>
          <w:b/>
          <w:color w:val="000000"/>
          <w:kern w:val="2"/>
          <w:sz w:val="32"/>
          <w:szCs w:val="24"/>
        </w:rPr>
        <w:t>（款）</w:t>
      </w:r>
      <w:r>
        <w:rPr>
          <w:rStyle w:val="12"/>
          <w:rFonts w:hint="default" w:ascii="Times New Roman" w:hAnsi="Times New Roman" w:eastAsia="仿宋" w:cs="Times New Roman"/>
          <w:color w:val="000000"/>
          <w:sz w:val="32"/>
          <w:szCs w:val="24"/>
        </w:rPr>
        <w:t>事业单位医疗</w:t>
      </w:r>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全年预算为0.5</w:t>
      </w:r>
      <w:r>
        <w:rPr>
          <w:rFonts w:hint="eastAsia" w:eastAsia="仿宋_GB2312" w:cs="Times New Roman"/>
          <w:color w:val="000000"/>
          <w:kern w:val="2"/>
          <w:sz w:val="32"/>
          <w:szCs w:val="24"/>
          <w:lang w:val="en-US" w:eastAsia="zh-CN"/>
        </w:rPr>
        <w:t>9</w:t>
      </w:r>
      <w:r>
        <w:rPr>
          <w:rFonts w:hint="default" w:ascii="Times New Roman" w:hAnsi="Times New Roman" w:eastAsia="仿宋_GB2312" w:cs="Times New Roman"/>
          <w:color w:val="000000"/>
          <w:kern w:val="2"/>
          <w:sz w:val="32"/>
          <w:szCs w:val="24"/>
        </w:rPr>
        <w:t>万元，支出决算为0.5</w:t>
      </w:r>
      <w:r>
        <w:rPr>
          <w:rFonts w:hint="eastAsia" w:eastAsia="仿宋_GB2312" w:cs="Times New Roman"/>
          <w:color w:val="000000"/>
          <w:kern w:val="2"/>
          <w:sz w:val="32"/>
          <w:szCs w:val="24"/>
          <w:lang w:val="en-US" w:eastAsia="zh-CN"/>
        </w:rPr>
        <w:t>9</w:t>
      </w:r>
      <w:r>
        <w:rPr>
          <w:rFonts w:hint="default" w:ascii="Times New Roman" w:hAnsi="Times New Roman" w:eastAsia="仿宋_GB2312" w:cs="Times New Roman"/>
          <w:color w:val="000000"/>
          <w:kern w:val="2"/>
          <w:sz w:val="32"/>
          <w:szCs w:val="24"/>
        </w:rPr>
        <w:t>万元，完成全年预算的100%。</w:t>
      </w:r>
    </w:p>
    <w:p w14:paraId="27B5BDA6">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5.住房保障支出（类）</w:t>
      </w:r>
      <w:bookmarkStart w:id="12" w:name="OLE_LINK15"/>
      <w:r>
        <w:rPr>
          <w:rFonts w:hint="default" w:ascii="Times New Roman" w:hAnsi="Times New Roman" w:eastAsia="仿宋_GB2312" w:cs="Times New Roman"/>
          <w:b/>
          <w:color w:val="000000"/>
          <w:kern w:val="2"/>
          <w:sz w:val="32"/>
          <w:szCs w:val="24"/>
        </w:rPr>
        <w:t>住房改革支出</w:t>
      </w:r>
      <w:bookmarkEnd w:id="12"/>
      <w:r>
        <w:rPr>
          <w:rFonts w:hint="default" w:ascii="Times New Roman" w:hAnsi="Times New Roman" w:eastAsia="仿宋_GB2312" w:cs="Times New Roman"/>
          <w:b/>
          <w:color w:val="000000"/>
          <w:kern w:val="2"/>
          <w:sz w:val="32"/>
          <w:szCs w:val="24"/>
        </w:rPr>
        <w:t>（款）</w:t>
      </w:r>
      <w:bookmarkStart w:id="13" w:name="OLE_LINK16"/>
      <w:r>
        <w:rPr>
          <w:rFonts w:hint="default" w:ascii="Times New Roman" w:hAnsi="Times New Roman" w:eastAsia="仿宋_GB2312" w:cs="Times New Roman"/>
          <w:b/>
          <w:color w:val="000000"/>
          <w:kern w:val="2"/>
          <w:sz w:val="32"/>
          <w:szCs w:val="24"/>
        </w:rPr>
        <w:t>住房公积金</w:t>
      </w:r>
      <w:bookmarkEnd w:id="13"/>
      <w:r>
        <w:rPr>
          <w:rFonts w:hint="default" w:ascii="Times New Roman" w:hAnsi="Times New Roman" w:eastAsia="仿宋_GB2312" w:cs="Times New Roman"/>
          <w:b/>
          <w:color w:val="000000"/>
          <w:kern w:val="2"/>
          <w:sz w:val="32"/>
          <w:szCs w:val="24"/>
        </w:rPr>
        <w:t>（项）:</w:t>
      </w:r>
      <w:r>
        <w:rPr>
          <w:rFonts w:hint="default" w:ascii="Times New Roman" w:hAnsi="Times New Roman" w:eastAsia="仿宋_GB2312" w:cs="Times New Roman"/>
          <w:color w:val="000000"/>
          <w:kern w:val="2"/>
          <w:sz w:val="32"/>
          <w:szCs w:val="24"/>
        </w:rPr>
        <w:t>全年预算为63.11万元，支出决算为63.11万元，完成全年预算的100%。</w:t>
      </w:r>
    </w:p>
    <w:p w14:paraId="26C24BE9">
      <w:pPr>
        <w:tabs>
          <w:tab w:val="right" w:pos="8306"/>
        </w:tabs>
        <w:overflowPunct w:val="0"/>
        <w:topLinePunct/>
        <w:spacing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76648649">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2023年度一般公共预算财政拨款基本支出968.6</w:t>
      </w:r>
      <w:r>
        <w:rPr>
          <w:rFonts w:hint="eastAsia" w:eastAsia="仿宋_GB2312" w:cs="Times New Roman"/>
          <w:color w:val="000000"/>
          <w:kern w:val="2"/>
          <w:sz w:val="32"/>
          <w:szCs w:val="24"/>
          <w:lang w:val="en-US" w:eastAsia="zh-CN"/>
        </w:rPr>
        <w:t>7</w:t>
      </w:r>
      <w:r>
        <w:rPr>
          <w:rFonts w:hint="default" w:ascii="Times New Roman" w:hAnsi="Times New Roman" w:eastAsia="仿宋_GB2312" w:cs="Times New Roman"/>
          <w:color w:val="000000"/>
          <w:kern w:val="2"/>
          <w:sz w:val="32"/>
          <w:szCs w:val="24"/>
        </w:rPr>
        <w:t>万元，其中：</w:t>
      </w:r>
    </w:p>
    <w:p w14:paraId="4E910CE4">
      <w:pPr>
        <w:overflowPunct w:val="0"/>
        <w:topLinePunct/>
        <w:spacing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人员经费</w:t>
      </w:r>
      <w:r>
        <w:rPr>
          <w:rFonts w:hint="default" w:ascii="Times New Roman" w:hAnsi="Times New Roman" w:eastAsia="仿宋_GB2312" w:cs="Times New Roman"/>
          <w:color w:val="000000"/>
          <w:kern w:val="2"/>
          <w:sz w:val="32"/>
          <w:szCs w:val="24"/>
        </w:rPr>
        <w:t>787.9</w:t>
      </w:r>
      <w:r>
        <w:rPr>
          <w:rFonts w:hint="eastAsia" w:eastAsia="仿宋_GB2312" w:cs="Times New Roman"/>
          <w:color w:val="000000"/>
          <w:kern w:val="2"/>
          <w:sz w:val="32"/>
          <w:szCs w:val="24"/>
          <w:lang w:val="en-US" w:eastAsia="zh-CN"/>
        </w:rPr>
        <w:t>6</w:t>
      </w:r>
      <w:r>
        <w:rPr>
          <w:rFonts w:hint="default" w:ascii="Times New Roman" w:hAnsi="Times New Roman" w:eastAsia="仿宋_GB2312" w:cs="Times New Roman"/>
          <w:color w:val="000000"/>
          <w:kern w:val="2"/>
          <w:sz w:val="32"/>
          <w:szCs w:val="24"/>
        </w:rPr>
        <w:t>万元，主要包括：基本工资240.1</w:t>
      </w:r>
      <w:r>
        <w:rPr>
          <w:rFonts w:hint="eastAsia"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津贴补贴128.54万元、奖金161.60万元、绩效工资0.95万元、机关事业单位基本养老保险缴费84.15万元、职业年金缴费38.85万元、职工基本医疗保险缴费29.68万元、其他社会保障缴费1.89万元、住房公积金63.11万元、生活补助39.06万元。</w:t>
      </w:r>
    </w:p>
    <w:p w14:paraId="16FB09C5">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bCs w:val="0"/>
          <w:color w:val="000000"/>
          <w:kern w:val="2"/>
          <w:sz w:val="32"/>
          <w:szCs w:val="24"/>
        </w:rPr>
        <w:t>公用经费180.71万元，主要包括：</w:t>
      </w:r>
      <w:r>
        <w:rPr>
          <w:rFonts w:hint="default" w:ascii="Times New Roman" w:hAnsi="Times New Roman" w:eastAsia="仿宋_GB2312" w:cs="Times New Roman"/>
          <w:color w:val="000000"/>
          <w:kern w:val="2"/>
          <w:sz w:val="32"/>
          <w:szCs w:val="24"/>
        </w:rPr>
        <w:t>办公费40万元、印刷费22.1万元、水费0.5万元、差旅费5万元、维修（护）费10万元、公务接待费10.6万元、劳务费5.4万元、委托业务费1万元、工会经费20万元、其他交通费47.11万元、其他商品和服务支出19万元。</w:t>
      </w:r>
    </w:p>
    <w:p w14:paraId="25DD8706">
      <w:pPr>
        <w:overflowPunct w:val="0"/>
        <w:topLinePunct/>
        <w:spacing w:line="576" w:lineRule="exact"/>
        <w:ind w:firstLine="640" w:firstLineChars="200"/>
        <w:jc w:val="both"/>
        <w:rPr>
          <w:rFonts w:hint="eastAsia" w:ascii="黑体" w:hAnsi="黑体" w:eastAsia="黑体"/>
          <w:color w:val="000000"/>
          <w:kern w:val="2"/>
          <w:sz w:val="32"/>
          <w:szCs w:val="24"/>
        </w:rPr>
      </w:pPr>
    </w:p>
    <w:p w14:paraId="3B40FB06">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7FBC4D77">
      <w:pPr>
        <w:overflowPunct w:val="0"/>
        <w:topLinePunct/>
        <w:spacing w:line="576" w:lineRule="exact"/>
        <w:ind w:firstLine="640" w:firstLineChars="200"/>
        <w:jc w:val="both"/>
        <w:rPr>
          <w:rFonts w:hint="default" w:ascii="Times New Roman" w:hAnsi="Times New Roman" w:eastAsia="楷体_GB2312" w:cs="Times New Roman"/>
          <w:b w:val="0"/>
          <w:bCs/>
          <w:color w:val="000000"/>
          <w:kern w:val="2"/>
          <w:sz w:val="32"/>
          <w:szCs w:val="24"/>
        </w:rPr>
      </w:pPr>
      <w:r>
        <w:rPr>
          <w:rFonts w:hint="default" w:ascii="Times New Roman" w:hAnsi="Times New Roman" w:eastAsia="楷体_GB2312" w:cs="Times New Roman"/>
          <w:b w:val="0"/>
          <w:bCs/>
          <w:color w:val="000000"/>
          <w:kern w:val="2"/>
          <w:sz w:val="32"/>
          <w:szCs w:val="24"/>
        </w:rPr>
        <w:t>（一）“三公”经费财政拨款支出决算总体情况说明</w:t>
      </w:r>
    </w:p>
    <w:p w14:paraId="15DDA2E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2023年度“三公”经费财政拨款支出预算为10.6万元，支出决算为10.6万元，完成预算的100%；</w:t>
      </w:r>
      <w:r>
        <w:rPr>
          <w:rFonts w:hint="default" w:ascii="Times New Roman" w:hAnsi="Times New Roman" w:eastAsia="仿宋_GB2312" w:cs="Times New Roman"/>
          <w:color w:val="000000"/>
          <w:kern w:val="2"/>
          <w:sz w:val="32"/>
          <w:szCs w:val="24"/>
          <w:highlight w:val="none"/>
        </w:rPr>
        <w:t>决算数与预算数持平。</w:t>
      </w:r>
      <w:r>
        <w:rPr>
          <w:rFonts w:hint="default" w:ascii="Times New Roman" w:hAnsi="Times New Roman" w:eastAsia="仿宋_GB2312" w:cs="Times New Roman"/>
          <w:color w:val="000000"/>
          <w:kern w:val="2"/>
          <w:sz w:val="32"/>
          <w:szCs w:val="24"/>
        </w:rPr>
        <w:t>持平的主要原因是坚持</w:t>
      </w:r>
      <w:r>
        <w:rPr>
          <w:rFonts w:hint="default" w:ascii="Times New Roman" w:hAnsi="Times New Roman" w:eastAsia="仿宋_GB2312" w:cs="Times New Roman"/>
          <w:color w:val="000000"/>
          <w:sz w:val="32"/>
          <w:szCs w:val="32"/>
        </w:rPr>
        <w:t>厉行节约</w:t>
      </w:r>
      <w:r>
        <w:rPr>
          <w:rFonts w:hint="default" w:ascii="Times New Roman" w:hAnsi="Times New Roman" w:eastAsia="仿宋_GB2312" w:cs="Times New Roman"/>
          <w:color w:val="000000"/>
          <w:kern w:val="2"/>
          <w:sz w:val="32"/>
          <w:szCs w:val="24"/>
        </w:rPr>
        <w:t>。</w:t>
      </w:r>
    </w:p>
    <w:p w14:paraId="486CFA9B">
      <w:pPr>
        <w:overflowPunct w:val="0"/>
        <w:topLinePunct/>
        <w:spacing w:line="576" w:lineRule="exact"/>
        <w:ind w:firstLine="640" w:firstLineChars="200"/>
        <w:jc w:val="both"/>
        <w:rPr>
          <w:rFonts w:hint="default" w:ascii="Times New Roman" w:hAnsi="Times New Roman" w:eastAsia="楷体_GB2312" w:cs="Times New Roman"/>
          <w:b w:val="0"/>
          <w:bCs/>
          <w:color w:val="000000"/>
          <w:kern w:val="2"/>
          <w:sz w:val="32"/>
          <w:szCs w:val="24"/>
        </w:rPr>
      </w:pPr>
      <w:r>
        <w:rPr>
          <w:rFonts w:hint="default" w:ascii="Times New Roman" w:hAnsi="Times New Roman" w:eastAsia="楷体_GB2312" w:cs="Times New Roman"/>
          <w:b w:val="0"/>
          <w:bCs/>
          <w:color w:val="000000"/>
          <w:kern w:val="2"/>
          <w:sz w:val="32"/>
          <w:szCs w:val="24"/>
        </w:rPr>
        <w:t>（二）“三公”经费财政拨款支出决算具体情况说明</w:t>
      </w:r>
    </w:p>
    <w:p w14:paraId="1A7DEFC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2023年度“三公”经费财政拨款支出决算中，因公出国（境）费支出决算0万元，占0%；公务用车购置及运行维护费支出决算0万元，占0%；公务接待费支出决算10.6万元，占100%。具体情况如下：</w:t>
      </w:r>
    </w:p>
    <w:p w14:paraId="750283F9">
      <w:pPr>
        <w:overflowPunct w:val="0"/>
        <w:topLinePunct/>
        <w:spacing w:line="576" w:lineRule="exact"/>
        <w:ind w:firstLine="640"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color w:val="000000"/>
          <w:kern w:val="2"/>
          <w:sz w:val="32"/>
          <w:szCs w:val="24"/>
          <w:lang w:eastAsia="zh-CN"/>
        </w:rPr>
        <w:drawing>
          <wp:anchor distT="0" distB="0" distL="114300" distR="114300" simplePos="0" relativeHeight="251666432" behindDoc="0" locked="0" layoutInCell="1" allowOverlap="1">
            <wp:simplePos x="0" y="0"/>
            <wp:positionH relativeFrom="column">
              <wp:posOffset>283210</wp:posOffset>
            </wp:positionH>
            <wp:positionV relativeFrom="paragraph">
              <wp:posOffset>77470</wp:posOffset>
            </wp:positionV>
            <wp:extent cx="5256530" cy="2988310"/>
            <wp:effectExtent l="5080" t="4445" r="15240" b="17145"/>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b/>
          <w:color w:val="000000"/>
          <w:kern w:val="2"/>
          <w:sz w:val="32"/>
          <w:szCs w:val="24"/>
        </w:rPr>
        <w:t>1.</w:t>
      </w:r>
      <w:r>
        <w:rPr>
          <w:rFonts w:hint="eastAsia" w:ascii="仿宋_GB2312" w:hAnsi="仿宋_GB2312" w:eastAsia="仿宋_GB2312"/>
          <w:b/>
          <w:color w:val="000000"/>
          <w:kern w:val="2"/>
          <w:sz w:val="32"/>
          <w:szCs w:val="24"/>
        </w:rPr>
        <w:t>因公出国（境）经费</w:t>
      </w:r>
      <w:r>
        <w:rPr>
          <w:rFonts w:hint="eastAsia" w:ascii="仿宋_GB2312" w:hAnsi="仿宋_GB2312" w:eastAsia="仿宋_GB2312"/>
          <w:color w:val="000000"/>
          <w:kern w:val="2"/>
          <w:sz w:val="32"/>
          <w:szCs w:val="24"/>
        </w:rPr>
        <w:t>预算为0万元，年初未安排预算。因公出国（境）支出决算</w:t>
      </w:r>
      <w:r>
        <w:rPr>
          <w:rFonts w:hint="eastAsia" w:ascii="仿宋_GB2312" w:hAnsi="仿宋_GB2312" w:eastAsia="仿宋_GB2312"/>
          <w:color w:val="000000"/>
          <w:kern w:val="2"/>
          <w:sz w:val="32"/>
          <w:szCs w:val="24"/>
          <w:lang w:val="en-US" w:eastAsia="zh-CN"/>
        </w:rPr>
        <w:t>较</w:t>
      </w:r>
      <w:r>
        <w:rPr>
          <w:rFonts w:hint="eastAsia" w:ascii="仿宋_GB2312" w:hAnsi="仿宋_GB2312" w:eastAsia="仿宋_GB2312"/>
          <w:color w:val="000000"/>
          <w:kern w:val="2"/>
          <w:sz w:val="32"/>
          <w:szCs w:val="24"/>
        </w:rPr>
        <w:t>2022年度无变化。</w:t>
      </w:r>
    </w:p>
    <w:p w14:paraId="47B93E88">
      <w:pPr>
        <w:keepNext w:val="0"/>
        <w:keepLines w:val="0"/>
        <w:pageBreakBefore w:val="0"/>
        <w:widowControl w:val="0"/>
        <w:numPr>
          <w:ilvl w:val="0"/>
          <w:numId w:val="1"/>
        </w:numPr>
        <w:kinsoku/>
        <w:wordWrap/>
        <w:overflowPunct w:val="0"/>
        <w:topLinePunct/>
        <w:bidi w:val="0"/>
        <w:snapToGrid/>
        <w:spacing w:beforeLines="0" w:afterLines="0" w:line="576" w:lineRule="exact"/>
        <w:ind w:firstLine="643" w:firstLineChars="200"/>
        <w:jc w:val="both"/>
        <w:textAlignment w:val="auto"/>
        <w:rPr>
          <w:rFonts w:hint="eastAsia" w:ascii="仿宋_GB2312" w:hAnsi="仿宋_GB2312" w:eastAsia="仿宋_GB2312"/>
          <w:color w:val="000000"/>
          <w:kern w:val="2"/>
          <w:sz w:val="32"/>
          <w:szCs w:val="24"/>
        </w:rPr>
      </w:pPr>
      <w:r>
        <w:rPr>
          <w:rFonts w:hint="default" w:ascii="Times New Roman" w:hAnsi="Times New Roman" w:eastAsia="仿宋_GB2312" w:cs="Times New Roman"/>
          <w:b/>
          <w:color w:val="000000"/>
          <w:kern w:val="2"/>
          <w:sz w:val="32"/>
          <w:szCs w:val="24"/>
        </w:rPr>
        <w:t>2.</w:t>
      </w:r>
      <w:r>
        <w:rPr>
          <w:rFonts w:hint="eastAsia" w:ascii="仿宋_GB2312" w:hAnsi="仿宋_GB2312" w:eastAsia="仿宋_GB2312"/>
          <w:b/>
          <w:color w:val="000000"/>
          <w:kern w:val="2"/>
          <w:sz w:val="32"/>
          <w:szCs w:val="24"/>
        </w:rPr>
        <w:t>公务用车购置及运行维护费</w:t>
      </w:r>
      <w:r>
        <w:rPr>
          <w:rFonts w:hint="eastAsia" w:ascii="仿宋_GB2312" w:hAnsi="仿宋_GB2312" w:eastAsia="仿宋_GB2312"/>
          <w:color w:val="000000"/>
          <w:kern w:val="2"/>
          <w:sz w:val="32"/>
          <w:szCs w:val="24"/>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万元,年初未安排预算。公务用车购置及运行维护费支出决算比2022年度</w:t>
      </w:r>
      <w:r>
        <w:rPr>
          <w:rFonts w:hint="eastAsia" w:ascii="仿宋_GB2312" w:hAnsi="仿宋_GB2312" w:eastAsia="仿宋_GB2312"/>
          <w:color w:val="000000"/>
          <w:kern w:val="2"/>
          <w:sz w:val="32"/>
          <w:szCs w:val="24"/>
          <w:lang w:val="en-US" w:eastAsia="zh-CN"/>
        </w:rPr>
        <w:t>无变化</w:t>
      </w:r>
      <w:r>
        <w:rPr>
          <w:rFonts w:hint="eastAsia" w:ascii="仿宋_GB2312" w:hAnsi="仿宋_GB2312" w:eastAsia="仿宋_GB2312"/>
          <w:color w:val="000000"/>
          <w:kern w:val="2"/>
          <w:sz w:val="32"/>
          <w:szCs w:val="24"/>
        </w:rPr>
        <w:t>。</w:t>
      </w:r>
    </w:p>
    <w:p w14:paraId="28EDA425">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rPr>
        <w:t>辆、小型客车0辆、中型客车和大型客车0辆、其他车型0辆。</w:t>
      </w:r>
    </w:p>
    <w:p w14:paraId="54F7F3B5">
      <w:pPr>
        <w:overflowPunct w:val="0"/>
        <w:topLinePunct/>
        <w:spacing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公务用车运行维护费</w:t>
      </w:r>
      <w:r>
        <w:rPr>
          <w:rFonts w:hint="default" w:ascii="Times New Roman" w:hAnsi="Times New Roman" w:eastAsia="仿宋_GB2312" w:cs="Times New Roman"/>
          <w:color w:val="000000"/>
          <w:kern w:val="2"/>
          <w:sz w:val="32"/>
          <w:szCs w:val="24"/>
        </w:rPr>
        <w:t>支出0万元。</w:t>
      </w:r>
    </w:p>
    <w:p w14:paraId="5FE72AC7">
      <w:pPr>
        <w:overflowPunct w:val="0"/>
        <w:topLinePunct/>
        <w:spacing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3.公务接待费</w:t>
      </w:r>
      <w:r>
        <w:rPr>
          <w:rFonts w:hint="default" w:ascii="Times New Roman" w:hAnsi="Times New Roman" w:eastAsia="仿宋_GB2312" w:cs="Times New Roman"/>
          <w:color w:val="000000"/>
          <w:kern w:val="2"/>
          <w:sz w:val="32"/>
          <w:szCs w:val="24"/>
        </w:rPr>
        <w:t>预算为10.6万元，支出决算为10.6万元，完成预算的100%。公务接待费支出决算比2022年度增加2.12万元，增长25%。主要原因是接待量增加。其中：</w:t>
      </w:r>
    </w:p>
    <w:p w14:paraId="7847206B">
      <w:pPr>
        <w:pStyle w:val="8"/>
        <w:autoSpaceDE/>
        <w:autoSpaceDN/>
        <w:adjustRightInd/>
        <w:spacing w:line="576" w:lineRule="exact"/>
        <w:ind w:left="0" w:leftChars="0" w:firstLine="643" w:firstLineChars="200"/>
        <w:jc w:val="both"/>
        <w:rPr>
          <w:rFonts w:hint="default" w:ascii="Times New Roman" w:hAnsi="Times New Roman" w:eastAsia="Times New Roman" w:cs="Times New Roman"/>
          <w:color w:val="000000"/>
          <w:sz w:val="32"/>
          <w:szCs w:val="32"/>
        </w:rPr>
      </w:pPr>
      <w:r>
        <w:rPr>
          <w:rFonts w:hint="default" w:ascii="Times New Roman" w:hAnsi="Times New Roman" w:eastAsia="仿宋_GB2312" w:cs="Times New Roman"/>
          <w:b/>
          <w:color w:val="000000"/>
          <w:kern w:val="2"/>
          <w:sz w:val="32"/>
          <w:szCs w:val="24"/>
        </w:rPr>
        <w:t>国内公务接待</w:t>
      </w:r>
      <w:r>
        <w:rPr>
          <w:rFonts w:hint="default" w:ascii="Times New Roman" w:hAnsi="Times New Roman" w:eastAsia="仿宋_GB2312" w:cs="Times New Roman"/>
          <w:color w:val="000000"/>
          <w:kern w:val="2"/>
          <w:sz w:val="32"/>
          <w:szCs w:val="24"/>
        </w:rPr>
        <w:t>支出10.6万元。主要用于执行公务、开展业务活动开支的交通费、住宿费、用餐费等。国内公务接待30批次6000人次，共计支出10.6万元，具体内容包括：</w:t>
      </w:r>
      <w:r>
        <w:rPr>
          <w:rFonts w:hint="default" w:ascii="Times New Roman" w:hAnsi="Times New Roman" w:eastAsia="仿宋_GB2312" w:cs="Times New Roman"/>
          <w:color w:val="000000"/>
          <w:sz w:val="32"/>
          <w:szCs w:val="32"/>
        </w:rPr>
        <w:t>省、市、区政协来川检查指导、考察调研、学习交流及招商引资等服务保障。</w:t>
      </w:r>
    </w:p>
    <w:p w14:paraId="6C0E0E38">
      <w:pPr>
        <w:overflowPunct w:val="0"/>
        <w:topLinePunct/>
        <w:spacing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外事接待</w:t>
      </w:r>
      <w:r>
        <w:rPr>
          <w:rFonts w:hint="default" w:ascii="Times New Roman" w:hAnsi="Times New Roman" w:eastAsia="仿宋_GB2312" w:cs="Times New Roman"/>
          <w:color w:val="000000"/>
          <w:kern w:val="2"/>
          <w:sz w:val="32"/>
          <w:szCs w:val="24"/>
        </w:rPr>
        <w:t>支出0万元，外事接待0批次，0人，共计支出0万元。</w:t>
      </w:r>
    </w:p>
    <w:p w14:paraId="6E7E693F">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525AA5B4">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2023年度政府性基金预算拨款支出0万元。</w:t>
      </w:r>
    </w:p>
    <w:p w14:paraId="1970E385">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6B1BBD00">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2023年度国有资本经营预算拨款支出0万元。</w:t>
      </w:r>
    </w:p>
    <w:p w14:paraId="59C7DFB5">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234BF06F">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（一）机关运行经费支出情况</w:t>
      </w:r>
    </w:p>
    <w:p w14:paraId="300B3028">
      <w:pPr>
        <w:keepNext w:val="0"/>
        <w:keepLines w:val="0"/>
        <w:pageBreakBefore w:val="0"/>
        <w:widowControl w:val="0"/>
        <w:kinsoku/>
        <w:wordWrap/>
        <w:autoSpaceDE w:val="0"/>
        <w:autoSpaceDN w:val="0"/>
        <w:bidi w:val="0"/>
        <w:adjustRightInd w:val="0"/>
        <w:snapToGrid/>
        <w:spacing w:beforeLines="0" w:afterLines="0" w:line="576" w:lineRule="exact"/>
        <w:ind w:firstLine="640" w:firstLineChars="200"/>
        <w:textAlignment w:val="auto"/>
        <w:rPr>
          <w:rFonts w:hint="eastAsia" w:ascii="仿宋_GB2312" w:eastAsia="仿宋_GB2312"/>
          <w:color w:val="auto"/>
          <w:sz w:val="32"/>
          <w:szCs w:val="32"/>
        </w:rPr>
      </w:pPr>
      <w:r>
        <w:rPr>
          <w:rFonts w:hint="default" w:ascii="Times New Roman" w:hAnsi="Times New Roman" w:eastAsia="仿宋_GB2312" w:cs="Times New Roman"/>
          <w:color w:val="000000"/>
          <w:kern w:val="2"/>
          <w:sz w:val="32"/>
          <w:szCs w:val="24"/>
        </w:rPr>
        <w:t>2023年，区政协机关运行经费支出180.71万元，比2022年度减少63.12万元。</w:t>
      </w:r>
      <w:r>
        <w:rPr>
          <w:rFonts w:hint="eastAsia" w:ascii="仿宋_GB2312" w:hAnsi="仿宋_GB2312" w:eastAsia="仿宋_GB2312"/>
          <w:color w:val="000000"/>
          <w:kern w:val="2"/>
          <w:sz w:val="32"/>
          <w:szCs w:val="24"/>
        </w:rPr>
        <w:t>主要原因是厉行节约</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lang w:val="en-US" w:eastAsia="zh-CN"/>
        </w:rPr>
        <w:t>压缩机关运行经费</w:t>
      </w:r>
      <w:r>
        <w:rPr>
          <w:rFonts w:hint="eastAsia" w:ascii="仿宋_GB2312" w:hAnsi="仿宋_GB2312" w:eastAsia="仿宋_GB2312"/>
          <w:color w:val="000000"/>
          <w:kern w:val="2"/>
          <w:sz w:val="32"/>
          <w:szCs w:val="24"/>
        </w:rPr>
        <w:t>。</w:t>
      </w:r>
    </w:p>
    <w:p w14:paraId="50981821">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（二）政府采购支出情况</w:t>
      </w:r>
    </w:p>
    <w:p w14:paraId="23013E4E">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2023年，区政协</w:t>
      </w:r>
      <w:r>
        <w:rPr>
          <w:rFonts w:hint="eastAsia" w:eastAsia="仿宋_GB2312" w:cs="Times New Roman"/>
          <w:color w:val="000000"/>
          <w:kern w:val="2"/>
          <w:sz w:val="32"/>
          <w:szCs w:val="24"/>
          <w:lang w:eastAsia="zh-CN"/>
        </w:rPr>
        <w:t>办</w:t>
      </w:r>
      <w:r>
        <w:rPr>
          <w:rFonts w:hint="default" w:ascii="Times New Roman" w:hAnsi="Times New Roman" w:eastAsia="仿宋_GB2312" w:cs="Times New Roman"/>
          <w:color w:val="000000"/>
          <w:kern w:val="2"/>
          <w:sz w:val="32"/>
          <w:szCs w:val="24"/>
        </w:rPr>
        <w:t>未发生政府采购。</w:t>
      </w:r>
    </w:p>
    <w:p w14:paraId="0C117B3B">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（三）国有资产占有使用情况</w:t>
      </w:r>
    </w:p>
    <w:p w14:paraId="268A33FB">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截至2023年12月31日，区政协共有车辆0辆，其中：副部（省）级及以上领导用车0辆、主要负责人用车0辆、机要通信用车0辆、应急保障用车0辆、执法执勤用车0辆、特种专业技术用车0辆、离退休干部服务用车0辆、其他用车0辆。</w:t>
      </w:r>
    </w:p>
    <w:p w14:paraId="58AD196B">
      <w:pPr>
        <w:overflowPunct w:val="0"/>
        <w:topLinePunct/>
        <w:spacing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单价100万元（含）以上设备0台（套）。</w:t>
      </w:r>
    </w:p>
    <w:p w14:paraId="178C5722">
      <w:pPr>
        <w:overflowPunct w:val="0"/>
        <w:topLinePunct/>
        <w:spacing w:line="576" w:lineRule="exact"/>
        <w:ind w:firstLine="640" w:firstLineChars="200"/>
        <w:jc w:val="both"/>
        <w:rPr>
          <w:rFonts w:hint="eastAsia" w:ascii="楷体_GB2312" w:hAnsi="楷体_GB2312" w:eastAsia="楷体_GB2312" w:cs="楷体_GB2312"/>
          <w:b w:val="0"/>
          <w:bCs/>
          <w:color w:val="000000"/>
          <w:kern w:val="2"/>
          <w:sz w:val="32"/>
          <w:szCs w:val="24"/>
        </w:rPr>
      </w:pPr>
      <w:r>
        <w:rPr>
          <w:rFonts w:hint="eastAsia" w:ascii="楷体_GB2312" w:hAnsi="楷体_GB2312" w:eastAsia="楷体_GB2312" w:cs="楷体_GB2312"/>
          <w:b w:val="0"/>
          <w:bCs/>
          <w:color w:val="000000"/>
          <w:kern w:val="2"/>
          <w:sz w:val="32"/>
          <w:szCs w:val="24"/>
        </w:rPr>
        <w:t>（四）预算绩效管理情况。</w:t>
      </w:r>
    </w:p>
    <w:p w14:paraId="32A3BCE6">
      <w:pPr>
        <w:overflowPunct w:val="0"/>
        <w:topLinePunct/>
        <w:spacing w:line="576" w:lineRule="exact"/>
        <w:ind w:firstLine="640" w:firstLineChars="200"/>
        <w:jc w:val="both"/>
        <w:rPr>
          <w:rFonts w:hint="default" w:ascii="Times New Roman" w:hAnsi="Times New Roman" w:eastAsia="仿宋_GB2312" w:cs="Times New Roman"/>
          <w:color w:val="000000" w:themeColor="text1"/>
          <w:kern w:val="2"/>
          <w:sz w:val="32"/>
          <w:szCs w:val="24"/>
          <w14:textFill>
            <w14:solidFill>
              <w14:schemeClr w14:val="tx1"/>
            </w14:solidFill>
          </w14:textFill>
        </w:rPr>
      </w:pPr>
      <w:r>
        <w:rPr>
          <w:rFonts w:hint="default" w:ascii="Times New Roman" w:hAnsi="Times New Roman" w:eastAsia="仿宋_GB2312" w:cs="Times New Roman"/>
          <w:color w:val="000000" w:themeColor="text1"/>
          <w:kern w:val="2"/>
          <w:sz w:val="32"/>
          <w:szCs w:val="24"/>
          <w14:textFill>
            <w14:solidFill>
              <w14:schemeClr w14:val="tx1"/>
            </w14:solidFill>
          </w14:textFill>
        </w:rPr>
        <w:t>根据预算绩效管理要求，本部门在2023年度预算编制阶段，组织对</w:t>
      </w:r>
      <w:bookmarkStart w:id="14" w:name="OLE_LINK5"/>
      <w:bookmarkStart w:id="15" w:name="OLE_LINK6"/>
      <w:r>
        <w:rPr>
          <w:rFonts w:hint="default" w:ascii="Times New Roman" w:hAnsi="Times New Roman" w:eastAsia="仿宋_GB2312" w:cs="Times New Roman"/>
          <w:color w:val="000000" w:themeColor="text1"/>
          <w:kern w:val="2"/>
          <w:sz w:val="32"/>
          <w:szCs w:val="24"/>
          <w14:textFill>
            <w14:solidFill>
              <w14:schemeClr w14:val="tx1"/>
            </w14:solidFill>
          </w14:textFill>
        </w:rPr>
        <w:t>政协全委会、常委会、委员联谊约谈会议费、参政议政及省市政协委员视察工作经费</w:t>
      </w:r>
      <w:bookmarkEnd w:id="14"/>
      <w:r>
        <w:rPr>
          <w:rFonts w:hint="default" w:ascii="Times New Roman" w:hAnsi="Times New Roman" w:eastAsia="仿宋_GB2312" w:cs="Times New Roman"/>
          <w:color w:val="000000" w:themeColor="text1"/>
          <w:kern w:val="2"/>
          <w:sz w:val="32"/>
          <w:szCs w:val="24"/>
          <w14:textFill>
            <w14:solidFill>
              <w14:schemeClr w14:val="tx1"/>
            </w14:solidFill>
          </w14:textFill>
        </w:rPr>
        <w:t>等</w:t>
      </w:r>
      <w:bookmarkEnd w:id="15"/>
      <w:r>
        <w:rPr>
          <w:rFonts w:hint="default" w:ascii="Times New Roman" w:hAnsi="Times New Roman" w:eastAsia="仿宋_GB2312" w:cs="Times New Roman"/>
          <w:color w:val="000000" w:themeColor="text1"/>
          <w:kern w:val="2"/>
          <w:sz w:val="32"/>
          <w:szCs w:val="24"/>
          <w14:textFill>
            <w14:solidFill>
              <w14:schemeClr w14:val="tx1"/>
            </w14:solidFill>
          </w14:textFill>
        </w:rPr>
        <w:t>7个项目开展了预算事前绩效评估，对7个项目编制了绩效目标，预算执行过程中，选取2个项目开展绩效监控。</w:t>
      </w:r>
    </w:p>
    <w:p w14:paraId="5236EBCB">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24"/>
          <w14:textFill>
            <w14:solidFill>
              <w14:schemeClr w14:val="tx1"/>
            </w14:solidFill>
          </w14:textFill>
        </w:rPr>
        <w:t>2023年度组织一般公共预算、政府性基金预算、国有资本经营预算以及资本资产、债券资金等全面开展绩效自评，形成2023年区政协（部门）整体（含部门预算项目）绩效自评报告、政协全委会、常委会、委员联谊约谈会议费、参政议政及省市政协委员视察工作经费等专项预算项目绩效自评报告，</w:t>
      </w:r>
      <w:r>
        <w:rPr>
          <w:rFonts w:hint="default" w:ascii="Times New Roman" w:hAnsi="Times New Roman" w:eastAsia="仿宋_GB2312" w:cs="Times New Roman"/>
          <w:color w:val="000000" w:themeColor="text1"/>
          <w:sz w:val="32"/>
          <w:szCs w:val="32"/>
          <w14:textFill>
            <w14:solidFill>
              <w14:schemeClr w14:val="tx1"/>
            </w14:solidFill>
          </w14:textFill>
        </w:rPr>
        <w:t>其中，区政协部门整体（含部门预算项目）绩效自评得分为100分，绩效自评综述：2023年，政协办积极推进预算绩效管理工作，保障了各项工作的正常运转，保障了干部职工的基本利益，圆满完成了年初制定的目标任务，达到了预期效果，部门整体支出绩效评价为优秀；</w:t>
      </w:r>
      <w:r>
        <w:rPr>
          <w:rFonts w:hint="default" w:ascii="Times New Roman" w:hAnsi="Times New Roman" w:eastAsia="仿宋_GB2312" w:cs="Times New Roman"/>
          <w:color w:val="000000" w:themeColor="text1"/>
          <w:kern w:val="2"/>
          <w:sz w:val="32"/>
          <w:szCs w:val="24"/>
          <w14:textFill>
            <w14:solidFill>
              <w14:schemeClr w14:val="tx1"/>
            </w14:solidFill>
          </w14:textFill>
        </w:rPr>
        <w:t>政协全委会、常委会、委员联谊约谈会议费、参政议政及省市政协委员视察工作经费专项预算项目绩效自评得分分别为100分，绩效自评综述：</w:t>
      </w:r>
      <w:r>
        <w:rPr>
          <w:rFonts w:hint="default" w:ascii="Times New Roman" w:hAnsi="Times New Roman" w:eastAsia="仿宋_GB2312" w:cs="Times New Roman"/>
          <w:color w:val="000000" w:themeColor="text1"/>
          <w:sz w:val="32"/>
          <w:szCs w:val="32"/>
          <w14:textFill>
            <w14:solidFill>
              <w14:schemeClr w14:val="tx1"/>
            </w14:solidFill>
          </w14:textFill>
        </w:rPr>
        <w:t>通过对2023年度项目工作经费的使用，实施绩效进行了评价，各项项目工作经费为政协事业的发展提供了有效资金保障，委员及群众满意度达100%，评价结论为好。</w:t>
      </w:r>
    </w:p>
    <w:p w14:paraId="3DC008C7">
      <w:pPr>
        <w:overflowPunct w:val="0"/>
        <w:topLinePunct/>
        <w:spacing w:line="576" w:lineRule="exact"/>
        <w:ind w:firstLine="640" w:firstLineChars="200"/>
        <w:jc w:val="both"/>
        <w:rPr>
          <w:rFonts w:hint="default" w:ascii="Times New Roman" w:hAnsi="Times New Roman" w:eastAsia="仿宋_GB2312" w:cs="Times New Roman"/>
          <w:color w:val="000000" w:themeColor="text1"/>
          <w:kern w:val="2"/>
          <w:sz w:val="32"/>
          <w:szCs w:val="24"/>
          <w14:textFill>
            <w14:solidFill>
              <w14:schemeClr w14:val="tx1"/>
            </w14:solidFill>
          </w14:textFill>
        </w:rPr>
      </w:pPr>
      <w:r>
        <w:rPr>
          <w:rFonts w:hint="default" w:ascii="Times New Roman" w:hAnsi="Times New Roman" w:eastAsia="仿宋_GB2312" w:cs="Times New Roman"/>
          <w:color w:val="000000" w:themeColor="text1"/>
          <w:kern w:val="2"/>
          <w:sz w:val="32"/>
          <w:szCs w:val="24"/>
          <w14:textFill>
            <w14:solidFill>
              <w14:schemeClr w14:val="tx1"/>
            </w14:solidFill>
          </w14:textFill>
        </w:rPr>
        <w:t>绩效自评报告详见附件（第四部分）。</w:t>
      </w:r>
    </w:p>
    <w:p w14:paraId="194A9401">
      <w:pPr>
        <w:keepNext/>
        <w:keepLines/>
        <w:pageBreakBefore/>
        <w:spacing w:line="576" w:lineRule="exact"/>
        <w:jc w:val="center"/>
        <w:rPr>
          <w:rFonts w:hint="eastAsia" w:ascii="方正小标宋简体" w:hAnsi="方正小标宋简体" w:eastAsia="方正小标宋简体" w:cs="方正小标宋简体"/>
          <w:kern w:val="44"/>
          <w:sz w:val="44"/>
          <w:szCs w:val="24"/>
        </w:rPr>
      </w:pPr>
      <w:r>
        <w:rPr>
          <w:rFonts w:hint="eastAsia" w:ascii="方正小标宋简体" w:hAnsi="方正小标宋简体" w:eastAsia="方正小标宋简体" w:cs="方正小标宋简体"/>
          <w:color w:val="000000"/>
          <w:kern w:val="2"/>
          <w:sz w:val="44"/>
          <w:szCs w:val="24"/>
        </w:rPr>
        <w:t>第三部分  名</w:t>
      </w:r>
      <w:r>
        <w:rPr>
          <w:rFonts w:hint="eastAsia" w:ascii="方正小标宋简体" w:hAnsi="方正小标宋简体" w:eastAsia="方正小标宋简体" w:cs="方正小标宋简体"/>
          <w:kern w:val="44"/>
          <w:sz w:val="44"/>
          <w:szCs w:val="24"/>
        </w:rPr>
        <w:t>词解释</w:t>
      </w:r>
    </w:p>
    <w:p w14:paraId="692698DC">
      <w:pPr>
        <w:spacing w:line="576" w:lineRule="exact"/>
        <w:ind w:firstLine="640"/>
        <w:rPr>
          <w:rFonts w:hint="eastAsia" w:ascii="仿宋_GB2312" w:hAnsi="仿宋_GB2312" w:eastAsia="仿宋_GB2312"/>
          <w:color w:val="000000"/>
          <w:sz w:val="32"/>
          <w:szCs w:val="24"/>
        </w:rPr>
      </w:pPr>
    </w:p>
    <w:p w14:paraId="3B40C471">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一、财政拨款收入：</w:t>
      </w:r>
      <w:r>
        <w:rPr>
          <w:rFonts w:hint="default" w:ascii="Times New Roman" w:hAnsi="Times New Roman" w:eastAsia="仿宋_GB2312" w:cs="Times New Roman"/>
          <w:color w:val="000000"/>
          <w:sz w:val="32"/>
          <w:szCs w:val="32"/>
        </w:rPr>
        <w:t>指单位从同级财政部门取得的财政预算资金。</w:t>
      </w:r>
    </w:p>
    <w:p w14:paraId="21D95142">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二、事业收入：</w:t>
      </w:r>
      <w:r>
        <w:rPr>
          <w:rFonts w:hint="default" w:ascii="Times New Roman" w:hAnsi="Times New Roman" w:eastAsia="仿宋_GB2312" w:cs="Times New Roman"/>
          <w:color w:val="000000"/>
          <w:sz w:val="32"/>
          <w:szCs w:val="32"/>
        </w:rPr>
        <w:t>指事业单位开展专业业务活动及辅助活动取得的收入。</w:t>
      </w:r>
    </w:p>
    <w:p w14:paraId="0F9BFF8F">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三、经营收入：</w:t>
      </w:r>
      <w:r>
        <w:rPr>
          <w:rFonts w:hint="default" w:ascii="Times New Roman" w:hAnsi="Times New Roman" w:eastAsia="仿宋_GB2312" w:cs="Times New Roman"/>
          <w:color w:val="000000"/>
          <w:sz w:val="32"/>
          <w:szCs w:val="32"/>
        </w:rPr>
        <w:t>指事业单位在专业业务活动及其辅助活动之外开展非独立核算经营活动取得的收入。</w:t>
      </w:r>
    </w:p>
    <w:p w14:paraId="748F17B4">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四、其他收入：</w:t>
      </w:r>
      <w:r>
        <w:rPr>
          <w:rFonts w:hint="default" w:ascii="Times New Roman" w:hAnsi="Times New Roman" w:eastAsia="仿宋_GB2312" w:cs="Times New Roman"/>
          <w:color w:val="000000"/>
          <w:sz w:val="32"/>
          <w:szCs w:val="32"/>
        </w:rPr>
        <w:t>指单位取得的除上述收入以外的各项收入。</w:t>
      </w:r>
      <w:r>
        <w:rPr>
          <w:rFonts w:hint="default" w:ascii="Times New Roman" w:hAnsi="Times New Roman" w:eastAsia="仿宋_GB2312" w:cs="Times New Roman"/>
          <w:color w:val="000000"/>
          <w:sz w:val="32"/>
          <w:szCs w:val="32"/>
          <w:highlight w:val="none"/>
        </w:rPr>
        <w:t>（收入类型及金额（万元））。</w:t>
      </w:r>
    </w:p>
    <w:p w14:paraId="40A9A683">
      <w:pPr>
        <w:pStyle w:val="13"/>
        <w:spacing w:beforeLines="0" w:afterLines="0" w:line="57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lang w:val="en-US" w:eastAsia="zh-CN" w:bidi="ar-SA"/>
        </w:rPr>
        <w:t>五、使用非财政拨款结余（含专用结余）：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2DD380CC">
      <w:pPr>
        <w:spacing w:line="576"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六、年初结转和结余：</w:t>
      </w:r>
      <w:r>
        <w:rPr>
          <w:rFonts w:hint="default" w:ascii="Times New Roman" w:hAnsi="Times New Roman" w:eastAsia="仿宋_GB2312" w:cs="Times New Roman"/>
          <w:color w:val="000000"/>
          <w:sz w:val="32"/>
          <w:szCs w:val="32"/>
        </w:rPr>
        <w:t xml:space="preserve">指以前年度尚未完成、结转到本年按有关规定继续使用的资金。 </w:t>
      </w:r>
    </w:p>
    <w:p w14:paraId="47A6AEFE">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七、结余分配：</w:t>
      </w:r>
      <w:r>
        <w:rPr>
          <w:rFonts w:hint="default" w:ascii="Times New Roman" w:hAnsi="Times New Roman" w:eastAsia="仿宋_GB2312" w:cs="Times New Roman"/>
          <w:color w:val="000000"/>
          <w:sz w:val="32"/>
          <w:szCs w:val="32"/>
        </w:rPr>
        <w:t>指事业单位按照会计制度规定缴纳的所得税、提取的专用结余以及转入非财政拨款结余的金额等。</w:t>
      </w:r>
    </w:p>
    <w:p w14:paraId="0F9CF58B">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八、年末结转和结余：</w:t>
      </w:r>
      <w:r>
        <w:rPr>
          <w:rFonts w:hint="default" w:ascii="Times New Roman" w:hAnsi="Times New Roman" w:eastAsia="仿宋_GB2312" w:cs="Times New Roman"/>
          <w:color w:val="000000"/>
          <w:sz w:val="32"/>
          <w:szCs w:val="32"/>
        </w:rPr>
        <w:t>指单位按有关规定结转到下年或以后年度继续使用的资金。</w:t>
      </w:r>
    </w:p>
    <w:p w14:paraId="43CECA88">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九、一般公共服务支出（类）政协事务（款）行政运行（项）：</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政协四川省广元市昭化区委员会办公室的基本支出</w:t>
      </w:r>
      <w:r>
        <w:rPr>
          <w:rFonts w:hint="default" w:ascii="Times New Roman" w:hAnsi="Times New Roman" w:eastAsia="仿宋_GB2312" w:cs="Times New Roman"/>
          <w:color w:val="000000"/>
          <w:kern w:val="2"/>
          <w:sz w:val="32"/>
          <w:szCs w:val="32"/>
        </w:rPr>
        <w:t>。</w:t>
      </w:r>
    </w:p>
    <w:p w14:paraId="28AAEB5F">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十、社会保障和就业支出（类）行政事业单位养老（款）机关事业单位养老保险、机关事业单位职业年金（项）：</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政协四川省广元市昭化区委员会办公室为机关事业单位职工缴纳基本养老保险及机关事业单位职业年金支出</w:t>
      </w:r>
      <w:r>
        <w:rPr>
          <w:rFonts w:hint="default" w:ascii="Times New Roman" w:hAnsi="Times New Roman" w:eastAsia="仿宋_GB2312" w:cs="Times New Roman"/>
          <w:color w:val="000000"/>
          <w:kern w:val="2"/>
          <w:sz w:val="32"/>
          <w:szCs w:val="32"/>
        </w:rPr>
        <w:t>。</w:t>
      </w:r>
    </w:p>
    <w:p w14:paraId="795DF28B">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十一、</w:t>
      </w:r>
      <w:bookmarkStart w:id="16" w:name="OLE_LINK14"/>
      <w:r>
        <w:rPr>
          <w:rFonts w:hint="default" w:ascii="Times New Roman" w:hAnsi="Times New Roman" w:eastAsia="仿宋_GB2312" w:cs="Times New Roman"/>
          <w:b/>
          <w:bCs/>
          <w:color w:val="000000"/>
          <w:sz w:val="32"/>
          <w:szCs w:val="32"/>
        </w:rPr>
        <w:t>卫生健康支出（类）行政事业单位医疗（款）行政单位医疗（项）：</w:t>
      </w:r>
      <w:r>
        <w:rPr>
          <w:rFonts w:hint="default" w:ascii="Times New Roman" w:hAnsi="Times New Roman" w:eastAsia="仿宋_GB2312" w:cs="Times New Roman"/>
          <w:color w:val="000000"/>
          <w:kern w:val="2"/>
          <w:sz w:val="32"/>
          <w:szCs w:val="32"/>
        </w:rPr>
        <w:t>指</w:t>
      </w:r>
      <w:bookmarkStart w:id="17" w:name="OLE_LINK17"/>
      <w:r>
        <w:rPr>
          <w:rFonts w:hint="default" w:ascii="Times New Roman" w:hAnsi="Times New Roman" w:eastAsia="仿宋_GB2312" w:cs="Times New Roman"/>
          <w:color w:val="000000"/>
          <w:sz w:val="32"/>
          <w:szCs w:val="32"/>
        </w:rPr>
        <w:t>政协四川省广元市昭化区委员会办公室为机关职工缴纳的基本医疗保险</w:t>
      </w:r>
      <w:bookmarkEnd w:id="17"/>
      <w:r>
        <w:rPr>
          <w:rFonts w:hint="default" w:ascii="Times New Roman" w:hAnsi="Times New Roman" w:eastAsia="仿宋_GB2312" w:cs="Times New Roman"/>
          <w:color w:val="000000"/>
          <w:kern w:val="2"/>
          <w:sz w:val="32"/>
          <w:szCs w:val="32"/>
        </w:rPr>
        <w:t>。</w:t>
      </w:r>
    </w:p>
    <w:bookmarkEnd w:id="16"/>
    <w:p w14:paraId="23F423ED">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十二、卫生健康支出（类）行政事业单位医疗（款）事业单位医疗（项）：</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政协四川省广元市昭化区委员会办公室为机关职工缴纳的基本医疗保险</w:t>
      </w:r>
      <w:r>
        <w:rPr>
          <w:rFonts w:hint="default" w:ascii="Times New Roman" w:hAnsi="Times New Roman" w:eastAsia="仿宋_GB2312" w:cs="Times New Roman"/>
          <w:color w:val="000000"/>
          <w:kern w:val="2"/>
          <w:sz w:val="32"/>
          <w:szCs w:val="32"/>
        </w:rPr>
        <w:t>。</w:t>
      </w:r>
    </w:p>
    <w:p w14:paraId="0321BA27">
      <w:pPr>
        <w:spacing w:line="576" w:lineRule="exact"/>
        <w:ind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十三、住房保障支出（类）住房改革支出（款）住房公积金（项）：</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按照《住房公积金管理条例》的规定，由政协四川省委员会办公厅缴存的在职职工住房公积金</w:t>
      </w:r>
      <w:r>
        <w:rPr>
          <w:rFonts w:hint="default" w:ascii="Times New Roman" w:hAnsi="Times New Roman" w:eastAsia="仿宋_GB2312" w:cs="Times New Roman"/>
          <w:color w:val="000000"/>
          <w:kern w:val="2"/>
          <w:sz w:val="32"/>
          <w:szCs w:val="32"/>
        </w:rPr>
        <w:t>。</w:t>
      </w:r>
    </w:p>
    <w:p w14:paraId="245CEEAB">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十四、基本支出：</w:t>
      </w:r>
      <w:r>
        <w:rPr>
          <w:rFonts w:hint="default" w:ascii="Times New Roman" w:hAnsi="Times New Roman" w:eastAsia="仿宋_GB2312" w:cs="Times New Roman"/>
          <w:color w:val="000000"/>
          <w:kern w:val="2"/>
          <w:sz w:val="32"/>
          <w:szCs w:val="32"/>
        </w:rPr>
        <w:t>指为保障机构正常运转、完成日常工作任务而发生的人员支出和公用支出。</w:t>
      </w:r>
    </w:p>
    <w:p w14:paraId="53345FA8">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十五、项目支出：</w:t>
      </w:r>
      <w:r>
        <w:rPr>
          <w:rFonts w:hint="default" w:ascii="Times New Roman" w:hAnsi="Times New Roman" w:eastAsia="仿宋_GB2312" w:cs="Times New Roman"/>
          <w:color w:val="000000"/>
          <w:kern w:val="2"/>
          <w:sz w:val="32"/>
          <w:szCs w:val="32"/>
        </w:rPr>
        <w:t xml:space="preserve">指在基本支出之外为完成特定行政任务和事业发展目标所发生的支出。 </w:t>
      </w:r>
    </w:p>
    <w:p w14:paraId="4DDBF94F">
      <w:pPr>
        <w:spacing w:line="576" w:lineRule="exact"/>
        <w:ind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sz w:val="32"/>
          <w:szCs w:val="32"/>
        </w:rPr>
        <w:t>十六、经营支出：</w:t>
      </w:r>
      <w:r>
        <w:rPr>
          <w:rFonts w:hint="default" w:ascii="Times New Roman" w:hAnsi="Times New Roman" w:eastAsia="仿宋_GB2312" w:cs="Times New Roman"/>
          <w:color w:val="000000"/>
          <w:kern w:val="2"/>
          <w:sz w:val="32"/>
          <w:szCs w:val="32"/>
        </w:rPr>
        <w:t>指事业单位在专业业务活动及其辅助活动之外开展非独立核算经营活动发生的支出。</w:t>
      </w:r>
    </w:p>
    <w:p w14:paraId="6BAF8372">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十七、“三公”经费：</w:t>
      </w:r>
      <w:r>
        <w:rPr>
          <w:rFonts w:hint="default" w:ascii="Times New Roman" w:hAnsi="Times New Roman" w:eastAsia="仿宋_GB2312"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216DC0B">
      <w:pPr>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十八、机关运行经费：</w:t>
      </w:r>
      <w:r>
        <w:rPr>
          <w:rFonts w:hint="default" w:ascii="Times New Roman"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7FEFA721">
      <w:pPr>
        <w:keepNext/>
        <w:keepLines/>
        <w:spacing w:line="576" w:lineRule="exact"/>
        <w:jc w:val="center"/>
        <w:rPr>
          <w:rFonts w:hint="default" w:ascii="Times New Roman" w:hAnsi="Times New Roman" w:eastAsia="仿宋_GB2312" w:cs="Times New Roman"/>
          <w:color w:val="000000"/>
          <w:kern w:val="2"/>
          <w:sz w:val="32"/>
          <w:szCs w:val="32"/>
        </w:rPr>
        <w:sectPr>
          <w:pgSz w:w="12240" w:h="15840"/>
          <w:pgMar w:top="2098" w:right="1474" w:bottom="1984" w:left="1587" w:header="720" w:footer="720" w:gutter="0"/>
          <w:lnNumType w:countBy="0" w:distance="360"/>
          <w:pgNumType w:fmt="numberInDash"/>
          <w:cols w:space="720" w:num="1"/>
        </w:sectPr>
      </w:pPr>
    </w:p>
    <w:p w14:paraId="794FDC90">
      <w:pPr>
        <w:keepNext/>
        <w:keepLines/>
        <w:pageBreakBefore/>
        <w:widowControl w:val="0"/>
        <w:wordWrap/>
        <w:overflowPunct/>
        <w:topLinePunct w:val="0"/>
        <w:bidi w:val="0"/>
        <w:spacing w:line="576" w:lineRule="exact"/>
        <w:jc w:val="center"/>
        <w:rPr>
          <w:rFonts w:hint="eastAsia" w:ascii="方正小标宋简体" w:hAnsi="方正小标宋简体" w:eastAsia="方正小标宋简体" w:cs="方正小标宋简体"/>
          <w:kern w:val="44"/>
          <w:sz w:val="44"/>
          <w:szCs w:val="24"/>
        </w:rPr>
      </w:pPr>
      <w:r>
        <w:rPr>
          <w:rFonts w:hint="eastAsia" w:ascii="方正小标宋简体" w:hAnsi="方正小标宋简体" w:eastAsia="方正小标宋简体" w:cs="方正小标宋简体"/>
          <w:color w:val="000000"/>
          <w:kern w:val="2"/>
          <w:sz w:val="44"/>
          <w:szCs w:val="24"/>
        </w:rPr>
        <w:t>第</w:t>
      </w:r>
      <w:r>
        <w:rPr>
          <w:rFonts w:hint="eastAsia" w:ascii="方正小标宋简体" w:hAnsi="方正小标宋简体" w:eastAsia="方正小标宋简体" w:cs="方正小标宋简体"/>
          <w:kern w:val="44"/>
          <w:sz w:val="44"/>
          <w:szCs w:val="24"/>
        </w:rPr>
        <w:t>四部分  附</w:t>
      </w:r>
      <w:r>
        <w:rPr>
          <w:rFonts w:hint="eastAsia" w:ascii="方正小标宋简体" w:hAnsi="方正小标宋简体" w:eastAsia="方正小标宋简体" w:cs="方正小标宋简体"/>
          <w:kern w:val="44"/>
          <w:sz w:val="44"/>
          <w:szCs w:val="24"/>
          <w:lang w:val="en-US" w:eastAsia="zh-CN"/>
        </w:rPr>
        <w:t xml:space="preserve">  </w:t>
      </w:r>
      <w:r>
        <w:rPr>
          <w:rFonts w:hint="eastAsia" w:ascii="方正小标宋简体" w:hAnsi="方正小标宋简体" w:eastAsia="方正小标宋简体" w:cs="方正小标宋简体"/>
          <w:kern w:val="44"/>
          <w:sz w:val="44"/>
          <w:szCs w:val="24"/>
        </w:rPr>
        <w:t>件</w:t>
      </w:r>
    </w:p>
    <w:p w14:paraId="2C28D458">
      <w:pPr>
        <w:keepNext/>
        <w:keepLines/>
        <w:widowControl w:val="0"/>
        <w:wordWrap/>
        <w:overflowPunct/>
        <w:topLinePunct w:val="0"/>
        <w:bidi w:val="0"/>
        <w:spacing w:line="576" w:lineRule="exact"/>
        <w:rPr>
          <w:rFonts w:hint="eastAsia" w:ascii="黑体" w:hAnsi="黑体" w:eastAsia="黑体"/>
          <w:kern w:val="2"/>
          <w:sz w:val="32"/>
          <w:szCs w:val="24"/>
        </w:rPr>
      </w:pPr>
    </w:p>
    <w:p w14:paraId="2971CC6A">
      <w:pPr>
        <w:keepNext/>
        <w:keepLines/>
        <w:widowControl w:val="0"/>
        <w:wordWrap/>
        <w:overflowPunct/>
        <w:topLinePunct w:val="0"/>
        <w:bidi w:val="0"/>
        <w:spacing w:line="576" w:lineRule="exact"/>
        <w:rPr>
          <w:rFonts w:hint="eastAsia" w:ascii="方正小标宋简体" w:hAnsi="方正小标宋简体" w:eastAsia="方正小标宋简体"/>
          <w:kern w:val="2"/>
          <w:sz w:val="44"/>
          <w:szCs w:val="24"/>
        </w:rPr>
      </w:pPr>
      <w:r>
        <w:rPr>
          <w:rFonts w:hint="eastAsia" w:ascii="黑体" w:hAnsi="黑体" w:eastAsia="黑体"/>
          <w:kern w:val="2"/>
          <w:sz w:val="32"/>
          <w:szCs w:val="24"/>
        </w:rPr>
        <w:t>附件1</w:t>
      </w:r>
    </w:p>
    <w:p w14:paraId="46670369">
      <w:pPr>
        <w:widowControl w:val="0"/>
        <w:wordWrap/>
        <w:overflowPunct/>
        <w:topLinePunct w:val="0"/>
        <w:bidi w:val="0"/>
        <w:spacing w:line="576" w:lineRule="exact"/>
        <w:jc w:val="center"/>
        <w:rPr>
          <w:rFonts w:hint="eastAsia" w:eastAsia="方正小标宋简体"/>
          <w:sz w:val="44"/>
          <w:szCs w:val="44"/>
        </w:rPr>
      </w:pPr>
    </w:p>
    <w:p w14:paraId="7AC44CCD">
      <w:pPr>
        <w:widowControl w:val="0"/>
        <w:wordWrap/>
        <w:overflowPunct/>
        <w:topLinePunct w:val="0"/>
        <w:bidi w:val="0"/>
        <w:spacing w:line="576" w:lineRule="exact"/>
        <w:jc w:val="center"/>
        <w:rPr>
          <w:rFonts w:hint="eastAsia" w:eastAsia="方正小标宋简体"/>
          <w:sz w:val="44"/>
          <w:szCs w:val="44"/>
        </w:rPr>
      </w:pPr>
      <w:r>
        <w:rPr>
          <w:rFonts w:hint="eastAsia" w:eastAsia="方正小标宋简体"/>
          <w:sz w:val="44"/>
          <w:szCs w:val="44"/>
        </w:rPr>
        <w:t>政协广元市昭化区委员会办公室</w:t>
      </w:r>
    </w:p>
    <w:p w14:paraId="4623D9DB">
      <w:pPr>
        <w:widowControl w:val="0"/>
        <w:wordWrap/>
        <w:overflowPunct/>
        <w:topLinePunct w:val="0"/>
        <w:bidi w:val="0"/>
        <w:spacing w:line="576" w:lineRule="exact"/>
        <w:jc w:val="center"/>
        <w:rPr>
          <w:rFonts w:hint="eastAsia" w:eastAsia="方正小标宋简体"/>
          <w:sz w:val="44"/>
          <w:szCs w:val="44"/>
        </w:rPr>
      </w:pPr>
      <w:r>
        <w:rPr>
          <w:rFonts w:hint="eastAsia" w:eastAsia="Times New Roman"/>
          <w:sz w:val="44"/>
          <w:szCs w:val="44"/>
        </w:rPr>
        <w:t>202</w:t>
      </w:r>
      <w:r>
        <w:rPr>
          <w:rFonts w:hint="eastAsia" w:eastAsia="方正小标宋简体"/>
          <w:sz w:val="44"/>
          <w:szCs w:val="44"/>
        </w:rPr>
        <w:t>3年部门整体支出绩效自评报告</w:t>
      </w:r>
    </w:p>
    <w:p w14:paraId="370FE86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cs="Times New Roman"/>
          <w:spacing w:val="0"/>
          <w:position w:val="0"/>
        </w:rPr>
      </w:pPr>
      <w:r>
        <w:rPr>
          <w:rFonts w:hint="default" w:ascii="Times New Roman" w:hAnsi="Times New Roman" w:cs="Times New Roman"/>
          <w:spacing w:val="0"/>
          <w:position w:val="0"/>
        </w:rPr>
        <w:t xml:space="preserve"> </w:t>
      </w:r>
    </w:p>
    <w:p w14:paraId="48F079E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w:t>
      </w:r>
    </w:p>
    <w:p w14:paraId="34F754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lang w:val="en-US" w:eastAsia="zh-CN"/>
        </w:rPr>
        <w:t>关于开展2023年部门、政策和项目支出绩效评价工作的通知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昭财发〔2024〕11号文件精神要求，对2023年本单位部门整体支出绩效目标完成和预算执行情况开展了绩效自评，现将有关情况函告如下：</w:t>
      </w:r>
    </w:p>
    <w:p w14:paraId="3FE63482">
      <w:pPr>
        <w:keepNext w:val="0"/>
        <w:keepLines w:val="0"/>
        <w:pageBreakBefore w:val="0"/>
        <w:widowControl w:val="0"/>
        <w:numPr>
          <w:ilvl w:val="0"/>
          <w:numId w:val="0"/>
        </w:numPr>
        <w:wordWrap/>
        <w:overflowPunct/>
        <w:topLinePunct w:val="0"/>
        <w:bidi w:val="0"/>
        <w:spacing w:line="576" w:lineRule="exact"/>
        <w:ind w:firstLine="640" w:firstLineChars="200"/>
        <w:outlineLvl w:val="0"/>
        <w:rPr>
          <w:rFonts w:hint="default" w:ascii="Times New Roman" w:hAnsi="Times New Roman" w:eastAsia="黑体" w:cs="Times New Roman"/>
          <w:b w:val="0"/>
          <w:bCs w:val="0"/>
          <w:spacing w:val="0"/>
          <w:position w:val="0"/>
          <w:sz w:val="32"/>
          <w:szCs w:val="32"/>
        </w:rPr>
      </w:pPr>
      <w:r>
        <w:rPr>
          <w:rFonts w:hint="default" w:ascii="Times New Roman" w:hAnsi="Times New Roman" w:eastAsia="黑体" w:cs="Times New Roman"/>
          <w:b w:val="0"/>
          <w:bCs w:val="0"/>
          <w:spacing w:val="0"/>
          <w:position w:val="0"/>
          <w:sz w:val="32"/>
          <w:szCs w:val="32"/>
          <w:lang w:eastAsia="zh-CN"/>
        </w:rPr>
        <w:t>一、</w:t>
      </w:r>
      <w:r>
        <w:rPr>
          <w:rFonts w:hint="default" w:ascii="Times New Roman" w:hAnsi="Times New Roman" w:eastAsia="黑体" w:cs="Times New Roman"/>
          <w:b w:val="0"/>
          <w:bCs w:val="0"/>
          <w:spacing w:val="0"/>
          <w:position w:val="0"/>
          <w:sz w:val="32"/>
          <w:szCs w:val="32"/>
        </w:rPr>
        <w:t>预算单位概况</w:t>
      </w:r>
    </w:p>
    <w:p w14:paraId="163C2BBA">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eastAsia" w:ascii="Times New Roman" w:hAnsi="Times New Roman" w:eastAsia="楷体_GB2312" w:cs="Times New Roman"/>
          <w:spacing w:val="0"/>
          <w:position w:val="0"/>
          <w:sz w:val="32"/>
          <w:szCs w:val="32"/>
          <w:lang w:eastAsia="zh-CN"/>
        </w:rPr>
        <w:t>（一）</w:t>
      </w:r>
      <w:r>
        <w:rPr>
          <w:rFonts w:hint="default" w:ascii="Times New Roman" w:hAnsi="Times New Roman" w:eastAsia="楷体_GB2312" w:cs="Times New Roman"/>
          <w:spacing w:val="0"/>
          <w:position w:val="0"/>
          <w:sz w:val="32"/>
          <w:szCs w:val="32"/>
        </w:rPr>
        <w:t>机构组成</w:t>
      </w:r>
    </w:p>
    <w:p w14:paraId="0518E975">
      <w:pPr>
        <w:keepNext w:val="0"/>
        <w:keepLines w:val="0"/>
        <w:pageBreakBefore w:val="0"/>
        <w:widowControl w:val="0"/>
        <w:wordWrap/>
        <w:overflowPunct/>
        <w:topLinePunct w:val="0"/>
        <w:bidi w:val="0"/>
        <w:spacing w:beforeAutospacing="0" w:line="576" w:lineRule="exact"/>
        <w:ind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昭化区政协设有一室六委，即办公室、农业委、提案法制委、人口环境资源委、经济委、科教文卫体委、学习文史与社会联谊委。</w:t>
      </w:r>
    </w:p>
    <w:p w14:paraId="6C337C87">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spacing w:val="0"/>
          <w:position w:val="0"/>
          <w:sz w:val="32"/>
          <w:szCs w:val="32"/>
        </w:rPr>
        <w:t>（二）机构职能</w:t>
      </w:r>
    </w:p>
    <w:p w14:paraId="447976F8">
      <w:pPr>
        <w:keepNext w:val="0"/>
        <w:keepLines w:val="0"/>
        <w:pageBreakBefore w:val="0"/>
        <w:widowControl w:val="0"/>
        <w:wordWrap/>
        <w:overflowPunct/>
        <w:topLinePunct w:val="0"/>
        <w:bidi w:val="0"/>
        <w:spacing w:beforeAutospacing="0" w:line="576" w:lineRule="exact"/>
        <w:ind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Cs/>
          <w:spacing w:val="0"/>
          <w:position w:val="0"/>
          <w:sz w:val="32"/>
          <w:szCs w:val="32"/>
        </w:rPr>
        <w:t>政协四川省广元市昭化区委员会办公室是政协四川省广元市昭化区委员会的工作机构，承担为区政协履行政治协商、民主监督、参政议政职能服务的各项工作。主要负责政协四川省广元市昭化区委员会全体会议、常务委员会会议、主席会议和其他重要会议的会务工作；组织实施区委、区政府、区政协年度协商计划和政协四川省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p>
    <w:p w14:paraId="241A6ECE">
      <w:pPr>
        <w:keepNext w:val="0"/>
        <w:keepLines w:val="0"/>
        <w:pageBreakBefore w:val="0"/>
        <w:widowControl w:val="0"/>
        <w:wordWrap/>
        <w:overflowPunct/>
        <w:topLinePunct w:val="0"/>
        <w:bidi w:val="0"/>
        <w:spacing w:beforeAutospacing="0" w:line="576" w:lineRule="exact"/>
        <w:rPr>
          <w:rFonts w:hint="default" w:ascii="Times New Roman" w:hAnsi="Times New Roman" w:eastAsia="楷体_GB2312" w:cs="Times New Roman"/>
          <w:spacing w:val="0"/>
          <w:position w:val="0"/>
          <w:sz w:val="32"/>
          <w:szCs w:val="32"/>
        </w:rPr>
      </w:pPr>
      <w:r>
        <w:rPr>
          <w:rFonts w:hint="default" w:ascii="Times New Roman" w:hAnsi="Times New Roman" w:eastAsia="仿宋_GB2312" w:cs="Times New Roman"/>
          <w:spacing w:val="0"/>
          <w:position w:val="0"/>
          <w:sz w:val="32"/>
          <w:szCs w:val="32"/>
        </w:rPr>
        <w:t xml:space="preserve"> </w:t>
      </w:r>
      <w:r>
        <w:rPr>
          <w:rFonts w:hint="default" w:ascii="Times New Roman" w:hAnsi="Times New Roman" w:eastAsia="仿宋_GB2312" w:cs="Times New Roman"/>
          <w:spacing w:val="0"/>
          <w:position w:val="0"/>
          <w:sz w:val="32"/>
          <w:szCs w:val="32"/>
          <w:lang w:val="en-US" w:eastAsia="zh-CN"/>
        </w:rPr>
        <w:t xml:space="preserve">  </w:t>
      </w:r>
      <w:r>
        <w:rPr>
          <w:rFonts w:hint="default" w:ascii="Times New Roman" w:hAnsi="Times New Roman" w:eastAsia="楷体_GB2312" w:cs="Times New Roman"/>
          <w:spacing w:val="0"/>
          <w:position w:val="0"/>
          <w:sz w:val="32"/>
          <w:szCs w:val="32"/>
          <w:lang w:eastAsia="zh-CN"/>
        </w:rPr>
        <w:t>（三）</w:t>
      </w:r>
      <w:r>
        <w:rPr>
          <w:rFonts w:hint="default" w:ascii="Times New Roman" w:hAnsi="Times New Roman" w:eastAsia="楷体_GB2312" w:cs="Times New Roman"/>
          <w:spacing w:val="0"/>
          <w:position w:val="0"/>
          <w:sz w:val="32"/>
          <w:szCs w:val="32"/>
        </w:rPr>
        <w:t>人员概况</w:t>
      </w:r>
    </w:p>
    <w:p w14:paraId="3C6C461C">
      <w:pPr>
        <w:keepNext w:val="0"/>
        <w:keepLines w:val="0"/>
        <w:pageBreakBefore w:val="0"/>
        <w:widowControl w:val="0"/>
        <w:wordWrap/>
        <w:overflowPunct/>
        <w:topLinePunct w:val="0"/>
        <w:bidi w:val="0"/>
        <w:spacing w:beforeAutospacing="0" w:line="576" w:lineRule="exact"/>
        <w:ind w:firstLine="640" w:firstLineChars="200"/>
        <w:rPr>
          <w:rFonts w:hint="eastAsia"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rPr>
        <w:t>年未实有人数4</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人，其中：行政编制</w:t>
      </w:r>
      <w:r>
        <w:rPr>
          <w:rFonts w:hint="default" w:ascii="Times New Roman" w:hAnsi="Times New Roman" w:eastAsia="仿宋_GB2312" w:cs="Times New Roman"/>
          <w:spacing w:val="0"/>
          <w:position w:val="0"/>
          <w:sz w:val="32"/>
          <w:szCs w:val="32"/>
          <w:lang w:val="en-US" w:eastAsia="zh-CN"/>
        </w:rPr>
        <w:t>40</w:t>
      </w:r>
      <w:r>
        <w:rPr>
          <w:rFonts w:hint="default" w:ascii="Times New Roman" w:hAnsi="Times New Roman" w:eastAsia="仿宋_GB2312" w:cs="Times New Roman"/>
          <w:spacing w:val="0"/>
          <w:position w:val="0"/>
          <w:sz w:val="32"/>
          <w:szCs w:val="32"/>
        </w:rPr>
        <w:t>人，事业编制</w:t>
      </w:r>
      <w:r>
        <w:rPr>
          <w:rFonts w:hint="default"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人</w:t>
      </w:r>
      <w:r>
        <w:rPr>
          <w:rFonts w:hint="default" w:ascii="Times New Roman" w:hAnsi="Times New Roman" w:eastAsia="仿宋_GB2312" w:cs="Times New Roman"/>
          <w:spacing w:val="0"/>
          <w:position w:val="0"/>
          <w:sz w:val="32"/>
          <w:szCs w:val="32"/>
          <w:lang w:eastAsia="zh-CN"/>
        </w:rPr>
        <w:t>。</w:t>
      </w:r>
    </w:p>
    <w:p w14:paraId="40E2DE35">
      <w:pPr>
        <w:keepNext w:val="0"/>
        <w:keepLines w:val="0"/>
        <w:pageBreakBefore w:val="0"/>
        <w:widowControl w:val="0"/>
        <w:numPr>
          <w:ilvl w:val="0"/>
          <w:numId w:val="0"/>
        </w:numPr>
        <w:wordWrap/>
        <w:overflowPunct/>
        <w:topLinePunct w:val="0"/>
        <w:bidi w:val="0"/>
        <w:spacing w:line="576" w:lineRule="exact"/>
        <w:ind w:firstLine="640" w:firstLineChars="200"/>
        <w:outlineLvl w:val="0"/>
        <w:rPr>
          <w:rFonts w:hint="default" w:ascii="Times New Roman" w:hAnsi="Times New Roman" w:eastAsia="黑体" w:cs="Times New Roman"/>
          <w:b w:val="0"/>
          <w:bCs w:val="0"/>
          <w:spacing w:val="0"/>
          <w:position w:val="0"/>
          <w:sz w:val="32"/>
          <w:szCs w:val="32"/>
        </w:rPr>
      </w:pPr>
      <w:r>
        <w:rPr>
          <w:rFonts w:hint="default" w:ascii="Times New Roman" w:hAnsi="Times New Roman" w:eastAsia="黑体" w:cs="Times New Roman"/>
          <w:b w:val="0"/>
          <w:bCs w:val="0"/>
          <w:spacing w:val="0"/>
          <w:position w:val="0"/>
          <w:sz w:val="32"/>
          <w:szCs w:val="32"/>
          <w:lang w:eastAsia="zh-CN"/>
        </w:rPr>
        <w:t>二、</w:t>
      </w:r>
      <w:r>
        <w:rPr>
          <w:rFonts w:hint="default" w:ascii="Times New Roman" w:hAnsi="Times New Roman" w:eastAsia="黑体" w:cs="Times New Roman"/>
          <w:b w:val="0"/>
          <w:bCs w:val="0"/>
          <w:spacing w:val="0"/>
          <w:position w:val="0"/>
          <w:sz w:val="32"/>
          <w:szCs w:val="32"/>
        </w:rPr>
        <w:t>预算单位财政支出情况</w:t>
      </w:r>
    </w:p>
    <w:p w14:paraId="69209DF3">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spacing w:val="0"/>
          <w:position w:val="0"/>
          <w:sz w:val="32"/>
          <w:szCs w:val="32"/>
          <w:lang w:eastAsia="zh-CN"/>
        </w:rPr>
        <w:t>（一）</w:t>
      </w:r>
      <w:r>
        <w:rPr>
          <w:rFonts w:hint="default" w:ascii="Times New Roman" w:hAnsi="Times New Roman" w:eastAsia="楷体_GB2312" w:cs="Times New Roman"/>
          <w:spacing w:val="0"/>
          <w:position w:val="0"/>
          <w:sz w:val="32"/>
          <w:szCs w:val="32"/>
        </w:rPr>
        <w:t>单位财政资金收入情况</w:t>
      </w:r>
    </w:p>
    <w:p w14:paraId="2C5E91E8">
      <w:pPr>
        <w:keepNext w:val="0"/>
        <w:keepLines w:val="0"/>
        <w:pageBreakBefore w:val="0"/>
        <w:widowControl w:val="0"/>
        <w:wordWrap/>
        <w:overflowPunct/>
        <w:topLinePunct w:val="0"/>
        <w:bidi w:val="0"/>
        <w:spacing w:beforeAutospacing="0" w:line="576" w:lineRule="exact"/>
        <w:ind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年年初财政预算</w:t>
      </w:r>
      <w:r>
        <w:rPr>
          <w:rFonts w:hint="default" w:ascii="Times New Roman" w:hAnsi="Times New Roman" w:eastAsia="仿宋_GB2312" w:cs="Times New Roman"/>
          <w:spacing w:val="0"/>
          <w:position w:val="0"/>
          <w:sz w:val="32"/>
          <w:szCs w:val="32"/>
          <w:lang w:val="en-US" w:eastAsia="zh-CN"/>
        </w:rPr>
        <w:t>1099.58</w:t>
      </w:r>
      <w:r>
        <w:rPr>
          <w:rFonts w:hint="default" w:ascii="Times New Roman" w:hAnsi="Times New Roman" w:eastAsia="仿宋_GB2312" w:cs="Times New Roman"/>
          <w:spacing w:val="0"/>
          <w:position w:val="0"/>
          <w:sz w:val="32"/>
          <w:szCs w:val="32"/>
        </w:rPr>
        <w:t>万元，年度执行中调整</w:t>
      </w:r>
      <w:r>
        <w:rPr>
          <w:rFonts w:hint="default" w:ascii="Times New Roman" w:hAnsi="Times New Roman" w:eastAsia="仿宋_GB2312" w:cs="Times New Roman"/>
          <w:spacing w:val="0"/>
          <w:position w:val="0"/>
          <w:sz w:val="32"/>
          <w:szCs w:val="32"/>
          <w:lang w:val="en-US" w:eastAsia="zh-CN"/>
        </w:rPr>
        <w:t>48.2</w:t>
      </w:r>
      <w:r>
        <w:rPr>
          <w:rFonts w:hint="eastAsia" w:eastAsia="仿宋_GB2312" w:cs="Times New Roman"/>
          <w:spacing w:val="0"/>
          <w:position w:val="0"/>
          <w:sz w:val="32"/>
          <w:szCs w:val="32"/>
          <w:lang w:val="en-US" w:eastAsia="zh-CN"/>
        </w:rPr>
        <w:t>5</w:t>
      </w:r>
      <w:r>
        <w:rPr>
          <w:rFonts w:hint="default" w:ascii="Times New Roman" w:hAnsi="Times New Roman" w:eastAsia="仿宋_GB2312" w:cs="Times New Roman"/>
          <w:spacing w:val="0"/>
          <w:position w:val="0"/>
          <w:sz w:val="32"/>
          <w:szCs w:val="32"/>
        </w:rPr>
        <w:t>万元，合计</w:t>
      </w:r>
      <w:r>
        <w:rPr>
          <w:rFonts w:hint="default" w:ascii="Times New Roman" w:hAnsi="Times New Roman" w:eastAsia="仿宋_GB2312" w:cs="Times New Roman"/>
          <w:spacing w:val="0"/>
          <w:position w:val="0"/>
          <w:sz w:val="32"/>
          <w:szCs w:val="32"/>
          <w:lang w:val="en-US" w:eastAsia="zh-CN"/>
        </w:rPr>
        <w:t>1147.8</w:t>
      </w:r>
      <w:r>
        <w:rPr>
          <w:rFonts w:hint="eastAsia"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万元。</w:t>
      </w:r>
    </w:p>
    <w:p w14:paraId="1CB0757B">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spacing w:val="0"/>
          <w:position w:val="0"/>
          <w:sz w:val="32"/>
          <w:szCs w:val="32"/>
          <w:lang w:eastAsia="zh-CN"/>
        </w:rPr>
        <w:t>（二）</w:t>
      </w:r>
      <w:r>
        <w:rPr>
          <w:rFonts w:hint="default" w:ascii="Times New Roman" w:hAnsi="Times New Roman" w:eastAsia="楷体_GB2312" w:cs="Times New Roman"/>
          <w:spacing w:val="0"/>
          <w:position w:val="0"/>
          <w:sz w:val="32"/>
          <w:szCs w:val="32"/>
        </w:rPr>
        <w:t>单位财政支出情况</w:t>
      </w:r>
    </w:p>
    <w:p w14:paraId="173FF603">
      <w:pPr>
        <w:pStyle w:val="4"/>
        <w:keepNext w:val="0"/>
        <w:keepLines w:val="0"/>
        <w:pageBreakBefore w:val="0"/>
        <w:widowControl w:val="0"/>
        <w:wordWrap/>
        <w:overflowPunct/>
        <w:topLinePunct w:val="0"/>
        <w:bidi w:val="0"/>
        <w:spacing w:beforeLines="0" w:beforeAutospacing="0" w:after="0" w:line="576" w:lineRule="exact"/>
        <w:ind w:firstLine="640" w:firstLineChars="200"/>
        <w:jc w:val="both"/>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年一般公共预算财政拨款支出</w:t>
      </w:r>
      <w:r>
        <w:rPr>
          <w:rFonts w:hint="default" w:ascii="Times New Roman" w:hAnsi="Times New Roman" w:eastAsia="仿宋_GB2312" w:cs="Times New Roman"/>
          <w:spacing w:val="0"/>
          <w:position w:val="0"/>
          <w:sz w:val="32"/>
          <w:szCs w:val="32"/>
          <w:lang w:val="en-US" w:eastAsia="zh-CN"/>
        </w:rPr>
        <w:t>1147.8</w:t>
      </w:r>
      <w:r>
        <w:rPr>
          <w:rFonts w:hint="eastAsia" w:ascii="Times New Roman"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万元。主要用于以下方面：一般公共服务支出</w:t>
      </w:r>
      <w:r>
        <w:rPr>
          <w:rFonts w:hint="default" w:ascii="Times New Roman" w:hAnsi="Times New Roman" w:eastAsia="仿宋_GB2312" w:cs="Times New Roman"/>
          <w:spacing w:val="0"/>
          <w:position w:val="0"/>
          <w:sz w:val="32"/>
          <w:szCs w:val="32"/>
          <w:lang w:val="en-US" w:eastAsia="zh-CN"/>
        </w:rPr>
        <w:t>930.1</w:t>
      </w:r>
      <w:r>
        <w:rPr>
          <w:rFonts w:hint="eastAsia" w:ascii="Times New Roman" w:cs="Times New Roman"/>
          <w:spacing w:val="0"/>
          <w:position w:val="0"/>
          <w:sz w:val="32"/>
          <w:szCs w:val="32"/>
          <w:lang w:val="en-US" w:eastAsia="zh-CN"/>
        </w:rPr>
        <w:t>5</w:t>
      </w:r>
      <w:r>
        <w:rPr>
          <w:rFonts w:hint="default" w:ascii="Times New Roman" w:hAnsi="Times New Roman" w:eastAsia="仿宋_GB2312" w:cs="Times New Roman"/>
          <w:spacing w:val="0"/>
          <w:position w:val="0"/>
          <w:sz w:val="32"/>
          <w:szCs w:val="32"/>
        </w:rPr>
        <w:t>万元，占</w:t>
      </w:r>
      <w:r>
        <w:rPr>
          <w:rFonts w:hint="default" w:ascii="Times New Roman" w:hAnsi="Times New Roman" w:eastAsia="仿宋_GB2312" w:cs="Times New Roman"/>
          <w:spacing w:val="0"/>
          <w:position w:val="0"/>
          <w:sz w:val="32"/>
          <w:szCs w:val="32"/>
          <w:lang w:val="en-US" w:eastAsia="zh-CN"/>
        </w:rPr>
        <w:t>81.04</w:t>
      </w:r>
      <w:r>
        <w:rPr>
          <w:rFonts w:hint="default" w:ascii="Times New Roman" w:hAnsi="Times New Roman" w:eastAsia="仿宋_GB2312" w:cs="Times New Roman"/>
          <w:spacing w:val="0"/>
          <w:position w:val="0"/>
          <w:sz w:val="32"/>
          <w:szCs w:val="32"/>
        </w:rPr>
        <w:t>%；社会保障和就业支出</w:t>
      </w:r>
      <w:r>
        <w:rPr>
          <w:rFonts w:hint="default" w:ascii="Times New Roman" w:hAnsi="Times New Roman" w:eastAsia="仿宋_GB2312" w:cs="Times New Roman"/>
          <w:spacing w:val="0"/>
          <w:position w:val="0"/>
          <w:sz w:val="32"/>
          <w:szCs w:val="32"/>
          <w:lang w:val="en-US" w:eastAsia="zh-CN"/>
        </w:rPr>
        <w:t>124.88</w:t>
      </w:r>
      <w:r>
        <w:rPr>
          <w:rFonts w:hint="default" w:ascii="Times New Roman" w:hAnsi="Times New Roman" w:eastAsia="仿宋_GB2312" w:cs="Times New Roman"/>
          <w:spacing w:val="0"/>
          <w:position w:val="0"/>
          <w:sz w:val="32"/>
          <w:szCs w:val="32"/>
        </w:rPr>
        <w:t>万元，占</w:t>
      </w:r>
      <w:r>
        <w:rPr>
          <w:rFonts w:hint="default" w:ascii="Times New Roman" w:hAnsi="Times New Roman" w:eastAsia="仿宋_GB2312" w:cs="Times New Roman"/>
          <w:spacing w:val="0"/>
          <w:position w:val="0"/>
          <w:sz w:val="32"/>
          <w:szCs w:val="32"/>
          <w:lang w:val="en-US" w:eastAsia="zh-CN"/>
        </w:rPr>
        <w:t>10.88</w:t>
      </w:r>
      <w:r>
        <w:rPr>
          <w:rFonts w:hint="default" w:ascii="Times New Roman" w:hAnsi="Times New Roman" w:eastAsia="仿宋_GB2312" w:cs="Times New Roman"/>
          <w:spacing w:val="0"/>
          <w:position w:val="0"/>
          <w:sz w:val="32"/>
          <w:szCs w:val="32"/>
        </w:rPr>
        <w:t>%；医疗卫生与计划生育支出</w:t>
      </w:r>
      <w:r>
        <w:rPr>
          <w:rFonts w:hint="default" w:ascii="Times New Roman" w:hAnsi="Times New Roman" w:eastAsia="仿宋_GB2312" w:cs="Times New Roman"/>
          <w:spacing w:val="0"/>
          <w:position w:val="0"/>
          <w:sz w:val="32"/>
          <w:szCs w:val="32"/>
          <w:lang w:val="en-US" w:eastAsia="zh-CN"/>
        </w:rPr>
        <w:t>29.68</w:t>
      </w:r>
      <w:r>
        <w:rPr>
          <w:rFonts w:hint="default" w:ascii="Times New Roman" w:hAnsi="Times New Roman" w:eastAsia="仿宋_GB2312" w:cs="Times New Roman"/>
          <w:spacing w:val="0"/>
          <w:position w:val="0"/>
          <w:sz w:val="32"/>
          <w:szCs w:val="32"/>
        </w:rPr>
        <w:t>万元，占2</w:t>
      </w:r>
      <w:r>
        <w:rPr>
          <w:rFonts w:hint="default" w:ascii="Times New Roman" w:hAnsi="Times New Roman" w:eastAsia="仿宋_GB2312" w:cs="Times New Roman"/>
          <w:spacing w:val="0"/>
          <w:position w:val="0"/>
          <w:sz w:val="32"/>
          <w:szCs w:val="32"/>
          <w:lang w:val="en-US" w:eastAsia="zh-CN"/>
        </w:rPr>
        <w:t>.58</w:t>
      </w:r>
      <w:r>
        <w:rPr>
          <w:rFonts w:hint="default" w:ascii="Times New Roman" w:hAnsi="Times New Roman" w:eastAsia="仿宋_GB2312" w:cs="Times New Roman"/>
          <w:spacing w:val="0"/>
          <w:position w:val="0"/>
          <w:sz w:val="32"/>
          <w:szCs w:val="32"/>
        </w:rPr>
        <w:t>%；住房保险支出</w:t>
      </w:r>
      <w:r>
        <w:rPr>
          <w:rFonts w:hint="default" w:ascii="Times New Roman" w:hAnsi="Times New Roman" w:eastAsia="仿宋_GB2312" w:cs="Times New Roman"/>
          <w:spacing w:val="0"/>
          <w:position w:val="0"/>
          <w:sz w:val="32"/>
          <w:szCs w:val="32"/>
          <w:lang w:val="en-US" w:eastAsia="zh-CN"/>
        </w:rPr>
        <w:t>63.11</w:t>
      </w:r>
      <w:r>
        <w:rPr>
          <w:rFonts w:hint="default" w:ascii="Times New Roman" w:hAnsi="Times New Roman" w:eastAsia="仿宋_GB2312" w:cs="Times New Roman"/>
          <w:spacing w:val="0"/>
          <w:position w:val="0"/>
          <w:sz w:val="32"/>
          <w:szCs w:val="32"/>
        </w:rPr>
        <w:t>万元，占</w:t>
      </w:r>
      <w:r>
        <w:rPr>
          <w:rFonts w:hint="default" w:ascii="Times New Roman" w:hAnsi="Times New Roman" w:eastAsia="仿宋_GB2312" w:cs="Times New Roman"/>
          <w:spacing w:val="0"/>
          <w:position w:val="0"/>
          <w:sz w:val="32"/>
          <w:szCs w:val="32"/>
          <w:lang w:val="en-US" w:eastAsia="zh-CN"/>
        </w:rPr>
        <w:t>5.</w:t>
      </w:r>
      <w:r>
        <w:rPr>
          <w:rFonts w:hint="default" w:ascii="Times New Roman" w:hAnsi="Times New Roman" w:eastAsia="仿宋_GB2312" w:cs="Times New Roman"/>
          <w:spacing w:val="0"/>
          <w:position w:val="0"/>
          <w:sz w:val="32"/>
          <w:szCs w:val="32"/>
        </w:rPr>
        <w:t>5%</w:t>
      </w:r>
      <w:r>
        <w:rPr>
          <w:rFonts w:hint="eastAsia" w:eastAsia="仿宋_GB2312" w:cs="Times New Roman"/>
          <w:spacing w:val="0"/>
          <w:position w:val="0"/>
          <w:sz w:val="32"/>
          <w:szCs w:val="32"/>
          <w:lang w:eastAsia="zh-CN"/>
        </w:rPr>
        <w:t>。</w:t>
      </w:r>
    </w:p>
    <w:p w14:paraId="4562A4E9">
      <w:pPr>
        <w:keepNext w:val="0"/>
        <w:keepLines w:val="0"/>
        <w:pageBreakBefore w:val="0"/>
        <w:widowControl w:val="0"/>
        <w:numPr>
          <w:ilvl w:val="0"/>
          <w:numId w:val="0"/>
        </w:numPr>
        <w:wordWrap/>
        <w:overflowPunct/>
        <w:topLinePunct w:val="0"/>
        <w:bidi w:val="0"/>
        <w:spacing w:line="576" w:lineRule="exact"/>
        <w:ind w:firstLine="640" w:firstLineChars="200"/>
        <w:outlineLvl w:val="0"/>
        <w:rPr>
          <w:rFonts w:hint="default" w:ascii="Times New Roman" w:hAnsi="Times New Roman" w:eastAsia="黑体" w:cs="Times New Roman"/>
          <w:b w:val="0"/>
          <w:bCs w:val="0"/>
          <w:spacing w:val="0"/>
          <w:position w:val="0"/>
          <w:sz w:val="32"/>
          <w:szCs w:val="32"/>
        </w:rPr>
      </w:pPr>
      <w:r>
        <w:rPr>
          <w:rFonts w:hint="default" w:ascii="Times New Roman" w:hAnsi="Times New Roman" w:eastAsia="黑体" w:cs="Times New Roman"/>
          <w:b w:val="0"/>
          <w:bCs w:val="0"/>
          <w:spacing w:val="0"/>
          <w:position w:val="0"/>
          <w:sz w:val="32"/>
          <w:szCs w:val="32"/>
        </w:rPr>
        <w:t>三、部门整体预算绩效管理情况</w:t>
      </w:r>
    </w:p>
    <w:p w14:paraId="06DCB553">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spacing w:val="0"/>
          <w:position w:val="0"/>
          <w:sz w:val="32"/>
          <w:szCs w:val="32"/>
          <w:lang w:eastAsia="zh-CN"/>
        </w:rPr>
        <w:t>（一）</w:t>
      </w:r>
      <w:r>
        <w:rPr>
          <w:rFonts w:hint="default" w:ascii="Times New Roman" w:hAnsi="Times New Roman" w:eastAsia="楷体_GB2312" w:cs="Times New Roman"/>
          <w:spacing w:val="0"/>
          <w:position w:val="0"/>
          <w:sz w:val="32"/>
          <w:szCs w:val="32"/>
        </w:rPr>
        <w:t>部门预算项目绩效管理</w:t>
      </w:r>
    </w:p>
    <w:p w14:paraId="1100EC8E">
      <w:pPr>
        <w:pStyle w:val="4"/>
        <w:keepNext w:val="0"/>
        <w:keepLines w:val="0"/>
        <w:pageBreakBefore w:val="0"/>
        <w:widowControl w:val="0"/>
        <w:wordWrap/>
        <w:overflowPunct/>
        <w:topLinePunct w:val="0"/>
        <w:bidi w:val="0"/>
        <w:spacing w:beforeLines="0" w:beforeAutospacing="0" w:after="0" w:line="576" w:lineRule="exact"/>
        <w:ind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区政协部门预算项目绩效基本稳步推进，保障了工作的正常运转，在工作中继续发挥政协的政治协商、参政议政、民主监督三大职能，组织和引导委员对全区重要举措以及经济建设、政治建设、文化建设、社会建设、生态文明建设中的重要问题，通过提出 建议的方式进行协商。围绕年初重点工作计划组织政协委员开展视察调研活动，收集社情民意，积极为昭化区经济社会的发展建言献策，不断提高社会对政协工作的满意度。部门预算项目绩效管理有序，资金分配严格按照财政预算及实际工作需要，按照项目的进度情况，合理安排，资金使用严格按照规范程序申请、管理和使用。通过项目的实施，充分保障了各项工作需求，提高干部职工的工作积极性，确保政协会议形成的决议和决定的组织实施，参政议政，视察调研等工作任务的落实，有效推动了全区经济社会发展。</w:t>
      </w:r>
    </w:p>
    <w:p w14:paraId="03153B95">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rPr>
      </w:pPr>
      <w:r>
        <w:rPr>
          <w:rFonts w:hint="default" w:ascii="Times New Roman" w:hAnsi="Times New Roman" w:eastAsia="楷体_GB2312" w:cs="Times New Roman"/>
          <w:spacing w:val="0"/>
          <w:position w:val="0"/>
          <w:sz w:val="32"/>
          <w:szCs w:val="32"/>
          <w:lang w:eastAsia="zh-CN"/>
        </w:rPr>
        <w:t>（二）</w:t>
      </w:r>
      <w:r>
        <w:rPr>
          <w:rFonts w:hint="default" w:ascii="Times New Roman" w:hAnsi="Times New Roman" w:eastAsia="楷体_GB2312" w:cs="Times New Roman"/>
          <w:spacing w:val="0"/>
          <w:position w:val="0"/>
          <w:sz w:val="32"/>
          <w:szCs w:val="32"/>
        </w:rPr>
        <w:t>结果应用公开情况</w:t>
      </w:r>
    </w:p>
    <w:p w14:paraId="6CBC85D8">
      <w:pPr>
        <w:pStyle w:val="4"/>
        <w:keepNext w:val="0"/>
        <w:keepLines w:val="0"/>
        <w:pageBreakBefore w:val="0"/>
        <w:widowControl w:val="0"/>
        <w:wordWrap/>
        <w:overflowPunct/>
        <w:topLinePunct w:val="0"/>
        <w:bidi w:val="0"/>
        <w:spacing w:beforeLines="0" w:beforeAutospacing="0" w:after="0" w:line="576" w:lineRule="exact"/>
        <w:ind w:firstLine="64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年，政协办及时将整体预算绩效和预算项目绩效在政府网站公开，并及时调整预算，保障各项工作稳步推进并取得明显成效，全面完成了区委区政府交办的各项目标任务，工作质量和服务效能整体提升。</w:t>
      </w:r>
    </w:p>
    <w:p w14:paraId="0DCAD091">
      <w:pPr>
        <w:pStyle w:val="4"/>
        <w:keepNext w:val="0"/>
        <w:keepLines w:val="0"/>
        <w:pageBreakBefore w:val="0"/>
        <w:widowControl w:val="0"/>
        <w:wordWrap/>
        <w:overflowPunct/>
        <w:topLinePunct w:val="0"/>
        <w:bidi w:val="0"/>
        <w:spacing w:beforeLines="0" w:beforeAutospacing="0" w:after="0" w:line="576" w:lineRule="exact"/>
        <w:ind w:firstLine="640"/>
        <w:rPr>
          <w:rFonts w:hint="default" w:ascii="Times New Roman" w:hAnsi="Times New Roman" w:eastAsia="楷体_GB2312" w:cs="Times New Roman"/>
          <w:spacing w:val="0"/>
          <w:position w:val="0"/>
          <w:sz w:val="32"/>
          <w:szCs w:val="32"/>
          <w:lang w:eastAsia="zh-CN"/>
        </w:rPr>
      </w:pPr>
      <w:r>
        <w:rPr>
          <w:rFonts w:hint="default" w:ascii="Times New Roman" w:hAnsi="Times New Roman" w:eastAsia="楷体_GB2312" w:cs="Times New Roman"/>
          <w:spacing w:val="0"/>
          <w:position w:val="0"/>
          <w:sz w:val="32"/>
          <w:szCs w:val="32"/>
          <w:lang w:eastAsia="zh-CN"/>
        </w:rPr>
        <w:t>（三）自评质量</w:t>
      </w:r>
    </w:p>
    <w:p w14:paraId="5F7FA390">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年，政协办积极履职，强化管理，不断建立健全内部管理制度，梳理内部管理流程，整体支出管理水平得到提升，各项指标均达到了预期效果。</w:t>
      </w:r>
    </w:p>
    <w:p w14:paraId="65D7D632">
      <w:pPr>
        <w:keepNext w:val="0"/>
        <w:keepLines w:val="0"/>
        <w:pageBreakBefore w:val="0"/>
        <w:widowControl w:val="0"/>
        <w:numPr>
          <w:ilvl w:val="0"/>
          <w:numId w:val="0"/>
        </w:numPr>
        <w:wordWrap/>
        <w:overflowPunct/>
        <w:topLinePunct w:val="0"/>
        <w:bidi w:val="0"/>
        <w:spacing w:line="576" w:lineRule="exact"/>
        <w:ind w:firstLine="640" w:firstLineChars="200"/>
        <w:outlineLvl w:val="0"/>
        <w:rPr>
          <w:rFonts w:hint="default" w:ascii="Times New Roman" w:hAnsi="Times New Roman" w:eastAsia="黑体" w:cs="Times New Roman"/>
          <w:b w:val="0"/>
          <w:bCs w:val="0"/>
          <w:spacing w:val="0"/>
          <w:position w:val="0"/>
          <w:sz w:val="32"/>
          <w:szCs w:val="32"/>
        </w:rPr>
      </w:pPr>
      <w:r>
        <w:rPr>
          <w:rFonts w:hint="default" w:ascii="Times New Roman" w:hAnsi="Times New Roman" w:eastAsia="黑体" w:cs="Times New Roman"/>
          <w:b w:val="0"/>
          <w:bCs w:val="0"/>
          <w:spacing w:val="0"/>
          <w:position w:val="0"/>
          <w:sz w:val="32"/>
          <w:szCs w:val="32"/>
        </w:rPr>
        <w:t>四、评价结论及建议</w:t>
      </w:r>
    </w:p>
    <w:p w14:paraId="2C3D8D47">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lang w:eastAsia="zh-CN"/>
        </w:rPr>
      </w:pPr>
      <w:r>
        <w:rPr>
          <w:rFonts w:hint="default" w:ascii="Times New Roman" w:hAnsi="Times New Roman" w:eastAsia="楷体_GB2312" w:cs="Times New Roman"/>
          <w:spacing w:val="0"/>
          <w:position w:val="0"/>
          <w:sz w:val="32"/>
          <w:szCs w:val="32"/>
          <w:lang w:eastAsia="zh-CN"/>
        </w:rPr>
        <w:t>（一）自评结论</w:t>
      </w:r>
    </w:p>
    <w:p w14:paraId="27EF9B05">
      <w:pPr>
        <w:keepNext w:val="0"/>
        <w:keepLines w:val="0"/>
        <w:pageBreakBefore w:val="0"/>
        <w:widowControl w:val="0"/>
        <w:wordWrap/>
        <w:overflowPunct/>
        <w:topLinePunct w:val="0"/>
        <w:bidi w:val="0"/>
        <w:spacing w:beforeAutospacing="0" w:line="576" w:lineRule="exact"/>
        <w:ind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w:t>
      </w:r>
      <w:r>
        <w:rPr>
          <w:rFonts w:hint="default"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年，政协办积极推进预算绩效管理工作，保障了各项工作的正常运转，保障了干部职工的基本利益，圆满完成了年初制定的目标任务，达到了预期效果，部门整体支出绩效评价为优秀。</w:t>
      </w:r>
    </w:p>
    <w:p w14:paraId="23168D5F">
      <w:pPr>
        <w:keepNext w:val="0"/>
        <w:keepLines w:val="0"/>
        <w:pageBreakBefore w:val="0"/>
        <w:widowControl w:val="0"/>
        <w:wordWrap/>
        <w:overflowPunct/>
        <w:topLinePunct w:val="0"/>
        <w:bidi w:val="0"/>
        <w:spacing w:beforeAutospacing="0" w:line="576" w:lineRule="exact"/>
        <w:ind w:firstLine="640" w:firstLineChars="200"/>
        <w:outlineLvl w:val="0"/>
        <w:rPr>
          <w:rFonts w:hint="default" w:ascii="Times New Roman" w:hAnsi="Times New Roman" w:eastAsia="楷体_GB2312" w:cs="Times New Roman"/>
          <w:spacing w:val="0"/>
          <w:position w:val="0"/>
          <w:sz w:val="32"/>
          <w:szCs w:val="32"/>
          <w:lang w:eastAsia="zh-CN"/>
        </w:rPr>
      </w:pPr>
      <w:r>
        <w:rPr>
          <w:rFonts w:hint="default" w:ascii="Times New Roman" w:hAnsi="Times New Roman" w:eastAsia="楷体_GB2312" w:cs="Times New Roman"/>
          <w:spacing w:val="0"/>
          <w:position w:val="0"/>
          <w:sz w:val="32"/>
          <w:szCs w:val="32"/>
          <w:lang w:eastAsia="zh-CN"/>
        </w:rPr>
        <w:t>（二）存在问题</w:t>
      </w:r>
    </w:p>
    <w:p w14:paraId="5E20D4E0">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ind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绩效管理工作经验不足，绩效管理水平有待进一步提高。</w:t>
      </w:r>
    </w:p>
    <w:p w14:paraId="4371FE1D">
      <w:pPr>
        <w:keepNext w:val="0"/>
        <w:keepLines w:val="0"/>
        <w:pageBreakBefore w:val="0"/>
        <w:widowControl w:val="0"/>
        <w:kinsoku w:val="0"/>
        <w:wordWrap/>
        <w:overflowPunct/>
        <w:topLinePunct w:val="0"/>
        <w:autoSpaceDE w:val="0"/>
        <w:autoSpaceDN w:val="0"/>
        <w:bidi w:val="0"/>
        <w:adjustRightInd w:val="0"/>
        <w:snapToGrid w:val="0"/>
        <w:spacing w:beforeAutospacing="0" w:line="576" w:lineRule="exact"/>
        <w:ind w:firstLine="640" w:firstLineChars="200"/>
        <w:textAlignment w:val="baseline"/>
        <w:outlineLvl w:val="0"/>
        <w:rPr>
          <w:rFonts w:hint="default" w:ascii="Times New Roman" w:hAnsi="Times New Roman" w:eastAsia="楷体_GB2312" w:cs="Times New Roman"/>
          <w:spacing w:val="0"/>
          <w:position w:val="0"/>
          <w:sz w:val="32"/>
          <w:szCs w:val="32"/>
          <w:lang w:eastAsia="zh-CN"/>
        </w:rPr>
      </w:pPr>
      <w:r>
        <w:rPr>
          <w:rFonts w:hint="default" w:ascii="Times New Roman" w:hAnsi="Times New Roman" w:eastAsia="楷体_GB2312" w:cs="Times New Roman"/>
          <w:spacing w:val="0"/>
          <w:position w:val="0"/>
          <w:sz w:val="32"/>
          <w:szCs w:val="32"/>
          <w:lang w:eastAsia="zh-CN"/>
        </w:rPr>
        <w:t>（三）改进建议</w:t>
      </w:r>
    </w:p>
    <w:p w14:paraId="439427E8">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 xml:space="preserve">    加强对绩效评价工作的分类指导，促进部门提高绩效管理的水平。</w:t>
      </w:r>
    </w:p>
    <w:p w14:paraId="62E99111">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textAlignment w:val="baseline"/>
        <w:rPr>
          <w:rFonts w:hint="default" w:ascii="Times New Roman" w:hAnsi="Times New Roman" w:eastAsia="仿宋_GB2312" w:cs="Times New Roman"/>
          <w:spacing w:val="0"/>
          <w:position w:val="0"/>
          <w:sz w:val="32"/>
          <w:szCs w:val="32"/>
        </w:rPr>
      </w:pPr>
    </w:p>
    <w:p w14:paraId="522C74CE">
      <w:pPr>
        <w:widowControl w:val="0"/>
        <w:kinsoku w:val="0"/>
        <w:wordWrap/>
        <w:overflowPunct/>
        <w:topLinePunct w:val="0"/>
        <w:bidi w:val="0"/>
        <w:snapToGrid w:val="0"/>
        <w:spacing w:line="576" w:lineRule="exact"/>
        <w:ind w:firstLine="640" w:firstLineChars="200"/>
        <w:textAlignment w:val="baseline"/>
        <w:rPr>
          <w:rFonts w:hint="eastAsia" w:eastAsia="仿宋_GB2312"/>
          <w:sz w:val="32"/>
          <w:szCs w:val="32"/>
        </w:rPr>
      </w:pPr>
      <w:r>
        <w:rPr>
          <w:rFonts w:hint="eastAsia" w:eastAsia="仿宋_GB2312"/>
          <w:sz w:val="32"/>
          <w:szCs w:val="32"/>
        </w:rPr>
        <w:t>附件：1.广元市昭化区部门整体支出绩效目标自评表</w:t>
      </w:r>
    </w:p>
    <w:p w14:paraId="74DEE50D">
      <w:pPr>
        <w:widowControl w:val="0"/>
        <w:numPr>
          <w:ilvl w:val="0"/>
          <w:numId w:val="0"/>
        </w:numPr>
        <w:kinsoku w:val="0"/>
        <w:wordWrap/>
        <w:overflowPunct/>
        <w:topLinePunct w:val="0"/>
        <w:bidi w:val="0"/>
        <w:snapToGrid w:val="0"/>
        <w:spacing w:line="576" w:lineRule="exact"/>
        <w:ind w:left="1600"/>
        <w:textAlignment w:val="baseline"/>
        <w:rPr>
          <w:rFonts w:hint="eastAsia" w:eastAsia="Times New Roman"/>
          <w:sz w:val="32"/>
          <w:szCs w:val="32"/>
        </w:rPr>
      </w:pPr>
      <w:r>
        <w:rPr>
          <w:rFonts w:hint="eastAsia" w:eastAsia="仿宋_GB2312"/>
          <w:sz w:val="32"/>
          <w:szCs w:val="32"/>
        </w:rPr>
        <w:t>2.政协广元市昭化区委员会办公室2023年部门整体</w:t>
      </w:r>
    </w:p>
    <w:p w14:paraId="2896883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left="192" w:leftChars="80" w:firstLine="1600" w:firstLineChars="500"/>
        <w:textAlignment w:val="baseline"/>
        <w:rPr>
          <w:rFonts w:hint="eastAsia" w:eastAsia="Times New Roman"/>
          <w:sz w:val="32"/>
          <w:szCs w:val="32"/>
        </w:rPr>
      </w:pPr>
      <w:r>
        <w:rPr>
          <w:rFonts w:hint="eastAsia" w:eastAsia="仿宋_GB2312"/>
          <w:sz w:val="32"/>
          <w:szCs w:val="32"/>
        </w:rPr>
        <w:t>预算绩效自评评分表</w:t>
      </w:r>
    </w:p>
    <w:p w14:paraId="3CF54808">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ind w:firstLine="3520" w:firstLineChars="1100"/>
        <w:textAlignment w:val="baseline"/>
        <w:rPr>
          <w:rFonts w:hint="default" w:ascii="Times New Roman" w:hAnsi="Times New Roman" w:eastAsia="仿宋_GB2312" w:cs="Times New Roman"/>
          <w:spacing w:val="0"/>
          <w:position w:val="0"/>
          <w:sz w:val="32"/>
          <w:szCs w:val="32"/>
        </w:rPr>
      </w:pPr>
    </w:p>
    <w:p w14:paraId="135B6AC1">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ind w:firstLine="3520" w:firstLineChars="1100"/>
        <w:textAlignment w:val="baseline"/>
        <w:rPr>
          <w:rFonts w:hint="default" w:ascii="Times New Roman" w:hAnsi="Times New Roman" w:eastAsia="仿宋_GB2312" w:cs="Times New Roman"/>
          <w:spacing w:val="0"/>
          <w:position w:val="0"/>
          <w:sz w:val="32"/>
          <w:szCs w:val="32"/>
        </w:rPr>
      </w:pPr>
    </w:p>
    <w:p w14:paraId="54F71F87">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ind w:firstLine="3520" w:firstLineChars="11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政协广元市昭化区委员会办公室</w:t>
      </w:r>
    </w:p>
    <w:p w14:paraId="56F92D15">
      <w:pPr>
        <w:pStyle w:val="4"/>
        <w:keepNext w:val="0"/>
        <w:keepLines w:val="0"/>
        <w:pageBreakBefore w:val="0"/>
        <w:widowControl w:val="0"/>
        <w:kinsoku w:val="0"/>
        <w:wordWrap/>
        <w:overflowPunct/>
        <w:topLinePunct w:val="0"/>
        <w:autoSpaceDE w:val="0"/>
        <w:autoSpaceDN w:val="0"/>
        <w:bidi w:val="0"/>
        <w:adjustRightInd w:val="0"/>
        <w:snapToGrid w:val="0"/>
        <w:spacing w:beforeLines="0" w:beforeAutospacing="0" w:after="0" w:line="576" w:lineRule="exact"/>
        <w:ind w:firstLine="4800" w:firstLineChars="15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2024年5月27日</w:t>
      </w:r>
    </w:p>
    <w:p w14:paraId="7122F4BD">
      <w:pPr>
        <w:spacing w:line="576" w:lineRule="exact"/>
        <w:jc w:val="center"/>
        <w:rPr>
          <w:rFonts w:hint="eastAsia" w:eastAsia="方正小标宋简体"/>
          <w:sz w:val="44"/>
          <w:szCs w:val="44"/>
        </w:rPr>
      </w:pPr>
    </w:p>
    <w:p w14:paraId="0A8A4EDD">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spacing w:val="0"/>
          <w:position w:val="0"/>
          <w:sz w:val="32"/>
          <w:szCs w:val="32"/>
          <w:lang w:eastAsia="zh-CN"/>
        </w:rPr>
      </w:pPr>
    </w:p>
    <w:p w14:paraId="3A8F45B1">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spacing w:val="0"/>
          <w:position w:val="0"/>
          <w:sz w:val="32"/>
          <w:szCs w:val="32"/>
          <w:lang w:eastAsia="zh-CN"/>
        </w:rPr>
      </w:pPr>
    </w:p>
    <w:p w14:paraId="4767F6D1">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spacing w:val="0"/>
          <w:position w:val="0"/>
          <w:sz w:val="32"/>
          <w:szCs w:val="32"/>
          <w:lang w:eastAsia="zh-CN"/>
        </w:rPr>
      </w:pPr>
    </w:p>
    <w:p w14:paraId="37824670">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eastAsia="zh-CN"/>
        </w:rPr>
        <w:t>附件</w:t>
      </w:r>
      <w:r>
        <w:rPr>
          <w:rFonts w:hint="default" w:ascii="Times New Roman" w:hAnsi="Times New Roman" w:eastAsia="仿宋_GB2312" w:cs="Times New Roman"/>
          <w:spacing w:val="0"/>
          <w:position w:val="0"/>
          <w:sz w:val="32"/>
          <w:szCs w:val="32"/>
          <w:lang w:val="en-US" w:eastAsia="zh-CN"/>
        </w:rPr>
        <w:t>1：</w:t>
      </w:r>
    </w:p>
    <w:p w14:paraId="65A6D96C">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default" w:ascii="Times New Roman" w:hAnsi="Times New Roman" w:eastAsia="仿宋_GB2312" w:cs="Times New Roman"/>
          <w:spacing w:val="0"/>
          <w:position w:val="0"/>
          <w:sz w:val="32"/>
          <w:szCs w:val="32"/>
          <w:lang w:val="en-US" w:eastAsia="zh-CN"/>
        </w:rPr>
      </w:pPr>
    </w:p>
    <w:p w14:paraId="4B7F1629">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default" w:ascii="Times New Roman" w:hAnsi="Times New Roman" w:eastAsia="楷体_GB2312" w:cs="Times New Roman"/>
          <w:spacing w:val="0"/>
          <w:position w:val="0"/>
          <w:sz w:val="32"/>
          <w:szCs w:val="32"/>
          <w:lang w:val="en-US" w:eastAsia="zh-CN"/>
        </w:rPr>
      </w:pPr>
      <w:r>
        <w:rPr>
          <w:rFonts w:hint="default" w:ascii="Times New Roman" w:hAnsi="Times New Roman" w:eastAsia="方正小标宋简体" w:cs="Times New Roman"/>
          <w:spacing w:val="0"/>
          <w:position w:val="0"/>
          <w:sz w:val="44"/>
          <w:szCs w:val="44"/>
          <w:lang w:val="en-US" w:eastAsia="zh-CN"/>
        </w:rPr>
        <w:t>广元市昭化区部门整体支出绩效目标自评表</w:t>
      </w:r>
    </w:p>
    <w:p w14:paraId="00E95B9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eastAsia="楷体_GB2312" w:cs="Times New Roman"/>
          <w:spacing w:val="0"/>
          <w:position w:val="0"/>
          <w:sz w:val="32"/>
          <w:szCs w:val="32"/>
          <w:lang w:val="en-US" w:eastAsia="zh-CN"/>
        </w:rPr>
      </w:pPr>
      <w:r>
        <w:rPr>
          <w:rFonts w:hint="eastAsia" w:eastAsia="楷体_GB2312" w:cs="Times New Roman"/>
          <w:spacing w:val="0"/>
          <w:position w:val="0"/>
          <w:sz w:val="32"/>
          <w:szCs w:val="32"/>
          <w:lang w:val="en-US" w:eastAsia="zh-CN"/>
        </w:rPr>
        <w:t>（2023年）</w:t>
      </w:r>
    </w:p>
    <w:tbl>
      <w:tblPr>
        <w:tblStyle w:val="10"/>
        <w:tblW w:w="10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89"/>
        <w:gridCol w:w="1122"/>
        <w:gridCol w:w="210"/>
        <w:gridCol w:w="1260"/>
        <w:gridCol w:w="666"/>
        <w:gridCol w:w="1181"/>
        <w:gridCol w:w="484"/>
        <w:gridCol w:w="1543"/>
        <w:gridCol w:w="77"/>
        <w:gridCol w:w="1665"/>
      </w:tblGrid>
      <w:tr w14:paraId="04EB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04" w:type="dxa"/>
            <w:vAlign w:val="center"/>
          </w:tcPr>
          <w:p w14:paraId="59EB608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主管部门</w:t>
            </w:r>
          </w:p>
        </w:tc>
        <w:tc>
          <w:tcPr>
            <w:tcW w:w="3881" w:type="dxa"/>
            <w:gridSpan w:val="4"/>
            <w:vAlign w:val="center"/>
          </w:tcPr>
          <w:p w14:paraId="67ACFED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政协广元市昭化区委员会办公室</w:t>
            </w:r>
          </w:p>
        </w:tc>
        <w:tc>
          <w:tcPr>
            <w:tcW w:w="1847" w:type="dxa"/>
            <w:gridSpan w:val="2"/>
            <w:vAlign w:val="center"/>
          </w:tcPr>
          <w:p w14:paraId="01F998F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实施单位</w:t>
            </w:r>
          </w:p>
        </w:tc>
        <w:tc>
          <w:tcPr>
            <w:tcW w:w="3769" w:type="dxa"/>
            <w:gridSpan w:val="4"/>
            <w:vAlign w:val="center"/>
          </w:tcPr>
          <w:p w14:paraId="7A45BAA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政协广元市昭化区委员会办公室</w:t>
            </w:r>
          </w:p>
        </w:tc>
      </w:tr>
      <w:tr w14:paraId="4073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04" w:type="dxa"/>
            <w:vMerge w:val="restart"/>
            <w:vAlign w:val="center"/>
          </w:tcPr>
          <w:p w14:paraId="64B7D6D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项目（政策）资金</w:t>
            </w:r>
          </w:p>
          <w:p w14:paraId="24F08D2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（万元）</w:t>
            </w:r>
          </w:p>
        </w:tc>
        <w:tc>
          <w:tcPr>
            <w:tcW w:w="2411" w:type="dxa"/>
            <w:gridSpan w:val="2"/>
            <w:vAlign w:val="center"/>
          </w:tcPr>
          <w:p w14:paraId="3B270C3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年度预算数（万元）</w:t>
            </w:r>
          </w:p>
        </w:tc>
        <w:tc>
          <w:tcPr>
            <w:tcW w:w="1470" w:type="dxa"/>
            <w:gridSpan w:val="2"/>
            <w:vAlign w:val="center"/>
          </w:tcPr>
          <w:p w14:paraId="028A712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年初预算数</w:t>
            </w:r>
          </w:p>
        </w:tc>
        <w:tc>
          <w:tcPr>
            <w:tcW w:w="1847" w:type="dxa"/>
            <w:gridSpan w:val="2"/>
            <w:vAlign w:val="center"/>
          </w:tcPr>
          <w:p w14:paraId="2C49E51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全年预算数</w:t>
            </w:r>
          </w:p>
        </w:tc>
        <w:tc>
          <w:tcPr>
            <w:tcW w:w="2027" w:type="dxa"/>
            <w:gridSpan w:val="2"/>
            <w:vAlign w:val="center"/>
          </w:tcPr>
          <w:p w14:paraId="09A6B88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全年执行数</w:t>
            </w:r>
          </w:p>
        </w:tc>
        <w:tc>
          <w:tcPr>
            <w:tcW w:w="1742" w:type="dxa"/>
            <w:gridSpan w:val="2"/>
            <w:vAlign w:val="center"/>
          </w:tcPr>
          <w:p w14:paraId="515769A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执行率（%）</w:t>
            </w:r>
          </w:p>
        </w:tc>
      </w:tr>
      <w:tr w14:paraId="0A5B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4" w:type="dxa"/>
            <w:vMerge w:val="continue"/>
            <w:vAlign w:val="center"/>
          </w:tcPr>
          <w:p w14:paraId="4A69A60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2FEFEF14">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年度资金总额</w:t>
            </w:r>
          </w:p>
        </w:tc>
        <w:tc>
          <w:tcPr>
            <w:tcW w:w="1470" w:type="dxa"/>
            <w:gridSpan w:val="2"/>
            <w:vAlign w:val="center"/>
          </w:tcPr>
          <w:p w14:paraId="3396ED25">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847" w:type="dxa"/>
            <w:gridSpan w:val="2"/>
            <w:vAlign w:val="center"/>
          </w:tcPr>
          <w:p w14:paraId="49C7711B">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2027" w:type="dxa"/>
            <w:gridSpan w:val="2"/>
            <w:vAlign w:val="center"/>
          </w:tcPr>
          <w:p w14:paraId="64AF0672">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742" w:type="dxa"/>
            <w:gridSpan w:val="2"/>
            <w:vAlign w:val="center"/>
          </w:tcPr>
          <w:p w14:paraId="47DDE23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100</w:t>
            </w:r>
          </w:p>
        </w:tc>
      </w:tr>
      <w:tr w14:paraId="4F1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4" w:type="dxa"/>
            <w:vMerge w:val="continue"/>
            <w:vAlign w:val="center"/>
          </w:tcPr>
          <w:p w14:paraId="7169292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5C79F470">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（一）财政拨款小计</w:t>
            </w:r>
          </w:p>
        </w:tc>
        <w:tc>
          <w:tcPr>
            <w:tcW w:w="1470" w:type="dxa"/>
            <w:gridSpan w:val="2"/>
            <w:vAlign w:val="center"/>
          </w:tcPr>
          <w:p w14:paraId="0E23EEA0">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847" w:type="dxa"/>
            <w:gridSpan w:val="2"/>
            <w:vAlign w:val="center"/>
          </w:tcPr>
          <w:p w14:paraId="1E9728BF">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2027" w:type="dxa"/>
            <w:gridSpan w:val="2"/>
            <w:vAlign w:val="center"/>
          </w:tcPr>
          <w:p w14:paraId="113D9AE4">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742" w:type="dxa"/>
            <w:gridSpan w:val="2"/>
            <w:vAlign w:val="center"/>
          </w:tcPr>
          <w:p w14:paraId="7850908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100</w:t>
            </w:r>
          </w:p>
        </w:tc>
      </w:tr>
      <w:tr w14:paraId="56F7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4" w:type="dxa"/>
            <w:vMerge w:val="continue"/>
            <w:vAlign w:val="center"/>
          </w:tcPr>
          <w:p w14:paraId="6B39B6E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126F45E8">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1.一般公共预算</w:t>
            </w:r>
          </w:p>
        </w:tc>
        <w:tc>
          <w:tcPr>
            <w:tcW w:w="1470" w:type="dxa"/>
            <w:gridSpan w:val="2"/>
            <w:vAlign w:val="center"/>
          </w:tcPr>
          <w:p w14:paraId="6E052CBD">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847" w:type="dxa"/>
            <w:gridSpan w:val="2"/>
            <w:vAlign w:val="center"/>
          </w:tcPr>
          <w:p w14:paraId="14368E3C">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2027" w:type="dxa"/>
            <w:gridSpan w:val="2"/>
            <w:vAlign w:val="center"/>
          </w:tcPr>
          <w:p w14:paraId="1FE546BE">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w:t>
            </w:r>
            <w:r>
              <w:rPr>
                <w:rFonts w:hint="eastAsia" w:cs="Times New Roman" w:eastAsiaTheme="minorEastAsia"/>
                <w:spacing w:val="0"/>
                <w:position w:val="0"/>
                <w:sz w:val="24"/>
                <w:szCs w:val="24"/>
                <w:vertAlign w:val="baseline"/>
                <w:lang w:val="en-US" w:eastAsia="zh-CN"/>
              </w:rPr>
              <w:t>3</w:t>
            </w:r>
          </w:p>
        </w:tc>
        <w:tc>
          <w:tcPr>
            <w:tcW w:w="1742" w:type="dxa"/>
            <w:gridSpan w:val="2"/>
            <w:vAlign w:val="center"/>
          </w:tcPr>
          <w:p w14:paraId="250A599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100</w:t>
            </w:r>
          </w:p>
        </w:tc>
      </w:tr>
      <w:tr w14:paraId="6DAC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4" w:type="dxa"/>
            <w:vMerge w:val="continue"/>
            <w:vAlign w:val="center"/>
          </w:tcPr>
          <w:p w14:paraId="25F9FA5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0363C8C3">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2.政府性基金</w:t>
            </w:r>
          </w:p>
        </w:tc>
        <w:tc>
          <w:tcPr>
            <w:tcW w:w="1470" w:type="dxa"/>
            <w:gridSpan w:val="2"/>
            <w:vAlign w:val="center"/>
          </w:tcPr>
          <w:p w14:paraId="2A3DE8A9">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847" w:type="dxa"/>
            <w:gridSpan w:val="2"/>
            <w:vAlign w:val="center"/>
          </w:tcPr>
          <w:p w14:paraId="78BC2195">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2027" w:type="dxa"/>
            <w:gridSpan w:val="2"/>
            <w:vAlign w:val="center"/>
          </w:tcPr>
          <w:p w14:paraId="3E9502E2">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742" w:type="dxa"/>
            <w:gridSpan w:val="2"/>
            <w:vAlign w:val="center"/>
          </w:tcPr>
          <w:p w14:paraId="25771F2F">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6756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4" w:type="dxa"/>
            <w:vMerge w:val="continue"/>
            <w:vAlign w:val="center"/>
          </w:tcPr>
          <w:p w14:paraId="235DCC5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554C727B">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3.国有资本经营预算</w:t>
            </w:r>
          </w:p>
        </w:tc>
        <w:tc>
          <w:tcPr>
            <w:tcW w:w="1470" w:type="dxa"/>
            <w:gridSpan w:val="2"/>
            <w:vAlign w:val="center"/>
          </w:tcPr>
          <w:p w14:paraId="359DAF0D">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847" w:type="dxa"/>
            <w:gridSpan w:val="2"/>
            <w:vAlign w:val="center"/>
          </w:tcPr>
          <w:p w14:paraId="2F900B1E">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2027" w:type="dxa"/>
            <w:gridSpan w:val="2"/>
            <w:vAlign w:val="center"/>
          </w:tcPr>
          <w:p w14:paraId="19A52D68">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742" w:type="dxa"/>
            <w:gridSpan w:val="2"/>
            <w:vAlign w:val="center"/>
          </w:tcPr>
          <w:p w14:paraId="0D0315B7">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54D7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04" w:type="dxa"/>
            <w:vMerge w:val="continue"/>
            <w:vAlign w:val="center"/>
          </w:tcPr>
          <w:p w14:paraId="3CC1F56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2411" w:type="dxa"/>
            <w:gridSpan w:val="2"/>
            <w:vAlign w:val="center"/>
          </w:tcPr>
          <w:p w14:paraId="09867D75">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（二）其他资金</w:t>
            </w:r>
          </w:p>
        </w:tc>
        <w:tc>
          <w:tcPr>
            <w:tcW w:w="1470" w:type="dxa"/>
            <w:gridSpan w:val="2"/>
            <w:vAlign w:val="center"/>
          </w:tcPr>
          <w:p w14:paraId="3B06CCD6">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847" w:type="dxa"/>
            <w:gridSpan w:val="2"/>
            <w:vAlign w:val="center"/>
          </w:tcPr>
          <w:p w14:paraId="5E5A100E">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2027" w:type="dxa"/>
            <w:gridSpan w:val="2"/>
            <w:vAlign w:val="center"/>
          </w:tcPr>
          <w:p w14:paraId="37BDD37C">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742" w:type="dxa"/>
            <w:gridSpan w:val="2"/>
            <w:vAlign w:val="center"/>
          </w:tcPr>
          <w:p w14:paraId="2EAD515B">
            <w:pPr>
              <w:keepNext w:val="0"/>
              <w:keepLines w:val="0"/>
              <w:pageBreakBefore w:val="0"/>
              <w:widowControl/>
              <w:kinsoku w:val="0"/>
              <w:wordWrap/>
              <w:overflowPunct/>
              <w:topLinePunct w:val="0"/>
              <w:autoSpaceDE w:val="0"/>
              <w:autoSpaceDN w:val="0"/>
              <w:bidi w:val="0"/>
              <w:adjustRightInd w:val="0"/>
              <w:snapToGrid w:val="0"/>
              <w:spacing w:line="280" w:lineRule="exact"/>
              <w:jc w:val="right"/>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670C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4" w:type="dxa"/>
            <w:vMerge w:val="restart"/>
            <w:vAlign w:val="center"/>
          </w:tcPr>
          <w:p w14:paraId="6D4A8B0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整体目标</w:t>
            </w:r>
          </w:p>
        </w:tc>
        <w:tc>
          <w:tcPr>
            <w:tcW w:w="5728" w:type="dxa"/>
            <w:gridSpan w:val="6"/>
            <w:vAlign w:val="center"/>
          </w:tcPr>
          <w:p w14:paraId="6C0EB96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年度目标</w:t>
            </w:r>
          </w:p>
        </w:tc>
        <w:tc>
          <w:tcPr>
            <w:tcW w:w="3769" w:type="dxa"/>
            <w:gridSpan w:val="4"/>
            <w:vAlign w:val="center"/>
          </w:tcPr>
          <w:p w14:paraId="20E3CE7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完成情况</w:t>
            </w:r>
          </w:p>
        </w:tc>
      </w:tr>
      <w:tr w14:paraId="00A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1DA571E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5728" w:type="dxa"/>
            <w:gridSpan w:val="6"/>
            <w:vAlign w:val="center"/>
          </w:tcPr>
          <w:p w14:paraId="38BB56BC">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保障政协“政治协商、民主监督、参政议政”三大职能顺利实现，政协委员视察、调研工作正常运行，保障区委区政府中心工作顺利落实和政协机关日常工作正常运行</w:t>
            </w:r>
          </w:p>
        </w:tc>
        <w:tc>
          <w:tcPr>
            <w:tcW w:w="3769" w:type="dxa"/>
            <w:gridSpan w:val="4"/>
            <w:vAlign w:val="center"/>
          </w:tcPr>
          <w:p w14:paraId="5E9FC458">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区财政保障有力，年度目标全部落实，圆满完成年度工作计划</w:t>
            </w:r>
          </w:p>
        </w:tc>
      </w:tr>
      <w:tr w14:paraId="4C8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restart"/>
            <w:vAlign w:val="center"/>
          </w:tcPr>
          <w:p w14:paraId="5EC8B25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部门整体绩效指标</w:t>
            </w:r>
          </w:p>
        </w:tc>
        <w:tc>
          <w:tcPr>
            <w:tcW w:w="1289" w:type="dxa"/>
            <w:vAlign w:val="center"/>
          </w:tcPr>
          <w:p w14:paraId="3F964D2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一级指标</w:t>
            </w:r>
          </w:p>
        </w:tc>
        <w:tc>
          <w:tcPr>
            <w:tcW w:w="1332" w:type="dxa"/>
            <w:gridSpan w:val="2"/>
            <w:vAlign w:val="center"/>
          </w:tcPr>
          <w:p w14:paraId="7968FE1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二级指标</w:t>
            </w:r>
          </w:p>
        </w:tc>
        <w:tc>
          <w:tcPr>
            <w:tcW w:w="1926" w:type="dxa"/>
            <w:gridSpan w:val="2"/>
            <w:vAlign w:val="center"/>
          </w:tcPr>
          <w:p w14:paraId="1CEB55E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三级指标</w:t>
            </w:r>
          </w:p>
        </w:tc>
        <w:tc>
          <w:tcPr>
            <w:tcW w:w="1665" w:type="dxa"/>
            <w:gridSpan w:val="2"/>
            <w:vAlign w:val="center"/>
          </w:tcPr>
          <w:p w14:paraId="469EBC7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年度指标值</w:t>
            </w:r>
          </w:p>
        </w:tc>
        <w:tc>
          <w:tcPr>
            <w:tcW w:w="1620" w:type="dxa"/>
            <w:gridSpan w:val="2"/>
            <w:vAlign w:val="center"/>
          </w:tcPr>
          <w:p w14:paraId="5708A8B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实际完成值</w:t>
            </w:r>
          </w:p>
        </w:tc>
        <w:tc>
          <w:tcPr>
            <w:tcW w:w="1665" w:type="dxa"/>
            <w:vAlign w:val="center"/>
          </w:tcPr>
          <w:p w14:paraId="603DB58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偏差原因分析及改进措施</w:t>
            </w:r>
          </w:p>
        </w:tc>
      </w:tr>
      <w:tr w14:paraId="620E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vMerge w:val="continue"/>
            <w:vAlign w:val="center"/>
          </w:tcPr>
          <w:p w14:paraId="1CFF4FF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restart"/>
            <w:vAlign w:val="center"/>
          </w:tcPr>
          <w:p w14:paraId="59A1B85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产出指标</w:t>
            </w:r>
          </w:p>
        </w:tc>
        <w:tc>
          <w:tcPr>
            <w:tcW w:w="1332" w:type="dxa"/>
            <w:gridSpan w:val="2"/>
            <w:vMerge w:val="restart"/>
            <w:vAlign w:val="center"/>
          </w:tcPr>
          <w:p w14:paraId="0095C21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数量指标</w:t>
            </w:r>
          </w:p>
        </w:tc>
        <w:tc>
          <w:tcPr>
            <w:tcW w:w="1926" w:type="dxa"/>
            <w:gridSpan w:val="2"/>
            <w:vAlign w:val="center"/>
          </w:tcPr>
          <w:p w14:paraId="3712D3D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职工人数</w:t>
            </w:r>
          </w:p>
        </w:tc>
        <w:tc>
          <w:tcPr>
            <w:tcW w:w="1665" w:type="dxa"/>
            <w:gridSpan w:val="2"/>
            <w:vAlign w:val="center"/>
          </w:tcPr>
          <w:p w14:paraId="34A1D850">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41人</w:t>
            </w:r>
          </w:p>
        </w:tc>
        <w:tc>
          <w:tcPr>
            <w:tcW w:w="1620" w:type="dxa"/>
            <w:gridSpan w:val="2"/>
            <w:vAlign w:val="center"/>
          </w:tcPr>
          <w:p w14:paraId="2C5FF784">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41人</w:t>
            </w:r>
          </w:p>
        </w:tc>
        <w:tc>
          <w:tcPr>
            <w:tcW w:w="1665" w:type="dxa"/>
            <w:vAlign w:val="center"/>
          </w:tcPr>
          <w:p w14:paraId="29EC806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712B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04" w:type="dxa"/>
            <w:vMerge w:val="continue"/>
            <w:vAlign w:val="center"/>
          </w:tcPr>
          <w:p w14:paraId="15072EF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05902D6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Merge w:val="continue"/>
            <w:vAlign w:val="center"/>
          </w:tcPr>
          <w:p w14:paraId="2AD01EC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926" w:type="dxa"/>
            <w:gridSpan w:val="2"/>
            <w:vAlign w:val="center"/>
          </w:tcPr>
          <w:p w14:paraId="25AF874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乡村振兴联系户</w:t>
            </w:r>
          </w:p>
        </w:tc>
        <w:tc>
          <w:tcPr>
            <w:tcW w:w="1665" w:type="dxa"/>
            <w:gridSpan w:val="2"/>
            <w:vAlign w:val="center"/>
          </w:tcPr>
          <w:p w14:paraId="54AE3CF4">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171户</w:t>
            </w:r>
          </w:p>
        </w:tc>
        <w:tc>
          <w:tcPr>
            <w:tcW w:w="1620" w:type="dxa"/>
            <w:gridSpan w:val="2"/>
            <w:vAlign w:val="center"/>
          </w:tcPr>
          <w:p w14:paraId="195C5839">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171户</w:t>
            </w:r>
          </w:p>
        </w:tc>
        <w:tc>
          <w:tcPr>
            <w:tcW w:w="1665" w:type="dxa"/>
            <w:vAlign w:val="center"/>
          </w:tcPr>
          <w:p w14:paraId="6D6866E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11C8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04" w:type="dxa"/>
            <w:vMerge w:val="continue"/>
            <w:vAlign w:val="center"/>
          </w:tcPr>
          <w:p w14:paraId="76FEAE3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2D59025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Merge w:val="continue"/>
            <w:vAlign w:val="center"/>
          </w:tcPr>
          <w:p w14:paraId="3C38031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926" w:type="dxa"/>
            <w:gridSpan w:val="2"/>
            <w:vAlign w:val="center"/>
          </w:tcPr>
          <w:p w14:paraId="65F7B6C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印刷文史资料</w:t>
            </w:r>
          </w:p>
        </w:tc>
        <w:tc>
          <w:tcPr>
            <w:tcW w:w="1665" w:type="dxa"/>
            <w:gridSpan w:val="2"/>
            <w:vAlign w:val="center"/>
          </w:tcPr>
          <w:p w14:paraId="0FD0B613">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600本</w:t>
            </w:r>
          </w:p>
        </w:tc>
        <w:tc>
          <w:tcPr>
            <w:tcW w:w="1620" w:type="dxa"/>
            <w:gridSpan w:val="2"/>
            <w:vAlign w:val="center"/>
          </w:tcPr>
          <w:p w14:paraId="2745D00F">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600本</w:t>
            </w:r>
          </w:p>
        </w:tc>
        <w:tc>
          <w:tcPr>
            <w:tcW w:w="1665" w:type="dxa"/>
            <w:vAlign w:val="center"/>
          </w:tcPr>
          <w:p w14:paraId="56CF6E1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1A0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6931464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0D3E225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Merge w:val="continue"/>
            <w:vAlign w:val="center"/>
          </w:tcPr>
          <w:p w14:paraId="6E1013D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926" w:type="dxa"/>
            <w:gridSpan w:val="2"/>
            <w:vAlign w:val="center"/>
          </w:tcPr>
          <w:p w14:paraId="62412C2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有事来协商工作活动阵地</w:t>
            </w:r>
          </w:p>
        </w:tc>
        <w:tc>
          <w:tcPr>
            <w:tcW w:w="1665" w:type="dxa"/>
            <w:gridSpan w:val="2"/>
            <w:vAlign w:val="center"/>
          </w:tcPr>
          <w:p w14:paraId="475A1FDC">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13个</w:t>
            </w:r>
          </w:p>
        </w:tc>
        <w:tc>
          <w:tcPr>
            <w:tcW w:w="1620" w:type="dxa"/>
            <w:gridSpan w:val="2"/>
            <w:vAlign w:val="center"/>
          </w:tcPr>
          <w:p w14:paraId="7FB3A5B4">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13个</w:t>
            </w:r>
          </w:p>
        </w:tc>
        <w:tc>
          <w:tcPr>
            <w:tcW w:w="1665" w:type="dxa"/>
            <w:vAlign w:val="center"/>
          </w:tcPr>
          <w:p w14:paraId="1751A07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5087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4" w:type="dxa"/>
            <w:vMerge w:val="continue"/>
            <w:vAlign w:val="center"/>
          </w:tcPr>
          <w:p w14:paraId="5E09483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42656BC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Align w:val="center"/>
          </w:tcPr>
          <w:p w14:paraId="0BF1950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质量指标</w:t>
            </w:r>
          </w:p>
        </w:tc>
        <w:tc>
          <w:tcPr>
            <w:tcW w:w="1926" w:type="dxa"/>
            <w:gridSpan w:val="2"/>
            <w:vAlign w:val="center"/>
          </w:tcPr>
          <w:p w14:paraId="590400E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各项工作完成数</w:t>
            </w:r>
          </w:p>
        </w:tc>
        <w:tc>
          <w:tcPr>
            <w:tcW w:w="1665" w:type="dxa"/>
            <w:gridSpan w:val="2"/>
            <w:vAlign w:val="center"/>
          </w:tcPr>
          <w:p w14:paraId="100B26BA">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100%</w:t>
            </w:r>
          </w:p>
        </w:tc>
        <w:tc>
          <w:tcPr>
            <w:tcW w:w="1620" w:type="dxa"/>
            <w:gridSpan w:val="2"/>
            <w:vAlign w:val="center"/>
          </w:tcPr>
          <w:p w14:paraId="66BCF21D">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100%</w:t>
            </w:r>
          </w:p>
        </w:tc>
        <w:tc>
          <w:tcPr>
            <w:tcW w:w="1665" w:type="dxa"/>
            <w:vAlign w:val="center"/>
          </w:tcPr>
          <w:p w14:paraId="073BEF9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54A7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01250D5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7BBE890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Align w:val="center"/>
          </w:tcPr>
          <w:p w14:paraId="3B1807C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时效指标</w:t>
            </w:r>
          </w:p>
        </w:tc>
        <w:tc>
          <w:tcPr>
            <w:tcW w:w="1926" w:type="dxa"/>
            <w:gridSpan w:val="2"/>
            <w:vAlign w:val="center"/>
          </w:tcPr>
          <w:p w14:paraId="53F17B4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完成各项任务的时间</w:t>
            </w:r>
          </w:p>
        </w:tc>
        <w:tc>
          <w:tcPr>
            <w:tcW w:w="1665" w:type="dxa"/>
            <w:gridSpan w:val="2"/>
            <w:vAlign w:val="center"/>
          </w:tcPr>
          <w:p w14:paraId="26AECAA9">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1年</w:t>
            </w:r>
          </w:p>
        </w:tc>
        <w:tc>
          <w:tcPr>
            <w:tcW w:w="1620" w:type="dxa"/>
            <w:gridSpan w:val="2"/>
            <w:vAlign w:val="center"/>
          </w:tcPr>
          <w:p w14:paraId="2B4149A7">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1年</w:t>
            </w:r>
          </w:p>
        </w:tc>
        <w:tc>
          <w:tcPr>
            <w:tcW w:w="1665" w:type="dxa"/>
            <w:vAlign w:val="center"/>
          </w:tcPr>
          <w:p w14:paraId="7FF9762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2DD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39629BF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Merge w:val="continue"/>
            <w:vAlign w:val="center"/>
          </w:tcPr>
          <w:p w14:paraId="3983076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Align w:val="center"/>
          </w:tcPr>
          <w:p w14:paraId="2625927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成本指标</w:t>
            </w:r>
          </w:p>
        </w:tc>
        <w:tc>
          <w:tcPr>
            <w:tcW w:w="1926" w:type="dxa"/>
            <w:gridSpan w:val="2"/>
            <w:vAlign w:val="center"/>
          </w:tcPr>
          <w:p w14:paraId="52BF71E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人员及日常公用经费等费用</w:t>
            </w:r>
          </w:p>
        </w:tc>
        <w:tc>
          <w:tcPr>
            <w:tcW w:w="1665" w:type="dxa"/>
            <w:gridSpan w:val="2"/>
            <w:vAlign w:val="center"/>
          </w:tcPr>
          <w:p w14:paraId="4B40A1D5">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11478258.31</w:t>
            </w:r>
          </w:p>
        </w:tc>
        <w:tc>
          <w:tcPr>
            <w:tcW w:w="1620" w:type="dxa"/>
            <w:gridSpan w:val="2"/>
            <w:vAlign w:val="center"/>
          </w:tcPr>
          <w:p w14:paraId="106BD176">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11478258.31</w:t>
            </w:r>
          </w:p>
        </w:tc>
        <w:tc>
          <w:tcPr>
            <w:tcW w:w="1665" w:type="dxa"/>
            <w:vAlign w:val="center"/>
          </w:tcPr>
          <w:p w14:paraId="5A3743D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711E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14E18D6D">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Align w:val="center"/>
          </w:tcPr>
          <w:p w14:paraId="1724E2F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p>
        </w:tc>
        <w:tc>
          <w:tcPr>
            <w:tcW w:w="1332" w:type="dxa"/>
            <w:gridSpan w:val="2"/>
            <w:vAlign w:val="center"/>
          </w:tcPr>
          <w:p w14:paraId="16287C8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社会效益指  标</w:t>
            </w:r>
          </w:p>
        </w:tc>
        <w:tc>
          <w:tcPr>
            <w:tcW w:w="1926" w:type="dxa"/>
            <w:gridSpan w:val="2"/>
            <w:vAlign w:val="center"/>
          </w:tcPr>
          <w:p w14:paraId="48ABEBAB">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推动我区社会发展、民生等问题的解决，激发社会合力，彰显民主生机和活力</w:t>
            </w:r>
          </w:p>
        </w:tc>
        <w:tc>
          <w:tcPr>
            <w:tcW w:w="1665" w:type="dxa"/>
            <w:gridSpan w:val="2"/>
            <w:vAlign w:val="center"/>
          </w:tcPr>
          <w:p w14:paraId="7F7A4961">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好</w:t>
            </w:r>
          </w:p>
        </w:tc>
        <w:tc>
          <w:tcPr>
            <w:tcW w:w="1620" w:type="dxa"/>
            <w:gridSpan w:val="2"/>
            <w:vAlign w:val="center"/>
          </w:tcPr>
          <w:p w14:paraId="41717897">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好</w:t>
            </w:r>
          </w:p>
        </w:tc>
        <w:tc>
          <w:tcPr>
            <w:tcW w:w="1665" w:type="dxa"/>
            <w:vAlign w:val="center"/>
          </w:tcPr>
          <w:p w14:paraId="5802D5E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r w14:paraId="1DF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vAlign w:val="center"/>
          </w:tcPr>
          <w:p w14:paraId="11045D8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c>
          <w:tcPr>
            <w:tcW w:w="1289" w:type="dxa"/>
            <w:vAlign w:val="center"/>
          </w:tcPr>
          <w:p w14:paraId="55BEEB0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满意度</w:t>
            </w:r>
          </w:p>
          <w:p w14:paraId="3343E95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指  标</w:t>
            </w:r>
          </w:p>
        </w:tc>
        <w:tc>
          <w:tcPr>
            <w:tcW w:w="1332" w:type="dxa"/>
            <w:gridSpan w:val="2"/>
            <w:vAlign w:val="center"/>
          </w:tcPr>
          <w:p w14:paraId="61D64B7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服务对象满意度</w:t>
            </w:r>
          </w:p>
          <w:p w14:paraId="2EAAAA9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b/>
                <w:bCs/>
                <w:spacing w:val="0"/>
                <w:position w:val="0"/>
                <w:sz w:val="24"/>
                <w:szCs w:val="24"/>
                <w:vertAlign w:val="baseline"/>
                <w:lang w:val="en-US" w:eastAsia="zh-CN"/>
              </w:rPr>
            </w:pPr>
            <w:r>
              <w:rPr>
                <w:rFonts w:hint="default" w:ascii="Times New Roman" w:hAnsi="Times New Roman" w:cs="Times New Roman" w:eastAsiaTheme="minorEastAsia"/>
                <w:b/>
                <w:bCs/>
                <w:spacing w:val="0"/>
                <w:position w:val="0"/>
                <w:sz w:val="24"/>
                <w:szCs w:val="24"/>
                <w:vertAlign w:val="baseline"/>
                <w:lang w:val="en-US" w:eastAsia="zh-CN"/>
              </w:rPr>
              <w:t>指  标</w:t>
            </w:r>
          </w:p>
        </w:tc>
        <w:tc>
          <w:tcPr>
            <w:tcW w:w="1926" w:type="dxa"/>
            <w:gridSpan w:val="2"/>
            <w:vAlign w:val="center"/>
          </w:tcPr>
          <w:p w14:paraId="3055C0E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各界人士满意度</w:t>
            </w:r>
          </w:p>
        </w:tc>
        <w:tc>
          <w:tcPr>
            <w:tcW w:w="1665" w:type="dxa"/>
            <w:gridSpan w:val="2"/>
            <w:vAlign w:val="center"/>
          </w:tcPr>
          <w:p w14:paraId="27B8F639">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95%</w:t>
            </w:r>
          </w:p>
        </w:tc>
        <w:tc>
          <w:tcPr>
            <w:tcW w:w="1620" w:type="dxa"/>
            <w:gridSpan w:val="2"/>
            <w:vAlign w:val="center"/>
          </w:tcPr>
          <w:p w14:paraId="2C192350">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default" w:ascii="Times New Roman" w:hAnsi="Times New Roman" w:cs="Times New Roman" w:eastAsiaTheme="minorEastAsia"/>
                <w:spacing w:val="0"/>
                <w:position w:val="0"/>
                <w:sz w:val="24"/>
                <w:szCs w:val="24"/>
                <w:vertAlign w:val="baseline"/>
                <w:lang w:val="en-US" w:eastAsia="zh-CN"/>
              </w:rPr>
            </w:pPr>
            <w:r>
              <w:rPr>
                <w:rFonts w:hint="default" w:ascii="Times New Roman" w:hAnsi="Times New Roman" w:cs="Times New Roman" w:eastAsiaTheme="minorEastAsia"/>
                <w:spacing w:val="0"/>
                <w:position w:val="0"/>
                <w:sz w:val="24"/>
                <w:szCs w:val="24"/>
                <w:vertAlign w:val="baseline"/>
                <w:lang w:val="en-US" w:eastAsia="zh-CN"/>
              </w:rPr>
              <w:t>95%</w:t>
            </w:r>
          </w:p>
        </w:tc>
        <w:tc>
          <w:tcPr>
            <w:tcW w:w="1665" w:type="dxa"/>
            <w:vAlign w:val="center"/>
          </w:tcPr>
          <w:p w14:paraId="609E61D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cs="Times New Roman" w:eastAsiaTheme="minorEastAsia"/>
                <w:spacing w:val="0"/>
                <w:position w:val="0"/>
                <w:sz w:val="24"/>
                <w:szCs w:val="24"/>
                <w:vertAlign w:val="baseline"/>
                <w:lang w:val="en-US" w:eastAsia="zh-CN"/>
              </w:rPr>
            </w:pPr>
          </w:p>
        </w:tc>
      </w:tr>
    </w:tbl>
    <w:p w14:paraId="7FE58D58">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eastAsia="楷体_GB2312" w:cs="Times New Roman"/>
          <w:spacing w:val="0"/>
          <w:position w:val="0"/>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14:paraId="1C04D5ED">
      <w:pPr>
        <w:kinsoku w:val="0"/>
        <w:snapToGrid w:val="0"/>
        <w:spacing w:line="576" w:lineRule="exact"/>
        <w:textAlignment w:val="baseline"/>
        <w:rPr>
          <w:rFonts w:hint="eastAsia" w:eastAsia="Times New Roman"/>
          <w:sz w:val="32"/>
          <w:szCs w:val="32"/>
        </w:rPr>
      </w:pPr>
      <w:r>
        <w:rPr>
          <w:rFonts w:hint="eastAsia" w:eastAsia="仿宋_GB2312"/>
          <w:sz w:val="32"/>
          <w:szCs w:val="32"/>
        </w:rPr>
        <w:t>附件</w:t>
      </w:r>
      <w:r>
        <w:rPr>
          <w:rFonts w:hint="eastAsia" w:eastAsia="Times New Roman"/>
          <w:sz w:val="32"/>
          <w:szCs w:val="32"/>
        </w:rPr>
        <w:t>2</w:t>
      </w:r>
      <w:r>
        <w:rPr>
          <w:rFonts w:hint="eastAsia" w:eastAsia="仿宋_GB2312"/>
          <w:sz w:val="32"/>
          <w:szCs w:val="32"/>
        </w:rPr>
        <w:t>：</w:t>
      </w:r>
    </w:p>
    <w:p w14:paraId="009452B7">
      <w:pPr>
        <w:kinsoku w:val="0"/>
        <w:snapToGrid w:val="0"/>
        <w:spacing w:line="576" w:lineRule="exact"/>
        <w:jc w:val="center"/>
        <w:textAlignment w:val="baseline"/>
        <w:rPr>
          <w:rFonts w:hint="eastAsia" w:eastAsia="Times New Roman"/>
          <w:sz w:val="44"/>
          <w:szCs w:val="44"/>
        </w:rPr>
      </w:pPr>
    </w:p>
    <w:p w14:paraId="16A7D34D">
      <w:pPr>
        <w:kinsoku w:val="0"/>
        <w:snapToGrid w:val="0"/>
        <w:spacing w:line="576" w:lineRule="exact"/>
        <w:jc w:val="center"/>
        <w:textAlignment w:val="baseline"/>
        <w:rPr>
          <w:rFonts w:hint="eastAsia" w:eastAsia="Times New Roman"/>
          <w:sz w:val="44"/>
          <w:szCs w:val="44"/>
        </w:rPr>
      </w:pPr>
      <w:r>
        <w:rPr>
          <w:rFonts w:hint="eastAsia" w:eastAsia="方正小标宋简体"/>
          <w:sz w:val="44"/>
          <w:szCs w:val="44"/>
        </w:rPr>
        <w:t>政协广元市昭化区委员会办公室</w:t>
      </w:r>
    </w:p>
    <w:p w14:paraId="2705B83F">
      <w:pPr>
        <w:kinsoku w:val="0"/>
        <w:snapToGrid w:val="0"/>
        <w:spacing w:line="576" w:lineRule="exact"/>
        <w:jc w:val="center"/>
        <w:textAlignment w:val="baseline"/>
        <w:rPr>
          <w:rFonts w:hint="eastAsia" w:eastAsia="Times New Roman"/>
          <w:sz w:val="44"/>
          <w:szCs w:val="44"/>
        </w:rPr>
      </w:pPr>
      <w:r>
        <w:rPr>
          <w:rFonts w:hint="eastAsia" w:eastAsia="Times New Roman"/>
          <w:sz w:val="44"/>
          <w:szCs w:val="44"/>
        </w:rPr>
        <w:t>2023</w:t>
      </w:r>
      <w:r>
        <w:rPr>
          <w:rFonts w:hint="eastAsia" w:eastAsia="方正小标宋简体"/>
          <w:sz w:val="44"/>
          <w:szCs w:val="44"/>
        </w:rPr>
        <w:t>年部门整体预算绩效自评评分表</w:t>
      </w:r>
    </w:p>
    <w:p w14:paraId="15C1D822">
      <w:pPr>
        <w:spacing w:line="576" w:lineRule="exact"/>
        <w:rPr>
          <w:rFonts w:hint="eastAsia" w:eastAsia="Times New Roman"/>
          <w:sz w:val="32"/>
          <w:szCs w:val="32"/>
        </w:rPr>
      </w:pPr>
    </w:p>
    <w:tbl>
      <w:tblPr>
        <w:tblStyle w:val="9"/>
        <w:tblW w:w="14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58"/>
        <w:gridCol w:w="1276"/>
        <w:gridCol w:w="853"/>
        <w:gridCol w:w="3776"/>
        <w:gridCol w:w="5378"/>
        <w:gridCol w:w="826"/>
      </w:tblGrid>
      <w:tr w14:paraId="3C7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74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8FA237">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绩效指标</w:t>
            </w:r>
          </w:p>
        </w:tc>
        <w:tc>
          <w:tcPr>
            <w:tcW w:w="8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70CBD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指标分值</w:t>
            </w:r>
          </w:p>
        </w:tc>
        <w:tc>
          <w:tcPr>
            <w:tcW w:w="37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BBB23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指标解释</w:t>
            </w:r>
          </w:p>
        </w:tc>
        <w:tc>
          <w:tcPr>
            <w:tcW w:w="537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A3E1D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评价要点及说明</w:t>
            </w:r>
          </w:p>
        </w:tc>
        <w:tc>
          <w:tcPr>
            <w:tcW w:w="8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7CCBC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自评得分</w:t>
            </w:r>
          </w:p>
        </w:tc>
      </w:tr>
      <w:tr w14:paraId="05D2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0FFAF">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一级指标</w:t>
            </w:r>
          </w:p>
        </w:tc>
        <w:tc>
          <w:tcPr>
            <w:tcW w:w="1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A85C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二级指标</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EDF87">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r>
              <w:rPr>
                <w:rFonts w:hint="eastAsia" w:ascii="宋体" w:hAnsi="宋体" w:cs="宋体"/>
                <w:b/>
                <w:sz w:val="24"/>
                <w:szCs w:val="24"/>
              </w:rPr>
              <w:t>三级指标</w:t>
            </w:r>
          </w:p>
        </w:tc>
        <w:tc>
          <w:tcPr>
            <w:tcW w:w="8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FAC4F">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p>
        </w:tc>
        <w:tc>
          <w:tcPr>
            <w:tcW w:w="37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B5D659">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b/>
                <w:sz w:val="24"/>
                <w:szCs w:val="24"/>
              </w:rPr>
            </w:pPr>
          </w:p>
        </w:tc>
        <w:tc>
          <w:tcPr>
            <w:tcW w:w="53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57A76F">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b/>
                <w:sz w:val="24"/>
                <w:szCs w:val="24"/>
              </w:rPr>
            </w:pPr>
          </w:p>
        </w:tc>
        <w:tc>
          <w:tcPr>
            <w:tcW w:w="8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860A0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b/>
                <w:sz w:val="24"/>
                <w:szCs w:val="24"/>
              </w:rPr>
            </w:pPr>
          </w:p>
        </w:tc>
      </w:tr>
      <w:tr w14:paraId="2E6B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FAE0A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部门预算总体绩效</w:t>
            </w:r>
          </w:p>
          <w:p w14:paraId="30152A4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（50分）</w:t>
            </w:r>
          </w:p>
        </w:tc>
        <w:tc>
          <w:tcPr>
            <w:tcW w:w="12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175366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目标管理</w:t>
            </w:r>
          </w:p>
          <w:p w14:paraId="7800B9B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（22分）</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C4A3E2">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目标制定</w:t>
            </w:r>
          </w:p>
          <w:p w14:paraId="44E56DD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（12分）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11D4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7</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11573">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部门年初绩效目标和年度执行中增加预算绩效目标编制质量。</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4D151">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1.根据区财政组织开展对部门整体和部门预算项目绩效目标编制在科学合理、规范完整、细化量化(成本指标设置情况)、与预算安排相匹配等方面情况的会审结果换算得分或根据评价组评审得分。4分；2.年度执行中增加的项目预算，根据预算一体化系统导出的绩效目标申报表编制质量确定，分值3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40E9F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7</w:t>
            </w:r>
          </w:p>
        </w:tc>
      </w:tr>
      <w:tr w14:paraId="61F2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93276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425D5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1084D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552D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2</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87C3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预算编制阶段人大反馈绩效目标质量审查情况。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2D81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每反馈一个问题扣0.5分，扣完为止。</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8F34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2</w:t>
            </w:r>
          </w:p>
        </w:tc>
      </w:tr>
      <w:tr w14:paraId="51E7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C4FF0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97EC9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317E0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9B1E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3</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FF588">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绩效目标制定是否纳入本部门（单位）集体决策范围。</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0D5D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绩效目标制定纳入本部门（单位）党组（委）会（办公会）集体决策范围，并有相关佐证材料的得3分，否则不得分。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2260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3</w:t>
            </w:r>
          </w:p>
        </w:tc>
      </w:tr>
      <w:tr w14:paraId="48CD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A1A5A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90F89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00E5D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目标实现</w:t>
            </w:r>
          </w:p>
          <w:p w14:paraId="1DB464B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（10分）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6C0F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5</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0328B">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部门整体绩效目标中数量指标、成本指标的完成情况。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C3795">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对照部门年初整体支出绩效目标编制和完成情况，计算指标得分=绩效目标数量指标、成本指标完成的指标个数/全部数量指标、成本指标指标个数×5。</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DD217">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5</w:t>
            </w:r>
          </w:p>
        </w:tc>
      </w:tr>
      <w:tr w14:paraId="1AD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7ED55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EC337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6DED32">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F8700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5</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EF8A5">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部门整体绩效目标实现程度与预期目标的偏离情况。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E448A">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年初整体支出绩效目标实际完成值偏离预期指标30%以上（含30%）的，均不计分。该项指标得分=已完成预期指标值的数量指标、成本指标中偏离度在30%内的指标个数/已完成预期指标值的数量指标、成本指标个数×5。</w:t>
            </w:r>
          </w:p>
          <w:p w14:paraId="1E197C69">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偏离度=（绩效指标实际完成值-设定预期指标值）/设定预期指标值。</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6633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5</w:t>
            </w:r>
          </w:p>
        </w:tc>
      </w:tr>
      <w:tr w14:paraId="1159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81D51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A894C8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过程管控</w:t>
            </w:r>
          </w:p>
          <w:p w14:paraId="5930765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（20分）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8B69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支出控制</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26DF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4</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FFEBB">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部门公用经费及非定额公用支出控制情况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2D1A9">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计算部门日常公用经费、项目支出中“办公费、印刷费、差旅费、水费、电费、物业管理费”等科目年初预算数与实际支出数（决算数）偏差程度。</w:t>
            </w:r>
          </w:p>
          <w:p w14:paraId="034A6CBB">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预决算偏差程度在10%以内的，得4分。偏差度在10%-20%之间的，得2分，偏差度超过20%的，不得分。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D5FD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4</w:t>
            </w:r>
          </w:p>
        </w:tc>
      </w:tr>
      <w:tr w14:paraId="13C3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C20EF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8F5F2F">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1E1C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执行进度</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C102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6</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3A53A">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部门在6、9、11月及年终的预算执行情况。反映预算执行的及时性和均衡性程度（以当年财政国库支付进度比例要求考核）；</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25E90">
            <w:pPr>
              <w:keepNext w:val="0"/>
              <w:keepLines w:val="0"/>
              <w:pageBreakBefore w:val="0"/>
              <w:widowControl w:val="0"/>
              <w:tabs>
                <w:tab w:val="left" w:pos="1422"/>
              </w:tabs>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sz w:val="24"/>
                <w:szCs w:val="24"/>
              </w:rPr>
            </w:pPr>
            <w:r>
              <w:rPr>
                <w:rFonts w:hint="eastAsia" w:ascii="宋体" w:hAnsi="宋体" w:cs="宋体"/>
                <w:sz w:val="24"/>
                <w:szCs w:val="24"/>
              </w:rPr>
              <w:t>1.部门预算项目预算执行进度在6、9、11月应达到序时进度的80%、90%、90%，即实际支出进度分别达到40%、67.5%、82.5%。                                                     6、9、11月部门预算执行进度达到目标进度的分别得1.5分、1.5分、2分，未达到目标进度的按其实际进度占目标进度的比重计算得分；截止自评日预算执行进度达到100%的，得6分，未达100%的，按照实际进度量化计算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0747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sz w:val="24"/>
                <w:szCs w:val="24"/>
              </w:rPr>
            </w:pPr>
            <w:r>
              <w:rPr>
                <w:rFonts w:hint="eastAsia" w:ascii="宋体" w:hAnsi="宋体" w:cs="宋体"/>
                <w:sz w:val="24"/>
                <w:szCs w:val="24"/>
              </w:rPr>
              <w:t>6</w:t>
            </w:r>
          </w:p>
        </w:tc>
      </w:tr>
      <w:tr w14:paraId="39D5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B060A2">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4A112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EF54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同步调整</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FDD46">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5</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630019">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部门预算执行中，预算调整和绩效目标调整同步实现情况。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04352">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对照年度预算执行过程中部门预算项目绩效目标管理情况，在调整预算时未同步调整绩效目标的，每有一个项目扣1分，扣完为止。</w:t>
            </w:r>
          </w:p>
          <w:p w14:paraId="1A1CDEAA">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（重点核实范围：部门机关及至少2个下属单位的所有纳入绩效目标管理的部门预算项目）</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47FA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5</w:t>
            </w:r>
          </w:p>
        </w:tc>
      </w:tr>
      <w:tr w14:paraId="632C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51B886">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6B408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A91F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及时处置</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E9DB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5</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BC791">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部门绩效运行监控处置情况。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8315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根据财政局组织开展对绩效运行监控及时提出预算收回、调整处置意见并加以落实等方面情况的会审结果换算得分或根据自行监控发现问题进行整改的计算。</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DA08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5</w:t>
            </w:r>
          </w:p>
        </w:tc>
      </w:tr>
      <w:tr w14:paraId="102A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E07FA7">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23218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完成结果（8分）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635EE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预算结余率（低效无效率）</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95A2">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8</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200750">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部门预算项目年终预算结余情况。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ED33">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指标得分=部门预算项目预算结余率小于10%的项目数/部门预算项目总数×8。</w:t>
            </w:r>
          </w:p>
          <w:p w14:paraId="554F85D6">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（重点核实范围为部门机关及至少2个下属单位的所有纳入绩效目标管理的部门预算项目）。结余率=（实际使用资金-预算资金）/预算资金*100%</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D442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8</w:t>
            </w:r>
          </w:p>
        </w:tc>
      </w:tr>
      <w:tr w14:paraId="3B2F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B2C6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部门预算项目绩效</w:t>
            </w:r>
          </w:p>
          <w:p w14:paraId="18B6F35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（30分）</w:t>
            </w:r>
          </w:p>
        </w:tc>
        <w:tc>
          <w:tcPr>
            <w:tcW w:w="12541"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FDE4A4F">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财政重点绩效评价组和各预算单位结合部门管理的特定目标类部门预算项目数量，分段选取部分特定目标类部门预算项目实施评价并打分，将形成的项目评价分数的平均分（百分制）按25%的比例换算得分。2.2023年对区本级50万元及以上的预算项目开展自行评估并将评估资料提交区财政的，得5分。应开展未开展的每发现一个扣2分，直至此项扣完。若应开展1个，且未开展的，此项不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1189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30</w:t>
            </w:r>
          </w:p>
        </w:tc>
      </w:tr>
      <w:tr w14:paraId="5E41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7143F6">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绩效结果应用</w:t>
            </w:r>
          </w:p>
          <w:p w14:paraId="37817F8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（14分）</w:t>
            </w:r>
          </w:p>
        </w:tc>
        <w:tc>
          <w:tcPr>
            <w:tcW w:w="1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4037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内部应用</w:t>
            </w:r>
          </w:p>
          <w:p w14:paraId="1950BDC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（4分）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5B3C7">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预算绩效制度建设</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2254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4</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C06EC">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预算绩效管理制度和内部预算绩效工作考核挂钩制度</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B8011">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1.建立健全本部门（单位）预算绩效管理制度，有正式文件依据且内容齐全，符合我区政府出台绩效制度和实际要求的，得2分。有文件依据，但内容不全或相关内容过时的，扣1分，无正式文件据，仅提供world版本且内容不全的，不得分。2.建立对内设机构和下属单位纳入内部预算绩效工作考核机制，有正式文件依据且实行绩效考核挂钩的，得2分。无正式文件依据但实行内部预算绩效工作考核挂钩的，得1分，有正式文件依据但未实行内部考核的，得1分；既无正式文件依据且未实行内部考核挂钩的，不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109E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4</w:t>
            </w:r>
          </w:p>
        </w:tc>
      </w:tr>
      <w:tr w14:paraId="30A6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2EE6B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E9FD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信息公开（3分）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F3D74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自评公开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2DEF8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0DCA5">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部门是否按要求将部门整体绩效自评情况和自行组织的评价情况向社会公开。</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FC64F">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按绩效自评公开要求将预算绩效目标、中央转移支付自评等相关绩效信息随同预、决算和上级要求公开的时间进行公开的，得3分，否则不得分。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9580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r>
      <w:tr w14:paraId="1B5E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EA4DFD">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AE9BD65">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整改反馈</w:t>
            </w:r>
          </w:p>
          <w:p w14:paraId="11009E39">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（7分）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E9FE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问题整改</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E4FE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4</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9D2B6">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部门根据绩效管理结果整改问题、完善政策、改进管理的情况。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26949">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针对绩效管理过程中（包括绩效目标核查、绩效监控核查、重点自评抽查复核、重点绩效评价等）提出的问题进行全面整改，得4分，否则视整改落实情况扣分。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190B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4</w:t>
            </w:r>
          </w:p>
        </w:tc>
      </w:tr>
      <w:tr w14:paraId="56B8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67D05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0C510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0F97A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应用反馈</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663A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A83FA">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部门按要求及时向财政部门反馈问题整改及结果应用情况。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B022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部门在规定时间内向财政部门反馈问题整改及绩效结果应用报告，报告内容翔实、问题整改到位、结果应用充分的，得3分，否则视反馈报告质量酌情扣分。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1CBA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r>
      <w:tr w14:paraId="5F9B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4D5C">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自评质量</w:t>
            </w:r>
          </w:p>
          <w:p w14:paraId="32DF83C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（6号）</w:t>
            </w:r>
          </w:p>
        </w:tc>
        <w:tc>
          <w:tcPr>
            <w:tcW w:w="1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EBA6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自评质量</w:t>
            </w:r>
          </w:p>
          <w:p w14:paraId="173AFEB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（6分）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06662">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自评质量</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FB3E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6</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6C5CE">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部门整体支出自评准确率。</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43901">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部门整体支出自评得分与评价组抽查得分差异在10%以内的，不扣分；在10%-15%之间的，扣2分，在10%-20%之间的，扣4分，在20%以上的，扣6分。（此为财政重点绩效评价计分标准，部门参照该标准对部门及下属单位抽查计分）。</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304AB">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6</w:t>
            </w:r>
          </w:p>
        </w:tc>
      </w:tr>
      <w:tr w14:paraId="306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4"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8BD71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扣分项</w:t>
            </w:r>
          </w:p>
          <w:p w14:paraId="67098AF0">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（5分）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D9A71">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71514">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根据审计监督、财会监督和决算审查结果反</w:t>
            </w:r>
            <w:r>
              <w:rPr>
                <w:rFonts w:hint="eastAsia" w:ascii="宋体" w:hAnsi="宋体" w:cs="宋体"/>
                <w:color w:val="000000"/>
                <w:sz w:val="24"/>
                <w:szCs w:val="24"/>
                <w:lang w:val="en-US" w:eastAsia="zh-CN"/>
              </w:rPr>
              <w:t>映</w:t>
            </w:r>
            <w:bookmarkStart w:id="18" w:name="_GoBack"/>
            <w:bookmarkEnd w:id="18"/>
            <w:r>
              <w:rPr>
                <w:rFonts w:hint="eastAsia" w:ascii="宋体" w:hAnsi="宋体" w:cs="宋体"/>
                <w:color w:val="000000"/>
                <w:sz w:val="24"/>
                <w:szCs w:val="24"/>
              </w:rPr>
              <w:t>部门上一年度部门预算管理是否符合相关财政财务管理规定。</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257DF">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依据评价年度审计监督、财会监督和决算审查结果，反映部门预算管理是否符合相关财政财务管理制度规定以及有关专项资金管理办法的规定；资金的拨付是否有完整的审批程序和手续；重大项目开支是否经过评估论证；是否符合部门预算批复的用途；年度内被各层级发现预算资金方面重大违规违纪问题或被区财政发送“两书一函”（约谈通知书、整改通知书和提醒敦促函）；是否存在未落实党政机关过紧日子相关要求等情况。每有一个问题点扣0.5分，扣完为止。</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DB30E">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r>
      <w:tr w14:paraId="672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4"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7BFEEA">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5DA08">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2</w:t>
            </w:r>
          </w:p>
        </w:tc>
        <w:tc>
          <w:tcPr>
            <w:tcW w:w="3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052A1">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被评价单位配合评价工作情况。</w:t>
            </w:r>
          </w:p>
        </w:tc>
        <w:tc>
          <w:tcPr>
            <w:tcW w:w="53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51443">
            <w:pPr>
              <w:keepNext w:val="0"/>
              <w:keepLines w:val="0"/>
              <w:pageBreakBefore w:val="0"/>
              <w:widowControl w:val="0"/>
              <w:kinsoku w:val="0"/>
              <w:wordWrap/>
              <w:overflowPunct/>
              <w:topLinePunct w:val="0"/>
              <w:autoSpaceDE w:val="0"/>
              <w:autoSpaceDN w:val="0"/>
              <w:bidi w:val="0"/>
              <w:adjustRightInd w:val="0"/>
              <w:snapToGrid w:val="0"/>
              <w:spacing w:line="280" w:lineRule="exact"/>
              <w:jc w:val="both"/>
              <w:textAlignment w:val="baseline"/>
              <w:rPr>
                <w:rFonts w:hint="eastAsia" w:ascii="宋体" w:hAnsi="宋体" w:cs="宋体"/>
                <w:color w:val="000000"/>
                <w:sz w:val="24"/>
                <w:szCs w:val="24"/>
              </w:rPr>
            </w:pPr>
            <w:r>
              <w:rPr>
                <w:rFonts w:hint="eastAsia" w:ascii="宋体" w:hAnsi="宋体" w:cs="宋体"/>
                <w:color w:val="000000"/>
                <w:sz w:val="24"/>
                <w:szCs w:val="24"/>
              </w:rPr>
              <w:t>财政重点绩效评价工作开展过程中，评价组发现被评价对象拖延推诿、提交资料不及时等拒不配合评价工作的，经报财政局复核确认后按0.5分/次予以扣分，扣完为止。</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12476">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p>
        </w:tc>
      </w:tr>
      <w:tr w14:paraId="6435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5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BF92ED4">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合计</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603B3">
            <w:pPr>
              <w:keepNext w:val="0"/>
              <w:keepLines w:val="0"/>
              <w:pageBreakBefore w:val="0"/>
              <w:widowControl w:val="0"/>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100</w:t>
            </w:r>
          </w:p>
        </w:tc>
      </w:tr>
    </w:tbl>
    <w:p w14:paraId="533D35DD">
      <w:pPr>
        <w:tabs>
          <w:tab w:val="left" w:pos="5073"/>
        </w:tabs>
        <w:bidi w:val="0"/>
        <w:jc w:val="center"/>
        <w:rPr>
          <w:rFonts w:hint="eastAsia"/>
          <w:color w:val="000000" w:themeColor="text1"/>
          <w:lang w:val="en-US" w:eastAsia="zh-CN"/>
          <w14:textFill>
            <w14:solidFill>
              <w14:schemeClr w14:val="tx1"/>
            </w14:solidFill>
          </w14:textFill>
        </w:rPr>
        <w:sectPr>
          <w:pgSz w:w="16838" w:h="11906" w:orient="landscape"/>
          <w:pgMar w:top="1587" w:right="2098" w:bottom="1474" w:left="1984" w:header="851" w:footer="992" w:gutter="0"/>
          <w:pgNumType w:fmt="numberInDash"/>
          <w:cols w:space="0" w:num="1"/>
          <w:rtlGutter w:val="0"/>
          <w:docGrid w:type="lines" w:linePitch="327" w:charSpace="0"/>
        </w:sectPr>
      </w:pPr>
    </w:p>
    <w:p w14:paraId="0E67A5CB">
      <w:pPr>
        <w:keepNext/>
        <w:keepLines/>
        <w:pageBreakBefore/>
        <w:widowControl w:val="0"/>
        <w:kinsoku/>
        <w:wordWrap/>
        <w:overflowPunct/>
        <w:topLinePunct w:val="0"/>
        <w:autoSpaceDE w:val="0"/>
        <w:autoSpaceDN w:val="0"/>
        <w:bidi w:val="0"/>
        <w:adjustRightInd w:val="0"/>
        <w:snapToGrid/>
        <w:spacing w:line="576" w:lineRule="exact"/>
        <w:jc w:val="center"/>
        <w:textAlignment w:val="auto"/>
        <w:rPr>
          <w:rFonts w:hint="eastAsia" w:ascii="方正小标宋简体" w:hAnsi="方正小标宋简体" w:eastAsia="方正小标宋简体" w:cs="方正小标宋简体"/>
          <w:b w:val="0"/>
          <w:bCs w:val="0"/>
          <w:kern w:val="44"/>
          <w:sz w:val="44"/>
          <w:szCs w:val="24"/>
        </w:rPr>
      </w:pPr>
      <w:r>
        <w:rPr>
          <w:rFonts w:hint="eastAsia" w:ascii="方正小标宋简体" w:hAnsi="方正小标宋简体" w:eastAsia="方正小标宋简体" w:cs="方正小标宋简体"/>
          <w:b w:val="0"/>
          <w:bCs w:val="0"/>
          <w:color w:val="000000"/>
          <w:kern w:val="2"/>
          <w:sz w:val="44"/>
          <w:szCs w:val="24"/>
        </w:rPr>
        <w:t>第</w:t>
      </w:r>
      <w:r>
        <w:rPr>
          <w:rFonts w:hint="eastAsia" w:ascii="方正小标宋简体" w:hAnsi="方正小标宋简体" w:eastAsia="方正小标宋简体" w:cs="方正小标宋简体"/>
          <w:b w:val="0"/>
          <w:bCs w:val="0"/>
          <w:kern w:val="44"/>
          <w:sz w:val="44"/>
          <w:szCs w:val="24"/>
        </w:rPr>
        <w:t>五部分  附</w:t>
      </w:r>
      <w:r>
        <w:rPr>
          <w:rFonts w:hint="eastAsia" w:ascii="方正小标宋简体" w:hAnsi="方正小标宋简体" w:eastAsia="方正小标宋简体" w:cs="方正小标宋简体"/>
          <w:b w:val="0"/>
          <w:bCs w:val="0"/>
          <w:kern w:val="44"/>
          <w:sz w:val="44"/>
          <w:szCs w:val="24"/>
          <w:lang w:val="en-US" w:eastAsia="zh-CN"/>
        </w:rPr>
        <w:t xml:space="preserve">  </w:t>
      </w:r>
      <w:r>
        <w:rPr>
          <w:rFonts w:hint="eastAsia" w:ascii="方正小标宋简体" w:hAnsi="方正小标宋简体" w:eastAsia="方正小标宋简体" w:cs="方正小标宋简体"/>
          <w:b w:val="0"/>
          <w:bCs w:val="0"/>
          <w:kern w:val="44"/>
          <w:sz w:val="44"/>
          <w:szCs w:val="24"/>
        </w:rPr>
        <w:t>表</w:t>
      </w:r>
    </w:p>
    <w:p w14:paraId="474A6A60">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rPr>
      </w:pPr>
    </w:p>
    <w:p w14:paraId="7265942C">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0E28D05F">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794F458D">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3F6FA519">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3802CD46">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04F137B9">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19F1D36A">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3D749A01">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4D6EA2D3">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75261624">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711958CB">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777F3D4E">
      <w:pPr>
        <w:pStyle w:val="3"/>
        <w:keepNext/>
        <w:keepLines/>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25FA40D7">
      <w:pPr>
        <w:keepNext w:val="0"/>
        <w:keepLines w:val="0"/>
        <w:pageBreakBefore w:val="0"/>
        <w:widowControl w:val="0"/>
        <w:tabs>
          <w:tab w:val="left" w:pos="5073"/>
        </w:tabs>
        <w:kinsoku/>
        <w:wordWrap/>
        <w:overflowPunct/>
        <w:topLinePunct w:val="0"/>
        <w:autoSpaceDE w:val="0"/>
        <w:autoSpaceDN w:val="0"/>
        <w:bidi w:val="0"/>
        <w:adjustRightInd w:val="0"/>
        <w:snapToGrid/>
        <w:spacing w:line="576" w:lineRule="exact"/>
        <w:ind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kern w:val="2"/>
          <w:sz w:val="32"/>
          <w:szCs w:val="24"/>
        </w:rPr>
        <w:t>十三、财政拨款“三公”经费支出决算表</w:t>
      </w:r>
    </w:p>
    <w:sectPr>
      <w:pgSz w:w="11905" w:h="16838"/>
      <w:pgMar w:top="2098" w:right="1474" w:bottom="1984" w:left="1587" w:header="850" w:footer="992" w:gutter="0"/>
      <w:lnNumType w:countBy="0" w:distance="36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027C6-7868-4C5B-8A10-A9E39DAE24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F5500EC6-46A4-41E0-B6E3-54E4820CE517}"/>
  </w:font>
  <w:font w:name="仿宋">
    <w:panose1 w:val="02010609060101010101"/>
    <w:charset w:val="86"/>
    <w:family w:val="auto"/>
    <w:pitch w:val="default"/>
    <w:sig w:usb0="800002BF" w:usb1="38CF7CFA" w:usb2="00000016" w:usb3="00000000" w:csb0="00040001" w:csb1="00000000"/>
    <w:embedRegular r:id="rId3" w:fontKey="{C27CA83B-6EE3-4220-B5DC-D3557B860016}"/>
  </w:font>
  <w:font w:name="方正小标宋简体">
    <w:panose1 w:val="02000000000000000000"/>
    <w:charset w:val="86"/>
    <w:family w:val="auto"/>
    <w:pitch w:val="default"/>
    <w:sig w:usb0="00000001" w:usb1="08000000" w:usb2="00000000" w:usb3="00000000" w:csb0="00040000" w:csb1="00000000"/>
    <w:embedRegular r:id="rId4" w:fontKey="{8EC2A3F6-1B6B-4918-8124-E51E93F7FD7F}"/>
  </w:font>
  <w:font w:name="楷体_GB2312">
    <w:panose1 w:val="02010609030101010101"/>
    <w:charset w:val="86"/>
    <w:family w:val="modern"/>
    <w:pitch w:val="default"/>
    <w:sig w:usb0="00000001" w:usb1="080E0000" w:usb2="00000000" w:usb3="00000000" w:csb0="00040000" w:csb1="00000000"/>
    <w:embedRegular r:id="rId5" w:fontKey="{A2F39BA7-73D4-4A21-800D-07CF9120F879}"/>
  </w:font>
  <w:font w:name="Cambria">
    <w:panose1 w:val="02040503050406030204"/>
    <w:charset w:val="00"/>
    <w:family w:val="roman"/>
    <w:pitch w:val="default"/>
    <w:sig w:usb0="E00006FF" w:usb1="420024FF" w:usb2="02000000" w:usb3="00000000" w:csb0="2000019F" w:csb1="00000000"/>
    <w:embedRegular r:id="rId6" w:fontKey="{818C1C99-6B8F-44CD-AA50-5B81E69F60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0B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49D27">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B49D27">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2E029"/>
    <w:multiLevelType w:val="singleLevel"/>
    <w:tmpl w:val="2F22E0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24A259D2"/>
    <w:rsid w:val="028A2CD6"/>
    <w:rsid w:val="05DC1FC5"/>
    <w:rsid w:val="083E514E"/>
    <w:rsid w:val="09160730"/>
    <w:rsid w:val="0D190642"/>
    <w:rsid w:val="10E034F7"/>
    <w:rsid w:val="120174CA"/>
    <w:rsid w:val="120A5DA9"/>
    <w:rsid w:val="12E85DAA"/>
    <w:rsid w:val="13F56CD2"/>
    <w:rsid w:val="14AF0BBA"/>
    <w:rsid w:val="15C81BD9"/>
    <w:rsid w:val="1F3233B1"/>
    <w:rsid w:val="24A259D2"/>
    <w:rsid w:val="258B653F"/>
    <w:rsid w:val="2A376D63"/>
    <w:rsid w:val="2F140A78"/>
    <w:rsid w:val="327171DF"/>
    <w:rsid w:val="3C225ECA"/>
    <w:rsid w:val="3CFF0806"/>
    <w:rsid w:val="3D5B6CD0"/>
    <w:rsid w:val="501B018E"/>
    <w:rsid w:val="51D618ED"/>
    <w:rsid w:val="5700493E"/>
    <w:rsid w:val="595C281E"/>
    <w:rsid w:val="5B9C2140"/>
    <w:rsid w:val="5E4915C3"/>
    <w:rsid w:val="60A022CA"/>
    <w:rsid w:val="62F00BE4"/>
    <w:rsid w:val="67135312"/>
    <w:rsid w:val="6DED3BBF"/>
    <w:rsid w:val="71977EF0"/>
    <w:rsid w:val="72F24FF2"/>
    <w:rsid w:val="72FC49FE"/>
    <w:rsid w:val="752836C2"/>
    <w:rsid w:val="7D0D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unhideWhenUsed/>
    <w:qFormat/>
    <w:uiPriority w:val="99"/>
    <w:pPr>
      <w:outlineLvl w:val="0"/>
    </w:pPr>
    <w:rPr>
      <w:rFonts w:hint="eastAsia"/>
      <w:sz w:val="24"/>
      <w:szCs w:val="24"/>
    </w:rPr>
  </w:style>
  <w:style w:type="paragraph" w:styleId="3">
    <w:name w:val="heading 2"/>
    <w:basedOn w:val="1"/>
    <w:next w:val="1"/>
    <w:unhideWhenUsed/>
    <w:qFormat/>
    <w:uiPriority w:val="99"/>
    <w:pPr>
      <w:outlineLvl w:val="1"/>
    </w:pPr>
    <w:rPr>
      <w:rFonts w:hint="eastAsia"/>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beforeLines="30"/>
    </w:pPr>
    <w:rPr>
      <w:rFonts w:hint="eastAsia" w:ascii="仿宋_GB2312" w:eastAsia="仿宋_GB2312"/>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unhideWhenUsed/>
    <w:qFormat/>
    <w:uiPriority w:val="0"/>
    <w:pPr>
      <w:ind w:leftChars="200" w:hanging="200" w:hangingChars="200"/>
    </w:pPr>
    <w:rPr>
      <w:rFonts w:hint="eastAsia"/>
      <w:sz w:val="24"/>
      <w:szCs w:val="24"/>
    </w:rPr>
  </w:style>
  <w:style w:type="paragraph" w:styleId="8">
    <w:name w:val="toc 2"/>
    <w:basedOn w:val="1"/>
    <w:next w:val="1"/>
    <w:unhideWhenUsed/>
    <w:qFormat/>
    <w:uiPriority w:val="39"/>
    <w:pPr>
      <w:tabs>
        <w:tab w:val="right" w:leader="dot" w:pos="8296"/>
      </w:tabs>
      <w:ind w:left="420" w:leftChars="200"/>
    </w:pPr>
    <w:rPr>
      <w:rFonts w:hint="eastAsia"/>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unhideWhenUsed/>
    <w:qFormat/>
    <w:uiPriority w:val="99"/>
    <w:rPr>
      <w:rFonts w:hint="default"/>
      <w:b/>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a:solidFill>
                  <a:schemeClr val="tx1"/>
                </a:solidFill>
              </a:rPr>
              <a:t>收入决算结构图</a:t>
            </a:r>
            <a:endParaRPr>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a:solidFill>
              <a:schemeClr val="accent1"/>
            </a:solidFill>
          </c:spPr>
          <c:explosion val="0"/>
          <c:dPt>
            <c:idx val="0"/>
            <c:bubble3D val="0"/>
            <c:spPr>
              <a:solidFill>
                <a:schemeClr val="accent1"/>
              </a:solidFill>
              <a:ln>
                <a:noFill/>
              </a:ln>
              <a:effectLst>
                <a:outerShdw blurRad="40000" dist="23000" dir="5400000" rotWithShape="0">
                  <a:srgbClr val="000000">
                    <a:alpha val="35000"/>
                  </a:srgbClr>
                </a:outerShdw>
              </a:effectLst>
            </c:spPr>
          </c:dPt>
          <c:dLbls>
            <c:dLbl>
              <c:idx val="0"/>
              <c:layout>
                <c:manualLayout>
                  <c:x val="0.0176244211628545"/>
                  <c:y val="-0.3677874999991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solidFill>
                          <a:schemeClr val="tx1"/>
                        </a:solidFill>
                        <a:latin typeface="+mn-lt"/>
                        <a:ea typeface="+mn-ea"/>
                        <a:cs typeface="+mn-cs"/>
                      </a:rPr>
                      <a:t>1147.83</a:t>
                    </a:r>
                    <a:r>
                      <a:rPr altLang="en-US">
                        <a:solidFill>
                          <a:schemeClr val="tx1"/>
                        </a:solidFill>
                        <a:latin typeface="+mn-lt"/>
                        <a:ea typeface="+mn-ea"/>
                        <a:cs typeface="+mn-cs"/>
                      </a:rPr>
                      <a:t>万元（占比</a:t>
                    </a:r>
                    <a:r>
                      <a:rPr lang="en-US" altLang="zh-CN">
                        <a:solidFill>
                          <a:schemeClr val="tx1"/>
                        </a:solidFill>
                        <a:latin typeface="+mn-lt"/>
                        <a:ea typeface="+mn-ea"/>
                        <a:cs typeface="+mn-cs"/>
                      </a:rPr>
                      <a:t>100%</a:t>
                    </a:r>
                    <a:r>
                      <a:rPr altLang="en-US">
                        <a:solidFill>
                          <a:schemeClr val="tx1"/>
                        </a:solidFill>
                        <a:latin typeface="+mn-lt"/>
                        <a:ea typeface="+mn-ea"/>
                        <a:cs typeface="+mn-cs"/>
                      </a:rPr>
                      <a:t>）</a:t>
                    </a:r>
                    <a:endParaRPr altLang="en-US">
                      <a:solidFill>
                        <a:schemeClr val="tx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33275"/>
                      <c:h val="0.3115"/>
                    </c:manualLayout>
                  </c15:layout>
                </c:ext>
              </c:extLst>
            </c:dLbl>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baseline="0">
                <a:solidFill>
                  <a:schemeClr val="tx1"/>
                </a:solidFill>
                <a:latin typeface="+mn-lt"/>
                <a:ea typeface="+mn-ea"/>
                <a:cs typeface="+mn-cs"/>
              </a:defRPr>
            </a:pPr>
            <a:r>
              <a:rPr sz="1920">
                <a:solidFill>
                  <a:schemeClr val="tx1"/>
                </a:solidFill>
              </a:rPr>
              <a:t>支出决算情况说明</a:t>
            </a:r>
            <a:endParaRPr sz="1920">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70551636079102"/>
                  <c:y val="-0.1723946068024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sz="900">
                        <a:solidFill>
                          <a:schemeClr val="tx1"/>
                        </a:solidFill>
                      </a:rPr>
                      <a:t>968.67</a:t>
                    </a:r>
                    <a:r>
                      <a:rPr altLang="en-US" sz="900">
                        <a:solidFill>
                          <a:schemeClr val="tx1"/>
                        </a:solidFill>
                      </a:rPr>
                      <a:t>万元</a:t>
                    </a:r>
                    <a:endParaRPr altLang="en-US" sz="900">
                      <a:solidFill>
                        <a:schemeClr val="tx1"/>
                      </a:solidFill>
                    </a:endParaRPr>
                  </a:p>
                  <a:p>
                    <a:pPr defTabSz="914400">
                      <a:defRPr lang="zh-CN" sz="900" b="0" i="0" u="none" strike="noStrike" kern="1200" baseline="0">
                        <a:solidFill>
                          <a:schemeClr val="tx1"/>
                        </a:solidFill>
                        <a:latin typeface="+mn-lt"/>
                        <a:ea typeface="+mn-ea"/>
                        <a:cs typeface="+mn-cs"/>
                      </a:defRPr>
                    </a:pPr>
                    <a:r>
                      <a:rPr altLang="en-US" sz="900">
                        <a:solidFill>
                          <a:schemeClr val="tx1"/>
                        </a:solidFill>
                      </a:rPr>
                      <a:t>（占</a:t>
                    </a:r>
                    <a:r>
                      <a:rPr lang="en-US" altLang="zh-CN" sz="900">
                        <a:solidFill>
                          <a:schemeClr val="tx1"/>
                        </a:solidFill>
                      </a:rPr>
                      <a:t>84.39%</a:t>
                    </a:r>
                    <a:r>
                      <a:rPr altLang="en-US" sz="900">
                        <a:solidFill>
                          <a:schemeClr val="tx1"/>
                        </a:solidFill>
                      </a:rPr>
                      <a:t>）</a:t>
                    </a:r>
                    <a:endParaRPr altLang="en-US" sz="900">
                      <a:solidFill>
                        <a:schemeClr val="tx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43907116192199"/>
                  <c:y val="0.1407329047150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sz="900">
                        <a:solidFill>
                          <a:schemeClr val="tx1"/>
                        </a:solidFill>
                      </a:rPr>
                      <a:t>179.16</a:t>
                    </a:r>
                    <a:r>
                      <a:rPr altLang="en-US" sz="900">
                        <a:solidFill>
                          <a:schemeClr val="tx1"/>
                        </a:solidFill>
                      </a:rPr>
                      <a:t>万元</a:t>
                    </a:r>
                    <a:endParaRPr altLang="en-US" sz="900">
                      <a:solidFill>
                        <a:schemeClr val="tx1"/>
                      </a:solidFill>
                    </a:endParaRPr>
                  </a:p>
                  <a:p>
                    <a:pPr defTabSz="914400">
                      <a:defRPr lang="zh-CN" sz="900" b="0" i="0" u="none" strike="noStrike" kern="1200" baseline="0">
                        <a:solidFill>
                          <a:schemeClr val="tx1"/>
                        </a:solidFill>
                        <a:latin typeface="+mn-lt"/>
                        <a:ea typeface="+mn-ea"/>
                        <a:cs typeface="+mn-cs"/>
                      </a:defRPr>
                    </a:pPr>
                    <a:r>
                      <a:rPr altLang="en-US" sz="900">
                        <a:solidFill>
                          <a:schemeClr val="tx1"/>
                        </a:solidFill>
                      </a:rPr>
                      <a:t>（占</a:t>
                    </a:r>
                    <a:r>
                      <a:rPr lang="en-US" altLang="zh-CN" sz="900">
                        <a:solidFill>
                          <a:schemeClr val="tx1"/>
                        </a:solidFill>
                      </a:rPr>
                      <a:t>15.61%</a:t>
                    </a:r>
                    <a:r>
                      <a:rPr altLang="en-US" sz="900">
                        <a:solidFill>
                          <a:schemeClr val="tx1"/>
                        </a:solidFill>
                      </a:rPr>
                      <a:t>）</a:t>
                    </a:r>
                    <a:endParaRPr altLang="en-US" sz="900">
                      <a:solidFill>
                        <a:schemeClr val="tx1"/>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Sheet1!$B$2:$B$4</c15:sqref>
                  </c15:fullRef>
                </c:ext>
              </c:extLst>
              <c:f>Sheet1!$B$2:$B$3</c:f>
              <c:numCache>
                <c:formatCode>General</c:formatCode>
                <c:ptCount val="2"/>
                <c:pt idx="0">
                  <c:v>968.66</c:v>
                </c:pt>
                <c:pt idx="1">
                  <c:v>179.16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075"/>
          <c:y val="0.0887510078506263"/>
          <c:w val="0.891675"/>
          <c:h val="0.6469"/>
        </c:manualLayout>
      </c:layout>
      <c:barChart>
        <c:barDir val="col"/>
        <c:grouping val="stacked"/>
        <c:varyColors val="0"/>
        <c:ser>
          <c:idx val="0"/>
          <c:order val="0"/>
          <c:tx>
            <c:strRef>
              <c:f>Sheet1!$B$1</c:f>
              <c:strCache>
                <c:ptCount val="1"/>
                <c:pt idx="0">
                  <c:v>收、支决算总计变动情况图</c:v>
                </c:pt>
              </c:strCache>
            </c:strRef>
          </c:tx>
          <c:spPr>
            <a:solidFill>
              <a:schemeClr val="accent1"/>
            </a:solidFill>
            <a:ln>
              <a:solidFill>
                <a:schemeClr val="bg1"/>
              </a:solidFill>
            </a:ln>
            <a:effectLst/>
          </c:spPr>
          <c:invertIfNegative val="0"/>
          <c:dLbls>
            <c:dLbl>
              <c:idx val="0"/>
              <c:layout>
                <c:manualLayout>
                  <c:x val="0.00025"/>
                  <c:y val="-0.3142429450456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1114.16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625"/>
                  <c:y val="-0.3227402928071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1147.8</a:t>
                    </a:r>
                    <a:r>
                      <a:rPr lang="en-US" altLang="zh-CN"/>
                      <a:t>3</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1114.16</c:v>
                </c:pt>
                <c:pt idx="1">
                  <c:v>1147.82</c:v>
                </c:pt>
              </c:numCache>
            </c:numRef>
          </c:val>
        </c:ser>
        <c:dLbls>
          <c:showLegendKey val="0"/>
          <c:showVal val="0"/>
          <c:showCatName val="0"/>
          <c:showSerName val="0"/>
          <c:showPercent val="0"/>
          <c:showBubbleSize val="0"/>
        </c:dLbls>
        <c:gapWidth val="246"/>
        <c:overlap val="100"/>
        <c:axId val="369374510"/>
        <c:axId val="226841436"/>
      </c:barChart>
      <c:catAx>
        <c:axId val="369374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41436"/>
        <c:crosses val="autoZero"/>
        <c:auto val="1"/>
        <c:lblAlgn val="ctr"/>
        <c:lblOffset val="100"/>
        <c:noMultiLvlLbl val="0"/>
      </c:catAx>
      <c:valAx>
        <c:axId val="226841436"/>
        <c:scaling>
          <c:orientation val="minMax"/>
          <c:min val="5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3745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baseline="0">
                <a:solidFill>
                  <a:schemeClr val="tx1"/>
                </a:solidFill>
                <a:latin typeface="+mn-lt"/>
                <a:ea typeface="+mn-ea"/>
                <a:cs typeface="+mn-cs"/>
              </a:defRPr>
            </a:pPr>
            <a:r>
              <a:rPr sz="1920">
                <a:solidFill>
                  <a:schemeClr val="tx1"/>
                </a:solidFill>
              </a:rPr>
              <a:t>一般公共预算财政拨款支出决算结构</a:t>
            </a:r>
            <a:endParaRPr sz="1920">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784303663499299"/>
                  <c:y val="-0.24333503959946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930.15</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81.04%</a:t>
                    </a:r>
                    <a:r>
                      <a:rPr altLang="en-US"/>
                      <a:t>）</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147499395989369"/>
                      <c:h val="0.12558436039099"/>
                    </c:manualLayout>
                  </c15:layout>
                </c:ext>
              </c:extLst>
            </c:dLbl>
            <c:dLbl>
              <c:idx val="1"/>
              <c:layout>
                <c:manualLayout>
                  <c:x val="0.0816240890174151"/>
                  <c:y val="0.12258471746573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124.88</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10.88%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66584555191566"/>
                  <c:y val="0.05340216409904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29.68</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2.59%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18627687847306"/>
                      <c:h val="0.128984275393115"/>
                    </c:manualLayout>
                  </c15:layout>
                </c:ext>
              </c:extLst>
            </c:dLbl>
            <c:dLbl>
              <c:idx val="3"/>
              <c:layout>
                <c:manualLayout>
                  <c:x val="0.161062589741485"/>
                  <c:y val="0.06298940116263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63.11</a:t>
                    </a:r>
                    <a:r>
                      <a:rPr altLang="en-US"/>
                      <a:t>万元</a:t>
                    </a:r>
                    <a:endParaRPr altLang="en-US"/>
                  </a:p>
                  <a:p>
                    <a:pPr defTabSz="914400">
                      <a:defRPr lang="zh-CN" sz="900" b="0" i="0" u="none" strike="noStrike" kern="1200" baseline="0">
                        <a:solidFill>
                          <a:schemeClr val="tx1"/>
                        </a:solidFill>
                        <a:latin typeface="+mn-lt"/>
                        <a:ea typeface="+mn-ea"/>
                        <a:cs typeface="+mn-cs"/>
                      </a:defRPr>
                    </a:pPr>
                    <a:r>
                      <a:rPr altLang="en-US"/>
                      <a:t>占</a:t>
                    </a:r>
                    <a:r>
                      <a:rPr lang="en-US" altLang="zh-CN"/>
                      <a:t>5.49%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41035074809909"/>
                      <c:h val="0.12592995826528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930.15</c:v>
                </c:pt>
                <c:pt idx="1">
                  <c:v>124.77</c:v>
                </c:pt>
                <c:pt idx="2">
                  <c:v>29.68</c:v>
                </c:pt>
                <c:pt idx="3">
                  <c:v>63.11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948538294274"/>
          <c:y val="0.0201869953251169"/>
        </c:manualLayout>
      </c:layout>
      <c:overlay val="0"/>
      <c:spPr>
        <a:noFill/>
        <a:ln>
          <a:noFill/>
        </a:ln>
        <a:effectLst/>
      </c:spPr>
      <c:txPr>
        <a:bodyPr rot="0" spcFirstLastPara="0" vertOverflow="ellipsis" vert="horz" wrap="square" anchor="ctr" anchorCtr="1"/>
        <a:lstStyle/>
        <a:p>
          <a:pPr>
            <a:defRPr lang="zh-CN" sz="192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0446943375347195"/>
                  <c:y val="-0.2408765405860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10.6</a:t>
                    </a:r>
                    <a:r>
                      <a:rPr altLang="en-US"/>
                      <a:t>万元，占</a:t>
                    </a:r>
                    <a:r>
                      <a:t>100%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10.6</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11641</Words>
  <Characters>12441</Characters>
  <Lines>0</Lines>
  <Paragraphs>0</Paragraphs>
  <TotalTime>0</TotalTime>
  <ScaleCrop>false</ScaleCrop>
  <LinksUpToDate>false</LinksUpToDate>
  <CharactersWithSpaces>12569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2024-09-23T01:08:00Z</dcterms:created>
  <dc:creator>苟茂清g</dc:creator>
  <cp:lastModifiedBy>昭化融媒体</cp:lastModifiedBy>
  <cp:lastPrinted>2024-09-26T03:17:00Z</cp:lastPrinted>
  <dcterms:modified xsi:type="dcterms:W3CDTF">2024-09-26T07:57:55Z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36ED244D5BB1448E8BBF3A55526696A5_11</vt:lpwstr>
  </property>
</Properties>
</file>