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B0E94A">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Times New Roman" w:hAnsi="Times New Roman"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Times New Roman" w:hAnsi="Times New Roman"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广元市昭化区人民医院</w:t>
      </w:r>
    </w:p>
    <w:p w14:paraId="74F7517C">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Times New Roman" w:hAnsi="Times New Roman"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Times New Roman" w:hAnsi="Times New Roman"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2025年部门预算编制说明</w:t>
      </w:r>
    </w:p>
    <w:p w14:paraId="3444A9AC">
      <w:pPr>
        <w:jc w:val="center"/>
        <w:rPr>
          <w:rFonts w:hint="eastAsia" w:ascii="Times New Roman" w:hAnsi="Times New Roman" w:eastAsia="黑体" w:cs="黑体"/>
          <w:b/>
          <w:bCs/>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目   录</w:t>
      </w:r>
    </w:p>
    <w:p w14:paraId="0938A4DF">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一、基本职能及主要工作..................................................................3</w:t>
      </w:r>
    </w:p>
    <w:p w14:paraId="1AA373BD">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（一）广元市昭化区人民医院职能简介..........................................3</w:t>
      </w:r>
    </w:p>
    <w:p w14:paraId="5CCB2343">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（二）广元市昭化区人民医院2025年重点工作........................</w:t>
      </w:r>
      <w:bookmarkStart w:id="0" w:name="_GoBack"/>
      <w:bookmarkEnd w:id="0"/>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.....3</w:t>
      </w:r>
    </w:p>
    <w:p w14:paraId="7D330963">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二、部门预算单位构成......................................................................4</w:t>
      </w:r>
    </w:p>
    <w:p w14:paraId="6DD70ACF">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三、收支预算情况说明......................................................................4</w:t>
      </w:r>
    </w:p>
    <w:p w14:paraId="1D2ADEA6">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（一）收入预算情况..........................................................................5</w:t>
      </w:r>
    </w:p>
    <w:p w14:paraId="7392F7D2">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（二）支出预算情况..........................................................................5</w:t>
      </w:r>
    </w:p>
    <w:p w14:paraId="36ABEA61">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四、财政拨款收支预算情况说明......................................................5</w:t>
      </w:r>
    </w:p>
    <w:p w14:paraId="1628C69C">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五、一般公共预算当年拨款情况说明..............................................5</w:t>
      </w:r>
    </w:p>
    <w:p w14:paraId="534ACCB3">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（一）一般公共预算当年拨款规模变化情况..................................5</w:t>
      </w:r>
    </w:p>
    <w:p w14:paraId="40930552">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（二）一般公共预算当年拨款结构情况..........................................5</w:t>
      </w:r>
    </w:p>
    <w:p w14:paraId="507B1BC8">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（三）一般公共预算当年拨款具体使用情况..................................6</w:t>
      </w:r>
    </w:p>
    <w:p w14:paraId="085EE6B6">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六、一般公共预算基本支出情况说明..............................................7</w:t>
      </w:r>
    </w:p>
    <w:p w14:paraId="67B5BBB4">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七、“三公”经费财政拨款预算安排情况说明..................................7</w:t>
      </w:r>
    </w:p>
    <w:p w14:paraId="1A690DA3">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八、政府性基金预算支出情况说明..................................................8</w:t>
      </w:r>
    </w:p>
    <w:p w14:paraId="559BC4C0">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九、国有资本经营预算支出情况说明..............................................8</w:t>
      </w:r>
    </w:p>
    <w:p w14:paraId="52E8BA85">
      <w:pPr>
        <w:jc w:val="both"/>
        <w:rPr>
          <w:rFonts w:hint="default"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十、其他重要事项的情况说明..........................................................8</w:t>
      </w:r>
    </w:p>
    <w:p w14:paraId="5D578151">
      <w:pPr>
        <w:jc w:val="both"/>
        <w:rPr>
          <w:rFonts w:hint="eastAsia" w:ascii="Times New Roman" w:hAnsi="Times New Roman" w:eastAsia="仿宋_GB2312" w:cs="仿宋_GB2312"/>
          <w:i w:val="0"/>
          <w:caps w:val="0"/>
          <w:color w:val="000000" w:themeColor="text1"/>
          <w:spacing w:val="0"/>
          <w:sz w:val="32"/>
          <w:szCs w:val="32"/>
          <w:highlight w:val="none"/>
          <w14:textFill>
            <w14:solidFill>
              <w14:schemeClr w14:val="tx1"/>
            </w14:solidFill>
          </w14:textFill>
        </w:rPr>
      </w:pPr>
      <w:r>
        <w:rPr>
          <w:rFonts w:hint="eastAsia" w:ascii="Times New Roman" w:hAnsi="Times New Roman"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十一、名词解释..................................................................................9</w:t>
      </w:r>
    </w:p>
    <w:p w14:paraId="30CB02FB">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0"/>
        <w:jc w:val="both"/>
        <w:rPr>
          <w:rFonts w:hint="default" w:ascii="Times New Roman" w:hAnsi="Times New Roman" w:eastAsia="宋体" w:cs="宋体"/>
          <w:b/>
          <w:i w:val="0"/>
          <w:caps w:val="0"/>
          <w:color w:val="000000" w:themeColor="text1"/>
          <w:spacing w:val="0"/>
          <w:sz w:val="28"/>
          <w:szCs w:val="28"/>
          <w:highlight w:val="none"/>
          <w:shd w:val="clear" w:color="auto" w:fill="FFFFFF"/>
          <w:lang w:val="en-US" w:eastAsia="zh-CN"/>
          <w14:textFill>
            <w14:solidFill>
              <w14:schemeClr w14:val="tx1"/>
            </w14:solidFill>
          </w14:textFill>
        </w:rPr>
      </w:pPr>
      <w:r>
        <w:rPr>
          <w:rFonts w:hint="eastAsia" w:ascii="Times New Roman" w:hAnsi="Times New Roman" w:cs="宋体"/>
          <w:b/>
          <w:i w:val="0"/>
          <w:caps w:val="0"/>
          <w:color w:val="000000" w:themeColor="text1"/>
          <w:spacing w:val="0"/>
          <w:sz w:val="28"/>
          <w:szCs w:val="28"/>
          <w:highlight w:val="none"/>
          <w:shd w:val="clear" w:color="auto" w:fill="FFFFFF"/>
          <w:lang w:val="en-US" w:eastAsia="zh-CN"/>
          <w14:textFill>
            <w14:solidFill>
              <w14:schemeClr w14:val="tx1"/>
            </w14:solidFill>
          </w14:textFill>
        </w:rPr>
        <w:t xml:space="preserve">     </w:t>
      </w:r>
    </w:p>
    <w:p w14:paraId="7C0A26C5">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12C49DAC">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77805085">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5261B211">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14FE4A39">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03E5DBC2">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601E6E63">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30DF2B6E">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56DEB49B">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5C226848">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0542A016">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3399799D">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2FC8CBA7">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12052E0D">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Times New Roman" w:hAnsi="Times New Roman"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14:paraId="1174692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lang w:val="en-US" w:eastAsia="zh-CN"/>
        </w:rPr>
        <w:t>一、基本职能及主要工作</w:t>
      </w:r>
    </w:p>
    <w:p w14:paraId="2953E18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rPr>
      </w:pPr>
      <w:r>
        <w:rPr>
          <w:rFonts w:hint="eastAsia" w:ascii="Times New Roman" w:hAnsi="Times New Roman" w:eastAsia="楷体_GB2312" w:cs="楷体_GB2312"/>
          <w:sz w:val="32"/>
          <w:szCs w:val="32"/>
        </w:rPr>
        <w:t>（一）</w:t>
      </w:r>
      <w:r>
        <w:rPr>
          <w:rFonts w:hint="eastAsia" w:ascii="Times New Roman" w:hAnsi="Times New Roman" w:eastAsia="楷体_GB2312" w:cs="楷体_GB2312"/>
          <w:sz w:val="32"/>
          <w:szCs w:val="32"/>
          <w:lang w:val="en-US" w:eastAsia="zh-CN"/>
        </w:rPr>
        <w:t>区人民医院</w:t>
      </w:r>
      <w:r>
        <w:rPr>
          <w:rFonts w:hint="eastAsia" w:ascii="Times New Roman" w:hAnsi="Times New Roman" w:eastAsia="楷体_GB2312" w:cs="楷体_GB2312"/>
          <w:sz w:val="32"/>
          <w:szCs w:val="32"/>
        </w:rPr>
        <w:t>职能简介</w:t>
      </w:r>
    </w:p>
    <w:p w14:paraId="1BB83E0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rPr>
      </w:pPr>
      <w:r>
        <w:rPr>
          <w:rFonts w:hint="eastAsia" w:ascii="Times New Roman" w:hAnsi="Times New Roman" w:eastAsia="仿宋_GB2312" w:cs="仿宋_GB2312"/>
          <w:b w:val="0"/>
          <w:i w:val="0"/>
          <w:caps w:val="0"/>
          <w:color w:val="auto"/>
          <w:spacing w:val="0"/>
          <w:sz w:val="32"/>
          <w:szCs w:val="32"/>
          <w:shd w:val="clear" w:color="auto" w:fill="FFFFFF"/>
        </w:rPr>
        <w:t>广元市昭化区</w:t>
      </w:r>
      <w:r>
        <w:rPr>
          <w:rFonts w:hint="eastAsia" w:ascii="Times New Roman" w:hAnsi="Times New Roman" w:eastAsia="仿宋_GB2312" w:cs="仿宋_GB2312"/>
          <w:b w:val="0"/>
          <w:i w:val="0"/>
          <w:caps w:val="0"/>
          <w:color w:val="auto"/>
          <w:spacing w:val="0"/>
          <w:sz w:val="32"/>
          <w:szCs w:val="32"/>
          <w:shd w:val="clear" w:color="auto" w:fill="FFFFFF"/>
          <w:lang w:eastAsia="zh-CN"/>
        </w:rPr>
        <w:t>人民医院</w:t>
      </w:r>
      <w:r>
        <w:rPr>
          <w:rFonts w:hint="eastAsia" w:ascii="Times New Roman" w:hAnsi="Times New Roman" w:eastAsia="仿宋_GB2312" w:cs="仿宋_GB2312"/>
          <w:b w:val="0"/>
          <w:i w:val="0"/>
          <w:caps w:val="0"/>
          <w:color w:val="auto"/>
          <w:spacing w:val="0"/>
          <w:sz w:val="32"/>
          <w:szCs w:val="32"/>
          <w:shd w:val="clear" w:color="auto" w:fill="FFFFFF"/>
          <w:lang w:val="en-US" w:eastAsia="zh-CN"/>
        </w:rPr>
        <w:t>为</w:t>
      </w:r>
      <w:r>
        <w:rPr>
          <w:rFonts w:hint="eastAsia" w:ascii="Times New Roman" w:hAnsi="Times New Roman" w:eastAsia="仿宋_GB2312" w:cs="仿宋_GB2312"/>
          <w:b w:val="0"/>
          <w:i w:val="0"/>
          <w:caps w:val="0"/>
          <w:color w:val="auto"/>
          <w:spacing w:val="0"/>
          <w:sz w:val="32"/>
          <w:szCs w:val="32"/>
          <w:shd w:val="clear" w:color="auto" w:fill="FFFFFF"/>
          <w:lang w:eastAsia="zh-CN"/>
        </w:rPr>
        <w:t>区内唯一一所集医疗、急救、科研、教学为一体的二级甲等综合性医院</w:t>
      </w:r>
      <w:r>
        <w:rPr>
          <w:rFonts w:hint="eastAsia" w:ascii="Times New Roman" w:hAnsi="Times New Roman" w:cs="仿宋_GB2312"/>
          <w:b w:val="0"/>
          <w:i w:val="0"/>
          <w:caps w:val="0"/>
          <w:color w:val="auto"/>
          <w:spacing w:val="0"/>
          <w:sz w:val="32"/>
          <w:szCs w:val="32"/>
          <w:shd w:val="clear" w:color="auto" w:fill="FFFFFF"/>
          <w:lang w:eastAsia="zh-CN"/>
        </w:rPr>
        <w:t>。</w:t>
      </w:r>
      <w:r>
        <w:rPr>
          <w:rFonts w:hint="eastAsia" w:ascii="Times New Roman" w:hAnsi="Times New Roman" w:eastAsia="仿宋_GB2312" w:cs="仿宋_GB2312"/>
          <w:b w:val="0"/>
          <w:i w:val="0"/>
          <w:caps w:val="0"/>
          <w:color w:val="auto"/>
          <w:spacing w:val="0"/>
          <w:sz w:val="32"/>
          <w:szCs w:val="32"/>
          <w:shd w:val="clear" w:color="auto" w:fill="FFFFFF"/>
          <w:lang w:eastAsia="zh-CN"/>
        </w:rPr>
        <w:t>主要负责区域基本医疗服务、危重急症病人的抢救和公共卫生救治，并承担对乡镇（中心）卫生院、街道社区卫生服务中心、村卫生室、社区卫生服务站的业务技术指导和卫生人员的进修培训。完成</w:t>
      </w:r>
      <w:r>
        <w:rPr>
          <w:rFonts w:hint="eastAsia" w:ascii="Times New Roman" w:hAnsi="Times New Roman" w:eastAsia="仿宋_GB2312" w:cs="仿宋_GB2312"/>
          <w:b w:val="0"/>
          <w:i w:val="0"/>
          <w:caps w:val="0"/>
          <w:color w:val="auto"/>
          <w:spacing w:val="0"/>
          <w:sz w:val="32"/>
          <w:szCs w:val="32"/>
          <w:shd w:val="clear" w:color="auto" w:fill="FFFFFF"/>
          <w:lang w:val="en-US" w:eastAsia="zh-CN"/>
        </w:rPr>
        <w:t>卫生健康</w:t>
      </w:r>
      <w:r>
        <w:rPr>
          <w:rFonts w:hint="eastAsia" w:ascii="Times New Roman" w:hAnsi="Times New Roman" w:eastAsia="仿宋_GB2312" w:cs="仿宋_GB2312"/>
          <w:b w:val="0"/>
          <w:i w:val="0"/>
          <w:caps w:val="0"/>
          <w:color w:val="auto"/>
          <w:spacing w:val="0"/>
          <w:sz w:val="32"/>
          <w:szCs w:val="32"/>
          <w:shd w:val="clear" w:color="auto" w:fill="FFFFFF"/>
          <w:lang w:eastAsia="zh-CN"/>
        </w:rPr>
        <w:t>行政部门安排的卫生支农工作，承担一定的教学和科研任务。医院同时承担着昭化区及毗邻地区常见病、多发病，疑难危急重症疾病的诊治、转诊及会诊任务，也是全区唯一一家传染病疫情防控定点医院。在区委、区政府坚强领导下，在市、区卫生行政主管部门的大力支持下，昭化区人民医院领导班子及全体职工将紧密团结，继续奋力开拓创新，通过创建检验、影像、麻醉、呼吸、消化等重点专科及创建县级胸痛中心、脑卒中中心、创伤中心，以点带面，奋力拼搏，高位求进，全力做好人民群众健康守护神</w:t>
      </w:r>
      <w:r>
        <w:rPr>
          <w:rFonts w:hint="eastAsia" w:ascii="Times New Roman" w:hAnsi="Times New Roman" w:cs="仿宋_GB2312"/>
          <w:b w:val="0"/>
          <w:i w:val="0"/>
          <w:caps w:val="0"/>
          <w:color w:val="auto"/>
          <w:spacing w:val="0"/>
          <w:sz w:val="32"/>
          <w:szCs w:val="32"/>
          <w:shd w:val="clear" w:color="auto" w:fill="FFFFFF"/>
          <w:lang w:eastAsia="zh-CN"/>
        </w:rPr>
        <w:t>。</w:t>
      </w:r>
    </w:p>
    <w:p w14:paraId="674C0885">
      <w:pPr>
        <w:keepNext w:val="0"/>
        <w:keepLines w:val="0"/>
        <w:pageBreakBefore w:val="0"/>
        <w:widowControl w:val="0"/>
        <w:numPr>
          <w:ilvl w:val="0"/>
          <w:numId w:val="1"/>
        </w:numPr>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rPr>
      </w:pPr>
      <w:r>
        <w:rPr>
          <w:rFonts w:hint="eastAsia" w:ascii="Times New Roman" w:hAnsi="Times New Roman" w:eastAsia="楷体_GB2312" w:cs="楷体_GB2312"/>
          <w:sz w:val="32"/>
          <w:szCs w:val="32"/>
          <w:lang w:val="en-US" w:eastAsia="zh-CN"/>
        </w:rPr>
        <w:t>区人民医院</w:t>
      </w:r>
      <w:r>
        <w:rPr>
          <w:rFonts w:hint="eastAsia" w:ascii="Times New Roman" w:hAnsi="Times New Roman" w:eastAsia="楷体_GB2312" w:cs="楷体_GB2312"/>
          <w:sz w:val="32"/>
          <w:szCs w:val="32"/>
          <w:lang w:val="en-US"/>
        </w:rPr>
        <w:t>202</w:t>
      </w:r>
      <w:r>
        <w:rPr>
          <w:rFonts w:hint="eastAsia" w:ascii="Times New Roman" w:hAnsi="Times New Roman" w:eastAsia="楷体_GB2312" w:cs="楷体_GB2312"/>
          <w:sz w:val="32"/>
          <w:szCs w:val="32"/>
          <w:lang w:val="en-US" w:eastAsia="zh-CN"/>
        </w:rPr>
        <w:t>5</w:t>
      </w:r>
      <w:r>
        <w:rPr>
          <w:rFonts w:hint="eastAsia" w:ascii="Times New Roman" w:hAnsi="Times New Roman" w:eastAsia="楷体_GB2312" w:cs="楷体_GB2312"/>
          <w:sz w:val="32"/>
          <w:szCs w:val="32"/>
        </w:rPr>
        <w:t>年重点工作</w:t>
      </w:r>
    </w:p>
    <w:p w14:paraId="2AD17DF4">
      <w:pPr>
        <w:pStyle w:val="2"/>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b w:val="0"/>
          <w:i w:val="0"/>
          <w:caps w:val="0"/>
          <w:color w:val="auto"/>
          <w:spacing w:val="0"/>
          <w:kern w:val="2"/>
          <w:sz w:val="32"/>
          <w:szCs w:val="32"/>
          <w:shd w:val="clear" w:color="auto" w:fill="FFFFFF"/>
          <w:lang w:val="en-US" w:eastAsia="zh-CN" w:bidi="ar-SA"/>
        </w:rPr>
      </w:pPr>
      <w:r>
        <w:rPr>
          <w:rFonts w:hint="eastAsia" w:ascii="Times New Roman" w:hAnsi="Times New Roman" w:eastAsia="仿宋_GB2312" w:cs="仿宋_GB2312"/>
          <w:b w:val="0"/>
          <w:i w:val="0"/>
          <w:caps w:val="0"/>
          <w:color w:val="auto"/>
          <w:spacing w:val="0"/>
          <w:kern w:val="2"/>
          <w:sz w:val="32"/>
          <w:szCs w:val="32"/>
          <w:shd w:val="clear" w:color="auto" w:fill="FFFFFF"/>
          <w:lang w:val="en-US" w:eastAsia="zh-CN" w:bidi="ar-SA"/>
        </w:rPr>
        <w:t>2025年是“十四五”规划的收官之年，也是医院高质量发展爬坡上坎的关键之年。全院工作指导思想是：坚定以习近平新时代中国特色社会主义思想为指导，深入学习贯彻党的二十届三中全会精神，全面落实新时代卫生健康工作方针，紧扣区委区政府</w:t>
      </w:r>
      <w:r>
        <w:rPr>
          <w:rFonts w:hint="default" w:ascii="Times New Roman" w:hAnsi="Times New Roman" w:eastAsia="仿宋_GB2312" w:cs="仿宋_GB2312"/>
          <w:b w:val="0"/>
          <w:i w:val="0"/>
          <w:caps w:val="0"/>
          <w:color w:val="auto"/>
          <w:spacing w:val="0"/>
          <w:kern w:val="2"/>
          <w:sz w:val="32"/>
          <w:szCs w:val="32"/>
          <w:shd w:val="clear" w:color="auto" w:fill="FFFFFF"/>
          <w:lang w:val="en-US" w:eastAsia="zh-CN" w:bidi="ar-SA"/>
        </w:rPr>
        <w:t>“1456”发展战略，</w:t>
      </w:r>
      <w:r>
        <w:rPr>
          <w:rFonts w:hint="eastAsia" w:ascii="Times New Roman" w:hAnsi="Times New Roman" w:eastAsia="仿宋_GB2312" w:cs="仿宋_GB2312"/>
          <w:b w:val="0"/>
          <w:i w:val="0"/>
          <w:caps w:val="0"/>
          <w:color w:val="auto"/>
          <w:spacing w:val="0"/>
          <w:kern w:val="2"/>
          <w:sz w:val="32"/>
          <w:szCs w:val="32"/>
          <w:shd w:val="clear" w:color="auto" w:fill="FFFFFF"/>
          <w:lang w:val="en-US" w:eastAsia="zh-CN" w:bidi="ar-SA"/>
        </w:rPr>
        <w:t>秉承“患者第一、生命至上”的办院理念，坚持稳中求进、以进促稳工作总基调，强化管理，提升内涵，创新驱动，激发新质生产力，坚持守正创新，发扬斗争精神，以党建工作为引领，以高质量发展为主题，以佑护人民健康为主线，以医疗质量持续改进为根本，以项目建设为支撑，以满足人民日益增长的健康需要为目的，持续加力统筹做好发展与安全两件大事，为奋力谱写中国式现代化昭化卫生健康事业新篇章作出昭医贡献。</w:t>
      </w:r>
    </w:p>
    <w:p w14:paraId="091CB3A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仿宋_GB2312"/>
          <w:b w:val="0"/>
          <w:i w:val="0"/>
          <w:caps w:val="0"/>
          <w:color w:val="auto"/>
          <w:spacing w:val="0"/>
          <w:kern w:val="2"/>
          <w:sz w:val="32"/>
          <w:szCs w:val="32"/>
          <w:shd w:val="clear" w:color="auto" w:fill="FFFFFF"/>
          <w:lang w:val="en-US" w:eastAsia="zh-CN" w:bidi="ar-SA"/>
        </w:rPr>
      </w:pPr>
      <w:r>
        <w:rPr>
          <w:rFonts w:hint="eastAsia" w:ascii="Times New Roman" w:hAnsi="Times New Roman" w:eastAsia="仿宋_GB2312" w:cs="仿宋_GB2312"/>
          <w:b w:val="0"/>
          <w:i w:val="0"/>
          <w:caps w:val="0"/>
          <w:color w:val="auto"/>
          <w:spacing w:val="0"/>
          <w:kern w:val="2"/>
          <w:sz w:val="32"/>
          <w:szCs w:val="32"/>
          <w:shd w:val="clear" w:color="auto" w:fill="FFFFFF"/>
          <w:lang w:val="en-US" w:eastAsia="zh-CN" w:bidi="ar-SA"/>
        </w:rPr>
        <w:t>主要目标任务：一是持续推进党的建设，稳固高质量发展根基；二是巩固等级复审成果，抓紧抓实反馈问题整改；三是坚持依法执业，规范服务行为；四是齐心同向，多点发力，加快形成新质生产力；五是强化质量管理，保障医疗安全；六是注重能力提升，加强人才队伍建设；七是有力有序有效，专注推进项目建设；八是逗硬落实措施，扎实做好安全工作和后勤保障工作。</w:t>
      </w:r>
    </w:p>
    <w:p w14:paraId="4E23464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二、部门预算单位构成</w:t>
      </w:r>
    </w:p>
    <w:p w14:paraId="6A57463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rPr>
      </w:pPr>
      <w:r>
        <w:rPr>
          <w:rFonts w:hint="eastAsia" w:ascii="Times New Roman" w:hAnsi="Times New Roman" w:eastAsia="仿宋_GB2312" w:cs="仿宋_GB2312"/>
          <w:b w:val="0"/>
          <w:i w:val="0"/>
          <w:caps w:val="0"/>
          <w:color w:val="auto"/>
          <w:spacing w:val="0"/>
          <w:sz w:val="32"/>
          <w:szCs w:val="32"/>
          <w:shd w:val="clear" w:color="auto" w:fill="FFFFFF"/>
          <w:lang w:val="en-US" w:eastAsia="zh-CN"/>
        </w:rPr>
        <w:t>广元市昭化区人民医院为广元市昭化区卫生健康局</w:t>
      </w:r>
      <w:r>
        <w:rPr>
          <w:rFonts w:hint="eastAsia" w:ascii="Times New Roman" w:hAnsi="Times New Roman" w:eastAsia="仿宋_GB2312" w:cs="仿宋_GB2312"/>
          <w:color w:val="auto"/>
          <w:sz w:val="32"/>
          <w:szCs w:val="32"/>
          <w:lang w:val="en-US" w:eastAsia="zh-CN"/>
        </w:rPr>
        <w:t>下属一级预算单位，本单位无下属机构，</w:t>
      </w:r>
      <w:r>
        <w:rPr>
          <w:rFonts w:hint="eastAsia" w:ascii="Times New Roman" w:hAnsi="Times New Roman" w:eastAsia="仿宋_GB2312" w:cs="仿宋_GB2312"/>
          <w:color w:val="auto"/>
          <w:sz w:val="32"/>
          <w:szCs w:val="32"/>
          <w:lang w:eastAsia="zh-CN"/>
        </w:rPr>
        <w:t>科室设置包括职能科室和业务科室</w:t>
      </w:r>
      <w:r>
        <w:rPr>
          <w:rFonts w:hint="eastAsia" w:ascii="Times New Roman" w:hAnsi="Times New Roman" w:eastAsia="仿宋_GB2312" w:cs="仿宋_GB2312"/>
          <w:color w:val="auto"/>
          <w:sz w:val="32"/>
          <w:szCs w:val="32"/>
        </w:rPr>
        <w:t>。</w:t>
      </w:r>
    </w:p>
    <w:p w14:paraId="66E745A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lang w:val="en-US" w:eastAsia="zh-CN"/>
        </w:rPr>
        <w:t>三、收支预算情况说明</w:t>
      </w:r>
    </w:p>
    <w:p w14:paraId="3F821FB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仿宋_GB2312"/>
          <w:sz w:val="32"/>
          <w:szCs w:val="32"/>
          <w:lang w:val="en-US"/>
        </w:rPr>
      </w:pPr>
      <w:r>
        <w:rPr>
          <w:rFonts w:hint="eastAsia" w:ascii="Times New Roman" w:hAnsi="Times New Roman" w:eastAsia="仿宋_GB2312" w:cs="仿宋_GB2312"/>
          <w:sz w:val="32"/>
          <w:szCs w:val="32"/>
          <w:lang w:val="en-US" w:eastAsia="zh-CN"/>
        </w:rPr>
        <w:t>按照综合预算的原则，广元市昭化区人民医院所有收入和支出均纳入部门预算管理。收入包括：一般公共预算拨款收入；支出包括：社会保障和就业支出、卫生健康支出、住房保障支出。区人民医院2025年收支预算总数1128.63万元,比2024年收支预算总数减少323.07万元，主要原因是2025年取消项目经费（区人民医院化债资金）360万元。</w:t>
      </w:r>
    </w:p>
    <w:p w14:paraId="3086A00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lang w:val="en-US" w:eastAsia="zh-CN"/>
        </w:rPr>
      </w:pPr>
      <w:r>
        <w:rPr>
          <w:rFonts w:hint="eastAsia" w:ascii="Times New Roman" w:hAnsi="Times New Roman" w:eastAsia="楷体_GB2312" w:cs="楷体_GB2312"/>
          <w:sz w:val="32"/>
          <w:szCs w:val="32"/>
          <w:lang w:val="en-US" w:eastAsia="zh-CN"/>
        </w:rPr>
        <w:t>（一）收入预算情况</w:t>
      </w:r>
    </w:p>
    <w:p w14:paraId="4486FEA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区人民医院2025年收入预算1128.63万元，其中：一般公共预算拨款收入1128.63万元，占100%。</w:t>
      </w:r>
    </w:p>
    <w:p w14:paraId="357CD09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lang w:val="en-US" w:eastAsia="zh-CN"/>
        </w:rPr>
      </w:pPr>
      <w:r>
        <w:rPr>
          <w:rFonts w:hint="eastAsia" w:ascii="Times New Roman" w:hAnsi="Times New Roman" w:eastAsia="楷体_GB2312" w:cs="楷体_GB2312"/>
          <w:sz w:val="32"/>
          <w:szCs w:val="32"/>
          <w:lang w:val="en-US" w:eastAsia="zh-CN"/>
        </w:rPr>
        <w:t>（二）支出预算情况</w:t>
      </w:r>
    </w:p>
    <w:p w14:paraId="020A3AF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b w:val="0"/>
          <w:bCs w:val="0"/>
          <w:sz w:val="32"/>
          <w:szCs w:val="32"/>
          <w:lang w:val="en-US" w:eastAsia="zh-CN"/>
        </w:rPr>
      </w:pPr>
      <w:r>
        <w:rPr>
          <w:rFonts w:hint="eastAsia" w:ascii="Times New Roman" w:hAnsi="Times New Roman" w:eastAsia="仿宋_GB2312" w:cs="仿宋_GB2312"/>
          <w:sz w:val="32"/>
          <w:szCs w:val="32"/>
          <w:lang w:val="en-US" w:eastAsia="zh-CN"/>
        </w:rPr>
        <w:t>区人民医院2025年支出预算1128.63万元，其中：基本支出1102.63万元，占97.7%；项目支出26万元，占2.3%</w:t>
      </w:r>
      <w:r>
        <w:rPr>
          <w:rFonts w:hint="eastAsia" w:ascii="Times New Roman" w:hAnsi="Times New Roman" w:eastAsia="仿宋_GB2312" w:cs="仿宋_GB2312"/>
          <w:b w:val="0"/>
          <w:bCs w:val="0"/>
          <w:sz w:val="32"/>
          <w:szCs w:val="32"/>
          <w:lang w:val="en-US" w:eastAsia="zh-CN"/>
        </w:rPr>
        <w:t>。</w:t>
      </w:r>
    </w:p>
    <w:p w14:paraId="76F993D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lang w:val="en-US" w:eastAsia="zh-CN"/>
        </w:rPr>
        <w:t>四、财政拨款收支预算情况说明</w:t>
      </w:r>
    </w:p>
    <w:p w14:paraId="5A5891F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区人民医院2025年财政拨款收支预算总数1128.63万元,比2024年收支预算总数减少323.07万元，主要原因是2025年取消项目经费（区人民医院化债资金）360万元。</w:t>
      </w:r>
    </w:p>
    <w:p w14:paraId="3B27030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收入包括：本年一般公共预算拨款收入1128.63万元；支出包括：社会保障和就业支出287.11万元、卫生健康支出757.62万元、住房保障支出83.9万元。</w:t>
      </w:r>
    </w:p>
    <w:p w14:paraId="6E14BBA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五、一般公共预算当年拨款情况说明</w:t>
      </w:r>
    </w:p>
    <w:p w14:paraId="627D6D5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lang w:val="en-US" w:eastAsia="zh-CN"/>
        </w:rPr>
      </w:pPr>
      <w:r>
        <w:rPr>
          <w:rFonts w:hint="eastAsia" w:ascii="Times New Roman" w:hAnsi="Times New Roman" w:eastAsia="楷体_GB2312" w:cs="楷体_GB2312"/>
          <w:sz w:val="32"/>
          <w:szCs w:val="32"/>
          <w:lang w:val="en-US" w:eastAsia="zh-CN"/>
        </w:rPr>
        <w:t>（一）一般公共预算当年拨款规模变化情况</w:t>
      </w:r>
    </w:p>
    <w:p w14:paraId="50BC8F2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区人民医院2025年一般公共预算当年拨款1128.63万元，比2024年收支预算总数减少323.07万元，主要原因是2025年取消项目经费（区人民医院化债资金）360万元。</w:t>
      </w:r>
    </w:p>
    <w:p w14:paraId="66B26BE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lang w:val="en-US" w:eastAsia="zh-CN"/>
        </w:rPr>
      </w:pPr>
      <w:r>
        <w:rPr>
          <w:rFonts w:hint="eastAsia" w:ascii="Times New Roman" w:hAnsi="Times New Roman" w:eastAsia="楷体_GB2312" w:cs="楷体_GB2312"/>
          <w:sz w:val="32"/>
          <w:szCs w:val="32"/>
          <w:lang w:val="en-US" w:eastAsia="zh-CN"/>
        </w:rPr>
        <w:t>（二）一般公共预算当年拨款结构情况</w:t>
      </w:r>
    </w:p>
    <w:p w14:paraId="29984F5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社会保障和就业支出287.11万元，占25.44%；卫生健康支出757.62万元，占67.13%；住房保障支出83.9万元，占7.43%。</w:t>
      </w:r>
    </w:p>
    <w:p w14:paraId="73EF09D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lang w:val="en-US" w:eastAsia="zh-CN"/>
        </w:rPr>
      </w:pPr>
      <w:r>
        <w:rPr>
          <w:rFonts w:hint="eastAsia" w:ascii="Times New Roman" w:hAnsi="Times New Roman" w:eastAsia="楷体_GB2312" w:cs="楷体_GB2312"/>
          <w:sz w:val="32"/>
          <w:szCs w:val="32"/>
          <w:lang w:val="en-US" w:eastAsia="zh-CN"/>
        </w:rPr>
        <w:t>（三）一般公共预算当年拨款具体使用情况</w:t>
      </w:r>
    </w:p>
    <w:p w14:paraId="6B74008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1.</w:t>
      </w:r>
      <w:r>
        <w:rPr>
          <w:rFonts w:hint="eastAsia" w:ascii="Times New Roman" w:hAnsi="Times New Roman" w:eastAsia="仿宋_GB2312" w:cs="仿宋_GB2312"/>
          <w:color w:val="auto"/>
          <w:sz w:val="32"/>
          <w:szCs w:val="32"/>
          <w:lang w:eastAsia="zh-CN"/>
        </w:rPr>
        <w:t>卫生健康支出</w:t>
      </w:r>
      <w:r>
        <w:rPr>
          <w:rFonts w:hint="eastAsia" w:ascii="Times New Roman" w:hAnsi="Times New Roman" w:eastAsia="仿宋_GB2312" w:cs="仿宋_GB2312"/>
          <w:color w:val="auto"/>
          <w:sz w:val="32"/>
          <w:szCs w:val="32"/>
        </w:rPr>
        <w:t>（类）</w:t>
      </w:r>
      <w:r>
        <w:rPr>
          <w:rFonts w:hint="eastAsia" w:ascii="Times New Roman" w:hAnsi="Times New Roman" w:eastAsia="仿宋_GB2312" w:cs="仿宋_GB2312"/>
          <w:color w:val="auto"/>
          <w:sz w:val="32"/>
          <w:szCs w:val="32"/>
          <w:lang w:eastAsia="zh-CN"/>
        </w:rPr>
        <w:t>公立医院</w:t>
      </w:r>
      <w:r>
        <w:rPr>
          <w:rFonts w:hint="eastAsia" w:ascii="Times New Roman" w:hAnsi="Times New Roman" w:eastAsia="仿宋_GB2312" w:cs="仿宋_GB2312"/>
          <w:color w:val="auto"/>
          <w:sz w:val="32"/>
          <w:szCs w:val="32"/>
        </w:rPr>
        <w:t>（款）</w:t>
      </w:r>
      <w:r>
        <w:rPr>
          <w:rFonts w:hint="eastAsia" w:ascii="Times New Roman" w:hAnsi="Times New Roman" w:eastAsia="仿宋_GB2312" w:cs="仿宋_GB2312"/>
          <w:color w:val="auto"/>
          <w:sz w:val="32"/>
          <w:szCs w:val="32"/>
          <w:lang w:eastAsia="zh-CN"/>
        </w:rPr>
        <w:t>综合医院</w:t>
      </w:r>
      <w:r>
        <w:rPr>
          <w:rFonts w:hint="eastAsia" w:ascii="Times New Roman" w:hAnsi="Times New Roman" w:eastAsia="仿宋_GB2312" w:cs="仿宋_GB2312"/>
          <w:color w:val="auto"/>
          <w:sz w:val="32"/>
          <w:szCs w:val="32"/>
        </w:rPr>
        <w:t>支出（项）202</w:t>
      </w:r>
      <w:r>
        <w:rPr>
          <w:rFonts w:hint="eastAsia" w:ascii="Times New Roman" w:hAnsi="Times New Roman" w:eastAsia="仿宋_GB2312" w:cs="仿宋_GB2312"/>
          <w:color w:val="auto"/>
          <w:sz w:val="32"/>
          <w:szCs w:val="32"/>
          <w:lang w:val="en-US" w:eastAsia="zh-CN"/>
        </w:rPr>
        <w:t>5</w:t>
      </w:r>
      <w:r>
        <w:rPr>
          <w:rFonts w:hint="eastAsia" w:ascii="Times New Roman" w:hAnsi="Times New Roman" w:eastAsia="仿宋_GB2312" w:cs="仿宋_GB2312"/>
          <w:color w:val="auto"/>
          <w:sz w:val="32"/>
          <w:szCs w:val="32"/>
        </w:rPr>
        <w:t>年预算数为</w:t>
      </w:r>
      <w:r>
        <w:rPr>
          <w:rFonts w:hint="eastAsia" w:ascii="Times New Roman" w:hAnsi="Times New Roman" w:eastAsia="仿宋_GB2312" w:cs="仿宋_GB2312"/>
          <w:color w:val="auto"/>
          <w:sz w:val="32"/>
          <w:szCs w:val="32"/>
          <w:lang w:val="en-US" w:eastAsia="zh-CN"/>
        </w:rPr>
        <w:t>717.33</w:t>
      </w:r>
      <w:r>
        <w:rPr>
          <w:rFonts w:hint="eastAsia" w:ascii="Times New Roman" w:hAnsi="Times New Roman" w:eastAsia="仿宋_GB2312" w:cs="仿宋_GB2312"/>
          <w:color w:val="auto"/>
          <w:sz w:val="32"/>
          <w:szCs w:val="32"/>
        </w:rPr>
        <w:t>万元，主要用于：</w:t>
      </w:r>
      <w:r>
        <w:rPr>
          <w:rFonts w:hint="eastAsia" w:ascii="Times New Roman" w:hAnsi="Times New Roman" w:eastAsia="仿宋_GB2312" w:cs="仿宋_GB2312"/>
          <w:color w:val="auto"/>
          <w:sz w:val="32"/>
          <w:szCs w:val="32"/>
          <w:lang w:eastAsia="zh-CN"/>
        </w:rPr>
        <w:t>医院人员支出工资、绩效</w:t>
      </w:r>
      <w:r>
        <w:rPr>
          <w:rFonts w:hint="eastAsia" w:ascii="Times New Roman" w:hAnsi="Times New Roman" w:eastAsia="仿宋_GB2312" w:cs="仿宋_GB2312"/>
          <w:color w:val="auto"/>
          <w:sz w:val="32"/>
          <w:szCs w:val="32"/>
        </w:rPr>
        <w:t>。</w:t>
      </w:r>
    </w:p>
    <w:p w14:paraId="301911D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lang w:val="en-US" w:eastAsia="zh-CN"/>
        </w:rPr>
        <w:t>2.社会保障和就业（类）行政事业单位养老支出（款）机关事业单位基本养老保险缴费支出（项）2025年预算数为180.39万元，主要用于：实施养老保险制度由单位缴纳的基本养老保险支出。</w:t>
      </w:r>
    </w:p>
    <w:p w14:paraId="1DA1313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3.社会保障和就业（类）行政事业单位养老支出（款）机关事业单位职业年金缴费支出（项）2025年预算数为41.48万元，主要用于：实施养老保险制度由单位缴纳的职业年金支出。</w:t>
      </w:r>
    </w:p>
    <w:p w14:paraId="5CF69B0A">
      <w:pPr>
        <w:pStyle w:val="2"/>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4.社会保障和就业（类）社会福利（款）其他社会福利支出（项）2025年预算数为60.13万元，主要用于：其他用于社会福利方面的支出</w:t>
      </w:r>
    </w:p>
    <w:p w14:paraId="1833B707">
      <w:pPr>
        <w:pStyle w:val="2"/>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5.社会保障和就业（类）其他社会保障和就业支出（款）其他社会保障和就业支出（项）2025年预算数为5.11万元，主要用于：其他用于社会保障和就业方面的支出。</w:t>
      </w:r>
    </w:p>
    <w:p w14:paraId="1949E99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lang w:val="en-US" w:eastAsia="zh-CN"/>
        </w:rPr>
        <w:t>6.卫生健康（类）行政事业单位医疗（款）事业单位医疗（项）2025年预算数为40.29万元，主要用于：事业单位按规定由单位缴纳的基本医疗保险支出。</w:t>
      </w:r>
    </w:p>
    <w:p w14:paraId="7F68A8F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lang w:val="en-US" w:eastAsia="zh-CN"/>
        </w:rPr>
        <w:t>7.住房保障（类）住房改革支出（款）住房公积金（项）2025年预算数为83.9万元，主要用于：部门按规定为职工缴纳的住房公积金支出。</w:t>
      </w:r>
    </w:p>
    <w:p w14:paraId="56EEA13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lang w:val="en-US" w:eastAsia="zh-CN"/>
        </w:rPr>
        <w:t>六、一般公共预算基本支出情况说明</w:t>
      </w:r>
    </w:p>
    <w:p w14:paraId="4236FA6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区人民医院2025年一般公共预算基本支出1102.63万元，其中：</w:t>
      </w:r>
    </w:p>
    <w:p w14:paraId="6BC896D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lang w:val="en-US" w:eastAsia="zh-CN"/>
        </w:rPr>
        <w:t>人员经费1102.63万元，主要包括：基本工资、津贴补贴、奖金、社会保险缴费、住房公积金等支出。</w:t>
      </w:r>
    </w:p>
    <w:p w14:paraId="346A8C6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无公用经费预算。</w:t>
      </w:r>
    </w:p>
    <w:p w14:paraId="328C8DC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lang w:val="en-US" w:eastAsia="zh-CN"/>
        </w:rPr>
        <w:t>七、“三公”经费财政拨款预算安排情况说明</w:t>
      </w:r>
    </w:p>
    <w:p w14:paraId="736C79B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广元市昭化区人民医院2025年“三公”经费财政拨款预算数0万元，其中：公务接待费0万元（2025年本单位无公务接待费预算），公务用车购置及运行维护费0万元（2025年本单位无公务用车购置及运行维护费预算），因公出国（境）经费0万元（2025年本单位无因公出国（境）经费预算）。</w:t>
      </w:r>
    </w:p>
    <w:p w14:paraId="7B5222B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color w:val="auto"/>
          <w:sz w:val="32"/>
          <w:szCs w:val="32"/>
          <w:lang w:val="en-US" w:eastAsia="zh-CN"/>
        </w:rPr>
      </w:pPr>
      <w:r>
        <w:rPr>
          <w:rFonts w:hint="eastAsia" w:ascii="Times New Roman" w:hAnsi="Times New Roman" w:eastAsia="楷体_GB2312" w:cs="楷体_GB2312"/>
          <w:color w:val="auto"/>
          <w:sz w:val="32"/>
          <w:szCs w:val="32"/>
          <w:lang w:val="en-US" w:eastAsia="zh-CN"/>
        </w:rPr>
        <w:t>（一）公务接待费</w:t>
      </w:r>
    </w:p>
    <w:p w14:paraId="465EA58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仿宋_GB2312"/>
          <w:color w:val="auto"/>
          <w:sz w:val="32"/>
          <w:szCs w:val="32"/>
          <w:lang w:val="en-US"/>
        </w:rPr>
      </w:pPr>
      <w:r>
        <w:rPr>
          <w:rFonts w:hint="eastAsia" w:ascii="Times New Roman" w:hAnsi="Times New Roman" w:eastAsia="仿宋_GB2312" w:cs="仿宋_GB2312"/>
          <w:color w:val="auto"/>
          <w:sz w:val="32"/>
          <w:szCs w:val="32"/>
          <w:lang w:val="en-US" w:eastAsia="zh-CN"/>
        </w:rPr>
        <w:t>区人民医院2025年公务接待费0万元（2025年本单位无公务接待费财政拨款预算），与2024年预算相比持平。</w:t>
      </w:r>
    </w:p>
    <w:p w14:paraId="0391C86F">
      <w:pPr>
        <w:keepNext w:val="0"/>
        <w:keepLines w:val="0"/>
        <w:pageBreakBefore w:val="0"/>
        <w:widowControl w:val="0"/>
        <w:numPr>
          <w:ilvl w:val="0"/>
          <w:numId w:val="2"/>
        </w:numPr>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color w:val="auto"/>
          <w:sz w:val="32"/>
          <w:szCs w:val="32"/>
          <w:lang w:val="en-US" w:eastAsia="zh-CN"/>
        </w:rPr>
      </w:pPr>
      <w:r>
        <w:rPr>
          <w:rFonts w:hint="eastAsia" w:ascii="Times New Roman" w:hAnsi="Times New Roman" w:eastAsia="楷体_GB2312" w:cs="楷体_GB2312"/>
          <w:color w:val="auto"/>
          <w:sz w:val="32"/>
          <w:szCs w:val="32"/>
          <w:lang w:val="en-US" w:eastAsia="zh-CN"/>
        </w:rPr>
        <w:t>公务用车购置及运行维护费</w:t>
      </w:r>
    </w:p>
    <w:p w14:paraId="3122EA4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单位现有公务用车0辆。</w:t>
      </w:r>
    </w:p>
    <w:p w14:paraId="07DDFD0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区人民医院</w:t>
      </w:r>
      <w:r>
        <w:rPr>
          <w:rFonts w:hint="eastAsia" w:ascii="Times New Roman" w:hAnsi="Times New Roman" w:eastAsia="仿宋_GB2312" w:cs="仿宋_GB2312"/>
          <w:color w:val="auto"/>
          <w:sz w:val="32"/>
          <w:szCs w:val="32"/>
        </w:rPr>
        <w:t>202</w:t>
      </w:r>
      <w:r>
        <w:rPr>
          <w:rFonts w:hint="eastAsia" w:ascii="Times New Roman" w:hAnsi="Times New Roman" w:eastAsia="仿宋_GB2312" w:cs="仿宋_GB2312"/>
          <w:color w:val="auto"/>
          <w:sz w:val="32"/>
          <w:szCs w:val="32"/>
          <w:lang w:val="en-US" w:eastAsia="zh-CN"/>
        </w:rPr>
        <w:t>5</w:t>
      </w:r>
      <w:r>
        <w:rPr>
          <w:rFonts w:hint="eastAsia" w:ascii="Times New Roman" w:hAnsi="Times New Roman" w:eastAsia="仿宋_GB2312" w:cs="仿宋_GB2312"/>
          <w:color w:val="auto"/>
          <w:sz w:val="32"/>
          <w:szCs w:val="32"/>
        </w:rPr>
        <w:t>年公务用车购置</w:t>
      </w:r>
      <w:r>
        <w:rPr>
          <w:rFonts w:hint="eastAsia" w:ascii="Times New Roman" w:hAnsi="Times New Roman" w:eastAsia="仿宋_GB2312" w:cs="仿宋_GB2312"/>
          <w:color w:val="auto"/>
          <w:sz w:val="32"/>
          <w:szCs w:val="32"/>
          <w:lang w:eastAsia="zh-CN"/>
        </w:rPr>
        <w:t>及运行维护费</w:t>
      </w:r>
      <w:r>
        <w:rPr>
          <w:rFonts w:hint="eastAsia" w:ascii="Times New Roman" w:hAnsi="Times New Roman" w:eastAsia="仿宋_GB2312" w:cs="仿宋_GB2312"/>
          <w:color w:val="auto"/>
          <w:sz w:val="32"/>
          <w:szCs w:val="32"/>
          <w:lang w:val="en-US" w:eastAsia="zh-CN"/>
        </w:rPr>
        <w:t>0万元（2025年本单位无公务用车购置及运行维护费财政拨款预算），与2024年预算相比持平。</w:t>
      </w:r>
    </w:p>
    <w:p w14:paraId="650024AD">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 xml:space="preserve">    （</w:t>
      </w:r>
      <w:r>
        <w:rPr>
          <w:rFonts w:hint="eastAsia" w:ascii="Times New Roman" w:hAnsi="Times New Roman" w:eastAsia="楷体_GB2312" w:cs="楷体_GB2312"/>
          <w:color w:val="auto"/>
          <w:sz w:val="32"/>
          <w:szCs w:val="32"/>
          <w:lang w:val="en-US" w:eastAsia="zh-CN"/>
        </w:rPr>
        <w:t>三）因公出国（境）经费</w:t>
      </w:r>
    </w:p>
    <w:p w14:paraId="1E59659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 xml:space="preserve">区人民医院2025年因公出国（境）经费0万元（2025年本单位无因公出国（境）经费预算），与2024年预算相比持平。 </w:t>
      </w:r>
    </w:p>
    <w:p w14:paraId="55D71EF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八、政府性基金预算支出情况说明</w:t>
      </w:r>
    </w:p>
    <w:p w14:paraId="763E4A4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lang w:val="en-US" w:eastAsia="zh-CN"/>
        </w:rPr>
        <w:t>区人民医院2025年无政府性基金预算拨款安排的支出。</w:t>
      </w:r>
    </w:p>
    <w:p w14:paraId="08E26DC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九、国有资本经营预算支出情况说明</w:t>
      </w:r>
    </w:p>
    <w:p w14:paraId="07EA9E1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lang w:val="en-US" w:eastAsia="zh-CN"/>
        </w:rPr>
        <w:t>区人民医院2025年无国有资本经营预算拨款安排的支出。</w:t>
      </w:r>
    </w:p>
    <w:p w14:paraId="3827C1A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lang w:val="en-US" w:eastAsia="zh-CN"/>
        </w:rPr>
        <w:t>十、其他重要事项的情况说明</w:t>
      </w:r>
    </w:p>
    <w:p w14:paraId="4EC52EA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lang w:val="en-US" w:eastAsia="zh-CN"/>
        </w:rPr>
      </w:pPr>
      <w:r>
        <w:rPr>
          <w:rFonts w:hint="eastAsia" w:ascii="Times New Roman" w:hAnsi="Times New Roman" w:eastAsia="楷体_GB2312" w:cs="楷体_GB2312"/>
          <w:sz w:val="32"/>
          <w:szCs w:val="32"/>
          <w:lang w:val="en-US" w:eastAsia="zh-CN"/>
        </w:rPr>
        <w:t>（一）机关运行经费</w:t>
      </w:r>
    </w:p>
    <w:p w14:paraId="72E6E32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区人民医院未安排机关运行经费。</w:t>
      </w:r>
    </w:p>
    <w:p w14:paraId="1731038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lang w:val="en-US" w:eastAsia="zh-CN"/>
        </w:rPr>
      </w:pPr>
      <w:r>
        <w:rPr>
          <w:rFonts w:hint="eastAsia" w:ascii="Times New Roman" w:hAnsi="Times New Roman" w:eastAsia="楷体_GB2312" w:cs="楷体_GB2312"/>
          <w:sz w:val="32"/>
          <w:szCs w:val="32"/>
          <w:lang w:val="en-US" w:eastAsia="zh-CN"/>
        </w:rPr>
        <w:t>（二）政府采购情况</w:t>
      </w:r>
    </w:p>
    <w:p w14:paraId="2D36A96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lang w:val="en-US"/>
        </w:rPr>
      </w:pPr>
      <w:r>
        <w:rPr>
          <w:rFonts w:hint="eastAsia" w:ascii="Times New Roman" w:hAnsi="Times New Roman" w:eastAsia="仿宋_GB2312" w:cs="仿宋_GB2312"/>
          <w:color w:val="auto"/>
          <w:sz w:val="32"/>
          <w:szCs w:val="32"/>
          <w:lang w:val="en-US" w:eastAsia="zh-CN"/>
        </w:rPr>
        <w:t>2025年，区人民医院安排政府采购预算0万元，2025年本单位无政府采购预算安排。</w:t>
      </w:r>
    </w:p>
    <w:p w14:paraId="63B3C64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lang w:val="en-US" w:eastAsia="zh-CN"/>
        </w:rPr>
      </w:pPr>
      <w:r>
        <w:rPr>
          <w:rFonts w:hint="eastAsia" w:ascii="Times New Roman" w:hAnsi="Times New Roman" w:eastAsia="楷体_GB2312" w:cs="楷体_GB2312"/>
          <w:sz w:val="32"/>
          <w:szCs w:val="32"/>
          <w:lang w:val="en-US" w:eastAsia="zh-CN"/>
        </w:rPr>
        <w:t>（三）国有资产占有使用情况</w:t>
      </w:r>
    </w:p>
    <w:p w14:paraId="301417F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截至2024年底，区人民医院共有车辆4辆，其中，领导干部用车0辆、定向保障用车0辆、执法执勤用车0辆，特种专业技术车辆（救护车）4辆。单位价值200万元以上大型设备9台（套）。</w:t>
      </w:r>
    </w:p>
    <w:p w14:paraId="46F36F6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2025年部门预算未安排购置车辆及单位价值200万元以上大型设备。</w:t>
      </w:r>
    </w:p>
    <w:p w14:paraId="347240E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楷体_GB2312" w:cs="楷体_GB2312"/>
          <w:sz w:val="32"/>
          <w:szCs w:val="32"/>
        </w:rPr>
      </w:pPr>
      <w:r>
        <w:rPr>
          <w:rFonts w:hint="eastAsia" w:ascii="Times New Roman" w:hAnsi="Times New Roman" w:eastAsia="楷体_GB2312" w:cs="楷体_GB2312"/>
          <w:sz w:val="32"/>
          <w:szCs w:val="32"/>
          <w:lang w:val="en-US" w:eastAsia="zh-CN"/>
        </w:rPr>
        <w:t>（四）绩效目标设置情况</w:t>
      </w:r>
    </w:p>
    <w:p w14:paraId="26975F0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2025年区人民医院开展绩效目标管理的项目1个，涉及预算26万元。其中：人员类项目0个，涉及预算0万元；运转类项目1个，涉及预算26万元；特定目标类项目0个，涉及预算0万元。因部分项目内容涉密，不予公开。</w:t>
      </w:r>
    </w:p>
    <w:p w14:paraId="5EA026C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lang w:val="en-US" w:eastAsia="zh-CN"/>
        </w:rPr>
        <w:t>十一、名词解释</w:t>
      </w:r>
    </w:p>
    <w:p w14:paraId="1584580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楷体_GB2312" w:cs="楷体_GB2312"/>
          <w:sz w:val="32"/>
          <w:szCs w:val="32"/>
          <w:lang w:val="en-US" w:eastAsia="zh-CN"/>
        </w:rPr>
        <w:t>（一）财政拨款收入</w:t>
      </w:r>
      <w:r>
        <w:rPr>
          <w:rFonts w:hint="default" w:ascii="Times New Roman" w:hAnsi="Times New Roman" w:eastAsia="楷体_GB2312" w:cs="楷体_GB2312"/>
          <w:sz w:val="32"/>
          <w:szCs w:val="32"/>
          <w:lang w:val="en-US" w:eastAsia="zh-CN"/>
        </w:rPr>
        <w:t>:</w:t>
      </w:r>
      <w:r>
        <w:rPr>
          <w:rFonts w:hint="eastAsia" w:ascii="Times New Roman" w:hAnsi="Times New Roman" w:eastAsia="仿宋_GB2312" w:cs="仿宋_GB2312"/>
          <w:sz w:val="32"/>
          <w:szCs w:val="32"/>
          <w:lang w:val="en-US" w:eastAsia="zh-CN"/>
        </w:rPr>
        <w:t>指区财政当年安排的财政预算收入。按现行管理制度</w:t>
      </w:r>
      <w:r>
        <w:rPr>
          <w:rFonts w:hint="default" w:ascii="Times New Roman" w:hAnsi="Times New Roman" w:eastAsia="仿宋_GB2312" w:cs="仿宋_GB2312"/>
          <w:sz w:val="32"/>
          <w:szCs w:val="32"/>
          <w:lang w:val="en-US" w:eastAsia="zh-CN"/>
        </w:rPr>
        <w:t>,</w:t>
      </w:r>
      <w:r>
        <w:rPr>
          <w:rFonts w:hint="eastAsia" w:ascii="Times New Roman" w:hAnsi="Times New Roman" w:eastAsia="仿宋_GB2312" w:cs="仿宋_GB2312"/>
          <w:sz w:val="32"/>
          <w:szCs w:val="32"/>
          <w:lang w:val="en-US" w:eastAsia="zh-CN"/>
        </w:rPr>
        <w:t>部门预算中反映的财政拨款包括一般公共预算拨款和政府性基金预算拨款。</w:t>
      </w:r>
    </w:p>
    <w:p w14:paraId="142B4A2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楷体_GB2312" w:cs="楷体_GB2312"/>
          <w:sz w:val="32"/>
          <w:szCs w:val="32"/>
          <w:lang w:val="en-US" w:eastAsia="zh-CN"/>
        </w:rPr>
        <w:t>（二）社会保障和就业（类）行政事业单位养老支出（款）机关事业单位基本养老保险缴费支出（项）：</w:t>
      </w:r>
      <w:r>
        <w:rPr>
          <w:rFonts w:hint="eastAsia" w:ascii="Times New Roman" w:hAnsi="Times New Roman" w:eastAsia="仿宋_GB2312" w:cs="仿宋_GB2312"/>
          <w:sz w:val="32"/>
          <w:szCs w:val="32"/>
          <w:lang w:val="en-US" w:eastAsia="zh-CN"/>
        </w:rPr>
        <w:t>指部门实施养老保险制度由单位缴纳的养老保险的支出。</w:t>
      </w:r>
      <w:r>
        <w:rPr>
          <w:rFonts w:hint="eastAsia" w:ascii="Times New Roman" w:hAnsi="Times New Roman" w:eastAsia="仿宋_GB2312" w:cs="仿宋_GB2312"/>
          <w:sz w:val="32"/>
          <w:szCs w:val="32"/>
          <w:lang w:val="en-US" w:eastAsia="zh-CN"/>
        </w:rPr>
        <w:br w:type="textWrapping"/>
      </w:r>
      <w:r>
        <w:rPr>
          <w:rFonts w:hint="eastAsia" w:ascii="Times New Roman" w:hAnsi="Times New Roman" w:eastAsia="仿宋_GB2312" w:cs="仿宋_GB2312"/>
          <w:sz w:val="32"/>
          <w:szCs w:val="32"/>
          <w:lang w:val="en-US" w:eastAsia="zh-CN"/>
        </w:rPr>
        <w:t>　　</w:t>
      </w:r>
      <w:r>
        <w:rPr>
          <w:rFonts w:hint="eastAsia" w:ascii="Times New Roman" w:hAnsi="Times New Roman" w:eastAsia="楷体_GB2312" w:cs="楷体_GB2312"/>
          <w:sz w:val="32"/>
          <w:szCs w:val="32"/>
          <w:lang w:val="en-US" w:eastAsia="zh-CN"/>
        </w:rPr>
        <w:t>（三）社会保障和就业（类）行政事业单位养老支出（款）机关事业单位职业年金缴费支出（项）：</w:t>
      </w:r>
      <w:r>
        <w:rPr>
          <w:rFonts w:hint="eastAsia" w:ascii="Times New Roman" w:hAnsi="Times New Roman" w:eastAsia="仿宋_GB2312" w:cs="仿宋_GB2312"/>
          <w:sz w:val="32"/>
          <w:szCs w:val="32"/>
          <w:lang w:val="en-US" w:eastAsia="zh-CN"/>
        </w:rPr>
        <w:t>指部门实施养老保险制度由单位缴纳的职业年金的支出。</w:t>
      </w:r>
      <w:r>
        <w:rPr>
          <w:rFonts w:hint="eastAsia" w:ascii="Times New Roman" w:hAnsi="Times New Roman" w:eastAsia="仿宋_GB2312" w:cs="仿宋_GB2312"/>
          <w:sz w:val="32"/>
          <w:szCs w:val="32"/>
          <w:lang w:val="en-US" w:eastAsia="zh-CN"/>
        </w:rPr>
        <w:br w:type="textWrapping"/>
      </w:r>
      <w:r>
        <w:rPr>
          <w:rFonts w:hint="eastAsia" w:ascii="Times New Roman" w:hAnsi="Times New Roman" w:eastAsia="仿宋_GB2312" w:cs="仿宋_GB2312"/>
          <w:sz w:val="32"/>
          <w:szCs w:val="32"/>
          <w:lang w:val="en-US" w:eastAsia="zh-CN"/>
        </w:rPr>
        <w:t>　　</w:t>
      </w:r>
      <w:r>
        <w:rPr>
          <w:rFonts w:hint="eastAsia" w:ascii="Times New Roman" w:hAnsi="Times New Roman" w:eastAsia="楷体_GB2312" w:cs="楷体_GB2312"/>
          <w:sz w:val="32"/>
          <w:szCs w:val="32"/>
          <w:lang w:val="en-US" w:eastAsia="zh-CN"/>
        </w:rPr>
        <w:t>（四）卫生健康（类）行政事业单位医疗（款）事业单位医疗（项）：</w:t>
      </w:r>
      <w:r>
        <w:rPr>
          <w:rFonts w:hint="eastAsia" w:ascii="Times New Roman" w:hAnsi="Times New Roman" w:eastAsia="仿宋_GB2312" w:cs="仿宋_GB2312"/>
          <w:sz w:val="32"/>
          <w:szCs w:val="32"/>
          <w:lang w:val="en-US" w:eastAsia="zh-CN"/>
        </w:rPr>
        <w:t>指事业单位用于单位应缴纳基本医疗保险支出。</w:t>
      </w:r>
    </w:p>
    <w:p w14:paraId="6A9B96F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楷体_GB2312" w:cs="楷体_GB2312"/>
          <w:sz w:val="32"/>
          <w:szCs w:val="32"/>
          <w:lang w:val="en-US" w:eastAsia="zh-CN"/>
        </w:rPr>
        <w:t>（五）住房保障（类）住房改革支出（款）住房公积金（项）：</w:t>
      </w:r>
      <w:r>
        <w:rPr>
          <w:rFonts w:hint="eastAsia" w:ascii="Times New Roman" w:hAnsi="Times New Roman" w:eastAsia="仿宋_GB2312" w:cs="仿宋_GB2312"/>
          <w:sz w:val="32"/>
          <w:szCs w:val="32"/>
          <w:lang w:val="en-US" w:eastAsia="zh-CN"/>
        </w:rPr>
        <w:t>指按照《住房公积金管理条例》的规定，由单位及其在职职工缴存的长期住房储金。</w:t>
      </w:r>
      <w:r>
        <w:rPr>
          <w:rFonts w:hint="eastAsia" w:ascii="Times New Roman" w:hAnsi="Times New Roman" w:eastAsia="仿宋_GB2312" w:cs="仿宋_GB2312"/>
          <w:sz w:val="32"/>
          <w:szCs w:val="32"/>
          <w:lang w:val="en-US" w:eastAsia="zh-CN"/>
        </w:rPr>
        <w:br w:type="textWrapping"/>
      </w:r>
      <w:r>
        <w:rPr>
          <w:rFonts w:hint="eastAsia" w:ascii="Times New Roman" w:hAnsi="Times New Roman" w:eastAsia="仿宋_GB2312" w:cs="仿宋_GB2312"/>
          <w:sz w:val="32"/>
          <w:szCs w:val="32"/>
          <w:lang w:val="en-US" w:eastAsia="zh-CN"/>
        </w:rPr>
        <w:t>　　</w:t>
      </w:r>
      <w:r>
        <w:rPr>
          <w:rFonts w:hint="eastAsia" w:ascii="Times New Roman" w:hAnsi="Times New Roman" w:eastAsia="楷体_GB2312" w:cs="楷体_GB2312"/>
          <w:sz w:val="32"/>
          <w:szCs w:val="32"/>
          <w:lang w:val="en-US" w:eastAsia="zh-CN"/>
        </w:rPr>
        <w:t>（六）基本支出：</w:t>
      </w:r>
      <w:r>
        <w:rPr>
          <w:rFonts w:hint="eastAsia" w:ascii="Times New Roman" w:hAnsi="Times New Roman" w:eastAsia="仿宋_GB2312" w:cs="仿宋_GB2312"/>
          <w:sz w:val="32"/>
          <w:szCs w:val="32"/>
          <w:lang w:val="en-US" w:eastAsia="zh-CN"/>
        </w:rPr>
        <w:t>指为保证机构正常运转，完成日常工作任务而发生的人员支出和公用支出。</w:t>
      </w:r>
      <w:r>
        <w:rPr>
          <w:rFonts w:hint="eastAsia" w:ascii="Times New Roman" w:hAnsi="Times New Roman" w:eastAsia="仿宋_GB2312" w:cs="仿宋_GB2312"/>
          <w:sz w:val="32"/>
          <w:szCs w:val="32"/>
          <w:lang w:val="en-US" w:eastAsia="zh-CN"/>
        </w:rPr>
        <w:br w:type="textWrapping"/>
      </w:r>
      <w:r>
        <w:rPr>
          <w:rFonts w:hint="eastAsia" w:ascii="Times New Roman" w:hAnsi="Times New Roman" w:eastAsia="仿宋_GB2312" w:cs="仿宋_GB2312"/>
          <w:sz w:val="32"/>
          <w:szCs w:val="32"/>
          <w:lang w:val="en-US" w:eastAsia="zh-CN"/>
        </w:rPr>
        <w:t>　　</w:t>
      </w:r>
      <w:r>
        <w:rPr>
          <w:rFonts w:hint="eastAsia" w:ascii="Times New Roman" w:hAnsi="Times New Roman" w:eastAsia="楷体_GB2312" w:cs="楷体_GB2312"/>
          <w:sz w:val="32"/>
          <w:szCs w:val="32"/>
          <w:lang w:val="en-US" w:eastAsia="zh-CN"/>
        </w:rPr>
        <w:t>（七）项目支出：</w:t>
      </w:r>
      <w:r>
        <w:rPr>
          <w:rFonts w:hint="eastAsia" w:ascii="Times New Roman" w:hAnsi="Times New Roman" w:eastAsia="仿宋_GB2312" w:cs="仿宋_GB2312"/>
          <w:sz w:val="32"/>
          <w:szCs w:val="32"/>
          <w:lang w:val="en-US" w:eastAsia="zh-CN"/>
        </w:rPr>
        <w:t>指在基本支出之外为完成特定行政任务和事业发展目标所发生的支出。</w:t>
      </w:r>
    </w:p>
    <w:p w14:paraId="49345E6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p>
    <w:p w14:paraId="3558EFE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附件：1.部门预算公开表</w:t>
      </w:r>
    </w:p>
    <w:p w14:paraId="5A2C211B">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2.项目支出绩效目标表</w:t>
      </w:r>
    </w:p>
    <w:p w14:paraId="0A6CD112">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3.部门整体支出绩效目标表</w:t>
      </w:r>
    </w:p>
    <w:p w14:paraId="7F39C556">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Times New Roman" w:hAnsi="Times New Roman" w:eastAsia="仿宋_GB2312" w:cs="仿宋_GB2312"/>
          <w:b/>
          <w:bCs/>
          <w:sz w:val="32"/>
          <w:szCs w:val="32"/>
          <w:lang w:eastAsia="zh-CN"/>
        </w:rPr>
      </w:pPr>
    </w:p>
    <w:sectPr>
      <w:footerReference r:id="rId3" w:type="default"/>
      <w:pgSz w:w="11906" w:h="16838"/>
      <w:pgMar w:top="2098" w:right="1474" w:bottom="1984" w:left="1587" w:header="720" w:footer="1559"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Liberation Sans">
    <w:altName w:val="Segoe Print"/>
    <w:panose1 w:val="020B0604020202020204"/>
    <w:charset w:val="00"/>
    <w:family w:val="swiss"/>
    <w:pitch w:val="default"/>
    <w:sig w:usb0="00000000" w:usb1="00000000" w:usb2="00000000" w:usb3="00000000" w:csb0="6000009F" w:csb1="DFD70000"/>
  </w:font>
  <w:font w:name="Segoe Print">
    <w:panose1 w:val="02000600000000000000"/>
    <w:charset w:val="00"/>
    <w:family w:val="auto"/>
    <w:pitch w:val="default"/>
    <w:sig w:usb0="0000028F" w:usb1="00000000" w:usb2="00000000" w:usb3="00000000" w:csb0="2000009F" w:csb1="4701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F25E6">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FE879C0">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v:fill on="f" focussize="0,0"/>
              <v:stroke on="f"/>
              <v:imagedata o:title=""/>
              <o:lock v:ext="edit" aspectratio="f"/>
              <v:textbox inset="0mm,0mm,0mm,0mm" style="mso-fit-shape-to-text:t;">
                <w:txbxContent>
                  <w:p w14:paraId="0FE879C0">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713763"/>
    <w:multiLevelType w:val="singleLevel"/>
    <w:tmpl w:val="89713763"/>
    <w:lvl w:ilvl="0" w:tentative="0">
      <w:start w:val="2"/>
      <w:numFmt w:val="chineseCounting"/>
      <w:suff w:val="nothing"/>
      <w:lvlText w:val="（%1）"/>
      <w:lvlJc w:val="left"/>
      <w:rPr>
        <w:rFonts w:hint="eastAsia"/>
      </w:rPr>
    </w:lvl>
  </w:abstractNum>
  <w:abstractNum w:abstractNumId="1">
    <w:nsid w:val="5BFCE1D6"/>
    <w:multiLevelType w:val="singleLevel"/>
    <w:tmpl w:val="5BFCE1D6"/>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1"/>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wYmQ3N2FhZmE1Yjg0OGFkNTU5NTg3M2QzNjJlMDgifQ=="/>
  </w:docVars>
  <w:rsids>
    <w:rsidRoot w:val="00000000"/>
    <w:rsid w:val="012352D1"/>
    <w:rsid w:val="09B72FD5"/>
    <w:rsid w:val="0B895764"/>
    <w:rsid w:val="0C163D06"/>
    <w:rsid w:val="122F1CA3"/>
    <w:rsid w:val="1569685B"/>
    <w:rsid w:val="1F7BF06F"/>
    <w:rsid w:val="1F941167"/>
    <w:rsid w:val="1FEE4B73"/>
    <w:rsid w:val="23CE9849"/>
    <w:rsid w:val="28514A31"/>
    <w:rsid w:val="2ABA348E"/>
    <w:rsid w:val="2DE775BB"/>
    <w:rsid w:val="2F044C0A"/>
    <w:rsid w:val="2F940E8D"/>
    <w:rsid w:val="357F21C9"/>
    <w:rsid w:val="39F304DD"/>
    <w:rsid w:val="3BE32B48"/>
    <w:rsid w:val="3DD82F3F"/>
    <w:rsid w:val="40D64E37"/>
    <w:rsid w:val="434D21CE"/>
    <w:rsid w:val="4D03507E"/>
    <w:rsid w:val="52C74B96"/>
    <w:rsid w:val="54244390"/>
    <w:rsid w:val="54662A63"/>
    <w:rsid w:val="546C167E"/>
    <w:rsid w:val="58064E12"/>
    <w:rsid w:val="5BFEE015"/>
    <w:rsid w:val="5E2A42C0"/>
    <w:rsid w:val="5EAB07C2"/>
    <w:rsid w:val="63EDCF55"/>
    <w:rsid w:val="63FBFBCF"/>
    <w:rsid w:val="669360FD"/>
    <w:rsid w:val="68F22145"/>
    <w:rsid w:val="68FF6A83"/>
    <w:rsid w:val="6FBBC9CF"/>
    <w:rsid w:val="72BDE561"/>
    <w:rsid w:val="763838EB"/>
    <w:rsid w:val="770D6B57"/>
    <w:rsid w:val="78462278"/>
    <w:rsid w:val="7997EA6C"/>
    <w:rsid w:val="7AEAE675"/>
    <w:rsid w:val="7BAFCE5D"/>
    <w:rsid w:val="7C523723"/>
    <w:rsid w:val="7D2A22E5"/>
    <w:rsid w:val="7D46598C"/>
    <w:rsid w:val="7DFB240B"/>
    <w:rsid w:val="7E0935ED"/>
    <w:rsid w:val="7EE75FF9"/>
    <w:rsid w:val="7FCF2AF7"/>
    <w:rsid w:val="9FEF033D"/>
    <w:rsid w:val="A27FF1E5"/>
    <w:rsid w:val="AFDEB5A7"/>
    <w:rsid w:val="AFEA7FBF"/>
    <w:rsid w:val="B83F4767"/>
    <w:rsid w:val="BF930F07"/>
    <w:rsid w:val="BFCE8436"/>
    <w:rsid w:val="C3F7EB7A"/>
    <w:rsid w:val="CFF5FEEC"/>
    <w:rsid w:val="D3DD9064"/>
    <w:rsid w:val="D6F76A0C"/>
    <w:rsid w:val="D7ECE8D2"/>
    <w:rsid w:val="DFDD4FB5"/>
    <w:rsid w:val="E7F748B5"/>
    <w:rsid w:val="EE5F3713"/>
    <w:rsid w:val="EFC9D62C"/>
    <w:rsid w:val="F6BE9755"/>
    <w:rsid w:val="F6FFA89B"/>
    <w:rsid w:val="FAE4EFE1"/>
    <w:rsid w:val="FB9B6F12"/>
    <w:rsid w:val="FBB66A4A"/>
    <w:rsid w:val="FDEE6989"/>
    <w:rsid w:val="FF5E7DB8"/>
    <w:rsid w:val="FF77E367"/>
    <w:rsid w:val="FFD576EB"/>
    <w:rsid w:val="FFFBE8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2">
    <w:name w:val="Default Paragraph Font"/>
    <w:autoRedefine/>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420" w:firstLineChars="200"/>
    </w:pPr>
  </w:style>
  <w:style w:type="paragraph" w:styleId="3">
    <w:name w:val="Body Text Indent"/>
    <w:basedOn w:val="1"/>
    <w:next w:val="4"/>
    <w:unhideWhenUsed/>
    <w:qFormat/>
    <w:uiPriority w:val="99"/>
    <w:pPr>
      <w:spacing w:after="120"/>
      <w:ind w:left="420" w:leftChars="200"/>
    </w:pPr>
  </w:style>
  <w:style w:type="paragraph" w:styleId="4">
    <w:name w:val="Normal Indent"/>
    <w:basedOn w:val="1"/>
    <w:unhideWhenUsed/>
    <w:qFormat/>
    <w:uiPriority w:val="99"/>
    <w:pPr>
      <w:spacing w:line="300" w:lineRule="auto"/>
      <w:ind w:firstLine="482" w:firstLineChars="200"/>
    </w:pPr>
    <w:rPr>
      <w:rFonts w:ascii="宋体" w:cs="宋体"/>
      <w:kern w:val="0"/>
      <w:sz w:val="24"/>
      <w:szCs w:val="24"/>
      <w:lang w:val="zh-CN"/>
    </w:rPr>
  </w:style>
  <w:style w:type="paragraph" w:styleId="5">
    <w:name w:val="caption"/>
    <w:basedOn w:val="1"/>
    <w:autoRedefine/>
    <w:qFormat/>
    <w:uiPriority w:val="0"/>
    <w:pPr>
      <w:widowControl w:val="0"/>
      <w:suppressLineNumbers/>
      <w:suppressAutoHyphens/>
      <w:spacing w:before="120" w:after="120"/>
    </w:pPr>
    <w:rPr>
      <w:i/>
      <w:iCs/>
      <w:sz w:val="24"/>
      <w:szCs w:val="24"/>
    </w:rPr>
  </w:style>
  <w:style w:type="paragraph" w:styleId="6">
    <w:name w:val="Body Text"/>
    <w:basedOn w:val="1"/>
    <w:autoRedefine/>
    <w:qFormat/>
    <w:uiPriority w:val="0"/>
    <w:pPr>
      <w:spacing w:before="0" w:after="140" w:line="276" w:lineRule="auto"/>
    </w:p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List"/>
    <w:basedOn w:val="6"/>
    <w:autoRedefine/>
    <w:qFormat/>
    <w:uiPriority w:val="0"/>
  </w:style>
  <w:style w:type="paragraph" w:styleId="10">
    <w:name w:val="Normal (Web)"/>
    <w:basedOn w:val="1"/>
    <w:autoRedefine/>
    <w:qFormat/>
    <w:uiPriority w:val="0"/>
    <w:rPr>
      <w:sz w:val="24"/>
    </w:rPr>
  </w:style>
  <w:style w:type="character" w:customStyle="1" w:styleId="13">
    <w:name w:val="默认段落字体1"/>
    <w:autoRedefine/>
    <w:qFormat/>
    <w:uiPriority w:val="0"/>
  </w:style>
  <w:style w:type="paragraph" w:customStyle="1" w:styleId="14">
    <w:name w:val="Heading"/>
    <w:basedOn w:val="1"/>
    <w:next w:val="6"/>
    <w:autoRedefine/>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5">
    <w:name w:val="Index"/>
    <w:basedOn w:val="1"/>
    <w:autoRedefine/>
    <w:qFormat/>
    <w:uiPriority w:val="0"/>
    <w:pPr>
      <w:widowControl w:val="0"/>
      <w:suppressLineNumbers/>
      <w:suppressAutoHyphens/>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10</Pages>
  <Words>3500</Words>
  <Characters>4825</Characters>
  <TotalTime>1</TotalTime>
  <ScaleCrop>false</ScaleCrop>
  <LinksUpToDate>false</LinksUpToDate>
  <CharactersWithSpaces>4846</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2018-11-29T09:47:00Z</dcterms:created>
  <dc:creator>admin</dc:creator>
  <cp:lastModifiedBy>Administrator</cp:lastModifiedBy>
  <dcterms:modified xsi:type="dcterms:W3CDTF">2025-02-12T02:57:13Z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96081F72B7444D3C8C1C7DDAED24732C_13</vt:lpwstr>
  </property>
  <property fmtid="{D5CDD505-2E9C-101B-9397-08002B2CF9AE}" pid="4" name="KSOTemplateDocerSaveRecord">
    <vt:lpwstr>eyJoZGlkIjoiYjZjMGNiOTVjZTA5ZDYyM2ZiMDViMTVkMmUxYjkwYTIifQ==</vt:lpwstr>
  </property>
</Properties>
</file>