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0B1658">
      <w:pPr>
        <w:jc w:val="center"/>
        <w:outlineLvl w:val="0"/>
        <w:rPr>
          <w:rFonts w:hint="eastAsia" w:ascii="方正小标宋简体" w:hAnsi="方正小标宋简体" w:eastAsia="方正小标宋简体" w:cs="方正小标宋简体"/>
          <w:i w:val="0"/>
          <w:caps w:val="0"/>
          <w:color w:val="000000" w:themeColor="text1"/>
          <w:spacing w:val="0"/>
          <w:kern w:val="0"/>
          <w:sz w:val="44"/>
          <w:szCs w:val="44"/>
          <w:highlight w:val="none"/>
          <w:shd w:val="clear" w:color="auto" w:fill="FFFFFF"/>
          <w:lang w:val="en-US" w:eastAsia="zh-CN"/>
          <w14:textFill>
            <w14:solidFill>
              <w14:schemeClr w14:val="tx1"/>
            </w14:solidFill>
          </w14:textFill>
        </w:rPr>
      </w:pPr>
      <w:bookmarkStart w:id="0" w:name="_Toc10689"/>
      <w:r>
        <w:rPr>
          <w:rFonts w:hint="eastAsia" w:ascii="方正小标宋简体" w:hAnsi="方正小标宋简体" w:eastAsia="方正小标宋简体" w:cs="方正小标宋简体"/>
          <w:i w:val="0"/>
          <w:caps w:val="0"/>
          <w:color w:val="000000" w:themeColor="text1"/>
          <w:spacing w:val="0"/>
          <w:kern w:val="0"/>
          <w:sz w:val="44"/>
          <w:szCs w:val="44"/>
          <w:highlight w:val="none"/>
          <w:shd w:val="clear" w:color="auto" w:fill="FFFFFF"/>
          <w:lang w:val="en-US" w:eastAsia="zh-CN"/>
          <w14:textFill>
            <w14:solidFill>
              <w14:schemeClr w14:val="tx1"/>
            </w14:solidFill>
          </w14:textFill>
        </w:rPr>
        <w:t>中共广元市昭化区委社会工作部</w:t>
      </w:r>
      <w:bookmarkEnd w:id="0"/>
    </w:p>
    <w:p w14:paraId="2B0A690A">
      <w:pPr>
        <w:jc w:val="center"/>
        <w:rPr>
          <w:rFonts w:hint="eastAsia" w:ascii="方正小标宋简体" w:hAnsi="方正小标宋简体" w:eastAsia="方正小标宋简体" w:cs="方正小标宋简体"/>
          <w:i w:val="0"/>
          <w:caps w:val="0"/>
          <w:color w:val="000000" w:themeColor="text1"/>
          <w:spacing w:val="0"/>
          <w:kern w:val="0"/>
          <w:sz w:val="44"/>
          <w:szCs w:val="44"/>
          <w:highlight w:val="none"/>
          <w:shd w:val="clear" w:color="auto" w:fill="FFFFFF"/>
          <w:lang w:val="en-US" w:eastAsia="zh-CN"/>
          <w14:textFill>
            <w14:solidFill>
              <w14:schemeClr w14:val="tx1"/>
            </w14:solidFill>
          </w14:textFill>
        </w:rPr>
      </w:pPr>
      <w:r>
        <w:rPr>
          <w:rFonts w:hint="eastAsia" w:ascii="方正小标宋简体" w:hAnsi="方正小标宋简体" w:eastAsia="方正小标宋简体" w:cs="方正小标宋简体"/>
          <w:i w:val="0"/>
          <w:caps w:val="0"/>
          <w:color w:val="000000" w:themeColor="text1"/>
          <w:spacing w:val="0"/>
          <w:kern w:val="0"/>
          <w:sz w:val="44"/>
          <w:szCs w:val="44"/>
          <w:highlight w:val="none"/>
          <w:shd w:val="clear" w:color="auto" w:fill="FFFFFF"/>
          <w:lang w:val="en-US" w:eastAsia="zh-CN"/>
          <w14:textFill>
            <w14:solidFill>
              <w14:schemeClr w14:val="tx1"/>
            </w14:solidFill>
          </w14:textFill>
        </w:rPr>
        <w:t>2025年部门预算编制说明</w:t>
      </w:r>
    </w:p>
    <w:p w14:paraId="4C43EEBD">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t>目   录</w:t>
      </w:r>
    </w:p>
    <w:sdt>
      <w:sdtPr>
        <w:rPr>
          <w:rFonts w:ascii="宋体" w:hAnsi="宋体" w:eastAsia="宋体" w:cs="Times New Roman"/>
          <w:color w:val="auto"/>
          <w:kern w:val="2"/>
          <w:sz w:val="21"/>
          <w:szCs w:val="24"/>
          <w:lang w:val="en-US" w:eastAsia="zh-CN" w:bidi="ar-SA"/>
        </w:rPr>
        <w:id w:val="147476891"/>
        <w15:color w:val="DBDBDB"/>
        <w:docPartObj>
          <w:docPartGallery w:val="Table of Contents"/>
          <w:docPartUnique/>
        </w:docPartObj>
      </w:sdtPr>
      <w:sdtEndPr>
        <w:rPr>
          <w:rFonts w:hint="eastAsia" w:ascii="仿宋_GB2312" w:hAnsi="仿宋_GB2312" w:eastAsia="仿宋_GB2312" w:cs="仿宋_GB2312"/>
          <w:b w:val="0"/>
          <w:bCs w:val="0"/>
          <w:i w:val="0"/>
          <w:caps w:val="0"/>
          <w:color w:val="000000" w:themeColor="text1"/>
          <w:spacing w:val="0"/>
          <w:kern w:val="0"/>
          <w:sz w:val="32"/>
          <w:szCs w:val="32"/>
          <w:highlight w:val="none"/>
          <w:shd w:val="clear" w:color="auto" w:fill="FFFFFF"/>
          <w:lang w:val="en-US" w:eastAsia="zh-CN" w:bidi="ar-SA"/>
          <w14:textFill>
            <w14:solidFill>
              <w14:schemeClr w14:val="tx1"/>
            </w14:solidFill>
          </w14:textFill>
        </w:rPr>
      </w:sdtEndPr>
      <w:sdtContent>
        <w:p w14:paraId="623DE7E7">
          <w:pPr>
            <w:spacing w:before="0" w:beforeLines="0" w:after="0" w:afterLines="0" w:line="240" w:lineRule="auto"/>
            <w:ind w:left="0" w:leftChars="0" w:right="0" w:rightChars="0" w:firstLine="0" w:firstLineChars="0"/>
            <w:jc w:val="center"/>
          </w:pPr>
        </w:p>
        <w:p w14:paraId="7D74B088">
          <w:pPr>
            <w:pStyle w:val="17"/>
            <w:tabs>
              <w:tab w:val="right" w:leader="dot" w:pos="8845"/>
            </w:tabs>
            <w:rPr>
              <w:b w:val="0"/>
              <w:bCs w:val="0"/>
              <w:sz w:val="32"/>
              <w:szCs w:val="32"/>
            </w:rPr>
          </w:pPr>
          <w:r>
            <w:rPr>
              <w:rFonts w:hint="eastAsia" w:ascii="仿宋_GB2312" w:hAnsi="仿宋_GB2312" w:eastAsia="仿宋_GB2312" w:cs="仿宋_GB2312"/>
              <w:b w:val="0"/>
              <w:bCs w:val="0"/>
              <w:i w:val="0"/>
              <w:caps w:val="0"/>
              <w:color w:val="000000" w:themeColor="text1"/>
              <w:spacing w:val="0"/>
              <w:kern w:val="0"/>
              <w:sz w:val="32"/>
              <w:szCs w:val="32"/>
              <w:highlight w:val="none"/>
              <w:lang w:val="en-US" w:eastAsia="zh-CN"/>
              <w14:textFill>
                <w14:solidFill>
                  <w14:schemeClr w14:val="tx1"/>
                </w14:solidFill>
              </w14:textFill>
            </w:rPr>
            <w:fldChar w:fldCharType="begin"/>
          </w:r>
          <w:r>
            <w:rPr>
              <w:rFonts w:hint="eastAsia" w:ascii="仿宋_GB2312" w:hAnsi="仿宋_GB2312" w:eastAsia="仿宋_GB2312" w:cs="仿宋_GB2312"/>
              <w:b w:val="0"/>
              <w:bCs w:val="0"/>
              <w:i w:val="0"/>
              <w:caps w:val="0"/>
              <w:color w:val="000000" w:themeColor="text1"/>
              <w:spacing w:val="0"/>
              <w:kern w:val="0"/>
              <w:sz w:val="32"/>
              <w:szCs w:val="32"/>
              <w:highlight w:val="none"/>
              <w:lang w:val="en-US" w:eastAsia="zh-CN"/>
              <w14:textFill>
                <w14:solidFill>
                  <w14:schemeClr w14:val="tx1"/>
                </w14:solidFill>
              </w14:textFill>
            </w:rPr>
            <w:instrText xml:space="preserve">TOC \o "1-2" \h \u</w:instrText>
          </w:r>
          <w:r>
            <w:rPr>
              <w:rFonts w:hint="eastAsia" w:ascii="仿宋_GB2312" w:hAnsi="仿宋_GB2312" w:eastAsia="仿宋_GB2312" w:cs="仿宋_GB2312"/>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fldChar w:fldCharType="separate"/>
          </w:r>
          <w:r>
            <w:fldChar w:fldCharType="begin"/>
          </w:r>
          <w:r>
            <w:instrText xml:space="preserve"> HYPERLINK \l "_Toc10024" </w:instrText>
          </w:r>
          <w:r>
            <w:fldChar w:fldCharType="separate"/>
          </w:r>
          <w:r>
            <w:rPr>
              <w:rFonts w:hint="eastAsia" w:ascii="黑体" w:hAnsi="黑体" w:eastAsia="黑体" w:cs="黑体"/>
              <w:b w:val="0"/>
              <w:bCs w:val="0"/>
              <w:sz w:val="32"/>
              <w:szCs w:val="32"/>
              <w:lang w:val="en-US" w:eastAsia="zh-CN"/>
            </w:rPr>
            <w:t>一、基本职能及主要工作</w:t>
          </w:r>
          <w:r>
            <w:rPr>
              <w:b w:val="0"/>
              <w:bCs w:val="0"/>
              <w:sz w:val="32"/>
              <w:szCs w:val="32"/>
            </w:rPr>
            <w:tab/>
          </w:r>
          <w:r>
            <w:rPr>
              <w:b w:val="0"/>
              <w:bCs w:val="0"/>
              <w:sz w:val="32"/>
              <w:szCs w:val="32"/>
            </w:rPr>
            <w:fldChar w:fldCharType="begin"/>
          </w:r>
          <w:r>
            <w:rPr>
              <w:b w:val="0"/>
              <w:bCs w:val="0"/>
              <w:sz w:val="32"/>
              <w:szCs w:val="32"/>
            </w:rPr>
            <w:instrText xml:space="preserve"> PAGEREF _Toc10024 \h </w:instrText>
          </w:r>
          <w:r>
            <w:rPr>
              <w:b w:val="0"/>
              <w:bCs w:val="0"/>
              <w:sz w:val="32"/>
              <w:szCs w:val="32"/>
            </w:rPr>
            <w:fldChar w:fldCharType="separate"/>
          </w:r>
          <w:r>
            <w:rPr>
              <w:b w:val="0"/>
              <w:bCs w:val="0"/>
              <w:sz w:val="32"/>
              <w:szCs w:val="32"/>
            </w:rPr>
            <w:t>1</w:t>
          </w:r>
          <w:r>
            <w:rPr>
              <w:b w:val="0"/>
              <w:bCs w:val="0"/>
              <w:sz w:val="32"/>
              <w:szCs w:val="32"/>
            </w:rPr>
            <w:fldChar w:fldCharType="end"/>
          </w:r>
          <w:r>
            <w:rPr>
              <w:b w:val="0"/>
              <w:bCs w:val="0"/>
              <w:sz w:val="32"/>
              <w:szCs w:val="32"/>
            </w:rPr>
            <w:fldChar w:fldCharType="end"/>
          </w:r>
        </w:p>
        <w:p w14:paraId="616AFF27">
          <w:pPr>
            <w:pStyle w:val="18"/>
            <w:tabs>
              <w:tab w:val="right" w:leader="dot" w:pos="8845"/>
            </w:tabs>
            <w:rPr>
              <w:b w:val="0"/>
              <w:bCs w:val="0"/>
              <w:sz w:val="32"/>
              <w:szCs w:val="32"/>
            </w:rPr>
          </w:pPr>
          <w:r>
            <w:fldChar w:fldCharType="begin"/>
          </w:r>
          <w:r>
            <w:instrText xml:space="preserve"> HYPERLINK \l "_Toc24941" </w:instrText>
          </w:r>
          <w:r>
            <w:fldChar w:fldCharType="separate"/>
          </w:r>
          <w:r>
            <w:rPr>
              <w:rFonts w:hint="eastAsia" w:ascii="Times New Roman" w:hAnsi="Times New Roman" w:eastAsia="楷体_GB2312" w:cs="Times New Roman"/>
              <w:b w:val="0"/>
              <w:bCs w:val="0"/>
              <w:sz w:val="32"/>
              <w:szCs w:val="32"/>
              <w:lang w:val="en-US" w:eastAsia="zh-CN"/>
            </w:rPr>
            <w:t>（一）单位职能简介</w:t>
          </w:r>
          <w:r>
            <w:rPr>
              <w:b w:val="0"/>
              <w:bCs w:val="0"/>
              <w:sz w:val="32"/>
              <w:szCs w:val="32"/>
            </w:rPr>
            <w:tab/>
          </w:r>
          <w:r>
            <w:rPr>
              <w:b w:val="0"/>
              <w:bCs w:val="0"/>
              <w:sz w:val="32"/>
              <w:szCs w:val="32"/>
            </w:rPr>
            <w:fldChar w:fldCharType="begin"/>
          </w:r>
          <w:r>
            <w:rPr>
              <w:b w:val="0"/>
              <w:bCs w:val="0"/>
              <w:sz w:val="32"/>
              <w:szCs w:val="32"/>
            </w:rPr>
            <w:instrText xml:space="preserve"> PAGEREF _Toc24941 \h </w:instrText>
          </w:r>
          <w:r>
            <w:rPr>
              <w:b w:val="0"/>
              <w:bCs w:val="0"/>
              <w:sz w:val="32"/>
              <w:szCs w:val="32"/>
            </w:rPr>
            <w:fldChar w:fldCharType="separate"/>
          </w:r>
          <w:r>
            <w:rPr>
              <w:b w:val="0"/>
              <w:bCs w:val="0"/>
              <w:sz w:val="32"/>
              <w:szCs w:val="32"/>
            </w:rPr>
            <w:t>1</w:t>
          </w:r>
          <w:r>
            <w:rPr>
              <w:b w:val="0"/>
              <w:bCs w:val="0"/>
              <w:sz w:val="32"/>
              <w:szCs w:val="32"/>
            </w:rPr>
            <w:fldChar w:fldCharType="end"/>
          </w:r>
          <w:r>
            <w:rPr>
              <w:b w:val="0"/>
              <w:bCs w:val="0"/>
              <w:sz w:val="32"/>
              <w:szCs w:val="32"/>
            </w:rPr>
            <w:fldChar w:fldCharType="end"/>
          </w:r>
        </w:p>
        <w:p w14:paraId="1A8556D2">
          <w:pPr>
            <w:pStyle w:val="18"/>
            <w:tabs>
              <w:tab w:val="right" w:leader="dot" w:pos="8845"/>
            </w:tabs>
            <w:rPr>
              <w:b w:val="0"/>
              <w:bCs w:val="0"/>
              <w:sz w:val="32"/>
              <w:szCs w:val="32"/>
            </w:rPr>
          </w:pPr>
          <w:r>
            <w:fldChar w:fldCharType="begin"/>
          </w:r>
          <w:r>
            <w:instrText xml:space="preserve"> HYPERLINK \l "_Toc28898" </w:instrText>
          </w:r>
          <w:r>
            <w:fldChar w:fldCharType="separate"/>
          </w:r>
          <w:r>
            <w:rPr>
              <w:rFonts w:hint="eastAsia" w:ascii="Times New Roman" w:hAnsi="Times New Roman" w:eastAsia="楷体_GB2312" w:cs="Times New Roman"/>
              <w:b w:val="0"/>
              <w:bCs w:val="0"/>
              <w:sz w:val="32"/>
              <w:szCs w:val="32"/>
              <w:lang w:val="en-US" w:eastAsia="zh-CN"/>
            </w:rPr>
            <w:t>（二）单位2025年重点工作</w:t>
          </w:r>
          <w:r>
            <w:rPr>
              <w:b w:val="0"/>
              <w:bCs w:val="0"/>
              <w:sz w:val="32"/>
              <w:szCs w:val="32"/>
            </w:rPr>
            <w:tab/>
          </w:r>
          <w:r>
            <w:rPr>
              <w:b w:val="0"/>
              <w:bCs w:val="0"/>
              <w:sz w:val="32"/>
              <w:szCs w:val="32"/>
            </w:rPr>
            <w:fldChar w:fldCharType="begin"/>
          </w:r>
          <w:r>
            <w:rPr>
              <w:b w:val="0"/>
              <w:bCs w:val="0"/>
              <w:sz w:val="32"/>
              <w:szCs w:val="32"/>
            </w:rPr>
            <w:instrText xml:space="preserve"> PAGEREF _Toc28898 \h </w:instrText>
          </w:r>
          <w:r>
            <w:rPr>
              <w:b w:val="0"/>
              <w:bCs w:val="0"/>
              <w:sz w:val="32"/>
              <w:szCs w:val="32"/>
            </w:rPr>
            <w:fldChar w:fldCharType="separate"/>
          </w:r>
          <w:r>
            <w:rPr>
              <w:b w:val="0"/>
              <w:bCs w:val="0"/>
              <w:sz w:val="32"/>
              <w:szCs w:val="32"/>
            </w:rPr>
            <w:t>2</w:t>
          </w:r>
          <w:r>
            <w:rPr>
              <w:b w:val="0"/>
              <w:bCs w:val="0"/>
              <w:sz w:val="32"/>
              <w:szCs w:val="32"/>
            </w:rPr>
            <w:fldChar w:fldCharType="end"/>
          </w:r>
          <w:r>
            <w:rPr>
              <w:b w:val="0"/>
              <w:bCs w:val="0"/>
              <w:sz w:val="32"/>
              <w:szCs w:val="32"/>
            </w:rPr>
            <w:fldChar w:fldCharType="end"/>
          </w:r>
        </w:p>
        <w:p w14:paraId="00E164E6">
          <w:pPr>
            <w:pStyle w:val="17"/>
            <w:tabs>
              <w:tab w:val="right" w:leader="dot" w:pos="8845"/>
            </w:tabs>
            <w:rPr>
              <w:b w:val="0"/>
              <w:bCs w:val="0"/>
              <w:sz w:val="32"/>
              <w:szCs w:val="32"/>
            </w:rPr>
          </w:pPr>
          <w:r>
            <w:fldChar w:fldCharType="begin"/>
          </w:r>
          <w:r>
            <w:instrText xml:space="preserve"> HYPERLINK \l "_Toc18088" </w:instrText>
          </w:r>
          <w:r>
            <w:fldChar w:fldCharType="separate"/>
          </w:r>
          <w:r>
            <w:rPr>
              <w:rFonts w:hint="eastAsia" w:ascii="黑体" w:hAnsi="黑体" w:eastAsia="黑体" w:cs="黑体"/>
              <w:b w:val="0"/>
              <w:bCs w:val="0"/>
              <w:sz w:val="32"/>
              <w:szCs w:val="32"/>
              <w:lang w:val="en-US" w:eastAsia="zh-CN"/>
            </w:rPr>
            <w:t>二、部门预算单位构成</w:t>
          </w:r>
          <w:r>
            <w:rPr>
              <w:b w:val="0"/>
              <w:bCs w:val="0"/>
              <w:sz w:val="32"/>
              <w:szCs w:val="32"/>
            </w:rPr>
            <w:tab/>
          </w:r>
          <w:r>
            <w:rPr>
              <w:b w:val="0"/>
              <w:bCs w:val="0"/>
              <w:sz w:val="32"/>
              <w:szCs w:val="32"/>
            </w:rPr>
            <w:fldChar w:fldCharType="begin"/>
          </w:r>
          <w:r>
            <w:rPr>
              <w:b w:val="0"/>
              <w:bCs w:val="0"/>
              <w:sz w:val="32"/>
              <w:szCs w:val="32"/>
            </w:rPr>
            <w:instrText xml:space="preserve"> PAGEREF _Toc18088 \h </w:instrText>
          </w:r>
          <w:r>
            <w:rPr>
              <w:b w:val="0"/>
              <w:bCs w:val="0"/>
              <w:sz w:val="32"/>
              <w:szCs w:val="32"/>
            </w:rPr>
            <w:fldChar w:fldCharType="separate"/>
          </w:r>
          <w:r>
            <w:rPr>
              <w:b w:val="0"/>
              <w:bCs w:val="0"/>
              <w:sz w:val="32"/>
              <w:szCs w:val="32"/>
            </w:rPr>
            <w:t>4</w:t>
          </w:r>
          <w:r>
            <w:rPr>
              <w:b w:val="0"/>
              <w:bCs w:val="0"/>
              <w:sz w:val="32"/>
              <w:szCs w:val="32"/>
            </w:rPr>
            <w:fldChar w:fldCharType="end"/>
          </w:r>
          <w:r>
            <w:rPr>
              <w:b w:val="0"/>
              <w:bCs w:val="0"/>
              <w:sz w:val="32"/>
              <w:szCs w:val="32"/>
            </w:rPr>
            <w:fldChar w:fldCharType="end"/>
          </w:r>
        </w:p>
        <w:p w14:paraId="05D36968">
          <w:pPr>
            <w:pStyle w:val="17"/>
            <w:tabs>
              <w:tab w:val="right" w:leader="dot" w:pos="8845"/>
            </w:tabs>
            <w:rPr>
              <w:b w:val="0"/>
              <w:bCs w:val="0"/>
              <w:sz w:val="32"/>
              <w:szCs w:val="32"/>
            </w:rPr>
          </w:pPr>
          <w:r>
            <w:fldChar w:fldCharType="begin"/>
          </w:r>
          <w:r>
            <w:instrText xml:space="preserve"> HYPERLINK \l "_Toc15379" </w:instrText>
          </w:r>
          <w:r>
            <w:fldChar w:fldCharType="separate"/>
          </w:r>
          <w:r>
            <w:rPr>
              <w:rFonts w:hint="eastAsia" w:ascii="黑体" w:hAnsi="黑体" w:eastAsia="黑体" w:cs="黑体"/>
              <w:b w:val="0"/>
              <w:bCs w:val="0"/>
              <w:sz w:val="32"/>
              <w:szCs w:val="32"/>
              <w:lang w:val="en-US" w:eastAsia="zh-CN"/>
            </w:rPr>
            <w:t>三、收支预算情况说明</w:t>
          </w:r>
          <w:r>
            <w:rPr>
              <w:b w:val="0"/>
              <w:bCs w:val="0"/>
              <w:sz w:val="32"/>
              <w:szCs w:val="32"/>
            </w:rPr>
            <w:tab/>
          </w:r>
          <w:r>
            <w:rPr>
              <w:b w:val="0"/>
              <w:bCs w:val="0"/>
              <w:sz w:val="32"/>
              <w:szCs w:val="32"/>
            </w:rPr>
            <w:fldChar w:fldCharType="begin"/>
          </w:r>
          <w:r>
            <w:rPr>
              <w:b w:val="0"/>
              <w:bCs w:val="0"/>
              <w:sz w:val="32"/>
              <w:szCs w:val="32"/>
            </w:rPr>
            <w:instrText xml:space="preserve"> PAGEREF _Toc15379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1309F7E8">
          <w:pPr>
            <w:pStyle w:val="18"/>
            <w:tabs>
              <w:tab w:val="right" w:leader="dot" w:pos="8845"/>
            </w:tabs>
            <w:rPr>
              <w:b w:val="0"/>
              <w:bCs w:val="0"/>
              <w:sz w:val="32"/>
              <w:szCs w:val="32"/>
            </w:rPr>
          </w:pPr>
          <w:r>
            <w:fldChar w:fldCharType="begin"/>
          </w:r>
          <w:r>
            <w:instrText xml:space="preserve"> HYPERLINK \l "_Toc11794" </w:instrText>
          </w:r>
          <w:r>
            <w:fldChar w:fldCharType="separate"/>
          </w:r>
          <w:r>
            <w:rPr>
              <w:rFonts w:hint="eastAsia" w:ascii="楷体_GB2312" w:hAnsi="楷体_GB2312" w:eastAsia="楷体_GB2312" w:cs="楷体_GB2312"/>
              <w:b w:val="0"/>
              <w:bCs w:val="0"/>
              <w:sz w:val="32"/>
              <w:szCs w:val="32"/>
              <w:lang w:val="en-US" w:eastAsia="zh-CN"/>
            </w:rPr>
            <w:t>（一）收入预算情况</w:t>
          </w:r>
          <w:r>
            <w:rPr>
              <w:b w:val="0"/>
              <w:bCs w:val="0"/>
              <w:sz w:val="32"/>
              <w:szCs w:val="32"/>
            </w:rPr>
            <w:tab/>
          </w:r>
          <w:r>
            <w:rPr>
              <w:b w:val="0"/>
              <w:bCs w:val="0"/>
              <w:sz w:val="32"/>
              <w:szCs w:val="32"/>
            </w:rPr>
            <w:fldChar w:fldCharType="begin"/>
          </w:r>
          <w:r>
            <w:rPr>
              <w:b w:val="0"/>
              <w:bCs w:val="0"/>
              <w:sz w:val="32"/>
              <w:szCs w:val="32"/>
            </w:rPr>
            <w:instrText xml:space="preserve"> PAGEREF _Toc11794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4E393FEA">
          <w:pPr>
            <w:pStyle w:val="18"/>
            <w:tabs>
              <w:tab w:val="right" w:leader="dot" w:pos="8845"/>
            </w:tabs>
            <w:rPr>
              <w:b w:val="0"/>
              <w:bCs w:val="0"/>
              <w:sz w:val="32"/>
              <w:szCs w:val="32"/>
            </w:rPr>
          </w:pPr>
          <w:r>
            <w:fldChar w:fldCharType="begin"/>
          </w:r>
          <w:r>
            <w:instrText xml:space="preserve"> HYPERLINK \l "_Toc32262" </w:instrText>
          </w:r>
          <w:r>
            <w:fldChar w:fldCharType="separate"/>
          </w:r>
          <w:r>
            <w:rPr>
              <w:rFonts w:hint="eastAsia" w:ascii="楷体_GB2312" w:hAnsi="楷体_GB2312" w:eastAsia="楷体_GB2312" w:cs="楷体_GB2312"/>
              <w:b w:val="0"/>
              <w:bCs w:val="0"/>
              <w:sz w:val="32"/>
              <w:szCs w:val="32"/>
              <w:lang w:val="en-US" w:eastAsia="zh-CN"/>
            </w:rPr>
            <w:t>（二）支出预算情况</w:t>
          </w:r>
          <w:r>
            <w:rPr>
              <w:b w:val="0"/>
              <w:bCs w:val="0"/>
              <w:sz w:val="32"/>
              <w:szCs w:val="32"/>
            </w:rPr>
            <w:tab/>
          </w:r>
          <w:r>
            <w:rPr>
              <w:b w:val="0"/>
              <w:bCs w:val="0"/>
              <w:sz w:val="32"/>
              <w:szCs w:val="32"/>
            </w:rPr>
            <w:fldChar w:fldCharType="begin"/>
          </w:r>
          <w:r>
            <w:rPr>
              <w:b w:val="0"/>
              <w:bCs w:val="0"/>
              <w:sz w:val="32"/>
              <w:szCs w:val="32"/>
            </w:rPr>
            <w:instrText xml:space="preserve"> PAGEREF _Toc32262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2F2F2FD5">
          <w:pPr>
            <w:pStyle w:val="17"/>
            <w:tabs>
              <w:tab w:val="right" w:leader="dot" w:pos="8845"/>
            </w:tabs>
            <w:rPr>
              <w:b w:val="0"/>
              <w:bCs w:val="0"/>
              <w:sz w:val="32"/>
              <w:szCs w:val="32"/>
            </w:rPr>
          </w:pPr>
          <w:r>
            <w:fldChar w:fldCharType="begin"/>
          </w:r>
          <w:r>
            <w:instrText xml:space="preserve"> HYPERLINK \l "_Toc1603" </w:instrText>
          </w:r>
          <w:r>
            <w:fldChar w:fldCharType="separate"/>
          </w:r>
          <w:r>
            <w:rPr>
              <w:rFonts w:hint="eastAsia" w:ascii="黑体" w:hAnsi="黑体" w:eastAsia="黑体" w:cs="黑体"/>
              <w:b w:val="0"/>
              <w:bCs w:val="0"/>
              <w:sz w:val="32"/>
              <w:szCs w:val="32"/>
              <w:lang w:val="en-US" w:eastAsia="zh-CN"/>
            </w:rPr>
            <w:t>四、财政拨款收支预算情况说明</w:t>
          </w:r>
          <w:r>
            <w:rPr>
              <w:b w:val="0"/>
              <w:bCs w:val="0"/>
              <w:sz w:val="32"/>
              <w:szCs w:val="32"/>
            </w:rPr>
            <w:tab/>
          </w:r>
          <w:r>
            <w:rPr>
              <w:b w:val="0"/>
              <w:bCs w:val="0"/>
              <w:sz w:val="32"/>
              <w:szCs w:val="32"/>
            </w:rPr>
            <w:fldChar w:fldCharType="begin"/>
          </w:r>
          <w:r>
            <w:rPr>
              <w:b w:val="0"/>
              <w:bCs w:val="0"/>
              <w:sz w:val="32"/>
              <w:szCs w:val="32"/>
            </w:rPr>
            <w:instrText xml:space="preserve"> PAGEREF _Toc1603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2912F348">
          <w:pPr>
            <w:pStyle w:val="17"/>
            <w:tabs>
              <w:tab w:val="right" w:leader="dot" w:pos="8845"/>
            </w:tabs>
            <w:rPr>
              <w:b w:val="0"/>
              <w:bCs w:val="0"/>
              <w:sz w:val="32"/>
              <w:szCs w:val="32"/>
            </w:rPr>
          </w:pPr>
          <w:r>
            <w:fldChar w:fldCharType="begin"/>
          </w:r>
          <w:r>
            <w:instrText xml:space="preserve"> HYPERLINK \l "_Toc1901" </w:instrText>
          </w:r>
          <w:r>
            <w:fldChar w:fldCharType="separate"/>
          </w:r>
          <w:r>
            <w:rPr>
              <w:rFonts w:hint="eastAsia" w:ascii="黑体" w:hAnsi="黑体" w:eastAsia="黑体" w:cs="黑体"/>
              <w:b w:val="0"/>
              <w:bCs w:val="0"/>
              <w:sz w:val="32"/>
              <w:szCs w:val="32"/>
              <w:lang w:val="en-US" w:eastAsia="zh-CN"/>
            </w:rPr>
            <w:t>五、一般公共预算当年拨款情况说明</w:t>
          </w:r>
          <w:r>
            <w:rPr>
              <w:b w:val="0"/>
              <w:bCs w:val="0"/>
              <w:sz w:val="32"/>
              <w:szCs w:val="32"/>
            </w:rPr>
            <w:tab/>
          </w:r>
          <w:r>
            <w:rPr>
              <w:b w:val="0"/>
              <w:bCs w:val="0"/>
              <w:sz w:val="32"/>
              <w:szCs w:val="32"/>
            </w:rPr>
            <w:fldChar w:fldCharType="begin"/>
          </w:r>
          <w:r>
            <w:rPr>
              <w:b w:val="0"/>
              <w:bCs w:val="0"/>
              <w:sz w:val="32"/>
              <w:szCs w:val="32"/>
            </w:rPr>
            <w:instrText xml:space="preserve"> PAGEREF _Toc1901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0D991553">
          <w:pPr>
            <w:pStyle w:val="18"/>
            <w:tabs>
              <w:tab w:val="right" w:leader="dot" w:pos="8845"/>
            </w:tabs>
            <w:rPr>
              <w:b w:val="0"/>
              <w:bCs w:val="0"/>
              <w:sz w:val="32"/>
              <w:szCs w:val="32"/>
            </w:rPr>
          </w:pPr>
          <w:r>
            <w:fldChar w:fldCharType="begin"/>
          </w:r>
          <w:r>
            <w:instrText xml:space="preserve"> HYPERLINK \l "_Toc28607" </w:instrText>
          </w:r>
          <w:r>
            <w:fldChar w:fldCharType="separate"/>
          </w:r>
          <w:r>
            <w:rPr>
              <w:rFonts w:hint="eastAsia" w:ascii="楷体_GB2312" w:hAnsi="楷体_GB2312" w:eastAsia="楷体_GB2312" w:cs="楷体_GB2312"/>
              <w:b w:val="0"/>
              <w:bCs w:val="0"/>
              <w:sz w:val="32"/>
              <w:szCs w:val="32"/>
              <w:lang w:val="en-US" w:eastAsia="zh-CN"/>
            </w:rPr>
            <w:t>（一）一般公共预算当年拨款规模变化情况</w:t>
          </w:r>
          <w:r>
            <w:rPr>
              <w:b w:val="0"/>
              <w:bCs w:val="0"/>
              <w:sz w:val="32"/>
              <w:szCs w:val="32"/>
            </w:rPr>
            <w:tab/>
          </w:r>
          <w:r>
            <w:rPr>
              <w:b w:val="0"/>
              <w:bCs w:val="0"/>
              <w:sz w:val="32"/>
              <w:szCs w:val="32"/>
            </w:rPr>
            <w:fldChar w:fldCharType="begin"/>
          </w:r>
          <w:r>
            <w:rPr>
              <w:b w:val="0"/>
              <w:bCs w:val="0"/>
              <w:sz w:val="32"/>
              <w:szCs w:val="32"/>
            </w:rPr>
            <w:instrText xml:space="preserve"> PAGEREF _Toc28607 \h </w:instrText>
          </w:r>
          <w:r>
            <w:rPr>
              <w:b w:val="0"/>
              <w:bCs w:val="0"/>
              <w:sz w:val="32"/>
              <w:szCs w:val="32"/>
            </w:rPr>
            <w:fldChar w:fldCharType="separate"/>
          </w:r>
          <w:r>
            <w:rPr>
              <w:b w:val="0"/>
              <w:bCs w:val="0"/>
              <w:sz w:val="32"/>
              <w:szCs w:val="32"/>
            </w:rPr>
            <w:t>5</w:t>
          </w:r>
          <w:r>
            <w:rPr>
              <w:b w:val="0"/>
              <w:bCs w:val="0"/>
              <w:sz w:val="32"/>
              <w:szCs w:val="32"/>
            </w:rPr>
            <w:fldChar w:fldCharType="end"/>
          </w:r>
          <w:r>
            <w:rPr>
              <w:b w:val="0"/>
              <w:bCs w:val="0"/>
              <w:sz w:val="32"/>
              <w:szCs w:val="32"/>
            </w:rPr>
            <w:fldChar w:fldCharType="end"/>
          </w:r>
        </w:p>
        <w:p w14:paraId="2EA7C23E">
          <w:pPr>
            <w:pStyle w:val="18"/>
            <w:tabs>
              <w:tab w:val="right" w:leader="dot" w:pos="8845"/>
            </w:tabs>
            <w:rPr>
              <w:b w:val="0"/>
              <w:bCs w:val="0"/>
              <w:sz w:val="32"/>
              <w:szCs w:val="32"/>
            </w:rPr>
          </w:pPr>
          <w:r>
            <w:fldChar w:fldCharType="begin"/>
          </w:r>
          <w:r>
            <w:instrText xml:space="preserve"> HYPERLINK \l "_Toc1799" </w:instrText>
          </w:r>
          <w:r>
            <w:fldChar w:fldCharType="separate"/>
          </w:r>
          <w:r>
            <w:rPr>
              <w:rFonts w:hint="eastAsia" w:ascii="楷体_GB2312" w:hAnsi="楷体_GB2312" w:eastAsia="楷体_GB2312" w:cs="楷体_GB2312"/>
              <w:b w:val="0"/>
              <w:bCs w:val="0"/>
              <w:sz w:val="32"/>
              <w:szCs w:val="32"/>
              <w:lang w:val="en-US" w:eastAsia="zh-CN"/>
            </w:rPr>
            <w:t>（二）一般公共预算当年拨款结构情况</w:t>
          </w:r>
          <w:r>
            <w:rPr>
              <w:b w:val="0"/>
              <w:bCs w:val="0"/>
              <w:sz w:val="32"/>
              <w:szCs w:val="32"/>
            </w:rPr>
            <w:tab/>
          </w:r>
          <w:r>
            <w:rPr>
              <w:b w:val="0"/>
              <w:bCs w:val="0"/>
              <w:sz w:val="32"/>
              <w:szCs w:val="32"/>
            </w:rPr>
            <w:fldChar w:fldCharType="begin"/>
          </w:r>
          <w:r>
            <w:rPr>
              <w:b w:val="0"/>
              <w:bCs w:val="0"/>
              <w:sz w:val="32"/>
              <w:szCs w:val="32"/>
            </w:rPr>
            <w:instrText xml:space="preserve"> PAGEREF _Toc1799 \h </w:instrText>
          </w:r>
          <w:r>
            <w:rPr>
              <w:b w:val="0"/>
              <w:bCs w:val="0"/>
              <w:sz w:val="32"/>
              <w:szCs w:val="32"/>
            </w:rPr>
            <w:fldChar w:fldCharType="separate"/>
          </w:r>
          <w:r>
            <w:rPr>
              <w:b w:val="0"/>
              <w:bCs w:val="0"/>
              <w:sz w:val="32"/>
              <w:szCs w:val="32"/>
            </w:rPr>
            <w:t>6</w:t>
          </w:r>
          <w:r>
            <w:rPr>
              <w:b w:val="0"/>
              <w:bCs w:val="0"/>
              <w:sz w:val="32"/>
              <w:szCs w:val="32"/>
            </w:rPr>
            <w:fldChar w:fldCharType="end"/>
          </w:r>
          <w:r>
            <w:rPr>
              <w:b w:val="0"/>
              <w:bCs w:val="0"/>
              <w:sz w:val="32"/>
              <w:szCs w:val="32"/>
            </w:rPr>
            <w:fldChar w:fldCharType="end"/>
          </w:r>
        </w:p>
        <w:p w14:paraId="526BE85A">
          <w:pPr>
            <w:pStyle w:val="18"/>
            <w:tabs>
              <w:tab w:val="right" w:leader="dot" w:pos="8845"/>
            </w:tabs>
            <w:rPr>
              <w:b w:val="0"/>
              <w:bCs w:val="0"/>
              <w:sz w:val="32"/>
              <w:szCs w:val="32"/>
            </w:rPr>
          </w:pPr>
          <w:r>
            <w:fldChar w:fldCharType="begin"/>
          </w:r>
          <w:r>
            <w:instrText xml:space="preserve"> HYPERLINK \l "_Toc21866" </w:instrText>
          </w:r>
          <w:r>
            <w:fldChar w:fldCharType="separate"/>
          </w:r>
          <w:r>
            <w:rPr>
              <w:rFonts w:hint="eastAsia" w:ascii="楷体_GB2312" w:hAnsi="楷体_GB2312" w:eastAsia="楷体_GB2312" w:cs="楷体_GB2312"/>
              <w:b w:val="0"/>
              <w:bCs w:val="0"/>
              <w:sz w:val="32"/>
              <w:szCs w:val="32"/>
              <w:lang w:val="en-US" w:eastAsia="zh-CN"/>
            </w:rPr>
            <w:t>（三）一般公共预算当年拨款具体使用情况</w:t>
          </w:r>
          <w:r>
            <w:rPr>
              <w:b w:val="0"/>
              <w:bCs w:val="0"/>
              <w:sz w:val="32"/>
              <w:szCs w:val="32"/>
            </w:rPr>
            <w:tab/>
          </w:r>
          <w:r>
            <w:rPr>
              <w:b w:val="0"/>
              <w:bCs w:val="0"/>
              <w:sz w:val="32"/>
              <w:szCs w:val="32"/>
            </w:rPr>
            <w:fldChar w:fldCharType="begin"/>
          </w:r>
          <w:r>
            <w:rPr>
              <w:b w:val="0"/>
              <w:bCs w:val="0"/>
              <w:sz w:val="32"/>
              <w:szCs w:val="32"/>
            </w:rPr>
            <w:instrText xml:space="preserve"> PAGEREF _Toc21866 \h </w:instrText>
          </w:r>
          <w:r>
            <w:rPr>
              <w:b w:val="0"/>
              <w:bCs w:val="0"/>
              <w:sz w:val="32"/>
              <w:szCs w:val="32"/>
            </w:rPr>
            <w:fldChar w:fldCharType="separate"/>
          </w:r>
          <w:r>
            <w:rPr>
              <w:b w:val="0"/>
              <w:bCs w:val="0"/>
              <w:sz w:val="32"/>
              <w:szCs w:val="32"/>
            </w:rPr>
            <w:t>6</w:t>
          </w:r>
          <w:r>
            <w:rPr>
              <w:b w:val="0"/>
              <w:bCs w:val="0"/>
              <w:sz w:val="32"/>
              <w:szCs w:val="32"/>
            </w:rPr>
            <w:fldChar w:fldCharType="end"/>
          </w:r>
          <w:r>
            <w:rPr>
              <w:b w:val="0"/>
              <w:bCs w:val="0"/>
              <w:sz w:val="32"/>
              <w:szCs w:val="32"/>
            </w:rPr>
            <w:fldChar w:fldCharType="end"/>
          </w:r>
        </w:p>
        <w:p w14:paraId="0D1DBDF0">
          <w:pPr>
            <w:pStyle w:val="17"/>
            <w:tabs>
              <w:tab w:val="right" w:leader="dot" w:pos="8845"/>
            </w:tabs>
            <w:rPr>
              <w:b w:val="0"/>
              <w:bCs w:val="0"/>
              <w:sz w:val="32"/>
              <w:szCs w:val="32"/>
            </w:rPr>
          </w:pPr>
          <w:r>
            <w:fldChar w:fldCharType="begin"/>
          </w:r>
          <w:r>
            <w:instrText xml:space="preserve"> HYPERLINK \l "_Toc24257" </w:instrText>
          </w:r>
          <w:r>
            <w:fldChar w:fldCharType="separate"/>
          </w:r>
          <w:r>
            <w:rPr>
              <w:rFonts w:hint="eastAsia" w:ascii="黑体" w:hAnsi="黑体" w:eastAsia="黑体" w:cs="黑体"/>
              <w:b w:val="0"/>
              <w:bCs w:val="0"/>
              <w:sz w:val="32"/>
              <w:szCs w:val="32"/>
              <w:lang w:val="en-US" w:eastAsia="zh-CN"/>
            </w:rPr>
            <w:t>六、一般公共预算基本支出情况说明</w:t>
          </w:r>
          <w:r>
            <w:rPr>
              <w:b w:val="0"/>
              <w:bCs w:val="0"/>
              <w:sz w:val="32"/>
              <w:szCs w:val="32"/>
            </w:rPr>
            <w:tab/>
          </w:r>
          <w:r>
            <w:rPr>
              <w:b w:val="0"/>
              <w:bCs w:val="0"/>
              <w:sz w:val="32"/>
              <w:szCs w:val="32"/>
            </w:rPr>
            <w:fldChar w:fldCharType="begin"/>
          </w:r>
          <w:r>
            <w:rPr>
              <w:b w:val="0"/>
              <w:bCs w:val="0"/>
              <w:sz w:val="32"/>
              <w:szCs w:val="32"/>
            </w:rPr>
            <w:instrText xml:space="preserve"> PAGEREF _Toc24257 \h </w:instrText>
          </w:r>
          <w:r>
            <w:rPr>
              <w:b w:val="0"/>
              <w:bCs w:val="0"/>
              <w:sz w:val="32"/>
              <w:szCs w:val="32"/>
            </w:rPr>
            <w:fldChar w:fldCharType="separate"/>
          </w:r>
          <w:r>
            <w:rPr>
              <w:b w:val="0"/>
              <w:bCs w:val="0"/>
              <w:sz w:val="32"/>
              <w:szCs w:val="32"/>
            </w:rPr>
            <w:t>7</w:t>
          </w:r>
          <w:r>
            <w:rPr>
              <w:b w:val="0"/>
              <w:bCs w:val="0"/>
              <w:sz w:val="32"/>
              <w:szCs w:val="32"/>
            </w:rPr>
            <w:fldChar w:fldCharType="end"/>
          </w:r>
          <w:r>
            <w:rPr>
              <w:b w:val="0"/>
              <w:bCs w:val="0"/>
              <w:sz w:val="32"/>
              <w:szCs w:val="32"/>
            </w:rPr>
            <w:fldChar w:fldCharType="end"/>
          </w:r>
        </w:p>
        <w:p w14:paraId="65907142">
          <w:pPr>
            <w:pStyle w:val="17"/>
            <w:tabs>
              <w:tab w:val="right" w:leader="dot" w:pos="8845"/>
            </w:tabs>
            <w:rPr>
              <w:b w:val="0"/>
              <w:bCs w:val="0"/>
              <w:sz w:val="32"/>
              <w:szCs w:val="32"/>
            </w:rPr>
          </w:pPr>
          <w:r>
            <w:fldChar w:fldCharType="begin"/>
          </w:r>
          <w:r>
            <w:instrText xml:space="preserve"> HYPERLINK \l "_Toc4522" </w:instrText>
          </w:r>
          <w:r>
            <w:fldChar w:fldCharType="separate"/>
          </w:r>
          <w:r>
            <w:rPr>
              <w:rFonts w:hint="eastAsia" w:ascii="黑体" w:hAnsi="黑体" w:eastAsia="黑体" w:cs="黑体"/>
              <w:b w:val="0"/>
              <w:bCs w:val="0"/>
              <w:sz w:val="32"/>
              <w:szCs w:val="32"/>
              <w:lang w:val="en-US" w:eastAsia="zh-CN"/>
            </w:rPr>
            <w:t>七、“三公”经费财政拨款预算安排情况说明</w:t>
          </w:r>
          <w:r>
            <w:rPr>
              <w:b w:val="0"/>
              <w:bCs w:val="0"/>
              <w:sz w:val="32"/>
              <w:szCs w:val="32"/>
            </w:rPr>
            <w:tab/>
          </w:r>
          <w:r>
            <w:rPr>
              <w:b w:val="0"/>
              <w:bCs w:val="0"/>
              <w:sz w:val="32"/>
              <w:szCs w:val="32"/>
            </w:rPr>
            <w:fldChar w:fldCharType="begin"/>
          </w:r>
          <w:r>
            <w:rPr>
              <w:b w:val="0"/>
              <w:bCs w:val="0"/>
              <w:sz w:val="32"/>
              <w:szCs w:val="32"/>
            </w:rPr>
            <w:instrText xml:space="preserve"> PAGEREF _Toc4522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28906210">
          <w:pPr>
            <w:pStyle w:val="18"/>
            <w:tabs>
              <w:tab w:val="right" w:leader="dot" w:pos="8845"/>
            </w:tabs>
            <w:rPr>
              <w:b w:val="0"/>
              <w:bCs w:val="0"/>
              <w:sz w:val="32"/>
              <w:szCs w:val="32"/>
            </w:rPr>
          </w:pPr>
          <w:r>
            <w:fldChar w:fldCharType="begin"/>
          </w:r>
          <w:r>
            <w:instrText xml:space="preserve"> HYPERLINK \l "_Toc18130" </w:instrText>
          </w:r>
          <w:r>
            <w:fldChar w:fldCharType="separate"/>
          </w:r>
          <w:r>
            <w:rPr>
              <w:rFonts w:hint="eastAsia" w:ascii="楷体_GB2312" w:hAnsi="楷体_GB2312" w:eastAsia="楷体_GB2312" w:cs="楷体_GB2312"/>
              <w:b w:val="0"/>
              <w:bCs w:val="0"/>
              <w:sz w:val="32"/>
              <w:szCs w:val="32"/>
              <w:lang w:val="en-US" w:eastAsia="zh-CN"/>
            </w:rPr>
            <w:t>（一） 公务接待费</w:t>
          </w:r>
          <w:r>
            <w:rPr>
              <w:b w:val="0"/>
              <w:bCs w:val="0"/>
              <w:sz w:val="32"/>
              <w:szCs w:val="32"/>
            </w:rPr>
            <w:tab/>
          </w:r>
          <w:r>
            <w:rPr>
              <w:b w:val="0"/>
              <w:bCs w:val="0"/>
              <w:sz w:val="32"/>
              <w:szCs w:val="32"/>
            </w:rPr>
            <w:fldChar w:fldCharType="begin"/>
          </w:r>
          <w:r>
            <w:rPr>
              <w:b w:val="0"/>
              <w:bCs w:val="0"/>
              <w:sz w:val="32"/>
              <w:szCs w:val="32"/>
            </w:rPr>
            <w:instrText xml:space="preserve"> PAGEREF _Toc18130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11917595">
          <w:pPr>
            <w:pStyle w:val="18"/>
            <w:tabs>
              <w:tab w:val="right" w:leader="dot" w:pos="8845"/>
            </w:tabs>
            <w:rPr>
              <w:b w:val="0"/>
              <w:bCs w:val="0"/>
              <w:sz w:val="32"/>
              <w:szCs w:val="32"/>
            </w:rPr>
          </w:pPr>
          <w:r>
            <w:fldChar w:fldCharType="begin"/>
          </w:r>
          <w:r>
            <w:instrText xml:space="preserve"> HYPERLINK \l "_Toc19874" </w:instrText>
          </w:r>
          <w:r>
            <w:fldChar w:fldCharType="separate"/>
          </w:r>
          <w:r>
            <w:rPr>
              <w:rFonts w:hint="eastAsia" w:ascii="楷体_GB2312" w:hAnsi="楷体_GB2312" w:eastAsia="楷体_GB2312" w:cs="楷体_GB2312"/>
              <w:b w:val="0"/>
              <w:bCs w:val="0"/>
              <w:sz w:val="32"/>
              <w:szCs w:val="32"/>
              <w:lang w:val="en-US" w:eastAsia="zh-CN"/>
            </w:rPr>
            <w:t>（二） 公务用车购置及运行维护费</w:t>
          </w:r>
          <w:r>
            <w:rPr>
              <w:b w:val="0"/>
              <w:bCs w:val="0"/>
              <w:sz w:val="32"/>
              <w:szCs w:val="32"/>
            </w:rPr>
            <w:tab/>
          </w:r>
          <w:r>
            <w:rPr>
              <w:b w:val="0"/>
              <w:bCs w:val="0"/>
              <w:sz w:val="32"/>
              <w:szCs w:val="32"/>
            </w:rPr>
            <w:fldChar w:fldCharType="begin"/>
          </w:r>
          <w:r>
            <w:rPr>
              <w:b w:val="0"/>
              <w:bCs w:val="0"/>
              <w:sz w:val="32"/>
              <w:szCs w:val="32"/>
            </w:rPr>
            <w:instrText xml:space="preserve"> PAGEREF _Toc19874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191EA73E">
          <w:pPr>
            <w:pStyle w:val="18"/>
            <w:tabs>
              <w:tab w:val="right" w:leader="dot" w:pos="8845"/>
            </w:tabs>
            <w:rPr>
              <w:b w:val="0"/>
              <w:bCs w:val="0"/>
              <w:sz w:val="32"/>
              <w:szCs w:val="32"/>
            </w:rPr>
          </w:pPr>
          <w:r>
            <w:fldChar w:fldCharType="begin"/>
          </w:r>
          <w:r>
            <w:instrText xml:space="preserve"> HYPERLINK \l "_Toc22158" </w:instrText>
          </w:r>
          <w:r>
            <w:fldChar w:fldCharType="separate"/>
          </w:r>
          <w:r>
            <w:rPr>
              <w:rFonts w:hint="eastAsia" w:ascii="仿宋_GB2312" w:hAnsi="仿宋_GB2312" w:eastAsia="仿宋_GB2312" w:cs="仿宋_GB2312"/>
              <w:b w:val="0"/>
              <w:bCs w:val="0"/>
              <w:sz w:val="32"/>
              <w:szCs w:val="32"/>
              <w:lang w:val="en-US" w:eastAsia="zh-CN"/>
            </w:rPr>
            <w:t>（</w:t>
          </w:r>
          <w:r>
            <w:rPr>
              <w:rFonts w:hint="eastAsia" w:ascii="楷体_GB2312" w:hAnsi="楷体_GB2312" w:eastAsia="楷体_GB2312" w:cs="楷体_GB2312"/>
              <w:b w:val="0"/>
              <w:bCs w:val="0"/>
              <w:sz w:val="32"/>
              <w:szCs w:val="32"/>
              <w:lang w:val="en-US" w:eastAsia="zh-CN"/>
            </w:rPr>
            <w:t>三）因公出国（境）经费</w:t>
          </w:r>
          <w:r>
            <w:rPr>
              <w:b w:val="0"/>
              <w:bCs w:val="0"/>
              <w:sz w:val="32"/>
              <w:szCs w:val="32"/>
            </w:rPr>
            <w:tab/>
          </w:r>
          <w:r>
            <w:rPr>
              <w:b w:val="0"/>
              <w:bCs w:val="0"/>
              <w:sz w:val="32"/>
              <w:szCs w:val="32"/>
            </w:rPr>
            <w:fldChar w:fldCharType="begin"/>
          </w:r>
          <w:r>
            <w:rPr>
              <w:b w:val="0"/>
              <w:bCs w:val="0"/>
              <w:sz w:val="32"/>
              <w:szCs w:val="32"/>
            </w:rPr>
            <w:instrText xml:space="preserve"> PAGEREF _Toc22158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1107EBE1">
          <w:pPr>
            <w:pStyle w:val="17"/>
            <w:tabs>
              <w:tab w:val="right" w:leader="dot" w:pos="8845"/>
            </w:tabs>
            <w:rPr>
              <w:b w:val="0"/>
              <w:bCs w:val="0"/>
              <w:sz w:val="32"/>
              <w:szCs w:val="32"/>
            </w:rPr>
          </w:pPr>
          <w:r>
            <w:fldChar w:fldCharType="begin"/>
          </w:r>
          <w:r>
            <w:instrText xml:space="preserve"> HYPERLINK \l "_Toc29473" </w:instrText>
          </w:r>
          <w:r>
            <w:fldChar w:fldCharType="separate"/>
          </w:r>
          <w:r>
            <w:rPr>
              <w:rFonts w:hint="eastAsia" w:ascii="黑体" w:hAnsi="黑体" w:eastAsia="黑体" w:cs="黑体"/>
              <w:b w:val="0"/>
              <w:bCs w:val="0"/>
              <w:sz w:val="32"/>
              <w:szCs w:val="32"/>
              <w:lang w:val="en-US" w:eastAsia="zh-CN"/>
            </w:rPr>
            <w:t>八、政府性基金预算支出情况说明</w:t>
          </w:r>
          <w:r>
            <w:rPr>
              <w:b w:val="0"/>
              <w:bCs w:val="0"/>
              <w:sz w:val="32"/>
              <w:szCs w:val="32"/>
            </w:rPr>
            <w:tab/>
          </w:r>
          <w:r>
            <w:rPr>
              <w:b w:val="0"/>
              <w:bCs w:val="0"/>
              <w:sz w:val="32"/>
              <w:szCs w:val="32"/>
            </w:rPr>
            <w:fldChar w:fldCharType="begin"/>
          </w:r>
          <w:r>
            <w:rPr>
              <w:b w:val="0"/>
              <w:bCs w:val="0"/>
              <w:sz w:val="32"/>
              <w:szCs w:val="32"/>
            </w:rPr>
            <w:instrText xml:space="preserve"> PAGEREF _Toc29473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2B3B594D">
          <w:pPr>
            <w:pStyle w:val="17"/>
            <w:tabs>
              <w:tab w:val="right" w:leader="dot" w:pos="8845"/>
            </w:tabs>
            <w:rPr>
              <w:b w:val="0"/>
              <w:bCs w:val="0"/>
              <w:sz w:val="32"/>
              <w:szCs w:val="32"/>
            </w:rPr>
          </w:pPr>
          <w:r>
            <w:fldChar w:fldCharType="begin"/>
          </w:r>
          <w:r>
            <w:instrText xml:space="preserve"> HYPERLINK \l "_Toc2320" </w:instrText>
          </w:r>
          <w:r>
            <w:fldChar w:fldCharType="separate"/>
          </w:r>
          <w:r>
            <w:rPr>
              <w:rFonts w:hint="eastAsia" w:ascii="黑体" w:hAnsi="黑体" w:eastAsia="黑体" w:cs="黑体"/>
              <w:b w:val="0"/>
              <w:bCs w:val="0"/>
              <w:sz w:val="32"/>
              <w:szCs w:val="32"/>
              <w:lang w:val="en-US" w:eastAsia="zh-CN"/>
            </w:rPr>
            <w:t>九、国有资本经营预算支出情况说明</w:t>
          </w:r>
          <w:r>
            <w:rPr>
              <w:b w:val="0"/>
              <w:bCs w:val="0"/>
              <w:sz w:val="32"/>
              <w:szCs w:val="32"/>
            </w:rPr>
            <w:tab/>
          </w:r>
          <w:r>
            <w:rPr>
              <w:b w:val="0"/>
              <w:bCs w:val="0"/>
              <w:sz w:val="32"/>
              <w:szCs w:val="32"/>
            </w:rPr>
            <w:fldChar w:fldCharType="begin"/>
          </w:r>
          <w:r>
            <w:rPr>
              <w:b w:val="0"/>
              <w:bCs w:val="0"/>
              <w:sz w:val="32"/>
              <w:szCs w:val="32"/>
            </w:rPr>
            <w:instrText xml:space="preserve"> PAGEREF _Toc2320 \h </w:instrText>
          </w:r>
          <w:r>
            <w:rPr>
              <w:b w:val="0"/>
              <w:bCs w:val="0"/>
              <w:sz w:val="32"/>
              <w:szCs w:val="32"/>
            </w:rPr>
            <w:fldChar w:fldCharType="separate"/>
          </w:r>
          <w:r>
            <w:rPr>
              <w:b w:val="0"/>
              <w:bCs w:val="0"/>
              <w:sz w:val="32"/>
              <w:szCs w:val="32"/>
            </w:rPr>
            <w:t>8</w:t>
          </w:r>
          <w:r>
            <w:rPr>
              <w:b w:val="0"/>
              <w:bCs w:val="0"/>
              <w:sz w:val="32"/>
              <w:szCs w:val="32"/>
            </w:rPr>
            <w:fldChar w:fldCharType="end"/>
          </w:r>
          <w:r>
            <w:rPr>
              <w:b w:val="0"/>
              <w:bCs w:val="0"/>
              <w:sz w:val="32"/>
              <w:szCs w:val="32"/>
            </w:rPr>
            <w:fldChar w:fldCharType="end"/>
          </w:r>
        </w:p>
        <w:p w14:paraId="2BFE9F6D">
          <w:pPr>
            <w:pStyle w:val="17"/>
            <w:tabs>
              <w:tab w:val="right" w:leader="dot" w:pos="8845"/>
            </w:tabs>
            <w:rPr>
              <w:b w:val="0"/>
              <w:bCs w:val="0"/>
              <w:sz w:val="32"/>
              <w:szCs w:val="32"/>
            </w:rPr>
          </w:pPr>
          <w:r>
            <w:fldChar w:fldCharType="begin"/>
          </w:r>
          <w:r>
            <w:instrText xml:space="preserve"> HYPERLINK \l "_Toc3905" </w:instrText>
          </w:r>
          <w:r>
            <w:fldChar w:fldCharType="separate"/>
          </w:r>
          <w:r>
            <w:rPr>
              <w:rFonts w:hint="eastAsia" w:ascii="黑体" w:hAnsi="黑体" w:eastAsia="黑体" w:cs="黑体"/>
              <w:b w:val="0"/>
              <w:bCs w:val="0"/>
              <w:sz w:val="32"/>
              <w:szCs w:val="32"/>
              <w:lang w:val="en-US" w:eastAsia="zh-CN"/>
            </w:rPr>
            <w:t>十、其他重要事项的情况说明</w:t>
          </w:r>
          <w:r>
            <w:rPr>
              <w:b w:val="0"/>
              <w:bCs w:val="0"/>
              <w:sz w:val="32"/>
              <w:szCs w:val="32"/>
            </w:rPr>
            <w:tab/>
          </w:r>
          <w:r>
            <w:rPr>
              <w:b w:val="0"/>
              <w:bCs w:val="0"/>
              <w:sz w:val="32"/>
              <w:szCs w:val="32"/>
            </w:rPr>
            <w:fldChar w:fldCharType="begin"/>
          </w:r>
          <w:r>
            <w:rPr>
              <w:b w:val="0"/>
              <w:bCs w:val="0"/>
              <w:sz w:val="32"/>
              <w:szCs w:val="32"/>
            </w:rPr>
            <w:instrText xml:space="preserve"> PAGEREF _Toc3905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7F566CF7">
          <w:pPr>
            <w:pStyle w:val="18"/>
            <w:tabs>
              <w:tab w:val="right" w:leader="dot" w:pos="8845"/>
            </w:tabs>
            <w:rPr>
              <w:b w:val="0"/>
              <w:bCs w:val="0"/>
              <w:sz w:val="32"/>
              <w:szCs w:val="32"/>
            </w:rPr>
          </w:pPr>
          <w:r>
            <w:fldChar w:fldCharType="begin"/>
          </w:r>
          <w:r>
            <w:instrText xml:space="preserve"> HYPERLINK \l "_Toc17379" </w:instrText>
          </w:r>
          <w:r>
            <w:fldChar w:fldCharType="separate"/>
          </w:r>
          <w:r>
            <w:rPr>
              <w:rFonts w:hint="eastAsia" w:ascii="楷体_GB2312" w:hAnsi="楷体_GB2312" w:eastAsia="楷体_GB2312" w:cs="楷体_GB2312"/>
              <w:b w:val="0"/>
              <w:bCs w:val="0"/>
              <w:sz w:val="32"/>
              <w:szCs w:val="32"/>
              <w:lang w:val="en-US" w:eastAsia="zh-CN"/>
            </w:rPr>
            <w:t>（一）机关运行经费</w:t>
          </w:r>
          <w:r>
            <w:rPr>
              <w:b w:val="0"/>
              <w:bCs w:val="0"/>
              <w:sz w:val="32"/>
              <w:szCs w:val="32"/>
            </w:rPr>
            <w:tab/>
          </w:r>
          <w:r>
            <w:rPr>
              <w:b w:val="0"/>
              <w:bCs w:val="0"/>
              <w:sz w:val="32"/>
              <w:szCs w:val="32"/>
            </w:rPr>
            <w:fldChar w:fldCharType="begin"/>
          </w:r>
          <w:r>
            <w:rPr>
              <w:b w:val="0"/>
              <w:bCs w:val="0"/>
              <w:sz w:val="32"/>
              <w:szCs w:val="32"/>
            </w:rPr>
            <w:instrText xml:space="preserve"> PAGEREF _Toc17379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3D2DB50A">
          <w:pPr>
            <w:pStyle w:val="18"/>
            <w:tabs>
              <w:tab w:val="right" w:leader="dot" w:pos="8845"/>
            </w:tabs>
            <w:rPr>
              <w:b w:val="0"/>
              <w:bCs w:val="0"/>
              <w:sz w:val="32"/>
              <w:szCs w:val="32"/>
            </w:rPr>
          </w:pPr>
          <w:r>
            <w:fldChar w:fldCharType="begin"/>
          </w:r>
          <w:r>
            <w:instrText xml:space="preserve"> HYPERLINK \l "_Toc13003" </w:instrText>
          </w:r>
          <w:r>
            <w:fldChar w:fldCharType="separate"/>
          </w:r>
          <w:r>
            <w:rPr>
              <w:rFonts w:hint="eastAsia" w:ascii="楷体_GB2312" w:hAnsi="楷体_GB2312" w:eastAsia="楷体_GB2312" w:cs="楷体_GB2312"/>
              <w:b w:val="0"/>
              <w:bCs w:val="0"/>
              <w:sz w:val="32"/>
              <w:szCs w:val="32"/>
              <w:lang w:val="en-US" w:eastAsia="zh-CN"/>
            </w:rPr>
            <w:t>（二）政府采购情况</w:t>
          </w:r>
          <w:r>
            <w:rPr>
              <w:b w:val="0"/>
              <w:bCs w:val="0"/>
              <w:sz w:val="32"/>
              <w:szCs w:val="32"/>
            </w:rPr>
            <w:tab/>
          </w:r>
          <w:r>
            <w:rPr>
              <w:b w:val="0"/>
              <w:bCs w:val="0"/>
              <w:sz w:val="32"/>
              <w:szCs w:val="32"/>
            </w:rPr>
            <w:fldChar w:fldCharType="begin"/>
          </w:r>
          <w:r>
            <w:rPr>
              <w:b w:val="0"/>
              <w:bCs w:val="0"/>
              <w:sz w:val="32"/>
              <w:szCs w:val="32"/>
            </w:rPr>
            <w:instrText xml:space="preserve"> PAGEREF _Toc13003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75A4F2B5">
          <w:pPr>
            <w:pStyle w:val="18"/>
            <w:tabs>
              <w:tab w:val="right" w:leader="dot" w:pos="8845"/>
            </w:tabs>
            <w:rPr>
              <w:b w:val="0"/>
              <w:bCs w:val="0"/>
              <w:sz w:val="32"/>
              <w:szCs w:val="32"/>
            </w:rPr>
          </w:pPr>
          <w:r>
            <w:fldChar w:fldCharType="begin"/>
          </w:r>
          <w:r>
            <w:instrText xml:space="preserve"> HYPERLINK \l "_Toc22616" </w:instrText>
          </w:r>
          <w:r>
            <w:fldChar w:fldCharType="separate"/>
          </w:r>
          <w:r>
            <w:rPr>
              <w:rFonts w:hint="eastAsia" w:ascii="楷体_GB2312" w:hAnsi="楷体_GB2312" w:eastAsia="楷体_GB2312" w:cs="楷体_GB2312"/>
              <w:b w:val="0"/>
              <w:bCs w:val="0"/>
              <w:sz w:val="32"/>
              <w:szCs w:val="32"/>
              <w:lang w:val="en-US" w:eastAsia="zh-CN"/>
            </w:rPr>
            <w:t>（三）国有资产占有使用情况</w:t>
          </w:r>
          <w:r>
            <w:rPr>
              <w:b w:val="0"/>
              <w:bCs w:val="0"/>
              <w:sz w:val="32"/>
              <w:szCs w:val="32"/>
            </w:rPr>
            <w:tab/>
          </w:r>
          <w:r>
            <w:rPr>
              <w:b w:val="0"/>
              <w:bCs w:val="0"/>
              <w:sz w:val="32"/>
              <w:szCs w:val="32"/>
            </w:rPr>
            <w:fldChar w:fldCharType="begin"/>
          </w:r>
          <w:r>
            <w:rPr>
              <w:b w:val="0"/>
              <w:bCs w:val="0"/>
              <w:sz w:val="32"/>
              <w:szCs w:val="32"/>
            </w:rPr>
            <w:instrText xml:space="preserve"> PAGEREF _Toc22616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523DB70E">
          <w:pPr>
            <w:pStyle w:val="18"/>
            <w:tabs>
              <w:tab w:val="right" w:leader="dot" w:pos="8845"/>
            </w:tabs>
            <w:rPr>
              <w:b w:val="0"/>
              <w:bCs w:val="0"/>
              <w:sz w:val="32"/>
              <w:szCs w:val="32"/>
            </w:rPr>
          </w:pPr>
          <w:r>
            <w:fldChar w:fldCharType="begin"/>
          </w:r>
          <w:r>
            <w:instrText xml:space="preserve"> HYPERLINK \l "_Toc1747" </w:instrText>
          </w:r>
          <w:r>
            <w:fldChar w:fldCharType="separate"/>
          </w:r>
          <w:r>
            <w:rPr>
              <w:rFonts w:hint="eastAsia" w:ascii="楷体_GB2312" w:hAnsi="楷体_GB2312" w:eastAsia="楷体_GB2312" w:cs="楷体_GB2312"/>
              <w:b w:val="0"/>
              <w:bCs w:val="0"/>
              <w:sz w:val="32"/>
              <w:szCs w:val="32"/>
              <w:lang w:val="en-US" w:eastAsia="zh-CN"/>
            </w:rPr>
            <w:t>（四）绩效目标设置情况</w:t>
          </w:r>
          <w:r>
            <w:rPr>
              <w:b w:val="0"/>
              <w:bCs w:val="0"/>
              <w:sz w:val="32"/>
              <w:szCs w:val="32"/>
            </w:rPr>
            <w:tab/>
          </w:r>
          <w:r>
            <w:rPr>
              <w:b w:val="0"/>
              <w:bCs w:val="0"/>
              <w:sz w:val="32"/>
              <w:szCs w:val="32"/>
            </w:rPr>
            <w:fldChar w:fldCharType="begin"/>
          </w:r>
          <w:r>
            <w:rPr>
              <w:b w:val="0"/>
              <w:bCs w:val="0"/>
              <w:sz w:val="32"/>
              <w:szCs w:val="32"/>
            </w:rPr>
            <w:instrText xml:space="preserve"> PAGEREF _Toc1747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1D1161EA">
          <w:pPr>
            <w:pStyle w:val="17"/>
            <w:tabs>
              <w:tab w:val="right" w:leader="dot" w:pos="8845"/>
            </w:tabs>
            <w:rPr>
              <w:b w:val="0"/>
              <w:bCs w:val="0"/>
              <w:sz w:val="32"/>
              <w:szCs w:val="32"/>
            </w:rPr>
          </w:pPr>
          <w:r>
            <w:fldChar w:fldCharType="begin"/>
          </w:r>
          <w:r>
            <w:instrText xml:space="preserve"> HYPERLINK \l "_Toc31788" </w:instrText>
          </w:r>
          <w:r>
            <w:fldChar w:fldCharType="separate"/>
          </w:r>
          <w:r>
            <w:rPr>
              <w:rFonts w:hint="eastAsia" w:ascii="黑体" w:hAnsi="黑体" w:eastAsia="黑体" w:cs="黑体"/>
              <w:b w:val="0"/>
              <w:bCs w:val="0"/>
              <w:sz w:val="32"/>
              <w:szCs w:val="32"/>
              <w:lang w:val="en-US" w:eastAsia="zh-CN"/>
            </w:rPr>
            <w:t>十一、名词解释</w:t>
          </w:r>
          <w:r>
            <w:rPr>
              <w:b w:val="0"/>
              <w:bCs w:val="0"/>
              <w:sz w:val="32"/>
              <w:szCs w:val="32"/>
            </w:rPr>
            <w:tab/>
          </w:r>
          <w:r>
            <w:rPr>
              <w:b w:val="0"/>
              <w:bCs w:val="0"/>
              <w:sz w:val="32"/>
              <w:szCs w:val="32"/>
            </w:rPr>
            <w:fldChar w:fldCharType="begin"/>
          </w:r>
          <w:r>
            <w:rPr>
              <w:b w:val="0"/>
              <w:bCs w:val="0"/>
              <w:sz w:val="32"/>
              <w:szCs w:val="32"/>
            </w:rPr>
            <w:instrText xml:space="preserve"> PAGEREF _Toc31788 \h </w:instrText>
          </w:r>
          <w:r>
            <w:rPr>
              <w:b w:val="0"/>
              <w:bCs w:val="0"/>
              <w:sz w:val="32"/>
              <w:szCs w:val="32"/>
            </w:rPr>
            <w:fldChar w:fldCharType="separate"/>
          </w:r>
          <w:r>
            <w:rPr>
              <w:b w:val="0"/>
              <w:bCs w:val="0"/>
              <w:sz w:val="32"/>
              <w:szCs w:val="32"/>
            </w:rPr>
            <w:t>9</w:t>
          </w:r>
          <w:r>
            <w:rPr>
              <w:b w:val="0"/>
              <w:bCs w:val="0"/>
              <w:sz w:val="32"/>
              <w:szCs w:val="32"/>
            </w:rPr>
            <w:fldChar w:fldCharType="end"/>
          </w:r>
          <w:r>
            <w:rPr>
              <w:b w:val="0"/>
              <w:bCs w:val="0"/>
              <w:sz w:val="32"/>
              <w:szCs w:val="32"/>
            </w:rPr>
            <w:fldChar w:fldCharType="end"/>
          </w:r>
        </w:p>
        <w:p w14:paraId="195399B8">
          <w:pPr>
            <w:rPr>
              <w:rFonts w:hint="eastAsia" w:ascii="仿宋_GB2312" w:hAnsi="仿宋_GB2312" w:eastAsia="仿宋_GB2312" w:cs="仿宋_GB2312"/>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fldChar w:fldCharType="end"/>
          </w:r>
        </w:p>
      </w:sdtContent>
    </w:sdt>
    <w:p w14:paraId="6B8787A1">
      <w:pPr>
        <w:pStyle w:val="2"/>
        <w:rPr>
          <w:rFonts w:hint="eastAsia"/>
          <w:lang w:val="en-US" w:eastAsia="zh-CN"/>
        </w:rPr>
      </w:pPr>
    </w:p>
    <w:p w14:paraId="1EF88BB5">
      <w:pPr>
        <w:pStyle w:val="2"/>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p>
    <w:p w14:paraId="43AB396E">
      <w:pPr>
        <w:pStyle w:val="2"/>
        <w:ind w:left="0" w:leftChars="0" w:firstLine="0" w:firstLineChars="0"/>
        <w:rPr>
          <w:rFonts w:hint="eastAsia"/>
          <w:lang w:val="en-US" w:eastAsia="zh-CN"/>
        </w:rPr>
        <w:sectPr>
          <w:headerReference r:id="rId3" w:type="default"/>
          <w:footerReference r:id="rId4" w:type="default"/>
          <w:pgSz w:w="11906" w:h="16838"/>
          <w:pgMar w:top="2098" w:right="1474" w:bottom="1984" w:left="1587" w:header="720" w:footer="1559" w:gutter="0"/>
          <w:pgNumType w:fmt="decimal"/>
          <w:cols w:space="720" w:num="1"/>
          <w:docGrid w:type="lines" w:linePitch="312" w:charSpace="0"/>
        </w:sectPr>
      </w:pPr>
    </w:p>
    <w:p w14:paraId="59C1663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1" w:name="_Toc10024"/>
      <w:r>
        <w:rPr>
          <w:rFonts w:hint="eastAsia" w:ascii="黑体" w:hAnsi="黑体" w:eastAsia="黑体" w:cs="黑体"/>
          <w:sz w:val="32"/>
          <w:szCs w:val="32"/>
          <w:lang w:val="en-US" w:eastAsia="zh-CN"/>
        </w:rPr>
        <w:t>一、基本职能及主要工作</w:t>
      </w:r>
      <w:bookmarkEnd w:id="1"/>
    </w:p>
    <w:p w14:paraId="6D56E030">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1"/>
        <w:rPr>
          <w:rFonts w:hint="eastAsia" w:ascii="Times New Roman" w:hAnsi="Times New Roman" w:eastAsia="楷体_GB2312" w:cs="Times New Roman"/>
          <w:b w:val="0"/>
          <w:bCs w:val="0"/>
          <w:sz w:val="32"/>
          <w:szCs w:val="32"/>
          <w:lang w:val="en-US" w:eastAsia="zh-CN"/>
        </w:rPr>
      </w:pPr>
      <w:bookmarkStart w:id="2" w:name="_Toc24941"/>
      <w:r>
        <w:rPr>
          <w:rFonts w:hint="eastAsia" w:ascii="Times New Roman" w:hAnsi="Times New Roman" w:eastAsia="楷体_GB2312" w:cs="Times New Roman"/>
          <w:b w:val="0"/>
          <w:bCs w:val="0"/>
          <w:sz w:val="32"/>
          <w:szCs w:val="32"/>
          <w:lang w:val="en-US" w:eastAsia="zh-CN"/>
        </w:rPr>
        <w:t>（一）单位职能简介</w:t>
      </w:r>
      <w:bookmarkEnd w:id="2"/>
    </w:p>
    <w:p w14:paraId="62E48547">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1.</w:t>
      </w:r>
      <w:r>
        <w:rPr>
          <w:rFonts w:hint="eastAsia" w:ascii="Times New Roman" w:hAnsi="Times New Roman" w:eastAsia="仿宋_GB2312" w:cs="Times New Roman"/>
          <w:bCs/>
          <w:color w:val="000000" w:themeColor="text1"/>
          <w:sz w:val="32"/>
          <w:szCs w:val="32"/>
          <w:lang w:eastAsia="zh-CN"/>
          <w14:textFill>
            <w14:solidFill>
              <w14:schemeClr w14:val="tx1"/>
            </w14:solidFill>
          </w14:textFill>
        </w:rPr>
        <w:t>统筹指导全区群众利益协调、诉求表达、矛盾调处，</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权益保障等人民信访工作，协调解决人民群众急难愁盼的重大问题。指导人民建议征集工作，负责征集、办理公民、法人和其他组织提出的意见建议，向区委、区政府及时反映公民、法人和其他组织对党和国家事业发展提出的重要意见建议。</w:t>
      </w:r>
    </w:p>
    <w:p w14:paraId="7308281B">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2.</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统筹推进党建引领基层治理和基层政权建设，协调推进城乡社区治理体系、服务体系和治理能力建设，推动基层民主政治建设，指导监督基层群众自治制度的有效实施，健全基层群众自治机制。</w:t>
      </w:r>
    </w:p>
    <w:p w14:paraId="39F605DC">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3.</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指导全区性社会组织党建工作，统一领导全区性行业协会商会党的工作，承办全区性行业协会商会负责人人选的审核。协调推动全区行业协会商会改革和转型发展，调查研究相关重大问题。</w:t>
      </w:r>
    </w:p>
    <w:p w14:paraId="79DC0F6B">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4.</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指导全区混合所有制企业、非公有制企业和新经济组织、新社会组织、新就业群体(以下简称“两企三新”)党建工作，指导协调相关企业单位、社会组织、新就业群体</w:t>
      </w:r>
      <w:r>
        <w:rPr>
          <w:rFonts w:hint="eastAsia" w:ascii="Times New Roman" w:hAnsi="Times New Roman" w:eastAsia="仿宋_GB2312" w:cs="Times New Roman"/>
          <w:bCs/>
          <w:color w:val="000000" w:themeColor="text1"/>
          <w:sz w:val="32"/>
          <w:szCs w:val="32"/>
          <w:lang w:eastAsia="zh-CN"/>
          <w14:textFill>
            <w14:solidFill>
              <w14:schemeClr w14:val="tx1"/>
            </w14:solidFill>
          </w14:textFill>
        </w:rPr>
        <w:t>中</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党</w:t>
      </w:r>
      <w:r>
        <w:rPr>
          <w:rFonts w:hint="eastAsia" w:ascii="Times New Roman" w:hAnsi="Times New Roman" w:eastAsia="仿宋_GB2312" w:cs="Times New Roman"/>
          <w:bCs/>
          <w:color w:val="000000" w:themeColor="text1"/>
          <w:sz w:val="32"/>
          <w:szCs w:val="32"/>
          <w:lang w:eastAsia="zh-CN"/>
          <w14:textFill>
            <w14:solidFill>
              <w14:schemeClr w14:val="tx1"/>
            </w14:solidFill>
          </w14:textFill>
        </w:rPr>
        <w:t>员</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教育管理、监督和服务工作</w:t>
      </w:r>
      <w:r>
        <w:rPr>
          <w:rFonts w:hint="eastAsia" w:ascii="Times New Roman" w:hAnsi="Times New Roman" w:eastAsia="仿宋_GB2312" w:cs="Times New Roman"/>
          <w:bCs/>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研究完善相关领域群众利益协调机制。</w:t>
      </w:r>
    </w:p>
    <w:p w14:paraId="56EC9DD5">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5.</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负责全区志愿服务工作的统筹规划、协调指导、督促检查，指导推动社会工作人才队伍建设、志愿服务人才队伍建设和阵地建设，协调推动社会工作服务体系和志愿服务体系建设。</w:t>
      </w:r>
    </w:p>
    <w:p w14:paraId="510AE47A">
      <w:pPr>
        <w:pStyle w:val="4"/>
        <w:keepNext w:val="0"/>
        <w:keepLines w:val="0"/>
        <w:pageBreakBefore w:val="0"/>
        <w:widowControl w:val="0"/>
        <w:numPr>
          <w:ilvl w:val="0"/>
          <w:numId w:val="0"/>
        </w:numPr>
        <w:kinsoku/>
        <w:wordWrap/>
        <w:overflowPunct/>
        <w:topLinePunct w:val="0"/>
        <w:autoSpaceDE/>
        <w:autoSpaceDN/>
        <w:bidi w:val="0"/>
        <w:adjustRightInd w:val="0"/>
        <w:snapToGrid w:val="0"/>
        <w:spacing w:beforeLines="0" w:line="576" w:lineRule="exact"/>
        <w:ind w:firstLine="640" w:firstLineChars="200"/>
        <w:jc w:val="both"/>
        <w:textAlignment w:val="auto"/>
        <w:outlineLvl w:val="2"/>
        <w:rPr>
          <w:rFonts w:hint="default" w:ascii="Times New Roman" w:hAnsi="Times New Roman" w:eastAsia="仿宋_GB2312" w:cs="Times New Roman"/>
          <w:bCs/>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6.</w:t>
      </w:r>
      <w:r>
        <w:rPr>
          <w:rFonts w:hint="default" w:ascii="Times New Roman" w:hAnsi="Times New Roman" w:eastAsia="仿宋_GB2312" w:cs="Times New Roman"/>
          <w:bCs/>
          <w:color w:val="000000" w:themeColor="text1"/>
          <w:sz w:val="32"/>
          <w:szCs w:val="32"/>
          <w:lang w:eastAsia="zh-CN"/>
          <w14:textFill>
            <w14:solidFill>
              <w14:schemeClr w14:val="tx1"/>
            </w14:solidFill>
          </w14:textFill>
        </w:rPr>
        <w:t>完成区委、区政府交办的其他任务。</w:t>
      </w:r>
    </w:p>
    <w:p w14:paraId="28385D09">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1"/>
        <w:rPr>
          <w:rFonts w:hint="eastAsia" w:ascii="Times New Roman" w:hAnsi="Times New Roman" w:eastAsia="楷体_GB2312" w:cs="Times New Roman"/>
          <w:b w:val="0"/>
          <w:bCs w:val="0"/>
          <w:sz w:val="32"/>
          <w:szCs w:val="32"/>
          <w:lang w:val="en-US" w:eastAsia="zh-CN"/>
        </w:rPr>
      </w:pPr>
      <w:bookmarkStart w:id="3" w:name="_Toc28898"/>
      <w:r>
        <w:rPr>
          <w:rFonts w:hint="eastAsia" w:ascii="Times New Roman" w:hAnsi="Times New Roman" w:eastAsia="楷体_GB2312" w:cs="Times New Roman"/>
          <w:b w:val="0"/>
          <w:bCs w:val="0"/>
          <w:sz w:val="32"/>
          <w:szCs w:val="32"/>
          <w:lang w:val="en-US" w:eastAsia="zh-CN"/>
        </w:rPr>
        <w:t>（二）单位2025年重点工作</w:t>
      </w:r>
      <w:bookmarkEnd w:id="3"/>
    </w:p>
    <w:p w14:paraId="2A2BB9F0">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9"/>
        <w:rPr>
          <w:rFonts w:hint="default" w:ascii="Times New Roman" w:hAnsi="Times New Roman" w:eastAsia="仿宋_GB2312" w:cs="Times New Roman"/>
          <w:kern w:val="2"/>
          <w:sz w:val="32"/>
          <w:szCs w:val="32"/>
          <w:lang w:val="en-US" w:eastAsia="zh-CN" w:bidi="ar-SA"/>
        </w:rPr>
      </w:pPr>
      <w:r>
        <w:rPr>
          <w:rFonts w:hint="eastAsia" w:ascii="Times New Roman" w:hAnsi="Times New Roman" w:eastAsia="楷体_GB2312" w:cs="Times New Roman"/>
          <w:b w:val="0"/>
          <w:bCs w:val="0"/>
          <w:sz w:val="32"/>
          <w:szCs w:val="32"/>
          <w:lang w:val="en-US" w:eastAsia="zh-CN"/>
        </w:rPr>
        <w:t>1.</w:t>
      </w:r>
      <w:r>
        <w:rPr>
          <w:rFonts w:hint="default" w:ascii="Times New Roman" w:hAnsi="Times New Roman" w:eastAsia="楷体_GB2312" w:cs="Times New Roman"/>
          <w:b w:val="0"/>
          <w:bCs w:val="0"/>
          <w:sz w:val="32"/>
          <w:szCs w:val="32"/>
          <w:lang w:val="en-US" w:eastAsia="zh-CN"/>
        </w:rPr>
        <w:t>强化程序意识，持续减少信访滋生土壤。</w:t>
      </w:r>
      <w:r>
        <w:rPr>
          <w:rFonts w:hint="default" w:ascii="Times New Roman" w:hAnsi="Times New Roman" w:eastAsia="仿宋_GB2312" w:cs="Times New Roman"/>
          <w:b w:val="0"/>
          <w:bCs w:val="0"/>
          <w:sz w:val="32"/>
          <w:szCs w:val="32"/>
          <w:lang w:val="en-US" w:eastAsia="zh-CN"/>
        </w:rPr>
        <w:t>一是持续推进清廉村居建设。</w:t>
      </w:r>
      <w:r>
        <w:rPr>
          <w:rFonts w:hint="default" w:ascii="Times New Roman" w:hAnsi="Times New Roman" w:eastAsia="仿宋_GB2312" w:cs="Times New Roman"/>
          <w:b w:val="0"/>
          <w:bCs w:val="0"/>
          <w:color w:val="000000"/>
          <w:kern w:val="2"/>
          <w:sz w:val="32"/>
          <w:szCs w:val="32"/>
          <w:lang w:val="en-US" w:eastAsia="zh-CN" w:bidi="ar-SA"/>
        </w:rPr>
        <w:t>把推动基层公权力规范运行作为基层治理的重点，</w:t>
      </w:r>
      <w:r>
        <w:rPr>
          <w:rFonts w:hint="default" w:ascii="Times New Roman" w:hAnsi="Times New Roman" w:eastAsia="仿宋_GB2312" w:cs="Times New Roman"/>
          <w:kern w:val="2"/>
          <w:sz w:val="32"/>
          <w:szCs w:val="32"/>
          <w:lang w:val="en-US" w:eastAsia="zh-CN" w:bidi="ar-SA"/>
        </w:rPr>
        <w:t>针对村务重大事项决策、“三资”管理等办事频率高、村民普遍关心的事项，</w:t>
      </w:r>
      <w:r>
        <w:rPr>
          <w:rFonts w:hint="default" w:ascii="Times New Roman" w:hAnsi="Times New Roman" w:eastAsia="仿宋_GB2312" w:cs="Times New Roman"/>
          <w:b w:val="0"/>
          <w:bCs w:val="0"/>
          <w:color w:val="000000"/>
          <w:kern w:val="2"/>
          <w:sz w:val="32"/>
          <w:szCs w:val="32"/>
          <w:lang w:val="en-US" w:eastAsia="zh-CN" w:bidi="ar-SA"/>
        </w:rPr>
        <w:t>全面分析研判小微权力运行的风险漏洞，</w:t>
      </w:r>
      <w:r>
        <w:rPr>
          <w:rFonts w:hint="default" w:ascii="Times New Roman" w:hAnsi="Times New Roman" w:eastAsia="仿宋_GB2312" w:cs="Times New Roman"/>
          <w:b w:val="0"/>
          <w:bCs w:val="0"/>
          <w:sz w:val="32"/>
          <w:szCs w:val="32"/>
          <w:lang w:val="en-US" w:eastAsia="zh-CN"/>
        </w:rPr>
        <w:t>强化对村组干部的监督管理，确保“四议两公开”等制度规范执行</w:t>
      </w:r>
      <w:r>
        <w:rPr>
          <w:rFonts w:hint="default" w:ascii="Times New Roman" w:hAnsi="Times New Roman" w:eastAsia="仿宋_GB2312" w:cs="Times New Roman"/>
          <w:kern w:val="2"/>
          <w:sz w:val="32"/>
          <w:szCs w:val="32"/>
          <w:lang w:val="en-US" w:eastAsia="zh-CN" w:bidi="ar-SA"/>
        </w:rPr>
        <w:t>。二是激发群众社会善行内驱力。</w:t>
      </w:r>
      <w:bookmarkStart w:id="27" w:name="_GoBack"/>
      <w:bookmarkEnd w:id="27"/>
      <w:r>
        <w:rPr>
          <w:rFonts w:hint="default" w:ascii="Times New Roman" w:hAnsi="Times New Roman" w:eastAsia="仿宋_GB2312" w:cs="Times New Roman"/>
          <w:kern w:val="2"/>
          <w:sz w:val="32"/>
          <w:szCs w:val="32"/>
          <w:lang w:val="en-US" w:eastAsia="zh-CN" w:bidi="ar-SA"/>
        </w:rPr>
        <w:t>通过联动区域化党建单位、群团组织、两代表一委员、社区达人等资源，</w:t>
      </w:r>
      <w:r>
        <w:rPr>
          <w:rFonts w:hint="default" w:ascii="Times New Roman" w:hAnsi="Times New Roman" w:eastAsia="仿宋_GB2312" w:cs="Times New Roman"/>
          <w:b w:val="0"/>
          <w:bCs w:val="0"/>
          <w:sz w:val="32"/>
          <w:szCs w:val="32"/>
          <w:lang w:val="en-US" w:eastAsia="zh-CN"/>
        </w:rPr>
        <w:t>集成推出满足居民多样化需求的社区服务，营造鼓励慈善、奖励慈善的社会氛围，</w:t>
      </w:r>
      <w:r>
        <w:rPr>
          <w:rFonts w:hint="default" w:ascii="Times New Roman" w:hAnsi="Times New Roman" w:eastAsia="仿宋_GB2312" w:cs="Times New Roman"/>
          <w:kern w:val="2"/>
          <w:sz w:val="32"/>
          <w:szCs w:val="32"/>
          <w:lang w:val="en-US" w:eastAsia="zh-CN" w:bidi="ar-SA"/>
        </w:rPr>
        <w:t>动员社区居民参与慈善活动、共同开展慈善服务，切实提升群众参与感、获得感、幸福感。三是开展矛盾纠纷源头治理。坚持和发展新时代“枫桥经验”，聚焦“防范、排查、化解、回访”四个环节，深入开展矛盾纠纷排查化解专项行动，</w:t>
      </w:r>
      <w:r>
        <w:rPr>
          <w:rFonts w:hint="default" w:ascii="Times New Roman" w:hAnsi="Times New Roman" w:eastAsia="仿宋_GB2312" w:cs="Times New Roman"/>
          <w:b w:val="0"/>
          <w:bCs w:val="0"/>
          <w:sz w:val="32"/>
          <w:szCs w:val="32"/>
          <w:lang w:val="en-US" w:eastAsia="zh-CN"/>
        </w:rPr>
        <w:t>通过</w:t>
      </w:r>
      <w:r>
        <w:rPr>
          <w:rFonts w:hint="default" w:ascii="Times New Roman" w:hAnsi="Times New Roman" w:eastAsia="仿宋_GB2312" w:cs="Times New Roman"/>
          <w:kern w:val="2"/>
          <w:sz w:val="32"/>
          <w:szCs w:val="32"/>
          <w:lang w:val="en-US" w:eastAsia="zh-CN" w:bidi="ar-SA"/>
        </w:rPr>
        <w:t>到村（社区）督导调研</w:t>
      </w:r>
      <w:r>
        <w:rPr>
          <w:rFonts w:hint="default" w:ascii="Times New Roman" w:hAnsi="Times New Roman" w:eastAsia="仿宋_GB2312" w:cs="Times New Roman"/>
          <w:b w:val="0"/>
          <w:bCs w:val="0"/>
          <w:sz w:val="32"/>
          <w:szCs w:val="32"/>
          <w:lang w:val="en-US" w:eastAsia="zh-CN"/>
        </w:rPr>
        <w:t>、包联共建等活动，仔细倾听</w:t>
      </w:r>
      <w:r>
        <w:rPr>
          <w:rFonts w:hint="default" w:ascii="Times New Roman" w:hAnsi="Times New Roman" w:eastAsia="仿宋_GB2312" w:cs="Times New Roman"/>
          <w:kern w:val="2"/>
          <w:sz w:val="32"/>
          <w:szCs w:val="32"/>
          <w:lang w:val="en-US" w:eastAsia="zh-CN" w:bidi="ar-SA"/>
        </w:rPr>
        <w:t>群众急需解决的难点、痛点问题</w:t>
      </w:r>
      <w:r>
        <w:rPr>
          <w:rFonts w:hint="default" w:ascii="Times New Roman" w:hAnsi="Times New Roman" w:eastAsia="仿宋_GB2312" w:cs="Times New Roman"/>
          <w:b w:val="0"/>
          <w:bCs w:val="0"/>
          <w:sz w:val="32"/>
          <w:szCs w:val="32"/>
          <w:lang w:val="en-US" w:eastAsia="zh-CN"/>
        </w:rPr>
        <w:t>，收集群众意见，</w:t>
      </w:r>
      <w:r>
        <w:rPr>
          <w:rFonts w:hint="default" w:ascii="Times New Roman" w:hAnsi="Times New Roman" w:eastAsia="仿宋_GB2312" w:cs="Times New Roman"/>
          <w:kern w:val="2"/>
          <w:sz w:val="32"/>
          <w:szCs w:val="32"/>
          <w:lang w:val="en-US" w:eastAsia="zh-CN" w:bidi="ar-SA"/>
        </w:rPr>
        <w:t>并督促问题解决、切实回应群众关切，最大限度把矛盾问题解决在基层和萌芽状态。</w:t>
      </w:r>
    </w:p>
    <w:p w14:paraId="3EA80013">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9"/>
        <w:rPr>
          <w:rFonts w:hint="default" w:ascii="Times New Roman" w:hAnsi="Times New Roman" w:eastAsia="仿宋_GB2312" w:cs="Times New Roman"/>
          <w:b w:val="0"/>
          <w:bCs w:val="0"/>
          <w:sz w:val="32"/>
          <w:szCs w:val="32"/>
          <w:lang w:val="en-US" w:eastAsia="zh-CN"/>
        </w:rPr>
      </w:pPr>
      <w:r>
        <w:rPr>
          <w:rFonts w:hint="eastAsia" w:ascii="Times New Roman" w:hAnsi="Times New Roman" w:eastAsia="楷体_GB2312" w:cs="Times New Roman"/>
          <w:b w:val="0"/>
          <w:bCs w:val="0"/>
          <w:sz w:val="32"/>
          <w:szCs w:val="32"/>
          <w:lang w:val="en-US" w:eastAsia="zh-CN"/>
        </w:rPr>
        <w:t>2.</w:t>
      </w:r>
      <w:r>
        <w:rPr>
          <w:rFonts w:hint="default" w:ascii="Times New Roman" w:hAnsi="Times New Roman" w:eastAsia="楷体_GB2312" w:cs="Times New Roman"/>
          <w:b w:val="0"/>
          <w:bCs w:val="0"/>
          <w:sz w:val="32"/>
          <w:szCs w:val="32"/>
          <w:lang w:val="en-US" w:eastAsia="zh-CN"/>
        </w:rPr>
        <w:t>着力减负赋能，深入推进基层治理和政权建设。</w:t>
      </w:r>
      <w:r>
        <w:rPr>
          <w:rFonts w:hint="default" w:ascii="Times New Roman" w:hAnsi="Times New Roman" w:eastAsia="仿宋_GB2312" w:cs="Times New Roman"/>
          <w:b w:val="0"/>
          <w:bCs w:val="0"/>
          <w:sz w:val="32"/>
          <w:szCs w:val="32"/>
          <w:lang w:val="en-US" w:eastAsia="zh-CN"/>
        </w:rPr>
        <w:t xml:space="preserve">一是完善党建引领基层治理工作机制。在区委党建工作领导小组设立党建引领基层治理协调机制，同时，进一步分领域建立志愿服务、行业协会商会党建等工作议事协调机构和统一领导人民信访工作制度，优化“两新”工委领导体制等既有协调机制，明确各镇党委副书记领导乡镇社会工作要求，构建责任清晰、条块联动、高效协同的基层治理工作格局。二是建强党的基层组织战斗堡垒。开展村（社区）党群服务中心“补短提能”改造，持续完善区镇村三级社会工作站（室）建设，优化《昭化区社区专职工作者管理办法（试行）》，将社区“两委”、全职聘用人员和网格员纳入社区专职工作者队伍，落实学历补贴、持证奖励和“五险”保障。打造拱昭社区联动品牌，借鉴学习东部先进经验，提升社区班子运行水平。三是探索社会参与基层治理有效路径。加快老旧小区业委会组建，试点在未建立物业的小区（院落）建立“友邻议事日”民主协商工作机制，选拔一批热心公益、公道正派、群众信服的社区达人为楼栋长，激发“业委会+达人+社区”长效治理网格活力。             </w:t>
      </w:r>
    </w:p>
    <w:p w14:paraId="294CE49A">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9"/>
        <w:rPr>
          <w:rFonts w:hint="default" w:ascii="Times New Roman" w:hAnsi="Times New Roman" w:eastAsia="仿宋_GB2312" w:cs="Times New Roman"/>
          <w:b w:val="0"/>
          <w:bCs w:val="0"/>
          <w:sz w:val="32"/>
          <w:szCs w:val="32"/>
          <w:lang w:val="en-US" w:eastAsia="zh-CN"/>
        </w:rPr>
      </w:pPr>
      <w:r>
        <w:rPr>
          <w:rFonts w:hint="eastAsia" w:ascii="Times New Roman" w:hAnsi="Times New Roman" w:eastAsia="楷体_GB2312" w:cs="Times New Roman"/>
          <w:b w:val="0"/>
          <w:bCs w:val="0"/>
          <w:sz w:val="32"/>
          <w:szCs w:val="32"/>
          <w:lang w:val="en-US" w:eastAsia="zh-CN"/>
        </w:rPr>
        <w:t>3.</w:t>
      </w:r>
      <w:r>
        <w:rPr>
          <w:rFonts w:hint="default" w:ascii="Times New Roman" w:hAnsi="Times New Roman" w:eastAsia="楷体_GB2312" w:cs="Times New Roman"/>
          <w:b w:val="0"/>
          <w:bCs w:val="0"/>
          <w:sz w:val="32"/>
          <w:szCs w:val="32"/>
          <w:lang w:val="en-US" w:eastAsia="zh-CN"/>
        </w:rPr>
        <w:t>坚持党建引领，不断增强党在新兴领域</w:t>
      </w:r>
      <w:r>
        <w:rPr>
          <w:rFonts w:hint="eastAsia" w:ascii="Times New Roman" w:hAnsi="Times New Roman" w:eastAsia="楷体_GB2312" w:cs="Times New Roman"/>
          <w:b w:val="0"/>
          <w:bCs w:val="0"/>
          <w:sz w:val="32"/>
          <w:szCs w:val="32"/>
          <w:lang w:val="en-US" w:eastAsia="zh-CN"/>
        </w:rPr>
        <w:t>的</w:t>
      </w:r>
      <w:r>
        <w:rPr>
          <w:rFonts w:hint="default" w:ascii="Times New Roman" w:hAnsi="Times New Roman" w:eastAsia="楷体_GB2312" w:cs="Times New Roman"/>
          <w:b w:val="0"/>
          <w:bCs w:val="0"/>
          <w:sz w:val="32"/>
          <w:szCs w:val="32"/>
          <w:lang w:val="en-US" w:eastAsia="zh-CN"/>
        </w:rPr>
        <w:t>号召力凝聚力影响力。</w:t>
      </w:r>
      <w:r>
        <w:rPr>
          <w:rFonts w:hint="default" w:ascii="Times New Roman" w:hAnsi="Times New Roman" w:eastAsia="仿宋_GB2312" w:cs="Times New Roman"/>
          <w:b w:val="0"/>
          <w:bCs w:val="0"/>
          <w:sz w:val="32"/>
          <w:szCs w:val="32"/>
          <w:lang w:val="en-US" w:eastAsia="zh-CN"/>
        </w:rPr>
        <w:t>一是提升“两新”组织“两个覆盖”质效。加强鲁丽集团、美好世家、东孚汽车等行业龙头党建示范作用，带动行业党建水平整体提升。持续攻坚“双有”目标，深化开展“双找”活动，依规灵活组建流动党支部，将流动党员纳入组织体系和管理体系，重点推动物流快递人员、外卖员等流动性大的新就业群体党的覆盖面提升。二是强化新就业群体关爱凝聚。推动制定《昭化区新就业群体服务矩阵建设指引》，围绕网约车司机、网约配送员、网络主播等群体需求，发布实施一批党建服务实事项目，在家居产业集群大党委、万农合创电商园区等空间阵地叠加充电应急、饮食休憩、学习阅读等服务功能，构建昭化区新就业群体服务矩阵。三是提升行业协会商会党建水平。盘活主城区闲置资源，打造行业协会商会“昭商之家”服务阵地，开展“筑基提能·增效创优”专项行动，对行业协会商会负责人、业务骨干等进行专项培训，推进全面从严治党向行业协会商会延伸。</w:t>
      </w:r>
    </w:p>
    <w:p w14:paraId="63CE764E">
      <w:pPr>
        <w:keepNext w:val="0"/>
        <w:keepLines w:val="0"/>
        <w:pageBreakBefore w:val="0"/>
        <w:widowControl w:val="0"/>
        <w:numPr>
          <w:ilvl w:val="0"/>
          <w:numId w:val="0"/>
        </w:numPr>
        <w:kinsoku/>
        <w:overflowPunct/>
        <w:topLinePunct w:val="0"/>
        <w:autoSpaceDE/>
        <w:autoSpaceDN/>
        <w:bidi w:val="0"/>
        <w:adjustRightInd/>
        <w:snapToGrid/>
        <w:spacing w:line="576" w:lineRule="exact"/>
        <w:ind w:left="0" w:firstLine="640" w:firstLineChars="200"/>
        <w:textAlignment w:val="auto"/>
        <w:outlineLvl w:val="9"/>
        <w:rPr>
          <w:rFonts w:hint="default" w:ascii="Times New Roman" w:hAnsi="Times New Roman" w:eastAsia="仿宋_GB2312" w:cs="Times New Roman"/>
          <w:b w:val="0"/>
          <w:bCs w:val="0"/>
          <w:sz w:val="32"/>
          <w:szCs w:val="32"/>
          <w:lang w:val="en-US" w:eastAsia="zh-CN"/>
        </w:rPr>
      </w:pPr>
      <w:r>
        <w:rPr>
          <w:rFonts w:hint="eastAsia" w:ascii="Times New Roman" w:hAnsi="Times New Roman" w:eastAsia="楷体_GB2312" w:cs="Times New Roman"/>
          <w:b w:val="0"/>
          <w:bCs w:val="0"/>
          <w:sz w:val="32"/>
          <w:szCs w:val="32"/>
          <w:lang w:val="en-US" w:eastAsia="zh-CN"/>
        </w:rPr>
        <w:t>4.</w:t>
      </w:r>
      <w:r>
        <w:rPr>
          <w:rFonts w:hint="default" w:ascii="Times New Roman" w:hAnsi="Times New Roman" w:eastAsia="楷体_GB2312" w:cs="Times New Roman"/>
          <w:b w:val="0"/>
          <w:bCs w:val="0"/>
          <w:sz w:val="32"/>
          <w:szCs w:val="32"/>
          <w:lang w:val="en-US" w:eastAsia="zh-CN"/>
        </w:rPr>
        <w:t>扩大社会参与，提升社会工作和志愿服务质量。</w:t>
      </w:r>
      <w:r>
        <w:rPr>
          <w:rFonts w:hint="default" w:ascii="Times New Roman" w:hAnsi="Times New Roman" w:eastAsia="仿宋_GB2312" w:cs="Times New Roman"/>
          <w:b w:val="0"/>
          <w:bCs w:val="0"/>
          <w:sz w:val="32"/>
          <w:szCs w:val="32"/>
          <w:lang w:val="en-US" w:eastAsia="zh-CN"/>
        </w:rPr>
        <w:t>一是持续推动志愿服务工作，广泛动员社会力量，搭建爱心平台，组织应急救援、燃气安全、健康义诊等志愿服务。统筹协调“党员先锋队”“新时代文明实践站”“昭化青年”等志愿服务队伍，充分发挥基层党组织战斗堡垒作用和党员先锋模范作用。二是建强社会工作人才队伍。在2025年村（社区）换届之前，调整一批社区专干指标，合理分配到元坝镇等主城区，并面向社会公开招聘一批社区工作者，彻底解决主城区社会工作者力量薄弱的问题。推动专职网格员通过合法程序，纳入社会工作者队伍，科学谋划社会工作者通过合法程序进入事业干部途径，提升社会工作者吸引力。三是发挥社工专业力量。建立“社工＋两委”“社工＋志愿者”的社会工作人才队伍，运用个案、小组等专业服务方式，为我区老、弱、小等重点群体提供多样化综合性服务工作，进一步畅通参与乡镇治理服务途径和方式。</w:t>
      </w:r>
    </w:p>
    <w:p w14:paraId="2C81B12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lang w:val="en-US" w:eastAsia="zh-CN"/>
        </w:rPr>
      </w:pPr>
      <w:bookmarkStart w:id="4" w:name="_Toc18088"/>
      <w:r>
        <w:rPr>
          <w:rFonts w:hint="eastAsia" w:ascii="黑体" w:hAnsi="黑体" w:eastAsia="黑体" w:cs="黑体"/>
          <w:sz w:val="32"/>
          <w:szCs w:val="32"/>
          <w:lang w:val="en-US" w:eastAsia="zh-CN"/>
        </w:rPr>
        <w:t>二、部门预算单位构成</w:t>
      </w:r>
      <w:bookmarkEnd w:id="4"/>
    </w:p>
    <w:p w14:paraId="08BBF56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color w:val="auto"/>
          <w:sz w:val="32"/>
          <w:szCs w:val="32"/>
          <w:lang w:val="en-US" w:eastAsia="zh-CN"/>
        </w:rPr>
        <w:t>中共广元市昭化区委社会工作部</w:t>
      </w:r>
      <w:r>
        <w:rPr>
          <w:rFonts w:hint="eastAsia" w:ascii="Times New Roman" w:hAnsi="Times New Roman" w:eastAsia="仿宋_GB2312" w:cs="Times New Roman"/>
          <w:color w:val="auto"/>
          <w:sz w:val="32"/>
          <w:szCs w:val="32"/>
          <w:lang w:eastAsia="zh-CN"/>
        </w:rPr>
        <w:t>为一级预算单位，</w:t>
      </w:r>
      <w:r>
        <w:rPr>
          <w:rFonts w:hint="eastAsia" w:ascii="仿宋_GB2312" w:hAnsi="仿宋_GB2312" w:eastAsia="仿宋_GB2312" w:cs="仿宋_GB2312"/>
          <w:sz w:val="32"/>
          <w:szCs w:val="32"/>
          <w:lang w:val="en-US" w:eastAsia="zh-CN"/>
        </w:rPr>
        <w:t>无下属二级预算单位。</w:t>
      </w:r>
    </w:p>
    <w:p w14:paraId="59CBBF4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5" w:name="_Toc15379"/>
      <w:r>
        <w:rPr>
          <w:rFonts w:hint="eastAsia" w:ascii="黑体" w:hAnsi="黑体" w:eastAsia="黑体" w:cs="黑体"/>
          <w:sz w:val="32"/>
          <w:szCs w:val="32"/>
          <w:lang w:val="en-US" w:eastAsia="zh-CN"/>
        </w:rPr>
        <w:t>三、收支预算情况说明</w:t>
      </w:r>
      <w:bookmarkEnd w:id="5"/>
    </w:p>
    <w:p w14:paraId="6CF5B32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按照综合预算的原则，我单位所有收入和支出均纳入部门预算管理。收入包括：一般公共预算拨款收入；支出包括：一般公共服务支出、社会保障和就业支出、卫生健康支出、住房保障支出。我单位2025年收支预算总数283.04万元,我单位2024年4月新成立。</w:t>
      </w:r>
    </w:p>
    <w:p w14:paraId="631F2F9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6" w:name="_Toc11794"/>
      <w:r>
        <w:rPr>
          <w:rFonts w:hint="eastAsia" w:ascii="楷体_GB2312" w:hAnsi="楷体_GB2312" w:eastAsia="楷体_GB2312" w:cs="楷体_GB2312"/>
          <w:sz w:val="32"/>
          <w:szCs w:val="32"/>
          <w:lang w:val="en-US" w:eastAsia="zh-CN"/>
        </w:rPr>
        <w:t>（一）收入预算情况</w:t>
      </w:r>
      <w:bookmarkEnd w:id="6"/>
    </w:p>
    <w:p w14:paraId="78BA4B4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我单位2025年收入预算283.04万元，其中：一般公共预算拨款收入283.04万元，占100%。</w:t>
      </w:r>
    </w:p>
    <w:p w14:paraId="75FE05E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7" w:name="_Toc32262"/>
      <w:r>
        <w:rPr>
          <w:rFonts w:hint="eastAsia" w:ascii="楷体_GB2312" w:hAnsi="楷体_GB2312" w:eastAsia="楷体_GB2312" w:cs="楷体_GB2312"/>
          <w:sz w:val="32"/>
          <w:szCs w:val="32"/>
          <w:lang w:val="en-US" w:eastAsia="zh-CN"/>
        </w:rPr>
        <w:t>（二）支出预算情况</w:t>
      </w:r>
      <w:bookmarkEnd w:id="7"/>
    </w:p>
    <w:p w14:paraId="116CEB3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我单位2025年支出预算283.04万元，其中：基本支出142.6万元，占50.38%；项目支出140.45万元，占49.62%</w:t>
      </w:r>
      <w:r>
        <w:rPr>
          <w:rFonts w:hint="eastAsia" w:ascii="仿宋_GB2312" w:hAnsi="仿宋_GB2312" w:eastAsia="仿宋_GB2312" w:cs="仿宋_GB2312"/>
          <w:b w:val="0"/>
          <w:bCs w:val="0"/>
          <w:sz w:val="32"/>
          <w:szCs w:val="32"/>
          <w:lang w:val="en-US" w:eastAsia="zh-CN"/>
        </w:rPr>
        <w:t>。</w:t>
      </w:r>
    </w:p>
    <w:p w14:paraId="6ADF933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8" w:name="_Toc1603"/>
      <w:r>
        <w:rPr>
          <w:rFonts w:hint="eastAsia" w:ascii="黑体" w:hAnsi="黑体" w:eastAsia="黑体" w:cs="黑体"/>
          <w:sz w:val="32"/>
          <w:szCs w:val="32"/>
          <w:lang w:val="en-US" w:eastAsia="zh-CN"/>
        </w:rPr>
        <w:t>四、财政拨款收支预算情况说明</w:t>
      </w:r>
      <w:bookmarkEnd w:id="8"/>
    </w:p>
    <w:p w14:paraId="0B17523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我单位2025年财政拨款收支预算总数283.04万元,我单位2024年4月新成立。</w:t>
      </w:r>
    </w:p>
    <w:p w14:paraId="1343B34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收入包括：本年一般公共预算拨款收入283.04万元，支出包括：一般公共服务支出265.99万元、社会保障和就业支出0.35万元、卫生健康支出5.54万元、住房保障支出11.16万元。</w:t>
      </w:r>
    </w:p>
    <w:p w14:paraId="76291C7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lang w:val="en-US" w:eastAsia="zh-CN"/>
        </w:rPr>
      </w:pPr>
      <w:bookmarkStart w:id="9" w:name="_Toc1901"/>
      <w:r>
        <w:rPr>
          <w:rFonts w:hint="eastAsia" w:ascii="黑体" w:hAnsi="黑体" w:eastAsia="黑体" w:cs="黑体"/>
          <w:sz w:val="32"/>
          <w:szCs w:val="32"/>
          <w:lang w:val="en-US" w:eastAsia="zh-CN"/>
        </w:rPr>
        <w:t>五、一般公共预算当年拨款情况说明</w:t>
      </w:r>
      <w:bookmarkEnd w:id="9"/>
    </w:p>
    <w:p w14:paraId="13E870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10" w:name="_Toc28607"/>
      <w:r>
        <w:rPr>
          <w:rFonts w:hint="eastAsia" w:ascii="楷体_GB2312" w:hAnsi="楷体_GB2312" w:eastAsia="楷体_GB2312" w:cs="楷体_GB2312"/>
          <w:sz w:val="32"/>
          <w:szCs w:val="32"/>
          <w:lang w:val="en-US" w:eastAsia="zh-CN"/>
        </w:rPr>
        <w:t>（一）一般公共预算当年拨款规模变化情况</w:t>
      </w:r>
      <w:bookmarkEnd w:id="10"/>
    </w:p>
    <w:p w14:paraId="1439A73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我单位2025年一般公共预算当年拨款283.04万元，我单位2024年4月新成立。</w:t>
      </w:r>
    </w:p>
    <w:p w14:paraId="2B17256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11" w:name="_Toc1799"/>
      <w:r>
        <w:rPr>
          <w:rFonts w:hint="eastAsia" w:ascii="楷体_GB2312" w:hAnsi="楷体_GB2312" w:eastAsia="楷体_GB2312" w:cs="楷体_GB2312"/>
          <w:sz w:val="32"/>
          <w:szCs w:val="32"/>
          <w:lang w:val="en-US" w:eastAsia="zh-CN"/>
        </w:rPr>
        <w:t>（二）一般公共预算当年拨款结构情况</w:t>
      </w:r>
      <w:bookmarkEnd w:id="11"/>
    </w:p>
    <w:p w14:paraId="40427CC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一般公共服务支出251.1万元，占88.72%；社会保障和就业支出15.24万元，占5.4%；卫生健康支出5.54万元，占1.95%；住房保障支出11.16万元，占3.93%。</w:t>
      </w:r>
    </w:p>
    <w:p w14:paraId="4A70818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12" w:name="_Toc21866"/>
      <w:r>
        <w:rPr>
          <w:rFonts w:hint="eastAsia" w:ascii="楷体_GB2312" w:hAnsi="楷体_GB2312" w:eastAsia="楷体_GB2312" w:cs="楷体_GB2312"/>
          <w:sz w:val="32"/>
          <w:szCs w:val="32"/>
          <w:lang w:val="en-US" w:eastAsia="zh-CN"/>
        </w:rPr>
        <w:t>（三）一般公共预算当年拨款具体使用情况</w:t>
      </w:r>
      <w:bookmarkEnd w:id="12"/>
    </w:p>
    <w:p w14:paraId="4BB24919">
      <w:pPr>
        <w:spacing w:line="600" w:lineRule="exact"/>
        <w:ind w:firstLine="645"/>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eastAsia="zh-CN"/>
        </w:rPr>
        <w:t>一般公共服务（类）社会工作事务（款）行政运行（项）2025年预算数为129.72万元，主要用于：按规定由单位承担的公务员基本工资、津贴补贴、奖金、机关事业单位基本养老保险缴费、职业年金缴费、退休费、抚恤金、生活补助、奖励金、住房公积金及办公费、印刷费、邮电费、差旅费、维修（护）费、租赁费、会议费、公务接待费、工会经费、其他商品和服务支出。</w:t>
      </w:r>
    </w:p>
    <w:p w14:paraId="2A7A8CAB">
      <w:pPr>
        <w:spacing w:line="600" w:lineRule="exact"/>
        <w:ind w:firstLine="645"/>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val="en-US" w:eastAsia="zh-CN"/>
        </w:rPr>
        <w:t>一般公共服务（类）社会工作事务（款）事业运行（项）2025年预算数为60.93万元，主要用于：按规定由单位承担的事业人员基本工资、津贴补贴、奖金、机关事业单位基本养老保险缴费、职业年金缴费、退休费、抚恤金、生活补助、奖励金、住房公积金及办公费、印刷费、邮电费、差旅费、维修（护）费、租赁费、会议费、公务接待费、工会经费、其他商品和服务支出。</w:t>
      </w:r>
    </w:p>
    <w:p w14:paraId="272D894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en-US" w:eastAsia="zh-CN"/>
        </w:rPr>
        <w:t>一般公共服务（类）社会工作事务（款）其他社会工作事务支出（项）2025年预算数为60.45万元，主要用于：“两新”党组织建设及党组书记补贴、“两新”党建工作指导员工作经费、行业党委工作经费项目等费用。</w:t>
      </w:r>
    </w:p>
    <w:p w14:paraId="2F99C2B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4.社会保障和就业（类）行政事业单位养老支出（款）机关事业单位基本养老保险缴费支出（项）2025年预算数为14.89万元，主要用于：实施养老保险制度由单位缴纳的基本养老保险支出。</w:t>
      </w:r>
    </w:p>
    <w:p w14:paraId="13D3AB7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5.社会保障和就业（类）其他社会保障和就业支出（款）其他社会保障和就业支出（项）2025年预算数为0.35万元，主要用于：事业单位按规定由单位缴纳的失业保险支出。</w:t>
      </w:r>
    </w:p>
    <w:p w14:paraId="35FCF4A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6.卫生健康（类）行政事业单位医疗（款）行政单位医疗（项）2025年预算数为2.29万元，主要用于：机关及参公管理事业单位按规定由单位缴纳的基本医疗保险支出。</w:t>
      </w:r>
    </w:p>
    <w:p w14:paraId="78A8908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7.卫生健康（类）行政事业单位医疗（款）事业单位医疗（项）2025年预算数为3.25万元，主要用于：事业单位按规定由单位缴纳的基本医疗保险支出。</w:t>
      </w:r>
    </w:p>
    <w:p w14:paraId="0C111D0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8.住房保障（类）住房改革支出（款）住房公积金（项）2025年预算数为11.16万元，主要用于：部门按规定为职工缴纳的住房公积金支出。</w:t>
      </w:r>
    </w:p>
    <w:p w14:paraId="6F5C032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13" w:name="_Toc24257"/>
      <w:r>
        <w:rPr>
          <w:rFonts w:hint="eastAsia" w:ascii="黑体" w:hAnsi="黑体" w:eastAsia="黑体" w:cs="黑体"/>
          <w:sz w:val="32"/>
          <w:szCs w:val="32"/>
          <w:lang w:val="en-US" w:eastAsia="zh-CN"/>
        </w:rPr>
        <w:t>六、一般公共预算基本支出情况说明</w:t>
      </w:r>
      <w:bookmarkEnd w:id="13"/>
    </w:p>
    <w:p w14:paraId="4E036BC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我单位2025年一般公共预算基本支出142.6万元，其中：</w:t>
      </w:r>
    </w:p>
    <w:p w14:paraId="46F9082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人员经费125.01万元，主要包括：基本工资、津贴补贴、奖金、社会保险缴费、住房公积金等支出。</w:t>
      </w:r>
    </w:p>
    <w:p w14:paraId="742D168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公用经费17.59万元，主要包括：办公费、印刷费、水费、电费、邮电费、差旅费、维修（护）费、会议费、培训费、公务接待费、劳务费、工会经费、其他交通费用等支出。</w:t>
      </w:r>
    </w:p>
    <w:p w14:paraId="5AB2A43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14" w:name="_Toc4522"/>
      <w:r>
        <w:rPr>
          <w:rFonts w:hint="eastAsia" w:ascii="黑体" w:hAnsi="黑体" w:eastAsia="黑体" w:cs="黑体"/>
          <w:sz w:val="32"/>
          <w:szCs w:val="32"/>
          <w:lang w:val="en-US" w:eastAsia="zh-CN"/>
        </w:rPr>
        <w:t>七、“三公”经费财政拨款预算安排情况说明</w:t>
      </w:r>
      <w:bookmarkEnd w:id="14"/>
    </w:p>
    <w:p w14:paraId="3A02B27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我单位2025年“三公”经费财政拨款预算数4万元，其中：公务接待费4万元，公务用车购置及运行维护费0万元，因公出国（境）经费0万元。</w:t>
      </w:r>
    </w:p>
    <w:p w14:paraId="2252E972">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15" w:name="_Toc18130"/>
      <w:r>
        <w:rPr>
          <w:rFonts w:hint="eastAsia" w:ascii="楷体_GB2312" w:hAnsi="楷体_GB2312" w:eastAsia="楷体_GB2312" w:cs="楷体_GB2312"/>
          <w:sz w:val="32"/>
          <w:szCs w:val="32"/>
          <w:lang w:val="en-US" w:eastAsia="zh-CN"/>
        </w:rPr>
        <w:t>公务接待费</w:t>
      </w:r>
      <w:bookmarkEnd w:id="15"/>
    </w:p>
    <w:p w14:paraId="6875A62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2025年公务接待费预算4万元，2024年4月新成立单位，2024年年初预算未预算该项目。</w:t>
      </w:r>
    </w:p>
    <w:p w14:paraId="5BC2EF6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2025年公务接待费计划用于执行接待考察调研、检查指导等公务活动开支的交通费、住宿费、用餐费等。</w:t>
      </w:r>
    </w:p>
    <w:p w14:paraId="313D4CA7">
      <w:pPr>
        <w:keepNext w:val="0"/>
        <w:keepLines w:val="0"/>
        <w:pageBreakBefore w:val="0"/>
        <w:widowControl w:val="0"/>
        <w:numPr>
          <w:ilvl w:val="0"/>
          <w:numId w:val="2"/>
        </w:numPr>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16" w:name="_Toc19874"/>
      <w:r>
        <w:rPr>
          <w:rFonts w:hint="eastAsia" w:ascii="楷体_GB2312" w:hAnsi="楷体_GB2312" w:eastAsia="楷体_GB2312" w:cs="楷体_GB2312"/>
          <w:sz w:val="32"/>
          <w:szCs w:val="32"/>
          <w:lang w:val="en-US" w:eastAsia="zh-CN"/>
        </w:rPr>
        <w:t>公务用车购置及运行维护费</w:t>
      </w:r>
      <w:bookmarkEnd w:id="16"/>
    </w:p>
    <w:p w14:paraId="7E0A498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单位现有公务用车0辆。</w:t>
      </w:r>
    </w:p>
    <w:p w14:paraId="3CC4C86D">
      <w:pPr>
        <w:keepNext w:val="0"/>
        <w:keepLines w:val="0"/>
        <w:pageBreakBefore w:val="0"/>
        <w:widowControl w:val="0"/>
        <w:kinsoku/>
        <w:wordWrap/>
        <w:overflowPunct/>
        <w:topLinePunct w:val="0"/>
        <w:autoSpaceDE/>
        <w:autoSpaceDN/>
        <w:bidi w:val="0"/>
        <w:adjustRightInd/>
        <w:snapToGrid/>
        <w:spacing w:line="576" w:lineRule="exact"/>
        <w:ind w:left="319" w:leftChars="152" w:firstLine="320" w:firstLineChars="1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2025年安排公务用车购置费0万元。</w:t>
      </w:r>
    </w:p>
    <w:p w14:paraId="518883A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2025年安排公务用车运行维护费0万元。</w:t>
      </w:r>
    </w:p>
    <w:p w14:paraId="78E3DD8C">
      <w:pPr>
        <w:keepNext w:val="0"/>
        <w:keepLines w:val="0"/>
        <w:pageBreakBefore w:val="0"/>
        <w:widowControl w:val="0"/>
        <w:kinsoku/>
        <w:wordWrap/>
        <w:overflowPunct/>
        <w:topLinePunct w:val="0"/>
        <w:autoSpaceDE/>
        <w:autoSpaceDN/>
        <w:bidi w:val="0"/>
        <w:adjustRightInd/>
        <w:snapToGrid/>
        <w:spacing w:line="576" w:lineRule="exact"/>
        <w:textAlignment w:val="auto"/>
        <w:outlineLvl w:val="1"/>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bookmarkStart w:id="17" w:name="_Toc22158"/>
      <w:r>
        <w:rPr>
          <w:rFonts w:hint="eastAsia" w:ascii="仿宋_GB2312" w:hAnsi="仿宋_GB2312" w:eastAsia="仿宋_GB2312" w:cs="仿宋_GB2312"/>
          <w:sz w:val="32"/>
          <w:szCs w:val="32"/>
          <w:lang w:val="en-US" w:eastAsia="zh-CN"/>
        </w:rPr>
        <w:t>（</w:t>
      </w:r>
      <w:r>
        <w:rPr>
          <w:rFonts w:hint="eastAsia" w:ascii="楷体_GB2312" w:hAnsi="楷体_GB2312" w:eastAsia="楷体_GB2312" w:cs="楷体_GB2312"/>
          <w:sz w:val="32"/>
          <w:szCs w:val="32"/>
          <w:lang w:val="en-US" w:eastAsia="zh-CN"/>
        </w:rPr>
        <w:t>三）因公出国（境）经费</w:t>
      </w:r>
      <w:bookmarkEnd w:id="17"/>
    </w:p>
    <w:p w14:paraId="6DCC73E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我单位2024年4月新成立，2024、2025年无因公出国（境）经费预算。</w:t>
      </w:r>
    </w:p>
    <w:p w14:paraId="0B8EC98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lang w:val="en-US" w:eastAsia="zh-CN"/>
        </w:rPr>
      </w:pPr>
      <w:bookmarkStart w:id="18" w:name="_Toc29473"/>
      <w:r>
        <w:rPr>
          <w:rFonts w:hint="eastAsia" w:ascii="黑体" w:hAnsi="黑体" w:eastAsia="黑体" w:cs="黑体"/>
          <w:sz w:val="32"/>
          <w:szCs w:val="32"/>
          <w:lang w:val="en-US" w:eastAsia="zh-CN"/>
        </w:rPr>
        <w:t>八、政府性基金预算支出情况说明</w:t>
      </w:r>
      <w:bookmarkEnd w:id="18"/>
    </w:p>
    <w:p w14:paraId="5518857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我单位2025年无政府性基金预算拨款安排的支出。</w:t>
      </w:r>
    </w:p>
    <w:p w14:paraId="00488E4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lang w:val="en-US" w:eastAsia="zh-CN"/>
        </w:rPr>
      </w:pPr>
      <w:bookmarkStart w:id="19" w:name="_Toc2320"/>
      <w:r>
        <w:rPr>
          <w:rFonts w:hint="eastAsia" w:ascii="黑体" w:hAnsi="黑体" w:eastAsia="黑体" w:cs="黑体"/>
          <w:sz w:val="32"/>
          <w:szCs w:val="32"/>
          <w:lang w:val="en-US" w:eastAsia="zh-CN"/>
        </w:rPr>
        <w:t>九、国有资本经营预算支出情况说明</w:t>
      </w:r>
      <w:bookmarkEnd w:id="19"/>
    </w:p>
    <w:p w14:paraId="42F8B42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我单位2025年无国有资本经营预算拨款安排的支出。</w:t>
      </w:r>
    </w:p>
    <w:p w14:paraId="66144FF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20" w:name="_Toc3905"/>
      <w:r>
        <w:rPr>
          <w:rFonts w:hint="eastAsia" w:ascii="黑体" w:hAnsi="黑体" w:eastAsia="黑体" w:cs="黑体"/>
          <w:sz w:val="32"/>
          <w:szCs w:val="32"/>
          <w:lang w:val="en-US" w:eastAsia="zh-CN"/>
        </w:rPr>
        <w:t>十、其他重要事项的情况说明</w:t>
      </w:r>
      <w:bookmarkEnd w:id="20"/>
    </w:p>
    <w:p w14:paraId="7F95465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21" w:name="_Toc17379"/>
      <w:r>
        <w:rPr>
          <w:rFonts w:hint="eastAsia" w:ascii="楷体_GB2312" w:hAnsi="楷体_GB2312" w:eastAsia="楷体_GB2312" w:cs="楷体_GB2312"/>
          <w:sz w:val="32"/>
          <w:szCs w:val="32"/>
          <w:lang w:val="en-US" w:eastAsia="zh-CN"/>
        </w:rPr>
        <w:t>（一）机关运行经费</w:t>
      </w:r>
      <w:bookmarkEnd w:id="21"/>
    </w:p>
    <w:p w14:paraId="35A0175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2025年，我单位局机关运行经费财政拨款预算为17.59万元。</w:t>
      </w:r>
    </w:p>
    <w:p w14:paraId="4B000C2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22" w:name="_Toc13003"/>
      <w:r>
        <w:rPr>
          <w:rFonts w:hint="eastAsia" w:ascii="楷体_GB2312" w:hAnsi="楷体_GB2312" w:eastAsia="楷体_GB2312" w:cs="楷体_GB2312"/>
          <w:sz w:val="32"/>
          <w:szCs w:val="32"/>
          <w:lang w:val="en-US" w:eastAsia="zh-CN"/>
        </w:rPr>
        <w:t>（二）政府采购情况</w:t>
      </w:r>
      <w:bookmarkEnd w:id="22"/>
    </w:p>
    <w:p w14:paraId="3E8EA8B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2025年，我单位安排政府采购预算0万元。</w:t>
      </w:r>
    </w:p>
    <w:p w14:paraId="7D66B38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lang w:val="en-US" w:eastAsia="zh-CN"/>
        </w:rPr>
      </w:pPr>
      <w:bookmarkStart w:id="23" w:name="_Toc22616"/>
      <w:r>
        <w:rPr>
          <w:rFonts w:hint="eastAsia" w:ascii="楷体_GB2312" w:hAnsi="楷体_GB2312" w:eastAsia="楷体_GB2312" w:cs="楷体_GB2312"/>
          <w:sz w:val="32"/>
          <w:szCs w:val="32"/>
          <w:lang w:val="en-US" w:eastAsia="zh-CN"/>
        </w:rPr>
        <w:t>（三）国有资产占有使用情况</w:t>
      </w:r>
      <w:bookmarkEnd w:id="23"/>
    </w:p>
    <w:p w14:paraId="0448BAB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截至2024年底，我单位共有车辆0辆，其中，领导干部用车0辆、定向保障用车0辆、执法执勤用车0辆。</w:t>
      </w:r>
    </w:p>
    <w:p w14:paraId="3109AD4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2025年部门预算安排车辆购置经费0万元。</w:t>
      </w:r>
    </w:p>
    <w:p w14:paraId="3857DEB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sz w:val="32"/>
          <w:szCs w:val="32"/>
        </w:rPr>
      </w:pPr>
      <w:bookmarkStart w:id="24" w:name="_Toc1747"/>
      <w:r>
        <w:rPr>
          <w:rFonts w:hint="eastAsia" w:ascii="楷体_GB2312" w:hAnsi="楷体_GB2312" w:eastAsia="楷体_GB2312" w:cs="楷体_GB2312"/>
          <w:sz w:val="32"/>
          <w:szCs w:val="32"/>
          <w:lang w:val="en-US" w:eastAsia="zh-CN"/>
        </w:rPr>
        <w:t>（四）绩效目标设置情况</w:t>
      </w:r>
      <w:bookmarkEnd w:id="24"/>
    </w:p>
    <w:p w14:paraId="1CDA8B1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2025年我单位开展绩效目标管理的项目11个，涉及预算158.04万元。其中：人员类项目（定额公用经费、公务交通补贴）3个，涉及预算 17.59万元；运转类项目5个，涉及预算80万元；特定目标类项目3个，涉及预算60.45万元。</w:t>
      </w:r>
    </w:p>
    <w:p w14:paraId="105D129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0"/>
        <w:rPr>
          <w:rFonts w:hint="eastAsia" w:ascii="黑体" w:hAnsi="黑体" w:eastAsia="黑体" w:cs="黑体"/>
          <w:sz w:val="32"/>
          <w:szCs w:val="32"/>
        </w:rPr>
      </w:pPr>
      <w:bookmarkStart w:id="25" w:name="_Toc31788"/>
      <w:r>
        <w:rPr>
          <w:rFonts w:hint="eastAsia" w:ascii="黑体" w:hAnsi="黑体" w:eastAsia="黑体" w:cs="黑体"/>
          <w:sz w:val="32"/>
          <w:szCs w:val="32"/>
          <w:lang w:val="en-US" w:eastAsia="zh-CN"/>
        </w:rPr>
        <w:t>十一、名词解释</w:t>
      </w:r>
      <w:bookmarkEnd w:id="25"/>
    </w:p>
    <w:p w14:paraId="4F0BE1B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default" w:ascii="仿宋_GB2312" w:hAnsi="仿宋_GB2312" w:eastAsia="仿宋_GB2312" w:cs="仿宋_GB2312"/>
          <w:sz w:val="32"/>
          <w:szCs w:val="32"/>
          <w:lang w:val="en-US" w:eastAsia="zh-CN"/>
        </w:rPr>
      </w:pPr>
      <w:bookmarkStart w:id="26" w:name="_Toc16177"/>
      <w:r>
        <w:rPr>
          <w:rFonts w:hint="eastAsia" w:ascii="仿宋_GB2312" w:hAnsi="仿宋_GB2312" w:eastAsia="仿宋_GB2312" w:cs="仿宋_GB2312"/>
          <w:sz w:val="32"/>
          <w:szCs w:val="32"/>
          <w:lang w:val="en-US" w:eastAsia="zh-CN"/>
        </w:rPr>
        <w:t>（一）</w:t>
      </w:r>
      <w:r>
        <w:rPr>
          <w:rFonts w:hint="default" w:ascii="楷体_GB2312" w:hAnsi="楷体_GB2312" w:eastAsia="楷体_GB2312" w:cs="楷体_GB2312"/>
          <w:sz w:val="32"/>
          <w:szCs w:val="32"/>
          <w:lang w:val="en-US" w:eastAsia="zh-CN"/>
        </w:rPr>
        <w:t>一般公共预算拨款收入：</w:t>
      </w:r>
      <w:r>
        <w:rPr>
          <w:rFonts w:hint="default" w:ascii="仿宋_GB2312" w:hAnsi="仿宋_GB2312" w:eastAsia="仿宋_GB2312" w:cs="仿宋_GB2312"/>
          <w:sz w:val="32"/>
          <w:szCs w:val="32"/>
          <w:lang w:val="en-US" w:eastAsia="zh-CN"/>
        </w:rPr>
        <w:t>指</w:t>
      </w:r>
      <w:r>
        <w:rPr>
          <w:rFonts w:hint="eastAsia" w:ascii="仿宋_GB2312" w:hAnsi="仿宋_GB2312" w:eastAsia="仿宋_GB2312" w:cs="仿宋_GB2312"/>
          <w:sz w:val="32"/>
          <w:szCs w:val="32"/>
          <w:lang w:val="en-US" w:eastAsia="zh-CN"/>
        </w:rPr>
        <w:t>区财政当</w:t>
      </w:r>
      <w:r>
        <w:rPr>
          <w:rFonts w:hint="default" w:ascii="仿宋_GB2312" w:hAnsi="仿宋_GB2312" w:eastAsia="仿宋_GB2312" w:cs="仿宋_GB2312"/>
          <w:sz w:val="32"/>
          <w:szCs w:val="32"/>
          <w:lang w:val="en-US" w:eastAsia="zh-CN"/>
        </w:rPr>
        <w:t>年拨付的资金。</w:t>
      </w:r>
      <w:bookmarkEnd w:id="26"/>
    </w:p>
    <w:p w14:paraId="259E5BF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（二）一般公共服务（类）社会工作事务（款）行政运行（项）</w:t>
      </w:r>
      <w:r>
        <w:rPr>
          <w:rFonts w:hint="default" w:ascii="楷体_GB2312" w:hAnsi="楷体_GB2312" w:eastAsia="楷体_GB2312" w:cs="楷体_GB2312"/>
          <w:sz w:val="32"/>
          <w:szCs w:val="32"/>
          <w:lang w:val="en-US" w:eastAsia="zh-CN"/>
        </w:rPr>
        <w:t>：</w:t>
      </w:r>
      <w:r>
        <w:rPr>
          <w:rFonts w:hint="default" w:ascii="仿宋_GB2312" w:hAnsi="仿宋_GB2312" w:eastAsia="仿宋_GB2312" w:cs="仿宋_GB2312"/>
          <w:sz w:val="32"/>
          <w:szCs w:val="32"/>
          <w:lang w:val="en-US" w:eastAsia="zh-CN"/>
        </w:rPr>
        <w:t>指</w:t>
      </w:r>
      <w:r>
        <w:rPr>
          <w:rFonts w:hint="eastAsia" w:ascii="仿宋_GB2312" w:hAnsi="仿宋_GB2312" w:eastAsia="仿宋_GB2312" w:cs="仿宋_GB2312"/>
          <w:sz w:val="32"/>
          <w:szCs w:val="32"/>
          <w:lang w:val="en-US" w:eastAsia="zh-CN"/>
        </w:rPr>
        <w:t>机关</w:t>
      </w:r>
      <w:r>
        <w:rPr>
          <w:rFonts w:hint="default" w:ascii="仿宋_GB2312" w:hAnsi="仿宋_GB2312" w:eastAsia="仿宋_GB2312" w:cs="仿宋_GB2312"/>
          <w:sz w:val="32"/>
          <w:szCs w:val="32"/>
          <w:lang w:val="en-US" w:eastAsia="zh-CN"/>
        </w:rPr>
        <w:t>单位用于保障机构正常运行、开展日常工作的基本支出。</w:t>
      </w:r>
    </w:p>
    <w:p w14:paraId="5DB76FF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（三）一般公共服务（类）社会工作事务（款）事业运行（项）</w:t>
      </w:r>
      <w:r>
        <w:rPr>
          <w:rFonts w:hint="eastAsia" w:ascii="仿宋_GB2312" w:hAnsi="仿宋_GB2312" w:eastAsia="仿宋_GB2312" w:cs="仿宋_GB2312"/>
          <w:sz w:val="32"/>
          <w:szCs w:val="32"/>
          <w:lang w:val="en-US" w:eastAsia="zh-CN"/>
        </w:rPr>
        <w:t>指机关单位保障机构正常运行、开展日常工作的基本支出。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（四）一般公共服务（类）社会工作事务（款）其他社会工作事务支出（项）：</w:t>
      </w:r>
      <w:r>
        <w:rPr>
          <w:rFonts w:hint="eastAsia" w:ascii="仿宋_GB2312" w:hAnsi="仿宋_GB2312" w:eastAsia="仿宋_GB2312" w:cs="仿宋_GB2312"/>
          <w:sz w:val="32"/>
          <w:szCs w:val="32"/>
          <w:lang w:val="en-US" w:eastAsia="zh-CN"/>
        </w:rPr>
        <w:t>指机关单位开展社会工作的项目支出。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　（五）社会保障和就业（类）行政事业单位养老支出（款）机关事业单位基本养老保险缴费支出（项）：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指部门实施养老保险制度由单位缴纳的养老保险的支出。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　（六）社会保障和就业（类）其他社会保障和就业支出（款）其他社会保障和就业支出（项）：</w:t>
      </w:r>
      <w:r>
        <w:rPr>
          <w:rFonts w:hint="eastAsia" w:ascii="仿宋_GB2312" w:hAnsi="仿宋_GB2312" w:eastAsia="仿宋_GB2312" w:cs="仿宋_GB2312"/>
          <w:sz w:val="32"/>
          <w:szCs w:val="32"/>
          <w:lang w:val="en-US" w:eastAsia="zh-CN"/>
        </w:rPr>
        <w:t>指部门实施由单位缴纳的失业保险的支出。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（七）卫生健康（类）行政事业单位医疗（款）行政单位医疗（项）：</w:t>
      </w:r>
      <w:r>
        <w:rPr>
          <w:rFonts w:hint="eastAsia" w:ascii="仿宋_GB2312" w:hAnsi="仿宋_GB2312" w:eastAsia="仿宋_GB2312" w:cs="仿宋_GB2312"/>
          <w:sz w:val="32"/>
          <w:szCs w:val="32"/>
          <w:lang w:val="en-US" w:eastAsia="zh-CN"/>
        </w:rPr>
        <w:t>指机关及参公管理事业单位用于单位应缴纳基本医疗保险支出。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　（八）卫生健康（类）行政事业单位医疗（款）事业单位医疗（项）：</w:t>
      </w:r>
      <w:r>
        <w:rPr>
          <w:rFonts w:hint="eastAsia" w:ascii="仿宋_GB2312" w:hAnsi="仿宋_GB2312" w:eastAsia="仿宋_GB2312" w:cs="仿宋_GB2312"/>
          <w:sz w:val="32"/>
          <w:szCs w:val="32"/>
          <w:lang w:val="en-US" w:eastAsia="zh-CN"/>
        </w:rPr>
        <w:t>指事业单位用于单位应缴纳基本医疗保险支出。</w:t>
      </w:r>
    </w:p>
    <w:p w14:paraId="44ED8BF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（九）住房保障（类）住房改革支出（款）住房公积金（项）：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r>
        <w:rPr>
          <w:rFonts w:hint="eastAsia" w:ascii="仿宋_GB2312" w:hAnsi="仿宋_GB2312" w:eastAsia="仿宋_GB2312" w:cs="仿宋_GB2312"/>
          <w:sz w:val="32"/>
          <w:szCs w:val="32"/>
          <w:lang w:val="en-US" w:eastAsia="zh-CN"/>
        </w:rPr>
        <w:br w:type="textWrapping"/>
      </w:r>
      <w:r>
        <w:rPr>
          <w:rFonts w:hint="eastAsia" w:ascii="楷体_GB2312" w:hAnsi="楷体_GB2312" w:eastAsia="楷体_GB2312" w:cs="楷体_GB2312"/>
          <w:sz w:val="32"/>
          <w:szCs w:val="32"/>
          <w:lang w:val="en-US" w:eastAsia="zh-CN"/>
        </w:rPr>
        <w:t>　　（十）基本支出：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（十一）项目支出：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14:paraId="5054004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（十二）“三公”经费：</w:t>
      </w:r>
      <w:r>
        <w:rPr>
          <w:rFonts w:hint="eastAsia" w:ascii="仿宋_GB2312" w:hAnsi="仿宋_GB2312" w:eastAsia="仿宋_GB2312" w:cs="仿宋_GB2312"/>
          <w:sz w:val="32"/>
          <w:szCs w:val="32"/>
          <w:lang w:val="en-US" w:eastAsia="zh-CN"/>
        </w:rPr>
        <w:t>纳入区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（十三）机关运行经费：</w:t>
      </w:r>
      <w:r>
        <w:rPr>
          <w:rFonts w:hint="eastAsia" w:ascii="仿宋_GB2312" w:hAnsi="仿宋_GB2312" w:eastAsia="仿宋_GB2312" w:cs="仿宋_GB2312"/>
          <w:sz w:val="32"/>
          <w:szCs w:val="32"/>
          <w:lang w:val="en-US" w:eastAsia="zh-CN"/>
        </w:rPr>
        <w:t>为保障行政单位（包括参照公务员法管理的事业单位）运行用于购买货物和服务的各项资金，包括办公及印刷费、邮电费、差旅费、会议费、培训费、福利费、日常维修费、专用材料及一般设备购置费、办公用房水电费、办公用房物业管理费、公务用车运行维护费以及其他费用。</w:t>
      </w:r>
    </w:p>
    <w:p w14:paraId="7D5616F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0734B7B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附件：1.部门预算公开表</w:t>
      </w:r>
    </w:p>
    <w:p w14:paraId="6FB9FAD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2.项目支出绩效目标表</w:t>
      </w:r>
    </w:p>
    <w:p w14:paraId="133A3DC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3.部门整体支出绩效目标表</w:t>
      </w:r>
    </w:p>
    <w:p w14:paraId="20376F86">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5" w:type="default"/>
      <w:pgSz w:w="11906" w:h="16838"/>
      <w:pgMar w:top="2098" w:right="1474" w:bottom="1984" w:left="1587" w:header="720" w:footer="1559"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iberation Sans">
    <w:altName w:val="Vijaya"/>
    <w:panose1 w:val="020B0604020202020204"/>
    <w:charset w:val="00"/>
    <w:family w:val="auto"/>
    <w:pitch w:val="default"/>
    <w:sig w:usb0="00000000" w:usb1="00000000" w:usb2="00000000" w:usb3="00000000" w:csb0="6000009F" w:csb1="DFD70000"/>
  </w:font>
  <w:font w:name="Vijaya">
    <w:panose1 w:val="020B0604020202020204"/>
    <w:charset w:val="00"/>
    <w:family w:val="auto"/>
    <w:pitch w:val="default"/>
    <w:sig w:usb0="00100003" w:usb1="00000000" w:usb2="00000000" w:usb3="00000000" w:csb0="00000001" w:csb1="0000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79AFD">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5"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01F8D54">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KxPxan9AQAA/wMAAA4AAAAAAAAAAQAgAAAAHwEAAGRycy9lMm9Eb2MueG1s&#10;UEsFBgAAAAAGAAYAWQEAAI4FAAAAAA==&#10;">
              <v:fill on="f" focussize="0,0"/>
              <v:stroke on="f"/>
              <v:imagedata o:title=""/>
              <o:lock v:ext="edit" aspectratio="f"/>
              <v:textbox inset="0mm,0mm,0mm,0mm" style="mso-fit-shape-to-text:t;">
                <w:txbxContent>
                  <w:p w14:paraId="301F8D54">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FCA49">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6"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EA6F874">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J9njRP9AQAA/wMAAA4AAAAAAAAAAQAgAAAAHwEAAGRycy9lMm9Eb2MueG1s&#10;UEsFBgAAAAAGAAYAWQEAAI4FAAAAAA==&#10;">
              <v:fill on="f" focussize="0,0"/>
              <v:stroke on="f"/>
              <v:imagedata o:title=""/>
              <o:lock v:ext="edit" aspectratio="f"/>
              <v:textbox inset="0mm,0mm,0mm,0mm" style="mso-fit-shape-to-text:t;">
                <w:txbxContent>
                  <w:p w14:paraId="5EA6F874">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A00C7">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11DE6C"/>
    <w:multiLevelType w:val="singleLevel"/>
    <w:tmpl w:val="2811DE6C"/>
    <w:lvl w:ilvl="0" w:tentative="0">
      <w:start w:val="1"/>
      <w:numFmt w:val="chineseCounting"/>
      <w:suff w:val="nothing"/>
      <w:lvlText w:val="（%1）"/>
      <w:lvlJc w:val="left"/>
      <w:rPr>
        <w:rFonts w:hint="eastAsia"/>
      </w:rPr>
    </w:lvl>
  </w:abstractNum>
  <w:abstractNum w:abstractNumId="1">
    <w:nsid w:val="2B2A0C2D"/>
    <w:multiLevelType w:val="singleLevel"/>
    <w:tmpl w:val="2B2A0C2D"/>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
  <w:drawingGridVerticalSpacing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wYmQ3N2FhZmE1Yjg0OGFkNTU5NTg3M2QzNjJlMDgifQ=="/>
  </w:docVars>
  <w:rsids>
    <w:rsidRoot w:val="00000000"/>
    <w:rsid w:val="0AE83046"/>
    <w:rsid w:val="69626E58"/>
    <w:rsid w:val="74591029"/>
  </w:rsids>
  <m:mathPr>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3">
    <w:name w:val="Default Paragraph Font"/>
    <w:autoRedefine/>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3">
    <w:name w:val="caption"/>
    <w:basedOn w:val="1"/>
    <w:autoRedefine/>
    <w:qFormat/>
    <w:uiPriority w:val="0"/>
    <w:pPr>
      <w:widowControl w:val="0"/>
      <w:suppressLineNumbers/>
      <w:suppressAutoHyphens/>
      <w:spacing w:before="120" w:after="120"/>
    </w:pPr>
    <w:rPr>
      <w:i/>
      <w:iCs/>
      <w:sz w:val="24"/>
      <w:szCs w:val="24"/>
    </w:rPr>
  </w:style>
  <w:style w:type="paragraph" w:styleId="4">
    <w:name w:val="Body Text"/>
    <w:basedOn w:val="1"/>
    <w:autoRedefine/>
    <w:qFormat/>
    <w:uiPriority w:val="0"/>
    <w:pPr>
      <w:spacing w:before="0" w:after="140" w:line="276" w:lineRule="auto"/>
    </w:pPr>
  </w:style>
  <w:style w:type="paragraph" w:styleId="5">
    <w:name w:val="Body Text Indent"/>
    <w:basedOn w:val="1"/>
    <w:qFormat/>
    <w:uiPriority w:val="0"/>
    <w:pPr>
      <w:spacing w:after="120"/>
      <w:ind w:left="420" w:leftChars="200"/>
    </w:p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List"/>
    <w:basedOn w:val="4"/>
    <w:autoRedefine/>
    <w:qFormat/>
    <w:uiPriority w:val="0"/>
  </w:style>
  <w:style w:type="paragraph" w:styleId="9">
    <w:name w:val="Normal (Web)"/>
    <w:basedOn w:val="1"/>
    <w:autoRedefine/>
    <w:qFormat/>
    <w:uiPriority w:val="0"/>
    <w:rPr>
      <w:sz w:val="24"/>
    </w:rPr>
  </w:style>
  <w:style w:type="paragraph" w:styleId="10">
    <w:name w:val="Body Text First Indent 2"/>
    <w:basedOn w:val="5"/>
    <w:next w:val="1"/>
    <w:qFormat/>
    <w:uiPriority w:val="0"/>
    <w:pPr>
      <w:spacing w:after="0"/>
      <w:ind w:firstLine="420" w:firstLineChars="200"/>
    </w:pPr>
    <w:rPr>
      <w:sz w:val="32"/>
    </w:rPr>
  </w:style>
  <w:style w:type="table" w:styleId="12">
    <w:name w:val="Table Grid"/>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4">
    <w:name w:val="默认段落字体1"/>
    <w:autoRedefine/>
    <w:qFormat/>
    <w:uiPriority w:val="0"/>
  </w:style>
  <w:style w:type="paragraph" w:customStyle="1" w:styleId="15">
    <w:name w:val="Heading"/>
    <w:basedOn w:val="1"/>
    <w:next w:val="4"/>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6">
    <w:name w:val="Index"/>
    <w:basedOn w:val="1"/>
    <w:autoRedefine/>
    <w:qFormat/>
    <w:uiPriority w:val="0"/>
    <w:pPr>
      <w:widowControl w:val="0"/>
      <w:suppressLineNumbers/>
      <w:suppressAutoHyphens/>
    </w:pPr>
  </w:style>
  <w:style w:type="paragraph" w:customStyle="1" w:styleId="17">
    <w:name w:val="WPSOffice手动目录 1"/>
    <w:qFormat/>
    <w:uiPriority w:val="0"/>
    <w:pPr>
      <w:ind w:leftChars="0"/>
    </w:pPr>
    <w:rPr>
      <w:rFonts w:ascii="Times New Roman" w:hAnsi="Times New Roman" w:eastAsia="宋体" w:cs="Times New Roman"/>
      <w:sz w:val="20"/>
      <w:szCs w:val="20"/>
    </w:rPr>
  </w:style>
  <w:style w:type="paragraph" w:customStyle="1" w:styleId="18">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Pages>
  <Words>5594</Words>
  <Characters>5898</Characters>
  <TotalTime>12</TotalTime>
  <ScaleCrop>false</ScaleCrop>
  <LinksUpToDate>false</LinksUpToDate>
  <CharactersWithSpaces>6014</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Administrator</cp:lastModifiedBy>
  <cp:lastPrinted>2025-02-11T07:06:00Z</cp:lastPrinted>
  <dcterms:modified xsi:type="dcterms:W3CDTF">2025-02-14T00:46:58Z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AB9495A595684D8584607187303FDAA7_13</vt:lpwstr>
  </property>
  <property fmtid="{D5CDD505-2E9C-101B-9397-08002B2CF9AE}" pid="4" name="KSOTemplateDocerSaveRecord">
    <vt:lpwstr>eyJoZGlkIjoiM2Y2ZGY0NWUzOGQ0NmEyNzcwMGVhNDVjNTBjNDNhNzUifQ==</vt:lpwstr>
  </property>
</Properties>
</file>