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CF1C85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120" w:beforeAutospacing="0" w:after="0" w:afterAutospacing="0" w:line="576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aps w:val="0"/>
          <w:color w:val="000000" w:themeColor="text1"/>
          <w:spacing w:val="0"/>
          <w:sz w:val="44"/>
          <w:szCs w:val="44"/>
          <w:highlight w:val="none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val="en-US" w:eastAsia="zh-CN"/>
        </w:rPr>
        <w:t>广元市昭化区机关事务服务中</w:t>
      </w:r>
      <w:r>
        <w:commentReference w:id="0"/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val="en-US" w:eastAsia="zh-CN"/>
        </w:rPr>
        <w:t>心</w:t>
      </w:r>
    </w:p>
    <w:p w14:paraId="16902C6E">
      <w:pPr>
        <w:jc w:val="center"/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val="en-US" w:eastAsia="zh-CN"/>
        </w:rPr>
        <w:t>2025年部门预算编制说明</w:t>
      </w:r>
    </w:p>
    <w:p w14:paraId="3444A9AC">
      <w:pPr>
        <w:jc w:val="center"/>
        <w:rPr>
          <w:rFonts w:hint="eastAsia" w:ascii="黑体" w:hAnsi="黑体" w:eastAsia="黑体" w:cs="黑体"/>
          <w:b/>
          <w:bCs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目   录</w:t>
      </w:r>
    </w:p>
    <w:p w14:paraId="0938A4DF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一、基本职能及主要工作..............................(3)</w:t>
      </w:r>
    </w:p>
    <w:p w14:paraId="1AA373BD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（一）单位职能简介..................................(3</w:t>
      </w:r>
      <w:r>
        <w:rPr>
          <w:rFonts w:hint="default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)</w:t>
      </w:r>
    </w:p>
    <w:p w14:paraId="5CCB2343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（二）单位2025年重点工作...........................(3)</w:t>
      </w:r>
    </w:p>
    <w:p w14:paraId="7D330963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二、部门预算单位构成................................(5)</w:t>
      </w:r>
    </w:p>
    <w:p w14:paraId="6DD70ACF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三、收支预算情况说明................................(5)</w:t>
      </w:r>
    </w:p>
    <w:p w14:paraId="1D2ADEA6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（一）收入预算情况..................................(5)</w:t>
      </w:r>
    </w:p>
    <w:p w14:paraId="7392F7D2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（二）支出预算情况..................................(5)</w:t>
      </w:r>
    </w:p>
    <w:p w14:paraId="36ABEA61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四、财政拨款收支预算情况说明........................(6)</w:t>
      </w:r>
    </w:p>
    <w:p w14:paraId="1628C69C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五、一般公共预算当年拨款情况说明....................(6)</w:t>
      </w:r>
    </w:p>
    <w:p w14:paraId="534ACCB3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（一）一般公共预算当年拨款规模变化情况..............(6)</w:t>
      </w:r>
    </w:p>
    <w:p w14:paraId="40930552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（二）一般公共预算当年拨款结构情况..................(7)</w:t>
      </w:r>
    </w:p>
    <w:p w14:paraId="507B1BC8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（三）一般公共预算当年拨款具体使用情况..............(7)</w:t>
      </w:r>
    </w:p>
    <w:p w14:paraId="085EE6B6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六、一般公共预算基本支出情况说明....................(8)</w:t>
      </w:r>
    </w:p>
    <w:p w14:paraId="67B5BBB4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七、“三公”经费财政拨款预算安排情况说明............(8)</w:t>
      </w:r>
    </w:p>
    <w:p w14:paraId="1A690DA3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八、政府性基金预算支出情况说明......................(9)</w:t>
      </w:r>
    </w:p>
    <w:p w14:paraId="559BC4C0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九、国有资本经营预算支出情况说明....................(9)</w:t>
      </w:r>
    </w:p>
    <w:p w14:paraId="52E8BA85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十、其他重要事项的情况说明........................(9)</w:t>
      </w:r>
    </w:p>
    <w:p w14:paraId="12052E0D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十一、名词解释....................................(10)</w:t>
      </w:r>
    </w:p>
    <w:p w14:paraId="3825D776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39B1367C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6D5B6B16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26F04BC6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231C77D8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45880AE7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40EF406F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24EAE6FE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75753E96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4BB5D00B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 w14:paraId="6E07F822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3E4AA113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28289C1D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46D9E43C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10A1B401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17394AE0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363F01AE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4E881E5A">
      <w:pPr>
        <w:jc w:val="both"/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 w14:paraId="117469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一、基本职能及主要工作</w:t>
      </w:r>
    </w:p>
    <w:p w14:paraId="2953E1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机关事务服务中心</w:t>
      </w:r>
      <w:r>
        <w:rPr>
          <w:rFonts w:hint="eastAsia" w:ascii="楷体_GB2312" w:hAnsi="楷体_GB2312" w:eastAsia="楷体_GB2312" w:cs="楷体_GB2312"/>
          <w:sz w:val="32"/>
          <w:szCs w:val="32"/>
        </w:rPr>
        <w:t>职能简介</w:t>
      </w:r>
    </w:p>
    <w:p w14:paraId="1BDA5EED">
      <w:pPr>
        <w:keepNext w:val="0"/>
        <w:keepLines w:val="0"/>
        <w:pageBreakBefore w:val="0"/>
        <w:numPr>
          <w:ilvl w:val="0"/>
          <w:numId w:val="0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1.负责全区机关事务的管理和指导工作；</w:t>
      </w:r>
    </w:p>
    <w:p w14:paraId="771F78A1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2.负责制定、指导并组织实施全区机关后勤运行经费、资产、服务管理及机关后勤改革的具体办法和措施；</w:t>
      </w:r>
    </w:p>
    <w:p w14:paraId="522DB0F8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 xml:space="preserve">3.负责制定全区“公务车辆管理办法”并组织实施；   </w:t>
      </w:r>
    </w:p>
    <w:p w14:paraId="7F1D8ED9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4.负责公务用车的编制管理和编制核定以及公务车辆的配备、更新、维修、调配、处置等工作；</w:t>
      </w:r>
    </w:p>
    <w:p w14:paraId="75AEAC3A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5.负责制定全区公共机构节能管理规划及相关制度并组织实施；</w:t>
      </w:r>
    </w:p>
    <w:p w14:paraId="680FC746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6.负责全区公共机构能耗统计、监测和评价考核工作；</w:t>
      </w:r>
    </w:p>
    <w:p w14:paraId="64646380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7.负责区级机关集中办公区域的后勤管理，保障服务工作；</w:t>
      </w:r>
    </w:p>
    <w:p w14:paraId="34287FDE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8.承办上级交办的其他事项。</w:t>
      </w:r>
    </w:p>
    <w:p w14:paraId="674C08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机关事务服务中心</w:t>
      </w:r>
      <w:r>
        <w:rPr>
          <w:rFonts w:hint="eastAsia" w:ascii="楷体_GB2312" w:hAnsi="楷体_GB2312" w:eastAsia="楷体_GB2312" w:cs="楷体_GB2312"/>
          <w:sz w:val="32"/>
          <w:szCs w:val="32"/>
          <w:lang w:val="en-US"/>
        </w:rPr>
        <w:t>202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5</w:t>
      </w:r>
      <w:r>
        <w:rPr>
          <w:rFonts w:hint="eastAsia" w:ascii="楷体_GB2312" w:hAnsi="楷体_GB2312" w:eastAsia="楷体_GB2312" w:cs="楷体_GB2312"/>
          <w:sz w:val="32"/>
          <w:szCs w:val="32"/>
        </w:rPr>
        <w:t>年重点工作</w:t>
      </w:r>
    </w:p>
    <w:p w14:paraId="315011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480" w:lineRule="auto"/>
        <w:ind w:right="0" w:rightChars="0" w:firstLine="643" w:firstLineChars="200"/>
        <w:jc w:val="left"/>
        <w:textAlignment w:val="auto"/>
        <w:outlineLvl w:val="0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24"/>
          <w:lang w:val="en-US" w:eastAsia="zh-CN" w:bidi="ar-SA"/>
        </w:rPr>
        <w:t>一是着力提升公务用车保障水平。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以行车安全为中心，分月度开展驾驶安全警示教育、驾驶技能大讲堂等多种形式的业务培训，强化司勤人员的安全意识、服务意识，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提升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其驾驶水平与应急处置能力，为全区公务出行提供有力保障。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开展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车辆隐患排查，每周五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常态化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开展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“车场日”活动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，检测车辆故障，排查安全隐患，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确保车辆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的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机械性能良好，严禁“带病车”上路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，确保行车安全。立足安全、规范、高效、节能工作目标，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完成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处置车辆的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更新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，计划购置更新6辆公务车辆，保障全区公务出行需求。</w:t>
      </w:r>
      <w:r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24"/>
          <w:lang w:val="en-US" w:eastAsia="zh-CN" w:bidi="ar-SA"/>
        </w:rPr>
        <w:t>二是深入推进公共机构节能工作。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以提高公共机构能源综合利用效率为核心，以推广节能降碳新技术应用为抓手，以节电、节水、生活垃圾分类、绿色办公为主要内容，开展低碳引领行动，对标碳达峰、碳中和目标开展公共机构绿色低碳试点，推广先进适用的绿色低碳技术和管理模式；开展绿色改造行动，持续开展既有建筑维护结构、照明、电梯等综合型用能系统和设施设备改造，提升能源利用效率，增强示范作用；积极开展节水、节电、生活垃圾分类、反食品浪费、绿色办公等工作。</w:t>
      </w:r>
      <w:r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24"/>
          <w:lang w:val="en-US" w:eastAsia="zh-CN" w:bidi="ar-SA"/>
        </w:rPr>
        <w:t>三是</w:t>
      </w:r>
      <w:r>
        <w:rPr>
          <w:rFonts w:hint="eastAsia" w:eastAsia="楷体_GB2312" w:cs="Times New Roman"/>
          <w:b/>
          <w:bCs/>
          <w:kern w:val="2"/>
          <w:sz w:val="32"/>
          <w:szCs w:val="24"/>
          <w:lang w:val="en-US" w:eastAsia="zh-CN" w:bidi="ar-SA"/>
        </w:rPr>
        <w:t>持续深化国有资产集中统管</w:t>
      </w:r>
      <w:r>
        <w:rPr>
          <w:rFonts w:hint="default" w:ascii="Times New Roman" w:hAnsi="Times New Roman" w:eastAsia="楷体_GB2312" w:cs="Times New Roman"/>
          <w:b/>
          <w:bCs/>
          <w:kern w:val="2"/>
          <w:sz w:val="32"/>
          <w:szCs w:val="24"/>
          <w:lang w:val="en-US" w:eastAsia="zh-CN" w:bidi="ar-SA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z w:val="32"/>
          <w:szCs w:val="32"/>
          <w:u w:val="none"/>
          <w:lang w:val="en-US" w:eastAsia="zh-CN"/>
        </w:rPr>
        <w:t>督促指导各单位加强隐患排查和日常安全管理，全力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推进卫子镇机关办公用房危房整治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做好202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全区办公用房信息统计年报，全面推进办公用房权属登记、企业占用党政机关办公用房腾退后统筹配置工作。加强国有资产管理和调剂使用，积极推进分片建立“公物仓”，进一步规范资产处置流程，不断提升国有资产管理工作质效。</w:t>
      </w:r>
      <w:r>
        <w:rPr>
          <w:rFonts w:hint="eastAsia" w:ascii="Times New Roman" w:hAnsi="Times New Roman" w:eastAsia="楷体_GB2312" w:cs="Times New Roman"/>
          <w:b/>
          <w:bCs/>
          <w:kern w:val="2"/>
          <w:sz w:val="32"/>
          <w:szCs w:val="24"/>
          <w:lang w:val="en-US" w:eastAsia="zh-CN" w:bidi="ar-SA"/>
        </w:rPr>
        <w:t>四是不断提升后勤保障服务能力。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加强值班值守信息化建设，提升应急响应能力，加强信息平台建设，提升监测和预警能力，及时掌握各类突发事件动态情况，确保第一时间响应；推进政务信息互联互通，实现信息共享共用，提高应急响应能力。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-SA"/>
        </w:rPr>
        <w:t>加强对会务服务人员的管理和业务培训，做好会议室环境、设备设施的日常维护，认真细化会前、会中和会后服务保障工作，确保每场会议圆满顺利的召开。</w:t>
      </w:r>
    </w:p>
    <w:p w14:paraId="4E2346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二、部门预算单位构成</w:t>
      </w:r>
    </w:p>
    <w:p w14:paraId="23B86374"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5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Cs/>
          <w:color w:val="0000FF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广元市昭化区机关事务服务中心为区政府办公室下属事业单位，无下属二级预算单位。内设综合股、后勤服务股、公车管理股，公共机构节能股。</w:t>
      </w:r>
    </w:p>
    <w:p w14:paraId="66E745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三、收支预算情况说明</w:t>
      </w:r>
    </w:p>
    <w:p w14:paraId="54A449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按照综合预算的原则，机关事务服务中心所有收入和支出均纳入部门预算管理。收入为一般公共预算拨款收入；支出包括：一般公共服务支出、社会保障和就业支出、卫生健康支出、住房保障支出。机关事务服务中心2025年收支预算总数1735.85万元,比2024年收支预算总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1672.69万元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增加63.16万元，主要原因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新增两笔项目经费预算：2024年省委巡视组后勤保险工作经费23.7万元，2024年经责审计暨自然资源审计后勤保障工作经费差口8.7万元；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新增2025年退休人员职业年金做实预算20万元；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在职人员工资调整导致人员经费预算增加10.76万元。</w:t>
      </w:r>
    </w:p>
    <w:p w14:paraId="3086A0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（一）收入预算情况</w:t>
      </w:r>
    </w:p>
    <w:p w14:paraId="13A20A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机关事务服务中心2025年收入预算1735.85万元，其中：一般公共预算拨款收入1735.85万元，占100%。</w:t>
      </w:r>
    </w:p>
    <w:p w14:paraId="357CD0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（二）支出预算情况</w:t>
      </w:r>
    </w:p>
    <w:p w14:paraId="1C550B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机关事务服务中心2025年支出预算1735.85万元，其中：基本支出551.24万元，占31.76%；项目支出1184.61万元，占68.24%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。    </w:t>
      </w:r>
    </w:p>
    <w:p w14:paraId="76F993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四、财政拨款收支预算情况说明</w:t>
      </w:r>
    </w:p>
    <w:p w14:paraId="0DA538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机关事务服务中心2025年财政拨款收支预算总数1735.85万元,比2024年财政拨款收支预算总数增加63.16万元，主要原因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新增两笔项目经费预算：2024年省委巡视组后勤保险工作经费23.7万元，2024年经责审计暨自然资源审计后勤保障工作经费差口8.7万元；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新增2025年退休人员职业年金做实预算20万元；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在职人员工资调整导致人员经费预算增加10.76万元。</w:t>
      </w:r>
    </w:p>
    <w:p w14:paraId="3B2703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收入包括：本年一般公共预算拨款收入1735.85万元；支出包括：一般公共服务支出1612.37万元、社会保障和就业支出59.71万元、卫生健康支出20.53万元、住房保障支出43.24万元。</w:t>
      </w:r>
    </w:p>
    <w:p w14:paraId="6E14BB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五、一般公共预算当年拨款情况说明</w:t>
      </w:r>
    </w:p>
    <w:p w14:paraId="627D6D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（一）一般公共预算当年拨款规模变化情况</w:t>
      </w:r>
    </w:p>
    <w:p w14:paraId="1203A4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机关事务服务中心2025年一般公共预算当年拨款1735.85万元，比2024年预算数增加增加63.16万元，主要原因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新增两笔项目经费预算：2024年省委巡视组后勤保险工作经费23.7万元，2024年经责审计暨自然资源审计后勤保障工作经费差口8.7万元；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新增2025年退休人员职业年金做实预算20万元；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在职人员工资调整导致人员经费预算增加10.76万元。</w:t>
      </w:r>
    </w:p>
    <w:p w14:paraId="2ADBE6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6B26B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（二）一般公共预算当年拨款结构情况</w:t>
      </w:r>
    </w:p>
    <w:p w14:paraId="29984F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一般公共服务支出1612.37万元，占92.89%；社会保障和就业支出59.71万元，占3.44%；卫生健康支出20.53万元，占1.18%；住房保障支出43.24万元，占2.49%。</w:t>
      </w:r>
    </w:p>
    <w:p w14:paraId="73EF09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（三）一般公共预算当年拨款具体使用情况</w:t>
      </w:r>
    </w:p>
    <w:p w14:paraId="765B91CE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default" w:ascii="微软雅黑" w:hAnsi="微软雅黑" w:eastAsia="仿宋_GB2312" w:cs="微软雅黑"/>
          <w:color w:val="auto"/>
          <w:sz w:val="32"/>
          <w:szCs w:val="32"/>
          <w:highlight w:val="red"/>
          <w:lang w:val="en-US" w:eastAsia="zh-CN"/>
        </w:rPr>
      </w:pP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1.一般公共服务（类）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政府办公厅（室）及相关机构事务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（款）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事业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运行（项）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2025年预算数为1612.37万元，主要用于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单位正常运转的基本支出，包括基本工资、津贴补贴等人员经费以及办公费、印刷费、水电费等日常公用经费,保障部门正常运转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；公务用车运行维护费，公务交通补贴及其他交通费用等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为保障部门正常运行，开展日常工作的基本支出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；</w:t>
      </w:r>
    </w:p>
    <w:p w14:paraId="0BC13D1B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576" w:lineRule="exact"/>
        <w:ind w:right="0" w:firstLine="640" w:firstLineChars="200"/>
        <w:jc w:val="left"/>
        <w:textAlignment w:val="auto"/>
        <w:rPr>
          <w:rFonts w:hint="eastAsia" w:ascii="仿宋_GB2312" w:hAnsi="微软雅黑" w:eastAsia="仿宋_GB2312" w:cs="仿宋_GB2312"/>
          <w:color w:val="auto"/>
          <w:sz w:val="32"/>
          <w:szCs w:val="32"/>
          <w:highlight w:val="red"/>
          <w:lang w:val="en-US" w:eastAsia="zh-CN"/>
        </w:rPr>
      </w:pP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.社会保障和就业（类）行政事业单位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养老支出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（款）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机关事业单位基本养老保险缴费支出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（项）202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年预算数为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57.66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万元，主要用于：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实施养老保险制度由单位缴纳的基本养老保险支出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。</w:t>
      </w:r>
      <w:r>
        <w:rPr>
          <w:rFonts w:hint="eastAsia" w:ascii="微软雅黑" w:hAnsi="微软雅黑" w:eastAsia="微软雅黑" w:cs="微软雅黑"/>
          <w:color w:val="auto"/>
          <w:sz w:val="32"/>
          <w:szCs w:val="32"/>
          <w:highlight w:val="none"/>
        </w:rPr>
        <w:br w:type="textWrapping"/>
      </w:r>
      <w:r>
        <w:rPr>
          <w:rFonts w:hint="default" w:ascii="仿宋_GB2312" w:hAnsi="微软雅黑" w:eastAsia="仿宋_GB2312" w:cs="仿宋_GB2312"/>
          <w:color w:val="0000FF"/>
          <w:sz w:val="32"/>
          <w:szCs w:val="32"/>
          <w:highlight w:val="none"/>
        </w:rPr>
        <w:t>　</w:t>
      </w:r>
      <w:r>
        <w:rPr>
          <w:rFonts w:hint="eastAsia" w:ascii="仿宋_GB2312" w:hAnsi="微软雅黑" w:eastAsia="仿宋_GB2312" w:cs="仿宋_GB2312"/>
          <w:color w:val="0000FF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 xml:space="preserve"> 3.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社会保障和就业（类）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其他社会保障和就业支出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（款）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其他社会保障和就业支出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（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项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）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2025年预算数为2.05万元，主要用于失业、工伤保险支出。</w:t>
      </w:r>
    </w:p>
    <w:p w14:paraId="199206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4.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卫生健康（类）行政事业单位医疗（款）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事业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单位医疗（项）202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年预算数为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20.53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万元，主要用于：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部门下属事业单位按规定由单位缴纳的基本医疗保险支出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。</w:t>
      </w:r>
      <w:r>
        <w:rPr>
          <w:rFonts w:hint="eastAsia" w:ascii="微软雅黑" w:hAnsi="微软雅黑" w:eastAsia="微软雅黑" w:cs="微软雅黑"/>
          <w:color w:val="auto"/>
          <w:sz w:val="32"/>
          <w:szCs w:val="32"/>
          <w:highlight w:val="none"/>
        </w:rPr>
        <w:br w:type="textWrapping"/>
      </w:r>
      <w:r>
        <w:rPr>
          <w:rFonts w:hint="default" w:ascii="仿宋_GB2312" w:hAnsi="微软雅黑" w:eastAsia="仿宋_GB2312" w:cs="仿宋_GB2312"/>
          <w:color w:val="0000FF"/>
          <w:sz w:val="32"/>
          <w:szCs w:val="32"/>
          <w:highlight w:val="none"/>
        </w:rPr>
        <w:t>　　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.住房保障（类）住房改革支出（款）住房公积金（项）202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年预算数为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val="en-US" w:eastAsia="zh-CN"/>
        </w:rPr>
        <w:t>43.24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万元，主要用于：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lang w:eastAsia="zh-CN"/>
        </w:rPr>
        <w:t>部门按规定为职工缴纳的住房公积金支出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。</w:t>
      </w:r>
    </w:p>
    <w:p w14:paraId="56EEA1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六、一般公共预算基本支出情况说明</w:t>
      </w:r>
    </w:p>
    <w:p w14:paraId="4236FA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机关事务服务中心2025年一般公共预算基本支出551.24万元，其中：</w:t>
      </w:r>
    </w:p>
    <w:p w14:paraId="6BC896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人员经费485.84万元，主要包括：基本工资、津贴补贴、奖金、社会保险缴费、离退休目标奖等支出。</w:t>
      </w:r>
    </w:p>
    <w:p w14:paraId="346A8C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公用经费65.4万元，主要包括：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办公费、印刷费、差旅费、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eastAsia="zh-CN"/>
        </w:rPr>
        <w:t>公务接待费、公务交通补贴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val="en-US" w:eastAsia="zh-CN"/>
        </w:rPr>
        <w:t>等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highlight w:val="none"/>
        </w:rPr>
        <w:t>支出。</w:t>
      </w:r>
    </w:p>
    <w:p w14:paraId="328C8D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七、“三公”经费财政拨款预算安排情况说明</w:t>
      </w:r>
    </w:p>
    <w:p w14:paraId="23D49C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机关事务服务中心2025年“三公”经费财政拨款预算数331.5万元，其中：公务接待费1.5万元，公务用车购置及运行维护费330万元，因公出国（境）经费0万元。</w:t>
      </w:r>
    </w:p>
    <w:p w14:paraId="013A28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（一）公务接待费</w:t>
      </w:r>
    </w:p>
    <w:p w14:paraId="1E81CD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公务接待费与2024年预算相比下降0.5万元，主要原因是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认真落实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区委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区政府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关于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《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“过紧日子”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六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条措施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》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精神，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压减“三公”经费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。</w:t>
      </w:r>
    </w:p>
    <w:p w14:paraId="749362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202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val="en-US" w:eastAsia="zh-CN"/>
        </w:rPr>
        <w:t>5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年公务接待费计划用于执行考察调研、检查指导等公务活动所发生的交通费、住宿费等等公务活动开支的交通费、住宿费、用餐费等。</w:t>
      </w:r>
    </w:p>
    <w:p w14:paraId="508D4C5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公务用车购置及运行维护费</w:t>
      </w:r>
    </w:p>
    <w:p w14:paraId="253D2393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120" w:beforeAutospacing="0" w:after="0" w:afterAutospacing="0" w:line="576" w:lineRule="exact"/>
        <w:ind w:left="0" w:right="0" w:firstLine="645"/>
        <w:jc w:val="left"/>
        <w:textAlignment w:val="auto"/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公务用车购置及运行维护费与2024年预算相比下降5万元，主要原因是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认真落实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区委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区政府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关于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《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“过紧日子”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六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条措施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》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精神，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压减“三公”经费。</w:t>
      </w:r>
    </w:p>
    <w:p w14:paraId="08BEDB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单位现有公务用车66辆，其中：轿车21辆，商务车6辆，越野车39辆。</w:t>
      </w:r>
    </w:p>
    <w:p w14:paraId="613454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2025年未安排公务用车购置费</w:t>
      </w:r>
    </w:p>
    <w:p w14:paraId="2E864A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2025年安排公务用车运行维护费330万元，用于66辆公务用车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燃油</w:t>
      </w:r>
      <w:r>
        <w:rPr>
          <w:rFonts w:hint="default" w:ascii="Times New Roman" w:hAnsi="Times New Roman" w:eastAsia="微软雅黑" w:cs="Times New Roman"/>
          <w:color w:val="auto"/>
          <w:sz w:val="32"/>
          <w:szCs w:val="32"/>
        </w:rPr>
        <w:t>、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过路</w:t>
      </w:r>
      <w:r>
        <w:rPr>
          <w:rFonts w:hint="default" w:ascii="Times New Roman" w:hAnsi="Times New Roman" w:eastAsia="微软雅黑" w:cs="Times New Roman"/>
          <w:color w:val="auto"/>
          <w:sz w:val="32"/>
          <w:szCs w:val="32"/>
        </w:rPr>
        <w:t>（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桥</w:t>
      </w:r>
      <w:r>
        <w:rPr>
          <w:rFonts w:hint="default" w:ascii="Times New Roman" w:hAnsi="Times New Roman" w:eastAsia="微软雅黑" w:cs="Times New Roman"/>
          <w:color w:val="auto"/>
          <w:sz w:val="32"/>
          <w:szCs w:val="32"/>
        </w:rPr>
        <w:t>）、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维修</w:t>
      </w:r>
      <w:r>
        <w:rPr>
          <w:rFonts w:hint="default" w:ascii="Times New Roman" w:hAnsi="Times New Roman" w:eastAsia="微软雅黑" w:cs="Times New Roman"/>
          <w:color w:val="auto"/>
          <w:sz w:val="32"/>
          <w:szCs w:val="32"/>
        </w:rPr>
        <w:t>、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保险等方面支出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eastAsia="zh-CN"/>
        </w:rPr>
        <w:t>。主要保障全区领导和各部门公务出行。</w:t>
      </w:r>
    </w:p>
    <w:p w14:paraId="5634B9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三）因公出国（境）经费</w:t>
      </w:r>
    </w:p>
    <w:p w14:paraId="20E436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因公出国（境）经费与2024年预算相比持平。</w:t>
      </w:r>
    </w:p>
    <w:p w14:paraId="55D71E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八、政府性基金预算支出情况说明</w:t>
      </w:r>
    </w:p>
    <w:p w14:paraId="2032BF97">
      <w:pPr>
        <w:pStyle w:val="9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pacing w:before="120" w:beforeAutospacing="0" w:after="0" w:afterAutospacing="0" w:line="576" w:lineRule="exact"/>
        <w:ind w:left="0" w:right="0" w:firstLine="645"/>
        <w:jc w:val="left"/>
        <w:textAlignment w:val="auto"/>
        <w:rPr>
          <w:rFonts w:hint="eastAsia" w:ascii="仿宋_GB2312" w:hAnsi="微软雅黑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eastAsia="zh-CN"/>
        </w:rPr>
        <w:t>机关事务服务中心202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eastAsia="zh-CN"/>
        </w:rPr>
        <w:t>年无政府性基金预算拨款安排支出。</w:t>
      </w:r>
    </w:p>
    <w:p w14:paraId="08E26D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九、国有资本经营预算支出情况说明</w:t>
      </w:r>
    </w:p>
    <w:p w14:paraId="07EA9E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eastAsia="zh-CN"/>
        </w:rPr>
        <w:t>机关事务服务中心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val="en-US" w:eastAsia="zh-CN"/>
        </w:rPr>
        <w:t>2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02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val="en-US" w:eastAsia="zh-CN"/>
        </w:rPr>
        <w:t>4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年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lang w:eastAsia="zh-CN"/>
        </w:rPr>
        <w:t>无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</w:rPr>
        <w:t>国有资本经营预算拨款安排的支出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 w14:paraId="3827C1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十、其他重要事项的情况说明</w:t>
      </w:r>
    </w:p>
    <w:p w14:paraId="4EC52E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（一）机关运行经费</w:t>
      </w:r>
    </w:p>
    <w:p w14:paraId="277DD8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2025年，机关事务服务中心的机关运行经费财政拨款预算为65.4万元，与2024年预算持平。</w:t>
      </w:r>
    </w:p>
    <w:p w14:paraId="173103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（二）政府采购情况</w:t>
      </w:r>
    </w:p>
    <w:p w14:paraId="7DF113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2025年，机关事务服务中心安排政府采购预算0万元。</w:t>
      </w:r>
    </w:p>
    <w:p w14:paraId="63B3C6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（三）国有资产占有使用情况</w:t>
      </w:r>
    </w:p>
    <w:p w14:paraId="6E60246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beforeAutospacing="0" w:afterAutospacing="0" w:line="576" w:lineRule="exact"/>
        <w:ind w:firstLine="64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截至2024年底，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shd w:val="clear" w:color="auto" w:fill="auto"/>
          <w:lang w:eastAsia="zh-CN"/>
        </w:rPr>
        <w:t>机关事务服务中心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shd w:val="clear" w:color="auto" w:fill="auto"/>
        </w:rPr>
        <w:t>共有车辆</w:t>
      </w:r>
      <w:r>
        <w:rPr>
          <w:rFonts w:hint="eastAsia" w:ascii="仿宋_GB2312" w:hAnsi="微软雅黑" w:eastAsia="仿宋_GB2312" w:cs="仿宋_GB2312"/>
          <w:color w:val="auto"/>
          <w:sz w:val="32"/>
          <w:szCs w:val="32"/>
          <w:shd w:val="clear" w:color="auto" w:fill="auto"/>
          <w:lang w:val="en-US" w:eastAsia="zh-CN"/>
        </w:rPr>
        <w:t>66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shd w:val="clear" w:color="auto" w:fill="auto"/>
        </w:rPr>
        <w:t>辆</w:t>
      </w:r>
      <w:r>
        <w:rPr>
          <w:rFonts w:hint="eastAsia" w:ascii="仿宋_GB2312" w:hAnsi="微软雅黑" w:eastAsia="仿宋_GB2312" w:cs="仿宋_GB2312"/>
          <w:color w:val="auto"/>
          <w:kern w:val="0"/>
          <w:sz w:val="32"/>
          <w:szCs w:val="32"/>
          <w:shd w:val="clear" w:color="auto" w:fill="auto"/>
          <w:lang w:val="en-US" w:eastAsia="zh-CN" w:bidi="ar"/>
        </w:rPr>
        <w:t>，其中越野车39辆，轿车21辆，商务6辆。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shd w:val="clear" w:color="auto" w:fill="auto"/>
        </w:rPr>
        <w:t>单位价值200万元以上大型设备</w:t>
      </w:r>
      <w:r>
        <w:rPr>
          <w:rFonts w:hint="default" w:ascii="Times New Roman" w:hAnsi="Times New Roman" w:eastAsia="微软雅黑" w:cs="Times New Roman"/>
          <w:color w:val="auto"/>
          <w:sz w:val="32"/>
          <w:szCs w:val="32"/>
          <w:shd w:val="clear" w:color="auto" w:fill="auto"/>
        </w:rPr>
        <w:t>0</w:t>
      </w:r>
      <w:r>
        <w:rPr>
          <w:rFonts w:hint="default" w:ascii="仿宋_GB2312" w:hAnsi="微软雅黑" w:eastAsia="仿宋_GB2312" w:cs="仿宋_GB2312"/>
          <w:color w:val="auto"/>
          <w:sz w:val="32"/>
          <w:szCs w:val="32"/>
          <w:shd w:val="clear" w:color="auto" w:fill="auto"/>
        </w:rPr>
        <w:t>台（套）。</w:t>
      </w:r>
    </w:p>
    <w:p w14:paraId="1D826C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2024年部门预算未安排购置车辆及单位价值200万元以上大型设备。</w:t>
      </w:r>
    </w:p>
    <w:p w14:paraId="347240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（四）绩效目标设置情况</w:t>
      </w:r>
    </w:p>
    <w:p w14:paraId="26975F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2025年机关事务服务中心开展绩效目标管理的项目10个，涉及预算1250.01万元。其中：人员类项目2个，涉及预算50.4万元；运转类项目6个，涉及预算1152.14万元；特定目标类项目2个，涉及预算32.47万元。因部分项目内容涉密，不予公开。</w:t>
      </w:r>
    </w:p>
    <w:p w14:paraId="5EA026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十一、名词解释</w:t>
      </w:r>
    </w:p>
    <w:p w14:paraId="1F184615">
      <w:pP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</w:pP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（一）一般公共预算拨款收入：指区级财政当年拨付的资金。　　</w:t>
      </w:r>
    </w:p>
    <w:p w14:paraId="33BA8A13">
      <w:pP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</w:pP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　</w:t>
      </w:r>
      <w:r>
        <w:rPr>
          <w:rFonts w:hint="eastAsia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  <w:lang w:val="en-US" w:eastAsia="zh-CN"/>
        </w:rPr>
        <w:t xml:space="preserve">  </w:t>
      </w: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（二）一般公共服务（类）政府办公（厅）室及相关机构事务（款）事业运行（项）：指事业单位用于保障机构正常运行、开展日常工作的基本支出。</w:t>
      </w:r>
    </w:p>
    <w:p w14:paraId="1CF62178">
      <w:pPr>
        <w:ind w:firstLine="620" w:firstLineChars="200"/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</w:pP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（</w:t>
      </w:r>
      <w:r>
        <w:rPr>
          <w:rFonts w:hint="eastAsia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  <w:lang w:eastAsia="zh-CN"/>
        </w:rPr>
        <w:t>三</w:t>
      </w: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）社会保障和就业（类）行政事业单位离退休（款）机关事业单位职业年金缴费支出（项）：指部门实施养老保险制度由单位缴纳的职业年金的支出。</w:t>
      </w:r>
    </w:p>
    <w:p w14:paraId="257B5FA8">
      <w:pPr>
        <w:ind w:firstLine="620" w:firstLineChars="200"/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</w:pP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（</w:t>
      </w:r>
      <w:r>
        <w:rPr>
          <w:rFonts w:hint="eastAsia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  <w:lang w:eastAsia="zh-CN"/>
        </w:rPr>
        <w:t>四</w:t>
      </w: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）卫生健康（类）行政事业单位医疗（款）行政单位医疗（项）：指机关及参公管理事业单位用于缴纳单位基本医疗保险支出。</w:t>
      </w:r>
    </w:p>
    <w:p w14:paraId="70A97D01">
      <w:pPr>
        <w:ind w:firstLine="620" w:firstLineChars="200"/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</w:pP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（</w:t>
      </w:r>
      <w:r>
        <w:rPr>
          <w:rFonts w:hint="eastAsia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  <w:lang w:eastAsia="zh-CN"/>
        </w:rPr>
        <w:t>五</w:t>
      </w: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）卫生健康（类）行政事业单位医疗（款）事业单位医疗（项）：指机关及参公管理事业单位用于集中缴纳公务员医疗补助支出。</w:t>
      </w:r>
    </w:p>
    <w:p w14:paraId="40C0F8FC">
      <w:pPr>
        <w:ind w:firstLine="620" w:firstLineChars="200"/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</w:pP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（</w:t>
      </w:r>
      <w:r>
        <w:rPr>
          <w:rFonts w:hint="eastAsia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  <w:lang w:eastAsia="zh-CN"/>
        </w:rPr>
        <w:t>六</w:t>
      </w: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）住房保障（类）住房改革支出（款）住房公积金（项）：指按照《住房公积金管理条例》的规定，由单位及其在职职工缴存的长期住房储金。</w:t>
      </w:r>
    </w:p>
    <w:p w14:paraId="5DB75744">
      <w:pPr>
        <w:ind w:firstLine="620" w:firstLineChars="200"/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</w:pP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（</w:t>
      </w:r>
      <w:r>
        <w:rPr>
          <w:rFonts w:hint="eastAsia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  <w:lang w:eastAsia="zh-CN"/>
        </w:rPr>
        <w:t>七</w:t>
      </w: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）基本支出：指为保证机构正常运转，完成日常工作任务而发生的人员支出和公用支出。</w:t>
      </w:r>
    </w:p>
    <w:p w14:paraId="49FE3458">
      <w:pPr>
        <w:ind w:firstLine="620" w:firstLineChars="200"/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</w:pP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（</w:t>
      </w:r>
      <w:r>
        <w:rPr>
          <w:rFonts w:hint="eastAsia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  <w:lang w:eastAsia="zh-CN"/>
        </w:rPr>
        <w:t>八</w:t>
      </w:r>
      <w:r>
        <w:rPr>
          <w:rFonts w:hint="default" w:ascii="仿宋_GB2312" w:hAnsi="微软雅黑" w:eastAsia="仿宋_GB2312" w:cs="仿宋_GB2312"/>
          <w:color w:val="auto"/>
          <w:sz w:val="31"/>
          <w:szCs w:val="31"/>
          <w:highlight w:val="none"/>
          <w:shd w:val="clear" w:color="auto" w:fill="auto"/>
        </w:rPr>
        <w:t>）“三公”经费：纳入财政预算管理的“三公”经费，是指部门用财政拨款安排的因公出国（境）费、公务用车购置及运行费和公务接待费。其中，因公出国（境）费反映单位公务出国（境）的国际旅费、国外城市间交通费、住宿费、伙食费、培训费、公杂费等支出；公务用车购置及运行费反映单位公务用车车辆购置支出（含车辆购置税）及租用费、燃料费、维修费、过路过桥费、保险费等支出；公务接待费反映单位按规定开支的各类公务接待（含外宾接待）支出。</w:t>
      </w:r>
    </w:p>
    <w:p w14:paraId="261B479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6" w:lineRule="exact"/>
        <w:ind w:firstLine="640" w:firstLineChars="200"/>
        <w:textAlignment w:val="auto"/>
        <w:rPr>
          <w:rFonts w:hint="eastAsia" w:ascii="仿宋_GB2312" w:hAnsi="微软雅黑" w:eastAsia="仿宋_GB2312" w:cs="仿宋_GB2312"/>
          <w:color w:val="auto"/>
          <w:sz w:val="32"/>
          <w:szCs w:val="32"/>
          <w:highlight w:val="none"/>
          <w:shd w:val="clear" w:color="auto" w:fill="auto"/>
          <w:lang w:eastAsia="zh-CN"/>
        </w:rPr>
      </w:pPr>
    </w:p>
    <w:p w14:paraId="7332BC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附件：1.部门预算公开表</w:t>
      </w:r>
    </w:p>
    <w:p w14:paraId="63BB6A4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1600" w:left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2.项目支出绩效目标表</w:t>
      </w:r>
    </w:p>
    <w:p w14:paraId="4FCB34E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left="1600" w:left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3.部门整体支出绩效目标表</w:t>
      </w:r>
    </w:p>
    <w:p w14:paraId="7F39C5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sectPr>
      <w:footerReference r:id="rId5" w:type="default"/>
      <w:pgSz w:w="11906" w:h="16838"/>
      <w:pgMar w:top="2098" w:right="1474" w:bottom="1984" w:left="1587" w:header="720" w:footer="1559" w:gutter="0"/>
      <w:pgNumType w:fmt="decimal"/>
      <w:cols w:space="720" w:num="1"/>
      <w:docGrid w:type="lines" w:linePitch="312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熊猫猫" w:date="2024-04-09T16:00:00Z" w:initials="">
    <w:p w14:paraId="68E4DD0D">
      <w:pPr>
        <w:pStyle w:val="3"/>
      </w:pPr>
      <w: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68E4DD0D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Liberation Sans">
    <w:altName w:val="Vijaya"/>
    <w:panose1 w:val="020B0604020202020204"/>
    <w:charset w:val="00"/>
    <w:family w:val="swiss"/>
    <w:pitch w:val="default"/>
    <w:sig w:usb0="00000000" w:usb1="00000000" w:usb2="00000000" w:usb3="00000000" w:csb0="6000009F" w:csb1="DFD70000"/>
  </w:font>
  <w:font w:name="Vijaya">
    <w:panose1 w:val="020B0604020202020204"/>
    <w:charset w:val="00"/>
    <w:family w:val="auto"/>
    <w:pitch w:val="default"/>
    <w:sig w:usb0="00100003" w:usb1="00000000" w:usb2="00000000" w:usb3="00000000" w:csb0="00000001" w:csb1="00000000"/>
  </w:font>
  <w:font w:name="Noto Sans CJK SC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8F25E6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FE879C0"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G15XmjdAQAAvgMAAA4AAAAAAAAA&#10;AQAgAAAAHg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FE879C0"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BFCE1D6"/>
    <w:multiLevelType w:val="singleLevel"/>
    <w:tmpl w:val="5BFCE1D6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熊猫猫">
    <w15:presenceInfo w15:providerId="None" w15:userId="熊猫猫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"/>
  <w:drawingGridVerticalSpacing w:val="1"/>
  <w:displayHorizontalDrawingGridEvery w:val="1"/>
  <w:displayVerticalDrawingGridEvery w:val="1"/>
  <w:doNotUseMarginsForDrawingGridOrigin w:val="1"/>
  <w:drawingGridHorizontalOrigin w:val="0"/>
  <w:drawingGridVerticalOrigin w:val="0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wYmQ3N2FhZmE1Yjg0OGFkNTU5NTg3M2QzNjJlMDgifQ=="/>
  </w:docVars>
  <w:rsids>
    <w:rsidRoot w:val="00000000"/>
    <w:rsid w:val="012352D1"/>
    <w:rsid w:val="020411DA"/>
    <w:rsid w:val="02704AC1"/>
    <w:rsid w:val="03687EA8"/>
    <w:rsid w:val="03870314"/>
    <w:rsid w:val="048760F2"/>
    <w:rsid w:val="06BD549D"/>
    <w:rsid w:val="08183C31"/>
    <w:rsid w:val="086F75C9"/>
    <w:rsid w:val="09ED7419"/>
    <w:rsid w:val="0C611CC5"/>
    <w:rsid w:val="0D2B6529"/>
    <w:rsid w:val="0EDD1C4C"/>
    <w:rsid w:val="0F4B4326"/>
    <w:rsid w:val="132A2A6A"/>
    <w:rsid w:val="160C6457"/>
    <w:rsid w:val="16FC64CC"/>
    <w:rsid w:val="17D26860"/>
    <w:rsid w:val="17F11DA8"/>
    <w:rsid w:val="182A5BC0"/>
    <w:rsid w:val="1B302BE8"/>
    <w:rsid w:val="1CBE5055"/>
    <w:rsid w:val="1CC41839"/>
    <w:rsid w:val="1F7BF06F"/>
    <w:rsid w:val="1FEE4B73"/>
    <w:rsid w:val="216F7590"/>
    <w:rsid w:val="23144B9D"/>
    <w:rsid w:val="238B30B1"/>
    <w:rsid w:val="23CE9849"/>
    <w:rsid w:val="25B26EC5"/>
    <w:rsid w:val="28CB21A2"/>
    <w:rsid w:val="293D309F"/>
    <w:rsid w:val="29822267"/>
    <w:rsid w:val="2A691C72"/>
    <w:rsid w:val="2CA451E4"/>
    <w:rsid w:val="2CEA709A"/>
    <w:rsid w:val="31D65E3F"/>
    <w:rsid w:val="33EA1EA9"/>
    <w:rsid w:val="35AF70D3"/>
    <w:rsid w:val="3807313D"/>
    <w:rsid w:val="3856129C"/>
    <w:rsid w:val="39F304DD"/>
    <w:rsid w:val="3E880EDB"/>
    <w:rsid w:val="3F402224"/>
    <w:rsid w:val="43AD4526"/>
    <w:rsid w:val="44DF2E05"/>
    <w:rsid w:val="45086A1C"/>
    <w:rsid w:val="4C865691"/>
    <w:rsid w:val="4D844549"/>
    <w:rsid w:val="4F6E54B1"/>
    <w:rsid w:val="514377B0"/>
    <w:rsid w:val="51D535C6"/>
    <w:rsid w:val="51EE144A"/>
    <w:rsid w:val="52274366"/>
    <w:rsid w:val="523C1897"/>
    <w:rsid w:val="52C74B96"/>
    <w:rsid w:val="53A96AB8"/>
    <w:rsid w:val="53E144A4"/>
    <w:rsid w:val="54111FB7"/>
    <w:rsid w:val="54244390"/>
    <w:rsid w:val="54662A63"/>
    <w:rsid w:val="54996B2C"/>
    <w:rsid w:val="558E2409"/>
    <w:rsid w:val="568370D2"/>
    <w:rsid w:val="58064E12"/>
    <w:rsid w:val="591F2E8E"/>
    <w:rsid w:val="5A3B0686"/>
    <w:rsid w:val="5AC24903"/>
    <w:rsid w:val="5ADD1724"/>
    <w:rsid w:val="5B536D8F"/>
    <w:rsid w:val="5BFEE015"/>
    <w:rsid w:val="5C2C472A"/>
    <w:rsid w:val="5C5D48E3"/>
    <w:rsid w:val="5C6E089F"/>
    <w:rsid w:val="5E167440"/>
    <w:rsid w:val="60550510"/>
    <w:rsid w:val="605D5E85"/>
    <w:rsid w:val="62363209"/>
    <w:rsid w:val="62AA0B65"/>
    <w:rsid w:val="63365E8E"/>
    <w:rsid w:val="63EDCF55"/>
    <w:rsid w:val="63FBFBCF"/>
    <w:rsid w:val="644F0FB6"/>
    <w:rsid w:val="669360FD"/>
    <w:rsid w:val="67A63549"/>
    <w:rsid w:val="68941D23"/>
    <w:rsid w:val="68FF6A83"/>
    <w:rsid w:val="69F04FE9"/>
    <w:rsid w:val="6A1C4030"/>
    <w:rsid w:val="6FBBC9CF"/>
    <w:rsid w:val="706A53C9"/>
    <w:rsid w:val="72BDE561"/>
    <w:rsid w:val="754C0091"/>
    <w:rsid w:val="77493F8A"/>
    <w:rsid w:val="78462278"/>
    <w:rsid w:val="7997EA6C"/>
    <w:rsid w:val="7AEAE675"/>
    <w:rsid w:val="7BAFCE5D"/>
    <w:rsid w:val="7C523723"/>
    <w:rsid w:val="7D103DD6"/>
    <w:rsid w:val="7D46598C"/>
    <w:rsid w:val="7D493485"/>
    <w:rsid w:val="7DFB240B"/>
    <w:rsid w:val="7E0935ED"/>
    <w:rsid w:val="7FCF26F7"/>
    <w:rsid w:val="7FCF2AF7"/>
    <w:rsid w:val="9FEF033D"/>
    <w:rsid w:val="A27FF1E5"/>
    <w:rsid w:val="AFDEB5A7"/>
    <w:rsid w:val="AFEA7FBF"/>
    <w:rsid w:val="B83F4767"/>
    <w:rsid w:val="BF930F07"/>
    <w:rsid w:val="BFCE8436"/>
    <w:rsid w:val="C3F7EB7A"/>
    <w:rsid w:val="CFF5FEEC"/>
    <w:rsid w:val="D3DD9064"/>
    <w:rsid w:val="D6F76A0C"/>
    <w:rsid w:val="D7ECE8D2"/>
    <w:rsid w:val="DFDD4FB5"/>
    <w:rsid w:val="E7F748B5"/>
    <w:rsid w:val="EE5F3713"/>
    <w:rsid w:val="EFC9D62C"/>
    <w:rsid w:val="F6BE9755"/>
    <w:rsid w:val="F6FFA89B"/>
    <w:rsid w:val="FAE4EFE1"/>
    <w:rsid w:val="FB9B6F12"/>
    <w:rsid w:val="FBB66A4A"/>
    <w:rsid w:val="FDEE6989"/>
    <w:rsid w:val="FF5E7DB8"/>
    <w:rsid w:val="FF77E367"/>
    <w:rsid w:val="FFD576EB"/>
    <w:rsid w:val="FFFBE8B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autoRedefine/>
    <w:qFormat/>
    <w:uiPriority w:val="0"/>
  </w:style>
  <w:style w:type="table" w:default="1" w:styleId="11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autoRedefine/>
    <w:qFormat/>
    <w:uiPriority w:val="0"/>
    <w:pPr>
      <w:widowControl w:val="0"/>
      <w:suppressLineNumbers/>
      <w:suppressAutoHyphens/>
      <w:spacing w:before="120" w:after="120"/>
    </w:pPr>
    <w:rPr>
      <w:i/>
      <w:iCs/>
      <w:sz w:val="24"/>
      <w:szCs w:val="24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autoRedefine/>
    <w:qFormat/>
    <w:uiPriority w:val="0"/>
    <w:pPr>
      <w:spacing w:before="0" w:after="140" w:line="276" w:lineRule="auto"/>
    </w:pPr>
  </w:style>
  <w:style w:type="paragraph" w:styleId="5">
    <w:name w:val="Body Text Indent"/>
    <w:basedOn w:val="1"/>
    <w:qFormat/>
    <w:uiPriority w:val="0"/>
    <w:pPr>
      <w:ind w:left="200" w:leftChars="200"/>
    </w:pPr>
    <w:rPr>
      <w:rFonts w:ascii="Times New Roman" w:hAnsi="Times New Roman" w:eastAsia="宋体" w:cs="Times New Roman"/>
      <w:lang w:bidi="ar-SA"/>
    </w:r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List"/>
    <w:basedOn w:val="4"/>
    <w:autoRedefine/>
    <w:qFormat/>
    <w:uiPriority w:val="0"/>
  </w:style>
  <w:style w:type="paragraph" w:styleId="9">
    <w:name w:val="Normal (Web)"/>
    <w:basedOn w:val="1"/>
    <w:autoRedefine/>
    <w:qFormat/>
    <w:uiPriority w:val="0"/>
    <w:rPr>
      <w:sz w:val="24"/>
    </w:rPr>
  </w:style>
  <w:style w:type="paragraph" w:styleId="10">
    <w:name w:val="Body Text First Indent 2"/>
    <w:basedOn w:val="5"/>
    <w:next w:val="1"/>
    <w:qFormat/>
    <w:uiPriority w:val="0"/>
    <w:pPr>
      <w:ind w:firstLine="420"/>
    </w:pPr>
    <w:rPr>
      <w:rFonts w:ascii="Times New Roman" w:hAnsi="Times New Roman" w:eastAsia="宋体" w:cs="Times New Roman"/>
      <w:lang w:bidi="ar-SA"/>
    </w:rPr>
  </w:style>
  <w:style w:type="character" w:customStyle="1" w:styleId="13">
    <w:name w:val="默认段落字体1"/>
    <w:autoRedefine/>
    <w:qFormat/>
    <w:uiPriority w:val="0"/>
  </w:style>
  <w:style w:type="paragraph" w:customStyle="1" w:styleId="14">
    <w:name w:val="Heading"/>
    <w:basedOn w:val="1"/>
    <w:next w:val="4"/>
    <w:autoRedefine/>
    <w:qFormat/>
    <w:uiPriority w:val="0"/>
    <w:pPr>
      <w:keepNext/>
      <w:widowControl w:val="0"/>
      <w:suppressAutoHyphens/>
      <w:spacing w:before="240" w:after="120"/>
    </w:pPr>
    <w:rPr>
      <w:rFonts w:ascii="Liberation Sans" w:hAnsi="Liberation Sans" w:eastAsia="Noto Sans CJK SC Regular" w:cs="Noto Sans CJK SC Regular"/>
      <w:sz w:val="28"/>
      <w:szCs w:val="28"/>
      <w:lang w:bidi="ar-SA"/>
    </w:rPr>
  </w:style>
  <w:style w:type="paragraph" w:customStyle="1" w:styleId="15">
    <w:name w:val="Index"/>
    <w:basedOn w:val="1"/>
    <w:autoRedefine/>
    <w:qFormat/>
    <w:uiPriority w:val="0"/>
    <w:pPr>
      <w:widowControl w:val="0"/>
      <w:suppressLineNumbers/>
      <w:suppressAutoHyphens/>
    </w:pPr>
  </w:style>
  <w:style w:type="paragraph" w:customStyle="1" w:styleId="16">
    <w:name w:val="正文格式"/>
    <w:basedOn w:val="1"/>
    <w:qFormat/>
    <w:uiPriority w:val="0"/>
    <w:pPr>
      <w:widowControl/>
      <w:adjustRightInd w:val="0"/>
      <w:snapToGrid w:val="0"/>
      <w:spacing w:line="400" w:lineRule="atLeast"/>
      <w:ind w:firstLine="482"/>
      <w:textAlignment w:val="baseline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0" Type="http://schemas.microsoft.com/office/2011/relationships/people" Target="peop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12</Pages>
  <Words>4300</Words>
  <Characters>5137</Characters>
  <TotalTime>7</TotalTime>
  <ScaleCrop>false</ScaleCrop>
  <LinksUpToDate>false</LinksUpToDate>
  <CharactersWithSpaces>5181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2018-11-29T09:47:00Z</dcterms:created>
  <dc:creator>admin</dc:creator>
  <cp:lastModifiedBy>Administrator</cp:lastModifiedBy>
  <dcterms:modified xsi:type="dcterms:W3CDTF">2025-02-10T08:05:22Z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96081F72B7444D3C8C1C7DDAED24732C_13</vt:lpwstr>
  </property>
  <property fmtid="{D5CDD505-2E9C-101B-9397-08002B2CF9AE}" pid="4" name="KSOTemplateDocerSaveRecord">
    <vt:lpwstr>eyJoZGlkIjoiZTA5NjE2YTU5MGVjYzlkMjFlNDcxYTYxZmU1OTMyMTIifQ==</vt:lpwstr>
  </property>
</Properties>
</file>