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E8A4CB">
      <w:pPr>
        <w:pStyle w:val="6"/>
        <w:shd w:val="clear" w:color="auto" w:fill="FFFFFF"/>
        <w:spacing w:before="0" w:beforeAutospacing="0" w:after="0" w:afterAutospacing="0"/>
        <w:jc w:val="center"/>
        <w:rPr>
          <w:rFonts w:hint="eastAsia" w:ascii="方正小标宋简体" w:eastAsia="方正小标宋简体" w:cs="方正小标宋简体"/>
          <w:sz w:val="36"/>
          <w:szCs w:val="36"/>
          <w:lang w:eastAsia="zh-CN"/>
        </w:rPr>
      </w:pPr>
      <w:bookmarkStart w:id="0" w:name="_GoBack"/>
      <w:bookmarkEnd w:id="0"/>
      <w:r>
        <w:rPr>
          <w:rFonts w:hint="eastAsia" w:ascii="方正小标宋简体" w:eastAsia="方正小标宋简体" w:cs="方正小标宋简体"/>
          <w:sz w:val="36"/>
          <w:szCs w:val="36"/>
          <w:lang w:eastAsia="zh-CN"/>
        </w:rPr>
        <w:t>广元市昭化区建设工程规划许可豁免项目清单</w:t>
      </w:r>
    </w:p>
    <w:p w14:paraId="2E6EE31D">
      <w:pPr>
        <w:pStyle w:val="6"/>
        <w:shd w:val="clear" w:color="auto" w:fill="FFFFFF"/>
        <w:spacing w:before="0" w:beforeAutospacing="0" w:after="0" w:afterAutospacing="0"/>
        <w:jc w:val="center"/>
        <w:rPr>
          <w:rFonts w:hint="eastAsia" w:ascii="方正小标宋简体" w:eastAsia="方正小标宋简体" w:cs="方正小标宋简体"/>
          <w:sz w:val="36"/>
          <w:szCs w:val="36"/>
          <w:lang w:eastAsia="zh-CN"/>
        </w:rPr>
      </w:pPr>
    </w:p>
    <w:p w14:paraId="26759349">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Times New Roman" w:hAnsi="Times New Roman" w:eastAsia="黑体" w:cs="Times New Roman"/>
          <w:b w:val="0"/>
          <w:bCs w:val="0"/>
          <w:sz w:val="32"/>
          <w:szCs w:val="32"/>
        </w:rPr>
      </w:pPr>
      <w:r>
        <w:rPr>
          <w:rFonts w:hint="eastAsia" w:ascii="Times New Roman" w:hAnsi="Times New Roman" w:eastAsia="黑体" w:cs="Times New Roman"/>
          <w:b w:val="0"/>
          <w:bCs w:val="0"/>
          <w:sz w:val="32"/>
          <w:szCs w:val="32"/>
        </w:rPr>
        <w:t>一、豁免方式</w:t>
      </w:r>
    </w:p>
    <w:p w14:paraId="1991AC22">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本豁免清单分为免于办理建设工程规划许可证和无需办理建设工程规划许可证两类。</w:t>
      </w:r>
    </w:p>
    <w:p w14:paraId="43F7D04E">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（一）适用于免于办理建设工程规划许可证的项目，免于核发建设工程规划许可证书，但需在施工前向区自然资源分局提交建设工程设计方案，经审查审议通过，可按审定备案的建设工程设计方案施工。</w:t>
      </w:r>
    </w:p>
    <w:p w14:paraId="4172D9BC">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（二）适用于无需办理建设工程规划许可证的项目，无需审议建设工程设计方案，无需核发建设工程规划许可证。</w:t>
      </w:r>
    </w:p>
    <w:p w14:paraId="1868B9FD">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（三）一个项目内同时包含上述两种情形，参照免于办理建设工程规划许可类别执行。</w:t>
      </w:r>
    </w:p>
    <w:p w14:paraId="35A9E49F">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黑体" w:cs="Times New Roman"/>
          <w:b w:val="0"/>
          <w:bCs w:val="0"/>
          <w:sz w:val="32"/>
          <w:szCs w:val="32"/>
        </w:rPr>
      </w:pPr>
      <w:r>
        <w:rPr>
          <w:rFonts w:hint="eastAsia" w:ascii="Times New Roman" w:hAnsi="Times New Roman" w:eastAsia="黑体" w:cs="Times New Roman"/>
          <w:b w:val="0"/>
          <w:bCs w:val="0"/>
          <w:sz w:val="32"/>
          <w:szCs w:val="32"/>
        </w:rPr>
        <w:t>二、免于办理《建设工程规划许可证》的情形</w:t>
      </w:r>
    </w:p>
    <w:p w14:paraId="45DD10D0">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一）在不影响相关权利人利益且确保安全并符合其他技术规范的前提下，由政府部门主导实施的未增加建筑面积或需增加建筑面积但按照自然资源部《关于支持城市更新的规划与土地政策指引（2023版）》不受规划容积率指标制约的公益类改造整治项目，包括市政基础设施改造、城市更新、老旧小区内部综合整治及成套化改造、第五立面整治（含平改坡）等保障民生和激励公益贡献的改造提升项目。</w:t>
      </w:r>
    </w:p>
    <w:p w14:paraId="6DD6B9A0">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（二）海绵城市改造提升项目。如在已有的城市公园、广场、绿地、道路、校园、居住区等区域内进行的海绵城市提升改造。</w:t>
      </w:r>
    </w:p>
    <w:p w14:paraId="4CB3CFA9">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 xml:space="preserve">（三）市政管线建设项目。既有市政道路内管线新建及既有管线进行维修、更换、扩容的。 </w:t>
      </w:r>
    </w:p>
    <w:p w14:paraId="0A8F8384">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（四）既有市政道路提升改造项目（不新增建设用地），含人行道铺装、道路照明、附属绿化等工程建设。</w:t>
      </w:r>
    </w:p>
    <w:p w14:paraId="445F268E">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（五）城市景观提升改造项目，各类现状公园、广场、景观步道等区域内新建设公益性亭、台、廊、榭、景观水池、雕塑等园林小品、公共厕所、内部道路（绿道）、步行桥（涵）、景观绿化等。</w:t>
      </w:r>
    </w:p>
    <w:p w14:paraId="485EC2FD">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（六）为重大市政基础设施配套，在城镇开发边界内使用临时用地的临时性施工用房、施工工棚、施工围墙、临时出入口等临时工程建设。</w:t>
      </w:r>
    </w:p>
    <w:p w14:paraId="1C1DEDF6">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（七）由政府主导实施的国有建设用地上的土地场平及配套管网、管沟、护坡等附属工程建设。</w:t>
      </w:r>
    </w:p>
    <w:p w14:paraId="7D0D5E46">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黑体" w:cs="Times New Roman"/>
          <w:b w:val="0"/>
          <w:bCs w:val="0"/>
          <w:sz w:val="32"/>
          <w:szCs w:val="32"/>
        </w:rPr>
      </w:pPr>
      <w:r>
        <w:rPr>
          <w:rFonts w:hint="eastAsia" w:ascii="Times New Roman" w:hAnsi="Times New Roman" w:eastAsia="黑体" w:cs="Times New Roman"/>
          <w:b w:val="0"/>
          <w:bCs w:val="0"/>
          <w:sz w:val="32"/>
          <w:szCs w:val="32"/>
        </w:rPr>
        <w:t>三、无需办理《建设工程规划许可证》的情形</w:t>
      </w:r>
    </w:p>
    <w:p w14:paraId="2E9AA919">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（一）企业用户在规划红线范围外规模较小的市政管道敷设接驳工程</w:t>
      </w:r>
    </w:p>
    <w:p w14:paraId="3F67173B">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（二）既有用地范围内增设新能源充电桩等按照设施设备管理的相关配套服务设施。</w:t>
      </w:r>
    </w:p>
    <w:p w14:paraId="7997D5A2">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（三） 城镇开发边界内既有市政道路、桥梁、管道等维护、加固、清理等，既有道路交通设施的维护、加固、撤销，不涉及新增用地的既有道路交通改善工程。</w:t>
      </w:r>
    </w:p>
    <w:p w14:paraId="607BF8BC">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（四）无独立占地的市政设施如交换箱、分支箱、环网柜、基站、充电桩、消火栓等设施设备工程</w:t>
      </w:r>
    </w:p>
    <w:p w14:paraId="76334B09">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黑体" w:cs="Times New Roman"/>
          <w:b w:val="0"/>
          <w:bCs w:val="0"/>
          <w:sz w:val="32"/>
          <w:szCs w:val="32"/>
        </w:rPr>
      </w:pPr>
      <w:r>
        <w:rPr>
          <w:rFonts w:hint="eastAsia" w:ascii="Times New Roman" w:hAnsi="Times New Roman" w:eastAsia="黑体" w:cs="Times New Roman"/>
          <w:b w:val="0"/>
          <w:bCs w:val="0"/>
          <w:sz w:val="32"/>
          <w:szCs w:val="32"/>
        </w:rPr>
        <w:t>四、其他事项</w:t>
      </w:r>
    </w:p>
    <w:p w14:paraId="67353CB1">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一）符合本豁免清单的工程建设项目，建设单位应按照相关法律法规及相应行政主管部门要求进行建设，若存在违反建筑安全、消防安全、物业管理、市政管理等规定的，相关行政主管部门按照法律法规对违法违规行为进行认定处理。</w:t>
      </w:r>
    </w:p>
    <w:p w14:paraId="6C01EA9B">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（二）符合本豁免清单的工程建设项目，无需办理建设项目规划核实和土地核验合格证书。</w:t>
      </w:r>
    </w:p>
    <w:p w14:paraId="11D792DF">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rPr>
        <w:t>（三）本豁免清单自发布之日起执行。根据国家及省市最新政策及“放管服”改革要求对清单进行动态调整。</w:t>
      </w:r>
    </w:p>
    <w:p w14:paraId="1D6E9F86">
      <w:pPr>
        <w:keepNext w:val="0"/>
        <w:keepLines w:val="0"/>
        <w:widowControl/>
        <w:suppressLineNumbers w:val="0"/>
        <w:spacing w:before="240" w:beforeAutospacing="0" w:after="0" w:afterAutospacing="0" w:line="450" w:lineRule="atLeast"/>
        <w:ind w:left="0" w:right="0" w:firstLine="640"/>
        <w:jc w:val="both"/>
        <w:rPr>
          <w:rFonts w:ascii="方正小标宋简体" w:eastAsia="方正小标宋简体" w:cs="方正小标宋简体"/>
          <w:sz w:val="21"/>
          <w:szCs w:val="21"/>
        </w:rPr>
      </w:pPr>
    </w:p>
    <w:p w14:paraId="40231300">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Style w:val="20"/>
          <w:rFonts w:ascii="仿宋_GB2312" w:eastAsia="仿宋_GB2312" w:cs="仿宋_GB2312"/>
          <w:bCs/>
          <w:szCs w:val="32"/>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Trebuchet MS"/>
    <w:panose1 w:val="020F0502020204030204"/>
    <w:charset w:val="00"/>
    <w:family w:val="swiss"/>
    <w:pitch w:val="default"/>
    <w:sig w:usb0="00000000" w:usb1="00000000" w:usb2="00000001" w:usb3="00000000" w:csb0="0000019F" w:csb1="00000000"/>
  </w:font>
  <w:font w:name="Trebuchet MS">
    <w:panose1 w:val="020B0603020202020204"/>
    <w:charset w:val="00"/>
    <w:family w:val="auto"/>
    <w:pitch w:val="default"/>
    <w:sig w:usb0="00000287" w:usb1="00000000" w:usb2="00000000" w:usb3="00000000" w:csb0="2000009F" w:csb1="00000000"/>
  </w:font>
  <w:font w:name="方正书宋_GBK">
    <w:panose1 w:val="02000000000000000000"/>
    <w:charset w:val="86"/>
    <w:family w:val="auto"/>
    <w:pitch w:val="default"/>
    <w:sig w:usb0="00000001" w:usb1="08000000" w:usb2="00000000" w:usb3="00000000" w:csb0="00040000" w:csb1="00000000"/>
  </w:font>
  <w:font w:name="Luxi Sans">
    <w:altName w:val="Arial"/>
    <w:panose1 w:val="00000000000000000000"/>
    <w:charset w:val="00"/>
    <w:family w:val="auto"/>
    <w:pitch w:val="default"/>
    <w:sig w:usb0="00000000" w:usb1="00000000" w:usb2="00000000" w:usb3="00000000" w:csb0="00000000" w:csb1="00000000"/>
  </w:font>
  <w:font w:name="方正黑体_GBK">
    <w:panose1 w:val="02000000000000000000"/>
    <w:charset w:val="86"/>
    <w:family w:val="auto"/>
    <w:pitch w:val="default"/>
    <w:sig w:usb0="A00002BF" w:usb1="38CF7CFA" w:usb2="00082016" w:usb3="00000000" w:csb0="00040001"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Mzg4NWU5YmY2NmRkYmU5MDdkMGE3ODE5YmVmZjkwZDMifQ=="/>
  </w:docVars>
  <w:rsids>
    <w:rsidRoot w:val="00000000"/>
    <w:rsid w:val="7DBF7C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rPr>
  </w:style>
  <w:style w:type="paragraph" w:styleId="4">
    <w:name w:val="heading 2"/>
    <w:basedOn w:val="1"/>
    <w:next w:val="1"/>
    <w:qFormat/>
    <w:uiPriority w:val="0"/>
    <w:pPr>
      <w:keepNext/>
      <w:keepLines/>
      <w:spacing w:before="260" w:after="260" w:line="415" w:lineRule="auto"/>
      <w:outlineLvl w:val="1"/>
    </w:pPr>
    <w:rPr>
      <w:rFonts w:ascii="Luxi Sans" w:hAnsi="Luxi Sans" w:eastAsia="黑体"/>
      <w:b/>
      <w:sz w:val="32"/>
    </w:rPr>
  </w:style>
  <w:style w:type="paragraph" w:styleId="5">
    <w:name w:val="heading 3"/>
    <w:basedOn w:val="1"/>
    <w:next w:val="1"/>
    <w:qFormat/>
    <w:uiPriority w:val="0"/>
    <w:pPr>
      <w:keepNext/>
      <w:keepLines/>
      <w:spacing w:before="260" w:after="260" w:line="415" w:lineRule="auto"/>
      <w:outlineLvl w:val="2"/>
    </w:pPr>
    <w:rPr>
      <w:b/>
      <w:sz w:val="32"/>
    </w:rPr>
  </w:style>
  <w:style w:type="character" w:default="1" w:styleId="8">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标题 5（有编号）（绿盟科技）"/>
    <w:next w:val="1"/>
    <w:qFormat/>
    <w:uiPriority w:val="0"/>
    <w:pPr>
      <w:keepNext/>
      <w:keepLines/>
      <w:widowControl w:val="0"/>
      <w:spacing w:before="280" w:after="156" w:line="377" w:lineRule="auto"/>
      <w:outlineLvl w:val="4"/>
    </w:pPr>
    <w:rPr>
      <w:rFonts w:ascii="Arial" w:hAnsi="Arial" w:eastAsia="黑体" w:cs="Times New Roman"/>
      <w:b/>
      <w:kern w:val="2"/>
      <w:sz w:val="24"/>
      <w:szCs w:val="28"/>
      <w:lang w:val="en-US" w:eastAsia="zh-CN" w:bidi="ar-SA"/>
    </w:rPr>
  </w:style>
  <w:style w:type="paragraph" w:styleId="6">
    <w:name w:val="Normal (Web)"/>
    <w:basedOn w:val="1"/>
    <w:qFormat/>
    <w:uiPriority w:val="0"/>
    <w:pPr>
      <w:widowControl/>
      <w:spacing w:before="100" w:beforeAutospacing="1" w:after="100" w:afterAutospacing="1"/>
      <w:jc w:val="left"/>
    </w:pPr>
    <w:rPr>
      <w:rFonts w:ascii="宋体" w:eastAsia="宋体" w:cs="宋体"/>
      <w:kern w:val="0"/>
      <w:sz w:val="24"/>
      <w:szCs w:val="24"/>
    </w:rPr>
  </w:style>
  <w:style w:type="character" w:styleId="9">
    <w:name w:val="Strong"/>
    <w:basedOn w:val="8"/>
    <w:qFormat/>
    <w:uiPriority w:val="0"/>
    <w:rPr>
      <w:b/>
      <w:bCs/>
    </w:rPr>
  </w:style>
  <w:style w:type="character" w:styleId="10">
    <w:name w:val="FollowedHyperlink"/>
    <w:basedOn w:val="8"/>
    <w:qFormat/>
    <w:uiPriority w:val="0"/>
    <w:rPr>
      <w:color w:val="800080"/>
      <w:u w:val="none"/>
    </w:rPr>
  </w:style>
  <w:style w:type="character" w:styleId="11">
    <w:name w:val="Emphasis"/>
    <w:basedOn w:val="8"/>
    <w:qFormat/>
    <w:uiPriority w:val="0"/>
    <w:rPr>
      <w:b/>
      <w:bCs/>
    </w:rPr>
  </w:style>
  <w:style w:type="character" w:styleId="12">
    <w:name w:val="HTML Definition"/>
    <w:basedOn w:val="8"/>
    <w:qFormat/>
    <w:uiPriority w:val="0"/>
  </w:style>
  <w:style w:type="character" w:styleId="13">
    <w:name w:val="HTML Variable"/>
    <w:basedOn w:val="8"/>
    <w:qFormat/>
    <w:uiPriority w:val="0"/>
  </w:style>
  <w:style w:type="character" w:styleId="14">
    <w:name w:val="Hyperlink"/>
    <w:basedOn w:val="8"/>
    <w:qFormat/>
    <w:uiPriority w:val="0"/>
    <w:rPr>
      <w:color w:val="0000FF"/>
      <w:u w:val="none"/>
    </w:rPr>
  </w:style>
  <w:style w:type="character" w:styleId="15">
    <w:name w:val="HTML Code"/>
    <w:basedOn w:val="8"/>
    <w:qFormat/>
    <w:uiPriority w:val="0"/>
    <w:rPr>
      <w:rFonts w:ascii="Courier New" w:hAnsi="Courier New"/>
      <w:sz w:val="20"/>
    </w:rPr>
  </w:style>
  <w:style w:type="character" w:styleId="16">
    <w:name w:val="HTML Cite"/>
    <w:basedOn w:val="8"/>
    <w:qFormat/>
    <w:uiPriority w:val="0"/>
  </w:style>
  <w:style w:type="character" w:styleId="17">
    <w:name w:val="HTML Keyboard"/>
    <w:basedOn w:val="8"/>
    <w:qFormat/>
    <w:uiPriority w:val="0"/>
    <w:rPr>
      <w:rFonts w:ascii="Courier New" w:hAnsi="Courier New"/>
      <w:sz w:val="20"/>
    </w:rPr>
  </w:style>
  <w:style w:type="character" w:styleId="18">
    <w:name w:val="HTML Sample"/>
    <w:basedOn w:val="8"/>
    <w:qFormat/>
    <w:uiPriority w:val="0"/>
    <w:rPr>
      <w:rFonts w:ascii="Courier New" w:hAnsi="Courier New"/>
    </w:rPr>
  </w:style>
  <w:style w:type="paragraph" w:customStyle="1" w:styleId="19">
    <w:name w:val="UserStyle_1"/>
    <w:basedOn w:val="1"/>
    <w:link w:val="20"/>
    <w:qFormat/>
    <w:uiPriority w:val="0"/>
    <w:pPr>
      <w:spacing w:line="240" w:lineRule="atLeast"/>
      <w:ind w:firstLine="200" w:firstLineChars="200"/>
    </w:pPr>
    <w:rPr>
      <w:rFonts w:ascii="宋体" w:hAnsi="宋体" w:eastAsia="楷体_GB2312"/>
      <w:kern w:val="0"/>
      <w:sz w:val="32"/>
      <w:szCs w:val="28"/>
    </w:rPr>
  </w:style>
  <w:style w:type="character" w:customStyle="1" w:styleId="20">
    <w:name w:val="UserStyle_1 Char"/>
    <w:basedOn w:val="8"/>
    <w:link w:val="19"/>
    <w:qFormat/>
    <w:uiPriority w:val="0"/>
    <w:rPr>
      <w:rFonts w:ascii="宋体" w:hAnsi="宋体" w:eastAsia="楷体_GB2312" w:cs="Arial"/>
      <w:kern w:val="0"/>
      <w:sz w:val="32"/>
      <w:szCs w:val="28"/>
      <w:lang w:val="en-US" w:eastAsia="zh-CN" w:bidi="ar-SA"/>
    </w:rPr>
  </w:style>
  <w:style w:type="character" w:customStyle="1" w:styleId="21">
    <w:name w:val="first-child"/>
    <w:basedOn w:val="8"/>
    <w:qFormat/>
    <w:uiPriority w:val="0"/>
  </w:style>
  <w:style w:type="character" w:customStyle="1" w:styleId="22">
    <w:name w:val="layui-layer-tabnow"/>
    <w:basedOn w:val="8"/>
    <w:qFormat/>
    <w:uiPriority w:val="0"/>
    <w:rPr>
      <w:bdr w:val="single" w:color="CCCCCC" w:sz="6" w:space="0"/>
      <w:shd w:val="clear" w:color="auto" w:fill="FFFFFF"/>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3</Pages>
  <Words>1406</Words>
  <Characters>1442</Characters>
  <Lines>80</Lines>
  <Paragraphs>30</Paragraphs>
  <TotalTime>21</TotalTime>
  <ScaleCrop>false</ScaleCrop>
  <LinksUpToDate>false</LinksUpToDate>
  <CharactersWithSpaces>1492</CharactersWithSpaces>
  <Application>WPS Office_12.8.2.19550_F1E327BC-269C-435d-A152-05C5408002CA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2024-06-06T09:16:00Z</dcterms:created>
  <dc:creator>Administrator</dc:creator>
  <cp:lastModifiedBy>凯</cp:lastModifiedBy>
  <cp:lastPrinted>2025-02-24T10:27:00Z</cp:lastPrinted>
  <dcterms:modified xsi:type="dcterms:W3CDTF">2025-02-24T16:23:23Z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2052-12.8.2.19550</vt:lpwstr>
  </property>
  <property fmtid="{D5CDD505-2E9C-101B-9397-08002B2CF9AE}" pid="3" name="ICV">
    <vt:lpwstr>FA2275F79E8A4AE0A32482029FDF6C1B_13</vt:lpwstr>
  </property>
  <property fmtid="{D5CDD505-2E9C-101B-9397-08002B2CF9AE}" pid="4" name="KSOTemplateDocerSaveRecord">
    <vt:lpwstr>eyJoZGlkIjoiYjY2Y2MxYTRjNTcwZDE5NWJjMTBlMmNiMzc2ZjBlNzYifQ==</vt:lpwstr>
  </property>
</Properties>
</file>