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宋体" w:cs="Times New Roman"/>
          <w:color w:val="000000"/>
          <w:kern w:val="2"/>
          <w:sz w:val="21"/>
          <w:szCs w:val="21"/>
          <w:u w:val="none" w:color="auto"/>
          <w:lang w:val="en-US" w:eastAsia="zh-CN" w:bidi="ar"/>
        </w:rPr>
        <w:pict>
          <v:group id="组合 5" o:spid="_x0000_s1026" o:spt="203" style="position:absolute;left:0pt;margin-left:-9.05pt;margin-top:18.2pt;height:177.9pt;width:448.45pt;z-index:251659264;mso-width-relative:page;mso-height-relative:page;" coordorigin="6867,20875" coordsize="9476,3558">
            <o:lock v:ext="edit" aspectratio="f"/>
            <v:shape id="AutoShape 5" o:spid="_x0000_s1027" o:spt="136" type="#_x0000_t136" style="position:absolute;left:6891;top:20875;height:1506;width:9419;" fillcolor="#FF0000" filled="t" stroked="t" coordsize="21600,21600" adj="10800">
              <v:path/>
              <v:fill on="t" color2="#FFFFFF" focussize="0,0"/>
              <v:stroke color="#FF0000"/>
              <v:imagedata o:title=""/>
              <o:lock v:ext="edit" aspectratio="f"/>
              <v:textpath on="t" fitshape="t" fitpath="t" trim="t" xscale="f" string="广元市昭化区人民政府文件" style="font-family:方正小标宋简体;font-size:36pt;v-text-align:center;"/>
            </v:shape>
            <v:line id="Line 4" o:spid="_x0000_s1028" o:spt="20" style="position:absolute;left:6867;top:24419;height:15;width:9476;" filled="f" stroked="t" coordsize="21600,21600">
              <v:path arrowok="t"/>
              <v:fill on="f" focussize="0,0"/>
              <v:stroke weight="2.25pt" color="#FF0000"/>
              <v:imagedata o:title=""/>
              <o:lock v:ext="edit" aspectratio="f"/>
            </v:line>
          </v:group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5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昭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府发〔2024〕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:u w:val="none"/>
          <w14:textFill>
            <w14:solidFill>
              <w14:schemeClr w14:val="tx1"/>
            </w14:solidFill>
          </w14:textFill>
        </w:rPr>
        <w:t>广元市昭化区人民政府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000000" w:themeColor="text1"/>
          <w:kern w:val="2"/>
          <w:sz w:val="44"/>
          <w:szCs w:val="44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default" w:ascii="Times New Roman" w:hAnsi="Times New Roman" w:eastAsia="方正小标宋简体" w:cs="Times New Roman"/>
          <w:bCs/>
          <w:color w:val="000000" w:themeColor="text1"/>
          <w:kern w:val="2"/>
          <w:sz w:val="44"/>
          <w:szCs w:val="44"/>
          <w:u w:val="none"/>
          <w:lang w:val="en-US" w:eastAsia="zh-CN"/>
          <w14:textFill>
            <w14:solidFill>
              <w14:schemeClr w14:val="tx1"/>
            </w14:solidFill>
          </w14:textFill>
        </w:rPr>
        <w:t>关于印发</w:t>
      </w:r>
      <w:r>
        <w:rPr>
          <w:rFonts w:hint="default" w:ascii="Times New Roman" w:hAnsi="Times New Roman" w:eastAsia="方正小标宋简体" w:cs="Times New Roman"/>
          <w:bCs/>
          <w:color w:val="000000" w:themeColor="text1"/>
          <w:kern w:val="2"/>
          <w:sz w:val="44"/>
          <w:szCs w:val="44"/>
          <w:u w:val="none"/>
          <w:lang w:val="en-US" w:eastAsia="zh-CN"/>
          <w14:textFill>
            <w14:solidFill>
              <w14:schemeClr w14:val="tx1"/>
            </w14:solidFill>
          </w14:textFill>
        </w:rPr>
        <w:t>《广元市昭化区工业园区招商引资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color w:val="000000" w:themeColor="text1"/>
          <w:sz w:val="44"/>
          <w:szCs w:val="44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bCs/>
          <w:color w:val="000000" w:themeColor="text1"/>
          <w:kern w:val="2"/>
          <w:sz w:val="44"/>
          <w:szCs w:val="44"/>
          <w:u w:val="none"/>
          <w:lang w:val="en-US" w:eastAsia="zh-CN"/>
          <w14:textFill>
            <w14:solidFill>
              <w14:schemeClr w14:val="tx1"/>
            </w14:solidFill>
          </w14:textFill>
        </w:rPr>
        <w:t>项目配套政策》的</w:t>
      </w:r>
      <w:r>
        <w:rPr>
          <w:rFonts w:hint="default" w:ascii="Times New Roman" w:hAnsi="Times New Roman" w:eastAsia="方正小标宋简体" w:cs="Times New Roman"/>
          <w:bCs/>
          <w:color w:val="000000" w:themeColor="text1"/>
          <w:kern w:val="2"/>
          <w:sz w:val="44"/>
          <w:szCs w:val="44"/>
          <w:u w:val="none"/>
          <w:lang w:val="en-US" w:eastAsia="zh-CN"/>
          <w14:textFill>
            <w14:solidFill>
              <w14:schemeClr w14:val="tx1"/>
            </w14:solidFill>
          </w14:textFill>
        </w:rPr>
        <w:t>通知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rightChars="0" w:firstLine="0" w:firstLineChars="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rightChars="0" w:firstLine="0" w:firstLineChars="0"/>
        <w:textAlignment w:val="auto"/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各镇人民政府，区级相关部门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经区委、区政府研究同意，现将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《广元市昭化区工业园区招商引资项目配套政策》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印发给你们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请结合实际认真贯彻执行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11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76" w:lineRule="exact"/>
        <w:textAlignment w:val="auto"/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76" w:lineRule="exact"/>
        <w:jc w:val="right"/>
        <w:textAlignment w:val="auto"/>
        <w:rPr>
          <w:rFonts w:hint="default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rightChars="0" w:firstLine="640" w:firstLineChars="200"/>
        <w:jc w:val="right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广元市昭化区人民政府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76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202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76" w:lineRule="exact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0"/>
        <w:jc w:val="both"/>
        <w:textAlignment w:val="auto"/>
        <w:rPr>
          <w:rFonts w:hint="default" w:ascii="Times New Roman" w:hAnsi="Times New Roman" w:eastAsia="方正小标宋简体" w:cs="Times New Roman"/>
          <w:color w:val="000000" w:themeColor="text1"/>
          <w:spacing w:val="0"/>
          <w:w w:val="100"/>
          <w:sz w:val="44"/>
          <w:szCs w:val="44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0"/>
        <w:jc w:val="center"/>
        <w:textAlignment w:val="auto"/>
        <w:rPr>
          <w:rFonts w:hint="default" w:ascii="Times New Roman" w:hAnsi="Times New Roman" w:eastAsia="方正小标宋简体" w:cs="Times New Roman"/>
          <w:color w:val="000000" w:themeColor="text1"/>
          <w:spacing w:val="0"/>
          <w:w w:val="100"/>
          <w:sz w:val="44"/>
          <w:szCs w:val="44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color w:val="000000" w:themeColor="text1"/>
          <w:spacing w:val="0"/>
          <w:w w:val="100"/>
          <w:sz w:val="44"/>
          <w:szCs w:val="44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广元市昭化区工业园区招商引资项目配套政策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0"/>
        <w:jc w:val="center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第一章  总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则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第一条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根据党的二十大精神、习近平总书记来川视察重要指示精神和新时代西部大开发等国家、省、市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、区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产业发展以及投资促进相关政策，为进一步加大招商引资力度，推动重点产业高质量发展，结合我区实际，制定本政策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第二条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 本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政策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适用于以独资、合资，参股、控股，收购、兼并等多种方式来昭化投资，符合国家、省、市、区战略规划布局，并入驻中国西部（广元）绿色家居产业城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（含建材产业园）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、中国食品产业发展重点园区（含泉坝台阶地、杏树食品园）、元柳工业园等园区的项目，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重点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支持家居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建材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、食品饮料、新能源、新材料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制造业招商引资项目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0"/>
        <w:jc w:val="center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第二章  优惠政策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第三条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 税收政策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在权限范围内按国家规定执行增值税起征点政策。依法落实好西部大开发、高新技术企业、小型微利企业等企业所得税优惠政策；落实好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企业进出口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、公益性捐赠、就业创业等其他各类税收优惠政策，使纳税人应享尽享。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第四条</w:t>
      </w:r>
      <w:r>
        <w:rPr>
          <w:rFonts w:hint="default" w:ascii="Times New Roman" w:hAnsi="Times New Roman" w:eastAsia="楷体_GB2312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涉企收费政策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yellow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政府部门涉企收费实行清单管理，凡公布取消、停征、合并、降低标准收费的，严格按照时间节点执行；收费标准有上下限的，一律按下限标准收取。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第五条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财政补助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（一）基础设施建设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。对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自建项目根据其投资强度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给予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基础设施建设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（具体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金额另行约定）。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方式为项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目获得施工许可后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40%，主体工程完工后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60%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，达到条件后均于20个工作日内完成兑付。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（二）产业发展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。对固定资产投资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5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000万元以上的项目，在约定期限内完成建设投资的，根据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其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投产后对地方经济贡献给予产业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发展补助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比例为第一年至第二年100%、第三年至第五年50%，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起始年度另行约定。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singl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（三）物流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。对固定资产投资2000万元以上的项目，自投产年度起产生的货物物流运输费用进行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标准根据其投产当年对地方经济贡献另行约定，单个企业的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累计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最高不超过100万元，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期限为自投产年度起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3年内。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（四）设备购置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。对从签约至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投产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期间购置的新设备在2000万元以上的企业，给予不超过采购新设备金额5%的设备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，单个企业的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累计最高不超过500万元。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（五）厂房建设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。对新建厂房第3层及以上的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部分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，按200元/平方米的标准给予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方式为项目正式投产后给予一次性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（六）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租赁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厂房租金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租赁中国西部（广元）绿色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家居产业城、中国食品产业发展重点园区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标准化厂房的，达到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招商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协议约定的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固定资产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投资、经济贡献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的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，自租赁协议签订之日起前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24个月给予租金全额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。租金实行收支两条线，先缴后补（即投资企业按租赁协议约定缴纳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租金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，达到招商协议约定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的各项经济指标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后申请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）。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（七）贷款贴息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。对固定资产投资2000万元以上，或投产当年对地方经济贡献达到100万元以上的项目，在金融机构融资用于该项目建设的，可根据项目实际发生贷款额度，分别按当年中国人民银行LPR（贷款市场报价利率）第一年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5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0%、第二年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0%、第三年20%给予贷款贴息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，连续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补助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最长3年（自贷款年度起计算），单个企业贴息总额累计不超过200万元，得到中央、省、市贴息的不再重复贴息。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八）科技创新奖励。对新认定、到期重新认定的国家高新技术企业分别给予10万元、5万元资金奖励。对新认定的“独角兽”企业、新备案入库的“瞪羚”企业给予50万元、20万元资金奖励。对新获批的国家、省级重点实验室、技术创新中心、工程技术研究中心及新型研发机构分别给予200万元、100万元项目资金奖励。对新获批的省级及以上科技企业孵化器、众创空间，新建的省级概念验证、中试熟化平台，新认定的省级技术转移示范机构等给予资金奖励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0"/>
        <w:jc w:val="center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第三章  要素支持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第六条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人才支持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（一）企业高管奖励。新引进项目投产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当年对地方经济贡献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在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300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万元（含）至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500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万元（含）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之间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的，对企业最高不超过2名高管进行奖励；投产当年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对地方经济贡献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在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500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万元至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000万元（含）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之间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的，对企业最高不超过3名高管进行奖励；投产当年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对地方经济贡献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在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000万元以上的，对企业最高不超过5名高管进行奖励。具体奖励标准按照“一事一议”原则报区委区政府审定后实施。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 w:val="0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（二）其他人才奖励。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企业引进的高级人才同等享受《关于大力集聚新时代“葭萌英才”加快创建省级人才工作先行区的若干措施》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（昭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委办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〔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202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〕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2号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和《广元市昭化区支持绿色家居产业人才队伍建设十五条措施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（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试行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》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（昭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府办发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〔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202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〕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2号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相关奖励政策。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第七条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金融支持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一）企业上市支持。设立财政支持企业上市专项资金用于企业上市奖励补助。区内企业在沪深交易所成功上市的，一次性给予300万元奖补；在北交所成功上市的，一次性给予200万元奖补；在沪深北交易所成功借壳上市的，一次性给予100万元奖补。区内企业在香港联合交易所成功上市的，一次性给予100万元奖补；在其他境外交易场所上市的，实行“一事一议”进行奖补。区内企业首次在全国中小企业股份转让系统（新三板）基础层挂牌的，一次性给予30万元奖补，从基础层转入创新层再给予20万元奖补；挂牌直接进入创新层的一次性给予50万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元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奖补。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（二）企业融资支持。加大银税贷、小微快贷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等信用贷款产品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运用，大力推广应收账款、知识产权、商标、股权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质押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等金融产品，创新平台多渠道深化银企对接，探索建立政府性融资担保机构奖补政策，支持融资担保机构持续降低小微企业融资担保费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率至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1%及以下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第八条</w:t>
      </w:r>
      <w:r>
        <w:rPr>
          <w:rFonts w:hint="default" w:ascii="Times New Roman" w:hAnsi="Times New Roman" w:eastAsia="楷体_GB2312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土地支持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（一）保障土地供应。对固定资产投资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5000万元以上的项目，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在符合国土空间规划的前提下，可优先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安排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计划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指标和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占补平衡指标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。根据项目需求和实际，实行一次约定、规划预留、灵活供地。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（二）推进工业园区“标准地”供应。项目进入工业园区可实行带建设工程设计方案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供地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，产业用地类型可依法合理合规转换，推进混合产业用地供给。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（三）鼓励多层厂房建设。大力支持已取得土地使用权的企业，在不改变土地用途的前提下，为提高土地利用效率，改（扩）建多层厂房增加容积率的，不再补缴土地出让价款。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（四）鼓励盘活存量建设用地。在符合规划、不改变用途的前提下，现有制造业企业调整用地结构增加服务型制造业设施和经营场所，其建筑面积比例不超过原总建筑面积15%的，可继续按原用途使用土地。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第九条</w:t>
      </w:r>
      <w:r>
        <w:rPr>
          <w:rFonts w:hint="default" w:ascii="Times New Roman" w:hAnsi="Times New Roman" w:eastAsia="楷体_GB2312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其他要素支持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  <w:color w:val="000000" w:themeColor="text1"/>
          <w:highlight w:val="none"/>
          <w:u w:val="none"/>
          <w:lang w:val="zh-CN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园区内提供“七通一平”的工业用地，由政府统一规划并协调相关部门统一建设至项目用地红线处（“七通”为市政道路、雨水、污水、自来水、天然气、电力、电信，“一平”为场地平整）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其中，有行业特殊规定的，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从其规定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firstLine="0" w:firstLineChars="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firstLine="0" w:firstLineChars="0"/>
        <w:jc w:val="center"/>
        <w:textAlignment w:val="auto"/>
        <w:rPr>
          <w:rFonts w:hint="default" w:ascii="Times New Roman" w:hAnsi="Times New Roman" w:eastAsia="黑体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第四章</w:t>
      </w:r>
      <w:r>
        <w:rPr>
          <w:rFonts w:hint="default" w:ascii="Times New Roman" w:hAnsi="Times New Roman" w:eastAsia="黑体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 服务保障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第十条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组织保障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对每个招商引资项目实行“四个一”服务推进机制（一名县级领导牵头、一个牵头部门主抓，一个责任人负责、一位具体工作人员经办），维护企业正常建设和生产经营秩序。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第十一条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政务服务保障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优化“企能办”服务平台，进一步压缩企业开办时间和成本，实行行政审批协办制度，对投资企业的用地、环保、工程等报建手续，实行全程跟踪协办服务。召开企业家恳谈会，开展营商环境“背靠背”直接评价，畅通营商环境投诉举报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渠道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，倾力构建“亲”“清”政商关系。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第十二条 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产业发展保障  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各职能部门负责做好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对所涉及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产业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项目的建设选址、用地、环保、安评、节能、社会风险、水土保持、项目审批、施工许可、用水、用电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用气、通讯、企业用工、项目融资等要素保障协调服务；负责产业发展战略、规划及目标研究，组织编制产业图谱；负责产业链重大项目谋划、招商引资、洽谈签约、落地建设、运营服务等；负责协调解决产业发展相关困难问题，为产业发展提供全生命周期、全产业链条、全方位服务保障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0"/>
        <w:jc w:val="center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第五章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政策兑现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第十三条</w:t>
      </w:r>
      <w:r>
        <w:rPr>
          <w:rFonts w:hint="default" w:ascii="Times New Roman" w:hAnsi="Times New Roman" w:eastAsia="楷体_GB2312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严格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招商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项目合同制管理，与投资企业所签订的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招商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协议，要明确约定投资项目强度、内容、规模、进度和退出机制等，正式协议作为各类资源配置、优惠政策兑现的依据。政策兑现所依据的数据均须相关行业部门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审核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  <w:t>企业提供的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14:textFill>
            <w14:solidFill>
              <w14:schemeClr w14:val="tx1"/>
            </w14:solidFill>
          </w14:textFill>
        </w:rPr>
        <w:t>固定资产投资额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  <w:t>、营业收入、缴纳税金、就业人数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等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  <w:t>数据需经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相关行业部门审核盖章，行业部门不能审核的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14:textFill>
            <w14:solidFill>
              <w14:schemeClr w14:val="tx1"/>
            </w14:solidFill>
          </w14:textFill>
        </w:rPr>
        <w:t>以第三方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  <w:t>机构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:lang w:eastAsia="zh-CN"/>
          <w14:textFill>
            <w14:solidFill>
              <w14:schemeClr w14:val="tx1"/>
            </w14:solidFill>
          </w14:textFill>
        </w:rPr>
        <w:t>评估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40"/>
          <w:highlight w:val="none"/>
          <w:u w:val="none"/>
          <w14:textFill>
            <w14:solidFill>
              <w14:schemeClr w14:val="tx1"/>
            </w14:solidFill>
          </w14:textFill>
        </w:rPr>
        <w:t>数据为准。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643" w:firstLineChars="20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第十四条 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bCs w:val="0"/>
          <w:color w:val="000000" w:themeColor="text1"/>
          <w:sz w:val="32"/>
          <w:szCs w:val="40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投资企业应享受的各项优惠政策，</w:t>
      </w:r>
      <w:r>
        <w:rPr>
          <w:rFonts w:hint="default" w:ascii="Times New Roman" w:hAnsi="Times New Roman" w:eastAsia="仿宋_GB2312" w:cs="Times New Roman"/>
          <w:bCs w:val="0"/>
          <w:color w:val="000000" w:themeColor="text1"/>
          <w:sz w:val="32"/>
          <w:szCs w:val="40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由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企业向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广元市昭化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区经济合作和外事中心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提交书面申请，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需经项目主引单位和相关行业部门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核实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，按程序上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报区政府审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定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同意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后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进行兑现。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kern w:val="2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第十五条 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将优惠政策兑现情况纳入优化营商环境工作考核内容。广元市昭化区经济合作和外事中心每半年对优惠政策兑现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和企业履约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情况进行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核实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，对未按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协议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约定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履约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的，限时督办，确保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严格按照协议约定落到实处</w:t>
      </w:r>
      <w:r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0"/>
        <w:jc w:val="both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76" w:lineRule="exact"/>
        <w:ind w:left="0" w:firstLine="0"/>
        <w:jc w:val="center"/>
        <w:textAlignment w:val="auto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第六章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附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则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yellow"/>
          <w:u w:val="none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第十六条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入驻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工业园区的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项目需符合园区产业规划，符合环境保护有关要求，其中，独立供地的工业用地项目需符合《广元市昭化区工业用地“标准地”控制性指标》（昭府办发〔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2023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〕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20号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）等文件要求；租赁标准化厂房的，需满足固定资产投资强度不低于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1000元/平方米、常态化使用率达到90%以上，且建成投产后年度经济贡献不低于75元/平方米。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第十七条 </w:t>
      </w:r>
      <w:r>
        <w:rPr>
          <w:rFonts w:hint="default" w:ascii="Times New Roman" w:hAnsi="Times New Roman" w:eastAsia="楷体_GB2312" w:cs="Times New Roman"/>
          <w:bCs w:val="0"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企业具体享受政策以招商协议约定为准。国家、省、市另有政策规定的，从其规定，如遇国家、省、市重大政策调整的，从其规定。本政策与国家、省、市其他奖励及优惠政策重叠的，按照从高但不重复享受原则执行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第十八条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 对新引进的世界500强、中国500强、民企500强、上市公司、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名牌产品企业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和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总投资5亿元以上的重大产业项目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，实行“一事一议”、“一企一策”。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第十九条 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 xml:space="preserve"> 本政策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自公布之日起30日后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施行，有效期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3年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，由广元市昭化区商务和经济合作局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（广元市昭化区经济合作和外事中心）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负责解释。《中国西部（广元）绿色家居产业城（昭化片区）招商项目入驻配套政策》（昭府发〔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2022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〕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en-US" w:eastAsia="zh-CN" w:bidi="ar-SA"/>
          <w14:textFill>
            <w14:solidFill>
              <w14:schemeClr w14:val="tx1"/>
            </w14:solidFill>
          </w14:textFill>
        </w:rPr>
        <w:t>2号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）等原有相关招商引资优惠政策同步</w:t>
      </w:r>
      <w:r>
        <w:rPr>
          <w:rFonts w:hint="default" w:ascii="Times New Roman" w:hAnsi="Times New Roman" w:eastAsia="仿宋_GB2312" w:cs="Times New Roman"/>
          <w:bCs/>
          <w:color w:val="000000" w:themeColor="text1"/>
          <w:sz w:val="32"/>
          <w:szCs w:val="32"/>
          <w:u w:val="none"/>
          <w:lang w:val="zh-CN" w:eastAsia="zh-CN" w:bidi="ar-SA"/>
          <w14:textFill>
            <w14:solidFill>
              <w14:schemeClr w14:val="tx1"/>
            </w14:solidFill>
          </w14:textFill>
        </w:rPr>
        <w:t>予以废止。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黑体" w:cs="Times New Roman"/>
          <w:bCs/>
          <w:color w:val="000000" w:themeColor="text1"/>
          <w:sz w:val="32"/>
          <w:szCs w:val="32"/>
          <w:highlight w:val="none"/>
          <w:u w:val="none"/>
          <w:lang w:val="zh-CN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11"/>
        <w:keepNext w:val="0"/>
        <w:keepLines w:val="0"/>
        <w:pageBreakBefore w:val="0"/>
        <w:widowControl w:val="0"/>
        <w:kinsoku/>
        <w:overflowPunct/>
        <w:topLinePunct w:val="0"/>
        <w:bidi w:val="0"/>
        <w:snapToGrid/>
        <w:spacing w:line="576" w:lineRule="exact"/>
        <w:textAlignment w:val="auto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12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9"/>
        <w:tblpPr w:leftFromText="181" w:rightFromText="181" w:horzAnchor="margin" w:tblpXSpec="center" w:tblpYSpec="bottom"/>
        <w:tblOverlap w:val="never"/>
        <w:tblW w:w="8844" w:type="dxa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4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844" w:type="dxa"/>
            <w:tcBorders>
              <w:top w:val="nil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ind w:left="139" w:leftChars="66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</w:rPr>
              <w:t>信息公开选项：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28"/>
                <w:szCs w:val="28"/>
                <w:lang w:eastAsia="zh-CN"/>
              </w:rPr>
              <w:t>主动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28"/>
                <w:szCs w:val="28"/>
              </w:rPr>
              <w:t>公开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84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139" w:leftChars="66" w:right="210" w:rightChars="100" w:firstLine="0" w:firstLine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广元市</w:t>
            </w: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zh-CN"/>
              </w:rPr>
              <w:t>昭化区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人民政府办公室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val="en-US" w:eastAsia="zh-CN"/>
              </w:rPr>
              <w:t xml:space="preserve">         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2024年</w:t>
            </w:r>
            <w:r>
              <w:rPr>
                <w:rFonts w:hint="eastAsia" w:ascii="Times New Roman" w:hAnsi="Times New Roman" w:cs="Times New Roman"/>
                <w:color w:val="000000"/>
                <w:sz w:val="28"/>
                <w:szCs w:val="28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月</w:t>
            </w:r>
            <w:r>
              <w:rPr>
                <w:rFonts w:hint="eastAsia" w:ascii="Times New Roman" w:hAnsi="Times New Roman" w:cs="Times New Roman"/>
                <w:color w:val="000000"/>
                <w:sz w:val="28"/>
                <w:szCs w:val="28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日印发</w:t>
            </w:r>
          </w:p>
        </w:tc>
      </w:tr>
    </w:tbl>
    <w:p>
      <w:pPr>
        <w:rPr>
          <w:rFonts w:hint="default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58420</wp:posOffset>
                </wp:positionH>
                <wp:positionV relativeFrom="paragraph">
                  <wp:posOffset>1694815</wp:posOffset>
                </wp:positionV>
                <wp:extent cx="1019175" cy="390525"/>
                <wp:effectExtent l="0" t="0" r="9525" b="952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94410" y="9500235"/>
                          <a:ext cx="10191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.6pt;margin-top:133.45pt;height:30.75pt;width:80.25pt;z-index:251660288;mso-width-relative:page;mso-height-relative:page;" fillcolor="#FFFFFF [3201]" filled="t" stroked="f" coordsize="21600,21600" o:gfxdata="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C00ws81QAA&#10;AAkBAAAPAAAAAAAAAAEAIAAAACIAAABkcnMvZG93bnJldi54bWxQSwECFAAUAAAACACHTuJAHJYM&#10;TloCAACaBAAADgAAAAAAAAABACAAAAAkAQAAZHJzL2Uyb0RvYy54bWxQSwUGAAAAAAYABgBZAQAA&#10;8A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sectPr>
      <w:footerReference r:id="rId3" w:type="default"/>
      <w:footerReference r:id="rId4" w:type="even"/>
      <w:pgSz w:w="11906" w:h="16838"/>
      <w:pgMar w:top="2098" w:right="1587" w:bottom="1984" w:left="1474" w:header="851" w:footer="1559" w:gutter="0"/>
      <w:paperSrc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wordWrap w:val="0"/>
      <w:ind w:firstLine="280" w:firstLineChars="100"/>
      <w:jc w:val="right"/>
      <w:rPr>
        <w:rFonts w:hint="default" w:eastAsia="宋体"/>
        <w:lang w:val="en-US" w:eastAsia="zh-CN"/>
      </w:rPr>
    </w:pPr>
    <w:r>
      <w:rPr>
        <w:rFonts w:hint="eastAsia" w:ascii="宋体" w:hAnsi="宋体" w:eastAsia="宋体" w:cs="宋体"/>
        <w:sz w:val="28"/>
        <w:szCs w:val="28"/>
      </w:rPr>
      <w:t xml:space="preserve">— </w:t>
    </w:r>
    <w:r>
      <w:rPr>
        <w:rFonts w:hint="eastAsia" w:ascii="宋体" w:hAnsi="宋体" w:eastAsia="宋体" w:cs="宋体"/>
        <w:sz w:val="28"/>
        <w:szCs w:val="28"/>
      </w:rPr>
      <w:fldChar w:fldCharType="begin"/>
    </w:r>
    <w:r>
      <w:rPr>
        <w:rFonts w:hint="eastAsia" w:ascii="宋体" w:hAnsi="宋体" w:eastAsia="宋体" w:cs="宋体"/>
        <w:sz w:val="28"/>
        <w:szCs w:val="28"/>
      </w:rPr>
      <w:instrText xml:space="preserve"> PAGE  \* MERGEFORMAT </w:instrText>
    </w:r>
    <w:r>
      <w:rPr>
        <w:rFonts w:hint="eastAsia" w:ascii="宋体" w:hAnsi="宋体" w:eastAsia="宋体" w:cs="宋体"/>
        <w:sz w:val="28"/>
        <w:szCs w:val="28"/>
      </w:rPr>
      <w:fldChar w:fldCharType="separate"/>
    </w:r>
    <w:r>
      <w:rPr>
        <w:rFonts w:hint="eastAsia" w:ascii="宋体" w:hAnsi="宋体" w:eastAsia="宋体" w:cs="宋体"/>
        <w:sz w:val="28"/>
        <w:szCs w:val="28"/>
      </w:rPr>
      <w:t>- 1 -</w:t>
    </w:r>
    <w:r>
      <w:rPr>
        <w:rFonts w:hint="eastAsia" w:ascii="宋体" w:hAnsi="宋体" w:eastAsia="宋体" w:cs="宋体"/>
        <w:sz w:val="28"/>
        <w:szCs w:val="28"/>
      </w:rPr>
      <w:fldChar w:fldCharType="end"/>
    </w:r>
    <w:r>
      <w:rPr>
        <w:rFonts w:hint="eastAsia" w:ascii="宋体" w:hAnsi="宋体" w:eastAsia="宋体" w:cs="宋体"/>
        <w:sz w:val="28"/>
        <w:szCs w:val="28"/>
      </w:rPr>
      <w:t xml:space="preserve"> —</w:t>
    </w:r>
    <w:r>
      <w:rPr>
        <w:rFonts w:hint="eastAsia" w:ascii="宋体" w:hAnsi="宋体" w:cs="宋体"/>
        <w:sz w:val="28"/>
        <w:szCs w:val="28"/>
        <w:lang w:val="en-US" w:eastAsia="zh-CN"/>
      </w:rPr>
      <w:t xml:space="preserve">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280" w:firstLineChars="100"/>
    </w:pPr>
    <w:r>
      <w:rPr>
        <w:rFonts w:hint="eastAsia" w:ascii="宋体" w:hAnsi="宋体" w:eastAsia="宋体" w:cs="宋体"/>
        <w:sz w:val="28"/>
        <w:szCs w:val="28"/>
      </w:rPr>
      <w:t xml:space="preserve">— </w:t>
    </w:r>
    <w:r>
      <w:rPr>
        <w:rFonts w:hint="eastAsia" w:ascii="宋体" w:hAnsi="宋体" w:eastAsia="宋体" w:cs="宋体"/>
        <w:sz w:val="28"/>
        <w:szCs w:val="28"/>
      </w:rPr>
      <w:fldChar w:fldCharType="begin"/>
    </w:r>
    <w:r>
      <w:rPr>
        <w:rFonts w:hint="eastAsia" w:ascii="宋体" w:hAnsi="宋体" w:eastAsia="宋体" w:cs="宋体"/>
        <w:sz w:val="28"/>
        <w:szCs w:val="28"/>
      </w:rPr>
      <w:instrText xml:space="preserve"> PAGE  \* MERGEFORMAT </w:instrText>
    </w:r>
    <w:r>
      <w:rPr>
        <w:rFonts w:hint="eastAsia" w:ascii="宋体" w:hAnsi="宋体" w:eastAsia="宋体" w:cs="宋体"/>
        <w:sz w:val="28"/>
        <w:szCs w:val="28"/>
      </w:rPr>
      <w:fldChar w:fldCharType="separate"/>
    </w:r>
    <w:r>
      <w:rPr>
        <w:rFonts w:hint="eastAsia" w:ascii="宋体" w:hAnsi="宋体" w:eastAsia="宋体" w:cs="宋体"/>
        <w:sz w:val="28"/>
        <w:szCs w:val="28"/>
      </w:rPr>
      <w:t>- 1 -</w:t>
    </w:r>
    <w:r>
      <w:rPr>
        <w:rFonts w:hint="eastAsia" w:ascii="宋体" w:hAnsi="宋体" w:eastAsia="宋体" w:cs="宋体"/>
        <w:sz w:val="28"/>
        <w:szCs w:val="28"/>
      </w:rPr>
      <w:fldChar w:fldCharType="end"/>
    </w:r>
    <w:r>
      <w:rPr>
        <w:rFonts w:hint="eastAsia" w:ascii="宋体" w:hAnsi="宋体" w:eastAsia="宋体" w:cs="宋体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5MTA1ZTAyZGI3MjQ3ZTVjOTZkNzMyMzEzZGQxOTcifQ=="/>
    <w:docVar w:name="KSO_WPS_MARK_KEY" w:val="eeb80ec0-d359-4364-a760-0e518d358d7b"/>
  </w:docVars>
  <w:rsids>
    <w:rsidRoot w:val="3BA947B3"/>
    <w:rsid w:val="25A0296A"/>
    <w:rsid w:val="3BA947B3"/>
    <w:rsid w:val="5058293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spacing w:after="0" w:line="560" w:lineRule="exact"/>
      <w:ind w:left="0" w:leftChars="0" w:firstLine="420" w:firstLineChars="200"/>
      <w:jc w:val="left"/>
    </w:pPr>
    <w:rPr>
      <w:sz w:val="30"/>
      <w:szCs w:val="24"/>
    </w:rPr>
  </w:style>
  <w:style w:type="paragraph" w:styleId="3">
    <w:name w:val="Body Text Indent"/>
    <w:basedOn w:val="1"/>
    <w:qFormat/>
    <w:uiPriority w:val="0"/>
    <w:pPr>
      <w:ind w:firstLine="640" w:firstLineChars="200"/>
    </w:pPr>
    <w:rPr>
      <w:rFonts w:eastAsia="仿宋_GB2312"/>
      <w:sz w:val="32"/>
    </w:rPr>
  </w:style>
  <w:style w:type="paragraph" w:styleId="4">
    <w:name w:val="Body Text"/>
    <w:basedOn w:val="1"/>
    <w:next w:val="5"/>
    <w:qFormat/>
    <w:uiPriority w:val="1"/>
    <w:rPr>
      <w:rFonts w:ascii="仿宋_GB2312" w:hAnsi="仿宋_GB2312" w:eastAsia="仿宋_GB2312" w:cs="仿宋_GB2312"/>
      <w:sz w:val="32"/>
      <w:szCs w:val="32"/>
      <w:lang w:val="zh-CN" w:bidi="zh-CN"/>
    </w:rPr>
  </w:style>
  <w:style w:type="paragraph" w:styleId="5">
    <w:name w:val="Body Text First Indent"/>
    <w:basedOn w:val="4"/>
    <w:qFormat/>
    <w:uiPriority w:val="0"/>
    <w:pPr>
      <w:ind w:firstLine="420" w:firstLineChars="10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Default"/>
    <w:next w:val="12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paragraph" w:customStyle="1" w:styleId="12">
    <w:name w:val="引用1"/>
    <w:basedOn w:val="1"/>
    <w:next w:val="1"/>
    <w:qFormat/>
    <w:uiPriority w:val="0"/>
    <w:rPr>
      <w:rFonts w:ascii="Calibri" w:hAnsi="Calibri"/>
      <w:i/>
      <w:iCs/>
      <w:color w:val="000000"/>
    </w:rPr>
  </w:style>
  <w:style w:type="paragraph" w:customStyle="1" w:styleId="13">
    <w:name w:val="Table Text"/>
    <w:basedOn w:val="1"/>
    <w:semiHidden/>
    <w:qFormat/>
    <w:uiPriority w:val="0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宋体" w:hAnsi="宋体" w:eastAsia="宋体" w:cs="宋体"/>
      <w:snapToGrid w:val="0"/>
      <w:color w:val="000000"/>
      <w:kern w:val="0"/>
      <w:sz w:val="13"/>
      <w:szCs w:val="13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8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3913</Words>
  <Characters>4029</Characters>
  <Lines>0</Lines>
  <Paragraphs>0</Paragraphs>
  <TotalTime>3</TotalTime>
  <ScaleCrop>false</ScaleCrop>
  <LinksUpToDate>false</LinksUpToDate>
  <CharactersWithSpaces>4148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2024-05-31T07:47:00Z</dcterms:created>
  <dc:creator>喵啊喵啊喵啊喵</dc:creator>
  <cp:lastModifiedBy>高山流水</cp:lastModifiedBy>
  <cp:lastPrinted>2024-06-04T01:53:01Z</cp:lastPrinted>
  <dcterms:modified xsi:type="dcterms:W3CDTF">2024-06-04T01:53:47Z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D461502BA8854313B6ADD8F7EDFAB486_13</vt:lpwstr>
  </property>
</Properties>
</file>